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67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ind w:right="-679"/>
        <w:spacing w:after="0"/>
        <w:rPr>
          <w:sz w:val="20"/>
          <w:szCs w:val="20"/>
          <w:color w:val="auto"/>
        </w:rPr>
      </w:pPr>
      <w:r>
        <w:rPr>
          <w:rFonts w:ascii="Arial" w:cs="Arial" w:eastAsia="Arial" w:hAnsi="Arial"/>
          <w:sz w:val="27"/>
          <w:szCs w:val="27"/>
          <w:b w:val="1"/>
          <w:bCs w:val="1"/>
          <w:color w:val="auto"/>
        </w:rPr>
        <w:t>SCHEDULE 14A INFORMATION</w:t>
      </w:r>
    </w:p>
    <w:p>
      <w:pPr>
        <w:spacing w:after="0" w:line="252"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42" w:lineRule="exact"/>
        <w:rPr>
          <w:sz w:val="24"/>
          <w:szCs w:val="24"/>
          <w:color w:val="auto"/>
        </w:rPr>
      </w:pPr>
    </w:p>
    <w:p>
      <w:pPr>
        <w:spacing w:after="0" w:line="184" w:lineRule="exact"/>
        <w:tabs>
          <w:tab w:leader="none" w:pos="284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Filed by a Party other than the Registrant £</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3" w:lineRule="exact"/>
        <w:rPr>
          <w:sz w:val="24"/>
          <w:szCs w:val="24"/>
          <w:color w:val="auto"/>
        </w:rPr>
      </w:pPr>
    </w:p>
    <w:p>
      <w:pPr>
        <w:ind w:right="8100" w:firstLine="8"/>
        <w:spacing w:after="0" w:line="203" w:lineRule="exact"/>
        <w:tabs>
          <w:tab w:leader="none" w:pos="194"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xml:space="preserve">Definitive Proxy Statement </w:t>
      </w:r>
      <w:r>
        <w:rPr>
          <w:rFonts w:ascii="MS PGothic" w:cs="MS PGothic" w:eastAsia="MS PGothic" w:hAnsi="MS PGothic"/>
          <w:sz w:val="15"/>
          <w:szCs w:val="15"/>
          <w:color w:val="auto"/>
        </w:rPr>
        <w:t>☐</w:t>
      </w:r>
      <w:r>
        <w:rPr>
          <w:rFonts w:ascii="Arial" w:cs="Arial" w:eastAsia="Arial" w:hAnsi="Arial"/>
          <w:sz w:val="15"/>
          <w:szCs w:val="15"/>
          <w:color w:val="auto"/>
        </w:rPr>
        <w:t xml:space="preserve">Definitive Additional Materials </w:t>
      </w:r>
      <w:r>
        <w:rPr>
          <w:rFonts w:ascii="MS PGothic" w:cs="MS PGothic" w:eastAsia="MS PGothic" w:hAnsi="MS PGothic"/>
          <w:sz w:val="15"/>
          <w:szCs w:val="15"/>
          <w:color w:val="auto"/>
        </w:rPr>
        <w:t>☐</w:t>
      </w:r>
      <w:r>
        <w:rPr>
          <w:rFonts w:ascii="Arial" w:cs="Arial" w:eastAsia="Arial" w:hAnsi="Arial"/>
          <w:sz w:val="15"/>
          <w:szCs w:val="15"/>
          <w:color w:val="auto"/>
        </w:rPr>
        <w:t>Soliciting Material under §240.14a-12</w:t>
      </w:r>
    </w:p>
    <w:p>
      <w:pPr>
        <w:spacing w:after="0" w:line="267" w:lineRule="exact"/>
        <w:rPr>
          <w:sz w:val="24"/>
          <w:szCs w:val="24"/>
          <w:color w:val="auto"/>
        </w:rPr>
      </w:pPr>
    </w:p>
    <w:p>
      <w:pPr>
        <w:jc w:val="center"/>
        <w:ind w:right="-679"/>
        <w:spacing w:after="0"/>
        <w:rPr>
          <w:sz w:val="20"/>
          <w:szCs w:val="20"/>
          <w:color w:val="auto"/>
        </w:rPr>
      </w:pPr>
      <w:r>
        <w:rPr>
          <w:rFonts w:ascii="Arial" w:cs="Arial" w:eastAsia="Arial" w:hAnsi="Arial"/>
          <w:sz w:val="29"/>
          <w:szCs w:val="29"/>
          <w:b w:val="1"/>
          <w:bCs w:val="1"/>
          <w:color w:val="auto"/>
        </w:rPr>
        <w:t>GRAHAM HOLDINGS COMPANY</w:t>
      </w:r>
    </w:p>
    <w:p>
      <w:pPr>
        <w:spacing w:after="0" w:line="40" w:lineRule="exact"/>
        <w:rPr>
          <w:sz w:val="24"/>
          <w:szCs w:val="24"/>
          <w:color w:val="auto"/>
        </w:rPr>
      </w:pPr>
    </w:p>
    <w:p>
      <w:pPr>
        <w:ind w:left="41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3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x No fee required.</w:t>
      </w:r>
    </w:p>
    <w:p>
      <w:pPr>
        <w:spacing w:after="0" w:line="397" w:lineRule="exact"/>
        <w:rPr>
          <w:sz w:val="24"/>
          <w:szCs w:val="24"/>
          <w:color w:val="auto"/>
        </w:rPr>
      </w:pPr>
    </w:p>
    <w:p>
      <w:pPr>
        <w:ind w:left="260" w:hanging="225"/>
        <w:spacing w:after="0"/>
        <w:tabs>
          <w:tab w:leader="none" w:pos="260" w:val="left"/>
        </w:tabs>
        <w:numPr>
          <w:ilvl w:val="1"/>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00" w:lineRule="exact"/>
        <w:rPr>
          <w:rFonts w:ascii="MS PGothic" w:cs="MS PGothic" w:eastAsia="MS PGothic" w:hAnsi="MS PGothic"/>
          <w:sz w:val="16"/>
          <w:szCs w:val="16"/>
          <w:color w:val="auto"/>
        </w:rPr>
      </w:pPr>
    </w:p>
    <w:p>
      <w:pPr>
        <w:spacing w:after="0" w:line="237" w:lineRule="exact"/>
        <w:rPr>
          <w:rFonts w:ascii="MS PGothic" w:cs="MS PGothic" w:eastAsia="MS PGothic" w:hAnsi="MS PGothic"/>
          <w:sz w:val="16"/>
          <w:szCs w:val="16"/>
          <w:color w:val="auto"/>
        </w:rPr>
      </w:pPr>
    </w:p>
    <w:p>
      <w:pPr>
        <w:ind w:left="900" w:hanging="244"/>
        <w:spacing w:after="0"/>
        <w:tabs>
          <w:tab w:leader="none" w:pos="900" w:val="left"/>
        </w:tabs>
        <w:numPr>
          <w:ilvl w:val="2"/>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 N/A</w:t>
      </w:r>
    </w:p>
    <w:p>
      <w:pPr>
        <w:spacing w:after="0" w:line="19" w:lineRule="exact"/>
        <w:rPr>
          <w:rFonts w:ascii="Arial" w:cs="Arial" w:eastAsia="Arial" w:hAnsi="Arial"/>
          <w:sz w:val="16"/>
          <w:szCs w:val="16"/>
          <w:color w:val="auto"/>
        </w:rPr>
      </w:pPr>
    </w:p>
    <w:p>
      <w:pPr>
        <w:ind w:left="900" w:hanging="244"/>
        <w:spacing w:after="0"/>
        <w:tabs>
          <w:tab w:leader="none" w:pos="900" w:val="left"/>
        </w:tabs>
        <w:numPr>
          <w:ilvl w:val="2"/>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spacing w:after="0" w:line="5" w:lineRule="exact"/>
        <w:rPr>
          <w:rFonts w:ascii="Arial" w:cs="Arial" w:eastAsia="Arial" w:hAnsi="Arial"/>
          <w:sz w:val="16"/>
          <w:szCs w:val="16"/>
          <w:color w:val="auto"/>
        </w:rPr>
      </w:pPr>
    </w:p>
    <w:p>
      <w:pPr>
        <w:ind w:left="900" w:hanging="244"/>
        <w:spacing w:after="0" w:line="246" w:lineRule="auto"/>
        <w:tabs>
          <w:tab w:leader="none" w:pos="900" w:val="left"/>
        </w:tabs>
        <w:numPr>
          <w:ilvl w:val="2"/>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 N/A</w:t>
      </w:r>
    </w:p>
    <w:p>
      <w:pPr>
        <w:ind w:left="900" w:hanging="244"/>
        <w:spacing w:after="0"/>
        <w:tabs>
          <w:tab w:leader="none" w:pos="900" w:val="left"/>
        </w:tabs>
        <w:numPr>
          <w:ilvl w:val="2"/>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 N/A</w:t>
      </w:r>
    </w:p>
    <w:p>
      <w:pPr>
        <w:spacing w:after="0" w:line="5" w:lineRule="exact"/>
        <w:rPr>
          <w:rFonts w:ascii="Arial" w:cs="Arial" w:eastAsia="Arial" w:hAnsi="Arial"/>
          <w:sz w:val="16"/>
          <w:szCs w:val="16"/>
          <w:color w:val="auto"/>
        </w:rPr>
      </w:pPr>
    </w:p>
    <w:p>
      <w:pPr>
        <w:ind w:left="900" w:hanging="244"/>
        <w:spacing w:after="0"/>
        <w:tabs>
          <w:tab w:leader="none" w:pos="90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Total fee paid: N/A</w:t>
      </w:r>
    </w:p>
    <w:p>
      <w:pPr>
        <w:spacing w:after="0" w:line="369" w:lineRule="exact"/>
        <w:rPr>
          <w:rFonts w:ascii="Arial" w:cs="Arial" w:eastAsia="Arial" w:hAnsi="Arial"/>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was paid previously. Identify the previous filing by registration statement number, or the Form or Schedule and the date of its filing.</w:t>
      </w:r>
    </w:p>
    <w:p>
      <w:pPr>
        <w:spacing w:after="0" w:line="180" w:lineRule="exact"/>
        <w:rPr>
          <w:sz w:val="24"/>
          <w:szCs w:val="24"/>
          <w:color w:val="auto"/>
        </w:rPr>
      </w:pPr>
    </w:p>
    <w:p>
      <w:pPr>
        <w:ind w:left="900" w:hanging="24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9" w:lineRule="exact"/>
        <w:rPr>
          <w:rFonts w:ascii="Arial" w:cs="Arial" w:eastAsia="Arial" w:hAnsi="Arial"/>
          <w:sz w:val="16"/>
          <w:szCs w:val="16"/>
          <w:color w:val="auto"/>
        </w:rPr>
      </w:pPr>
    </w:p>
    <w:p>
      <w:pPr>
        <w:ind w:left="900" w:hanging="24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5" w:lineRule="exact"/>
        <w:rPr>
          <w:rFonts w:ascii="Arial" w:cs="Arial" w:eastAsia="Arial" w:hAnsi="Arial"/>
          <w:sz w:val="16"/>
          <w:szCs w:val="16"/>
          <w:color w:val="auto"/>
        </w:rPr>
      </w:pPr>
    </w:p>
    <w:p>
      <w:pPr>
        <w:ind w:left="900" w:hanging="24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5" w:lineRule="exact"/>
        <w:rPr>
          <w:rFonts w:ascii="Arial" w:cs="Arial" w:eastAsia="Arial" w:hAnsi="Arial"/>
          <w:sz w:val="16"/>
          <w:szCs w:val="16"/>
          <w:color w:val="auto"/>
        </w:rPr>
      </w:pPr>
    </w:p>
    <w:p>
      <w:pPr>
        <w:ind w:left="900" w:hanging="24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0740"/>
          </w:cols>
          <w:pgMar w:left="240" w:top="882" w:right="9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216979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69795" cy="454660"/>
                    </a:xfrm>
                    <a:prstGeom prst="rect">
                      <a:avLst/>
                    </a:prstGeom>
                    <a:noFill/>
                  </pic:spPr>
                </pic:pic>
              </a:graphicData>
            </a:graphic>
          </wp:anchor>
        </w:drawing>
        <w:t xml:space="preserve">1150 15TH STREET, NW </w:t>
      </w:r>
      <w:r>
        <w:rPr>
          <w:rFonts w:ascii="Arial" w:cs="Arial" w:eastAsia="Arial" w:hAnsi="Arial"/>
          <w:sz w:val="18"/>
          <w:szCs w:val="18"/>
          <w:color w:val="auto"/>
        </w:rPr>
        <w:t>|</w:t>
      </w:r>
      <w:r>
        <w:rPr>
          <w:rFonts w:ascii="Arial" w:cs="Arial" w:eastAsia="Arial" w:hAnsi="Arial"/>
          <w:sz w:val="18"/>
          <w:szCs w:val="18"/>
          <w:b w:val="1"/>
          <w:bCs w:val="1"/>
          <w:color w:val="auto"/>
        </w:rPr>
        <w:t xml:space="preserve"> WASHINGTON, DC 20071 </w:t>
      </w:r>
      <w:r>
        <w:rPr>
          <w:rFonts w:ascii="Arial" w:cs="Arial" w:eastAsia="Arial" w:hAnsi="Arial"/>
          <w:sz w:val="18"/>
          <w:szCs w:val="18"/>
          <w:color w:val="auto"/>
        </w:rPr>
        <w:t>|</w:t>
      </w:r>
      <w:r>
        <w:rPr>
          <w:rFonts w:ascii="Arial" w:cs="Arial" w:eastAsia="Arial" w:hAnsi="Arial"/>
          <w:sz w:val="18"/>
          <w:szCs w:val="18"/>
          <w:b w:val="1"/>
          <w:bCs w:val="1"/>
          <w:color w:val="auto"/>
        </w:rPr>
        <w:t xml:space="preserve"> (202) 334-6000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t>
      </w:r>
      <w:r>
        <w:rPr>
          <w:rFonts w:ascii="Arial" w:cs="Arial" w:eastAsia="Arial" w:hAnsi="Arial"/>
          <w:sz w:val="18"/>
          <w:szCs w:val="18"/>
          <w:color w:val="auto"/>
        </w:rPr>
        <w:t xml:space="preserve"> O</w:t>
      </w:r>
      <w:r>
        <w:rPr>
          <w:rFonts w:ascii="Arial" w:cs="Arial" w:eastAsia="Arial" w:hAnsi="Arial"/>
          <w:sz w:val="14"/>
          <w:szCs w:val="14"/>
          <w:color w:val="auto"/>
        </w:rPr>
        <w:t>UR</w:t>
      </w:r>
      <w:r>
        <w:rPr>
          <w:rFonts w:ascii="Arial" w:cs="Arial" w:eastAsia="Arial" w:hAnsi="Arial"/>
          <w:sz w:val="18"/>
          <w:szCs w:val="18"/>
          <w:color w:val="auto"/>
        </w:rPr>
        <w:t xml:space="preserve"> S</w:t>
      </w:r>
      <w:r>
        <w:rPr>
          <w:rFonts w:ascii="Arial" w:cs="Arial" w:eastAsia="Arial" w:hAnsi="Arial"/>
          <w:sz w:val="14"/>
          <w:szCs w:val="14"/>
          <w:color w:val="auto"/>
        </w:rPr>
        <w:t>HAREHOLDERS</w:t>
      </w:r>
      <w:r>
        <w:rPr>
          <w:rFonts w:ascii="Arial" w:cs="Arial" w:eastAsia="Arial" w:hAnsi="Arial"/>
          <w:sz w:val="18"/>
          <w:szCs w:val="18"/>
          <w:color w:val="auto"/>
        </w:rPr>
        <w:t>:</w:t>
      </w:r>
    </w:p>
    <w:p>
      <w:pPr>
        <w:spacing w:after="0" w:line="239" w:lineRule="exact"/>
        <w:rPr>
          <w:sz w:val="20"/>
          <w:szCs w:val="20"/>
          <w:color w:val="auto"/>
        </w:rPr>
      </w:pPr>
    </w:p>
    <w:p>
      <w:pPr>
        <w:ind w:right="160" w:firstLine="770"/>
        <w:spacing w:after="0" w:line="308" w:lineRule="auto"/>
        <w:rPr>
          <w:sz w:val="20"/>
          <w:szCs w:val="20"/>
          <w:color w:val="auto"/>
        </w:rPr>
      </w:pPr>
      <w:r>
        <w:rPr>
          <w:rFonts w:ascii="Arial" w:cs="Arial" w:eastAsia="Arial" w:hAnsi="Arial"/>
          <w:sz w:val="17"/>
          <w:szCs w:val="17"/>
          <w:color w:val="auto"/>
        </w:rPr>
        <w:t>You are cordially invited to the 2014 Annual Meeting of Shareholders of Graham Holdings Company (the “Company”), which will be held in the Auditorium, the Graham Holdings Headquarters Building, 1150 15th Street, NW, Washington, DC 20071, on Thursday, May 8, at 9:00 a.m.</w:t>
      </w:r>
    </w:p>
    <w:p>
      <w:pPr>
        <w:spacing w:after="0" w:line="147" w:lineRule="exact"/>
        <w:rPr>
          <w:sz w:val="20"/>
          <w:szCs w:val="20"/>
          <w:color w:val="auto"/>
        </w:rPr>
      </w:pPr>
    </w:p>
    <w:p>
      <w:pPr>
        <w:jc w:val="both"/>
        <w:ind w:right="80" w:firstLine="770"/>
        <w:spacing w:after="0" w:line="264" w:lineRule="auto"/>
        <w:rPr>
          <w:sz w:val="20"/>
          <w:szCs w:val="20"/>
          <w:color w:val="auto"/>
        </w:rPr>
      </w:pPr>
      <w:r>
        <w:rPr>
          <w:rFonts w:ascii="Arial" w:cs="Arial" w:eastAsia="Arial" w:hAnsi="Arial"/>
          <w:sz w:val="18"/>
          <w:szCs w:val="18"/>
          <w:color w:val="auto"/>
        </w:rPr>
        <w:t>At the Company’s 2014 Annual Meeting of Shareholders (the “Meeting”), there will be a report on the Company’s activities, and Directors will be elected for the ensuing year. In addition, the Class A Shareholders will have an advisory vote on whether to approve the compensation paid to the Company’s named executive officers for 2013.</w:t>
      </w:r>
    </w:p>
    <w:p>
      <w:pPr>
        <w:spacing w:after="0" w:line="181" w:lineRule="exact"/>
        <w:rPr>
          <w:sz w:val="20"/>
          <w:szCs w:val="20"/>
          <w:color w:val="auto"/>
        </w:rPr>
      </w:pPr>
    </w:p>
    <w:p>
      <w:pPr>
        <w:ind w:right="20" w:firstLine="770"/>
        <w:spacing w:after="0" w:line="264" w:lineRule="auto"/>
        <w:rPr>
          <w:sz w:val="20"/>
          <w:szCs w:val="20"/>
          <w:color w:val="auto"/>
        </w:rPr>
      </w:pPr>
      <w:r>
        <w:rPr>
          <w:rFonts w:ascii="Arial" w:cs="Arial" w:eastAsia="Arial" w:hAnsi="Arial"/>
          <w:sz w:val="18"/>
          <w:szCs w:val="18"/>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Donald E. Graham</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420"/>
          </w:cols>
          <w:pgMar w:left="240" w:top="1296" w:right="2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GRAHAM HOLDINGS COMPANY</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Notice of Annual Meeting of Shareholders — May 8, 2014</w:t>
      </w:r>
    </w:p>
    <w:p>
      <w:pPr>
        <w:spacing w:after="0" w:line="200" w:lineRule="exact"/>
        <w:rPr>
          <w:sz w:val="20"/>
          <w:szCs w:val="20"/>
          <w:color w:val="auto"/>
        </w:rPr>
      </w:pPr>
    </w:p>
    <w:p>
      <w:pPr>
        <w:spacing w:after="0" w:line="316" w:lineRule="exact"/>
        <w:rPr>
          <w:sz w:val="20"/>
          <w:szCs w:val="20"/>
          <w:color w:val="auto"/>
        </w:rPr>
      </w:pPr>
    </w:p>
    <w:p>
      <w:pPr>
        <w:ind w:firstLine="770"/>
        <w:spacing w:after="0" w:line="342" w:lineRule="auto"/>
        <w:rPr>
          <w:sz w:val="20"/>
          <w:szCs w:val="20"/>
          <w:color w:val="auto"/>
        </w:rPr>
      </w:pPr>
      <w:r>
        <w:rPr>
          <w:rFonts w:ascii="Arial" w:cs="Arial" w:eastAsia="Arial" w:hAnsi="Arial"/>
          <w:sz w:val="16"/>
          <w:szCs w:val="16"/>
          <w:color w:val="auto"/>
        </w:rPr>
        <w:t>The 2014 Annual Meeting of Shareholders of Graham Holdings Company will be held in the Auditorium, the Graham Holdings Headquarters Building, 1150 15th Street, NW, Washington, DC 20071, on Thursday, May 8, 2014, at 9:00 a.m., Eastern Daylight Saving Time, for the following purposes:</w:t>
      </w:r>
    </w:p>
    <w:p>
      <w:pPr>
        <w:spacing w:after="0" w:line="124" w:lineRule="exact"/>
        <w:rPr>
          <w:sz w:val="20"/>
          <w:szCs w:val="20"/>
          <w:color w:val="auto"/>
        </w:rPr>
      </w:pPr>
    </w:p>
    <w:p>
      <w:pPr>
        <w:ind w:left="1460" w:hanging="155"/>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Directors for the ensuing year, as more fully described in the accompanying Proxy Statement.</w:t>
      </w:r>
    </w:p>
    <w:p>
      <w:pPr>
        <w:spacing w:after="0" w:line="225" w:lineRule="exact"/>
        <w:rPr>
          <w:rFonts w:ascii="Arial" w:cs="Arial" w:eastAsia="Arial" w:hAnsi="Arial"/>
          <w:sz w:val="18"/>
          <w:szCs w:val="18"/>
          <w:color w:val="auto"/>
        </w:rPr>
      </w:pPr>
    </w:p>
    <w:p>
      <w:pPr>
        <w:ind w:left="1460" w:right="2620" w:hanging="155"/>
        <w:spacing w:after="0" w:line="27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Class A Shareholders, on an advisory basis, to vote on whether to approve the compensation paid to the named executive officers of the Company for 2013.</w:t>
      </w:r>
    </w:p>
    <w:p>
      <w:pPr>
        <w:spacing w:after="0" w:line="170" w:lineRule="exact"/>
        <w:rPr>
          <w:rFonts w:ascii="Arial" w:cs="Arial" w:eastAsia="Arial" w:hAnsi="Arial"/>
          <w:sz w:val="18"/>
          <w:szCs w:val="18"/>
          <w:color w:val="auto"/>
        </w:rPr>
      </w:pPr>
    </w:p>
    <w:p>
      <w:pPr>
        <w:ind w:left="1460" w:hanging="155"/>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right="60" w:firstLine="770"/>
        <w:spacing w:after="0" w:line="277" w:lineRule="auto"/>
        <w:rPr>
          <w:sz w:val="20"/>
          <w:szCs w:val="20"/>
          <w:color w:val="auto"/>
        </w:rPr>
      </w:pPr>
      <w:r>
        <w:rPr>
          <w:rFonts w:ascii="Arial" w:cs="Arial" w:eastAsia="Arial" w:hAnsi="Arial"/>
          <w:sz w:val="18"/>
          <w:szCs w:val="18"/>
          <w:color w:val="auto"/>
        </w:rPr>
        <w:t>The Board of Directors of the Company (the “Board”) has fixed the close of business on March 12, 2014, as the record date for the determination of shareholders entitled to notice of and to vote at the Meeting.</w:t>
      </w:r>
    </w:p>
    <w:p>
      <w:pPr>
        <w:spacing w:after="0" w:line="170" w:lineRule="exact"/>
        <w:rPr>
          <w:sz w:val="20"/>
          <w:szCs w:val="20"/>
          <w:color w:val="auto"/>
        </w:rPr>
      </w:pPr>
    </w:p>
    <w:p>
      <w:pPr>
        <w:ind w:firstLine="770"/>
        <w:spacing w:after="0" w:line="259" w:lineRule="auto"/>
        <w:rPr>
          <w:sz w:val="20"/>
          <w:szCs w:val="20"/>
          <w:color w:val="auto"/>
        </w:rPr>
      </w:pPr>
      <w:r>
        <w:rPr>
          <w:rFonts w:ascii="Arial" w:cs="Arial" w:eastAsia="Arial" w:hAnsi="Arial"/>
          <w:sz w:val="18"/>
          <w:szCs w:val="18"/>
          <w:color w:val="auto"/>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VERONICA DILLON,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26,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ectPr>
          <w:pgSz w:w="11900" w:h="16838" w:orient="portrait"/>
          <w:cols w:equalWidth="0" w:num="1">
            <w:col w:w="11300"/>
          </w:cols>
          <w:pgMar w:left="240" w:top="576"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1150 15th Street, NW, Washington, DC 20071</w:t>
      </w:r>
    </w:p>
    <w:p>
      <w:pPr>
        <w:spacing w:after="0" w:line="211"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March 26, 2014</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Proxy Statement contains information relating to the 2014 Annual Meeting of Shareholders of Graham Holdings Company to be held at the Company’s headquarters, 1150 15th Street, NW, Washington, DC 20071, on Thursday, May 8, 2014, at 9:00 a.m., Eastern Daylight Saving Time, or any adjournments thereof, for the purposes set forth in the accompanying Notice of the 2014 Annual Meeting of Shareholders. This Proxy Statement and the accompanying forms of Proxy and voting instructions are being delivered to shareholders on or about March 26, 2014. The Board of Directors of the Company is making this Proxy solicitation.</w:t>
      </w:r>
    </w:p>
    <w:p>
      <w:pPr>
        <w:spacing w:after="0" w:line="184"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8, 2014. This Proxy Statement and the Annual Report to Shareholders are available at www.ghco.com.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am I voting on?</w:t>
      </w:r>
    </w:p>
    <w:p>
      <w:pPr>
        <w:spacing w:after="0" w:line="229" w:lineRule="exact"/>
        <w:rPr>
          <w:sz w:val="20"/>
          <w:szCs w:val="20"/>
          <w:color w:val="auto"/>
        </w:rPr>
      </w:pPr>
    </w:p>
    <w:p>
      <w:pPr>
        <w:jc w:val="both"/>
        <w:ind w:right="160" w:firstLine="8"/>
        <w:spacing w:after="0" w:line="312"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You are voting on the election of Directors for a term of one year. A Board of 11 Directors is to be elected, 7 by the holders of Class A Common Stock, voting separately as a class, and 4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any nominee withdraws or for any reason is not able to serve as a Director, Donald E. Graham, Hal S. Jones, Veronica Dillon and Gerald 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Rosberg, acting as your proxies, may vote for such other person as the Board of Directors may nominate.</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if you are a holder of Class A Stock, you are voting on whether to approve the compensation paid to the Company’s named executive officers for 2013. In accordance with rules of the U.S. Securities and Exchange Commission (the “SEC”), these votes are advisory in nature and non-binding.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of your shares entitles you to one vote with respect to each matter on which you may vote.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are the voting recommendations of the Board?</w:t>
      </w:r>
    </w:p>
    <w:p>
      <w:pPr>
        <w:spacing w:after="0" w:line="229" w:lineRule="exact"/>
        <w:rPr>
          <w:sz w:val="20"/>
          <w:szCs w:val="20"/>
          <w:color w:val="auto"/>
        </w:rPr>
      </w:pPr>
    </w:p>
    <w:p>
      <w:pPr>
        <w:ind w:right="640" w:firstLine="8"/>
        <w:spacing w:after="0" w:line="277" w:lineRule="auto"/>
        <w:tabs>
          <w:tab w:leader="none" w:pos="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voting for the approval of the compensation paid to the Company’s named executive officers for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any other matters be voted on?</w:t>
      </w:r>
    </w:p>
    <w:p>
      <w:pPr>
        <w:spacing w:after="0" w:line="229" w:lineRule="exact"/>
        <w:rPr>
          <w:sz w:val="20"/>
          <w:szCs w:val="20"/>
          <w:color w:val="auto"/>
        </w:rPr>
      </w:pPr>
    </w:p>
    <w:p>
      <w:pPr>
        <w:ind w:right="180" w:firstLine="8"/>
        <w:spacing w:after="0" w:line="264" w:lineRule="auto"/>
        <w:tabs>
          <w:tab w:leader="none" w:pos="357"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not aware of any matters to be voted on other than the election of Directors and the Class A Shareholder advisory vote on compensation paid to the Company’s named executive officers for 2013. If any other matter is properly brought before the Meeting, Donald E. Graham, Hal S. Jones, Veronica Dillon and Gerald M. Rosberg, acting as your proxies, will vote for you at their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vote?</w:t>
      </w:r>
    </w:p>
    <w:p>
      <w:pPr>
        <w:spacing w:after="0" w:line="20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36" w:lineRule="exact"/>
        <w:rPr>
          <w:rFonts w:ascii="Arial" w:cs="Arial" w:eastAsia="Arial" w:hAnsi="Arial"/>
          <w:sz w:val="18"/>
          <w:szCs w:val="18"/>
          <w:color w:val="auto"/>
        </w:rPr>
      </w:pPr>
    </w:p>
    <w:p>
      <w:pPr>
        <w:ind w:left="820" w:hanging="164"/>
        <w:spacing w:after="0"/>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Internet at www.investorvote.com. We encourage you to vote this way;</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toll-free telephone at 1-800-652-8683;</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completing and mailing your Proxy card; or</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21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If you vote by Internet or telephone, your vote must be received by 5:00 p.m., Eastern Daylight Saving Time, on the day before the Meeting. Your shares will be voted as you indicate. If you are a Class B Shareholder and do not indicate your voting preferences, Donald E. Graham, Hal S. Jones, Veronica Dillon and Gerald M. Rosberg, acting as your proxies, will vote your shares in favor of the applicable nominated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ind w:right="180"/>
        <w:spacing w:after="0" w:line="308" w:lineRule="auto"/>
        <w:rPr>
          <w:sz w:val="20"/>
          <w:szCs w:val="20"/>
          <w:color w:val="auto"/>
        </w:rPr>
      </w:pPr>
      <w:r>
        <w:rPr>
          <w:rFonts w:ascii="Arial" w:cs="Arial" w:eastAsia="Arial" w:hAnsi="Arial"/>
          <w:sz w:val="17"/>
          <w:szCs w:val="17"/>
          <w:color w:val="auto"/>
        </w:rPr>
        <w:t>If you are a Class A Shareholder and do not indicate your voting preferences, the foregoing persons, acting as your proxies, will vote your shares in favor of the applicable nominated Directors and for approval of the compensation paid to the Company’s named executive officers for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vote?</w:t>
      </w:r>
    </w:p>
    <w:p>
      <w:pPr>
        <w:spacing w:after="0" w:line="229" w:lineRule="exact"/>
        <w:rPr>
          <w:sz w:val="20"/>
          <w:szCs w:val="20"/>
          <w:color w:val="auto"/>
        </w:rPr>
      </w:pPr>
    </w:p>
    <w:p>
      <w:pPr>
        <w:ind w:firstLine="8"/>
        <w:spacing w:after="0" w:line="259" w:lineRule="auto"/>
        <w:tabs>
          <w:tab w:leader="none" w:pos="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12, 2014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accordance with the Company’s constitutive documents and under Delaware corporate law, only Class A Shareholders are entitled to vote on Proposal 2: Approval of 2013 Compensation Awarded to Named Executive Officers. If you are a Class B Shareholder, you are entitled to vote on Proposal 1: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change my vote?</w:t>
      </w:r>
    </w:p>
    <w:p>
      <w:pPr>
        <w:spacing w:after="0" w:line="229"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at any time before the Meeting:</w:t>
      </w:r>
    </w:p>
    <w:p>
      <w:pPr>
        <w:spacing w:after="0" w:line="36" w:lineRule="exact"/>
        <w:rPr>
          <w:rFonts w:ascii="Arial" w:cs="Arial" w:eastAsia="Arial" w:hAnsi="Arial"/>
          <w:sz w:val="18"/>
          <w:szCs w:val="18"/>
          <w:color w:val="auto"/>
        </w:rPr>
      </w:pPr>
    </w:p>
    <w:p>
      <w:pPr>
        <w:ind w:left="820" w:hanging="164"/>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By entering a new vote by Internet or telephone;</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By returning a later-dated Proxy card; or</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By voting in person at the Meeting, provided you first revoke your previously voted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is required to approve a proposal?</w:t>
      </w:r>
    </w:p>
    <w:p>
      <w:pPr>
        <w:spacing w:after="0" w:line="229" w:lineRule="exact"/>
        <w:rPr>
          <w:sz w:val="20"/>
          <w:szCs w:val="20"/>
          <w:color w:val="auto"/>
        </w:rPr>
      </w:pPr>
    </w:p>
    <w:p>
      <w:pPr>
        <w:ind w:right="20" w:firstLine="8"/>
        <w:spacing w:after="0" w:line="302" w:lineRule="auto"/>
        <w:tabs>
          <w:tab w:leader="none" w:pos="3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Directors will be elected by a plurality of the votes cast at the Meeting. This means that the 7 Class A Shareholder nominees receiving the highest number of votes cast and the four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While the proposal to approve the 2013 compensation awarded to the Company’s named executive officers is non-binding and advisory in nature, it will be approved only on the favorable vote of a majority of the Class A Shareholders present or represented at the Meeting.</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Broker non-votes will have no impact on the voting results for any of the proposals presented at the Meeting, and abstentions will have the effect of a vote against the proposal to approve the 2013 compensation awarded to the Company’s named executive officers. Broker non-votes and abstentions will be counted for purposes of determining whether a quorum is present.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count the vote?</w:t>
      </w:r>
    </w:p>
    <w:p>
      <w:pPr>
        <w:spacing w:after="0" w:line="229" w:lineRule="exact"/>
        <w:rPr>
          <w:sz w:val="20"/>
          <w:szCs w:val="20"/>
          <w:color w:val="auto"/>
        </w:rPr>
      </w:pPr>
    </w:p>
    <w:p>
      <w:pPr>
        <w:ind w:right="140" w:firstLine="8"/>
        <w:spacing w:after="0" w:line="277"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Computershare, the Company’s transfer agent and registrar, will count the vote. One of its representatives will be included among the persons authorized to certify the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attend the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All shareholders of record as of the close of business on March 12, 2014, can attend.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need to do to attend the Meeting?</w:t>
      </w:r>
    </w:p>
    <w:p>
      <w:pPr>
        <w:spacing w:after="0" w:line="229"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63" w:lineRule="exact"/>
        <w:rPr>
          <w:rFonts w:ascii="Arial" w:cs="Arial" w:eastAsia="Arial" w:hAnsi="Arial"/>
          <w:sz w:val="18"/>
          <w:szCs w:val="18"/>
          <w:color w:val="auto"/>
        </w:rPr>
      </w:pPr>
    </w:p>
    <w:p>
      <w:pPr>
        <w:ind w:left="820" w:hanging="164"/>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you vote by using the enclosed Proxy card, check the appropriate box on the card.</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you vote by Internet or telephone, follow the instructions provided for attendance.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a broker or other nominee holds your shares, bring proof of your ownership with you to the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Seating at the Meeting will be on a first-come, first-served basis upon arrival at the Meeting.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 w:name="page6"/>
    <w:bookmarkEnd w:id="5"/>
    <w:p>
      <w:pPr>
        <w:ind w:left="300" w:hanging="292"/>
        <w:spacing w:after="0"/>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Can I bring a guest?</w:t>
      </w:r>
    </w:p>
    <w:p>
      <w:pPr>
        <w:spacing w:after="0" w:line="229" w:lineRule="exact"/>
        <w:rPr>
          <w:rFonts w:ascii="Arial" w:cs="Arial" w:eastAsia="Arial" w:hAnsi="Arial"/>
          <w:sz w:val="18"/>
          <w:szCs w:val="18"/>
          <w:b w:val="1"/>
          <w:bCs w:val="1"/>
          <w:color w:val="auto"/>
        </w:rPr>
      </w:pPr>
    </w:p>
    <w:p>
      <w:pPr>
        <w:ind w:left="320" w:hanging="277"/>
        <w:spacing w:after="0"/>
        <w:tabs>
          <w:tab w:leader="none" w:pos="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 The Meeting is for shareholders only.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quorum requirement of the Meeting?</w:t>
      </w:r>
    </w:p>
    <w:p>
      <w:pPr>
        <w:spacing w:after="0" w:line="229" w:lineRule="exact"/>
        <w:rPr>
          <w:sz w:val="20"/>
          <w:szCs w:val="20"/>
          <w:color w:val="auto"/>
        </w:rPr>
      </w:pPr>
    </w:p>
    <w:p>
      <w:pPr>
        <w:ind w:firstLine="8"/>
        <w:spacing w:after="0" w:line="255"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majority of the outstanding shares on March 12, 2014, constitutes a quorum for voting at the Annual Meeting, except that (i) for purposes of the election of seven Directors by the holders of Class A Common Stock (Proposal 1) and the advisory vote on whether to approve the compensation paid to the named executive officers of the Company in 2013 (Proposal 2), a quorum requires a majority of the outstanding shares of Class A Common Stock on March 12, 2014, and (ii) for purposes of the election of four Directors by the holders of Class B Common Stock (Proposal 1), a quorum requires a majority of the outstanding shares of Class B Common Stock on March 12, 2014. If you vote, your shares will be part of the quorum. Abstentions and broker non-votes will be counted in determining the quorum. On March 12, 2014, there were 1,169,073 shares of Class A Common Stock and 6,232,926 shares of Class B Common Stock outstanding and entitled to vote.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soliciting Proxies?</w:t>
      </w:r>
    </w:p>
    <w:p>
      <w:pPr>
        <w:spacing w:after="0" w:line="229" w:lineRule="exact"/>
        <w:rPr>
          <w:sz w:val="20"/>
          <w:szCs w:val="20"/>
          <w:color w:val="auto"/>
        </w:rPr>
      </w:pPr>
    </w:p>
    <w:p>
      <w:pPr>
        <w:ind w:right="60" w:firstLine="8"/>
        <w:spacing w:after="0" w:line="259"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Solicitation of Proxies is being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 in so doing.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are the shareholder proposals due for the Company’s 2015 Annual Meeting of Shareholders?</w:t>
      </w:r>
    </w:p>
    <w:p>
      <w:pPr>
        <w:spacing w:after="0" w:line="229" w:lineRule="exact"/>
        <w:rPr>
          <w:sz w:val="20"/>
          <w:szCs w:val="20"/>
          <w:color w:val="auto"/>
        </w:rPr>
      </w:pPr>
    </w:p>
    <w:p>
      <w:pPr>
        <w:ind w:right="80" w:firstLine="8"/>
        <w:spacing w:after="0" w:line="308" w:lineRule="auto"/>
        <w:tabs>
          <w:tab w:leader="none" w:pos="27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Shareholder proposals submitted by shareholders entitled to vote on such matters, meeting the requirements of the SEC’s proxy rules, must be in writing, received by November 26, 2014, and addressed to the Secretary of the Company at 1150 15th Street, NW, Washington, D.C.</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Holders of Class B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other information about Graham Holdings Company is available?</w:t>
      </w:r>
    </w:p>
    <w:p>
      <w:pPr>
        <w:spacing w:after="0" w:line="229"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63" w:lineRule="exact"/>
        <w:rPr>
          <w:rFonts w:ascii="Arial" w:cs="Arial" w:eastAsia="Arial" w:hAnsi="Arial"/>
          <w:sz w:val="18"/>
          <w:szCs w:val="18"/>
          <w:color w:val="auto"/>
        </w:rPr>
      </w:pPr>
    </w:p>
    <w:p>
      <w:pPr>
        <w:ind w:left="660" w:right="30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maintains on its website, www.ghco.com,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19" w:lineRule="exact"/>
        <w:rPr>
          <w:rFonts w:ascii="Arial" w:cs="Arial" w:eastAsia="Arial" w:hAnsi="Arial"/>
          <w:sz w:val="18"/>
          <w:szCs w:val="18"/>
          <w:color w:val="auto"/>
        </w:rPr>
      </w:pPr>
    </w:p>
    <w:p>
      <w:pPr>
        <w:ind w:left="660" w:right="80" w:hanging="328"/>
        <w:spacing w:after="0" w:line="259"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(except exhibits) to any shareholder upon written request addressed to the Treasurer of the Company at 1150 15th Street, NW, Washington, DC 20071.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receive materials relating to the Meeting electronically?</w:t>
      </w:r>
    </w:p>
    <w:p>
      <w:pPr>
        <w:spacing w:after="0" w:line="229" w:lineRule="exact"/>
        <w:rPr>
          <w:sz w:val="20"/>
          <w:szCs w:val="20"/>
          <w:color w:val="auto"/>
        </w:rPr>
      </w:pPr>
    </w:p>
    <w:p>
      <w:pPr>
        <w:ind w:right="20" w:firstLine="8"/>
        <w:spacing w:after="0" w:line="276" w:lineRule="auto"/>
        <w:tabs>
          <w:tab w:leader="none" w:pos="26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0"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BOARD OF DIRECTORS</w:t>
      </w:r>
    </w:p>
    <w:p>
      <w:pPr>
        <w:spacing w:after="0" w:line="229" w:lineRule="exact"/>
        <w:rPr>
          <w:sz w:val="20"/>
          <w:szCs w:val="20"/>
          <w:color w:val="auto"/>
        </w:rPr>
      </w:pPr>
    </w:p>
    <w:p>
      <w:pPr>
        <w:ind w:firstLine="770"/>
        <w:spacing w:after="0" w:line="270" w:lineRule="auto"/>
        <w:rPr>
          <w:sz w:val="20"/>
          <w:szCs w:val="20"/>
          <w:color w:val="auto"/>
        </w:rPr>
      </w:pPr>
      <w:r>
        <w:rPr>
          <w:rFonts w:ascii="Arial" w:cs="Arial" w:eastAsia="Arial" w:hAnsi="Arial"/>
          <w:sz w:val="17"/>
          <w:szCs w:val="17"/>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82" w:lineRule="exact"/>
        <w:rPr>
          <w:sz w:val="20"/>
          <w:szCs w:val="20"/>
          <w:color w:val="auto"/>
        </w:rPr>
      </w:pPr>
    </w:p>
    <w:p>
      <w:pPr>
        <w:ind w:right="60" w:firstLine="770"/>
        <w:spacing w:after="0" w:line="270" w:lineRule="auto"/>
        <w:rPr>
          <w:sz w:val="20"/>
          <w:szCs w:val="20"/>
          <w:color w:val="auto"/>
        </w:rPr>
      </w:pPr>
      <w:r>
        <w:rPr>
          <w:rFonts w:ascii="Arial" w:cs="Arial" w:eastAsia="Arial" w:hAnsi="Arial"/>
          <w:sz w:val="17"/>
          <w:szCs w:val="17"/>
          <w:color w:val="auto"/>
        </w:rPr>
        <w:t>The Company is a diversified education and media company serving customers in a rapidly evolving, highly regulated, competitive and technological environment. The Directors’ expertise and experience encompass the areas of education, media, technology, marketing, international business and finance, journalism, law and public policy. All of the Directors have held senior positions as leaders of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 C. Bollinger</w:t>
      </w:r>
    </w:p>
    <w:p>
      <w:pPr>
        <w:spacing w:after="0" w:line="229" w:lineRule="exact"/>
        <w:rPr>
          <w:sz w:val="20"/>
          <w:szCs w:val="20"/>
          <w:color w:val="auto"/>
        </w:rPr>
      </w:pPr>
    </w:p>
    <w:p>
      <w:pPr>
        <w:ind w:left="500" w:right="100"/>
        <w:spacing w:after="0" w:line="270" w:lineRule="auto"/>
        <w:rPr>
          <w:sz w:val="20"/>
          <w:szCs w:val="20"/>
          <w:color w:val="auto"/>
        </w:rPr>
      </w:pPr>
      <w:r>
        <w:rPr>
          <w:rFonts w:ascii="Arial" w:cs="Arial" w:eastAsia="Arial" w:hAnsi="Arial"/>
          <w:sz w:val="17"/>
          <w:szCs w:val="17"/>
          <w:color w:val="auto"/>
        </w:rPr>
        <w:t>Mr. Bollinger, age 67, has served as the 19th President of Columbia University since June 2002. Prior to becoming President of Columbia University, where he also serves as a member of the Law School faculty, Mr. Bollinger served as President of the University of Michigan for five years and as Dean of the University of Michigan Law School for seven years. He is a Trustee of the Kresge Foundation and was Chairman of the Board of the Federal Reserve Bank of New York until December 2012. Mr. Bollinger is the recipient of numerous honorary degrees and awards, most notably for his national leadership in defending affirmative action, for his service in higher education and for his scholarship and leadership in defense of freedom of speech and the press. He has served as a Director of the Company since May 2007 and is a member of the Compensation Committee of the Board. Mr. Bollinger’s experience in higher education and at a variety of educational institutions facing differing challenges and opportunities is of particular relevance to the Company’s higher education business segment and other education-related initiatives, but also reflects his commitment to principles. In his former role as a Director of the Federal Reserve Bank of New York, Mr. Bollinger gained experience in financial matters, particularly those affecting national economies and financial and market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Barry Diller</w:t>
      </w:r>
    </w:p>
    <w:p>
      <w:pPr>
        <w:spacing w:after="0" w:line="229" w:lineRule="exact"/>
        <w:rPr>
          <w:sz w:val="20"/>
          <w:szCs w:val="20"/>
          <w:color w:val="auto"/>
        </w:rPr>
      </w:pPr>
    </w:p>
    <w:p>
      <w:pPr>
        <w:ind w:left="500" w:right="20"/>
        <w:spacing w:after="0" w:line="290" w:lineRule="auto"/>
        <w:rPr>
          <w:sz w:val="20"/>
          <w:szCs w:val="20"/>
          <w:color w:val="auto"/>
        </w:rPr>
      </w:pPr>
      <w:r>
        <w:rPr>
          <w:rFonts w:ascii="Arial" w:cs="Arial" w:eastAsia="Arial" w:hAnsi="Arial"/>
          <w:sz w:val="16"/>
          <w:szCs w:val="16"/>
          <w:color w:val="auto"/>
        </w:rPr>
        <w:t>Mr. Diller, age 72, has served as Chairman and Senior Executive of IAC/InterActiveCorp, an interactive commerce company, since December 2010; Chairman and Senior Executive of Expedia, Inc., an online travel company, since August 2005; and Chairman and Senior Executive of TripAdvisor, Inc., an online travel site, from December 2011 through December 2012. He has served as a Director of the Company since September 2000 and is a member of the Finance, Executive and Compensation Committees of the Board. Prior to his service at IAC/InterActiveCorp (and its predecessor companies), which commenced in August 1995, Mr. Diller was Chairman of the Board and Chief Executive Officer of QVC, Inc. from December 1992 through December 1994. From October 1984 to April 1992, Mr. Diller served as Chairman of the Board and Chief Executive Officer of Fox, Inc. and was responsible for the creation of Fox Broadcasting Company, in addition to Fox’s motion picture operations. Prior to joining Fox, Inc., he served for ten years as Chairman of the Board and Chief Executive Officer of Paramount Pictures Corporation. Mr. Diller previously served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ind w:left="500"/>
        <w:spacing w:after="0" w:line="269" w:lineRule="auto"/>
        <w:rPr>
          <w:sz w:val="20"/>
          <w:szCs w:val="20"/>
          <w:color w:val="auto"/>
        </w:rPr>
      </w:pPr>
      <w:r>
        <w:rPr>
          <w:rFonts w:ascii="Arial" w:cs="Arial" w:eastAsia="Arial" w:hAnsi="Arial"/>
          <w:sz w:val="17"/>
          <w:szCs w:val="17"/>
          <w:color w:val="auto"/>
        </w:rPr>
        <w:t>as Chairman and Chief Executive Officer of IAC/InterActiveCorp (and its predecessor companies) from August 1995 through December 1, 2010. Mr. Diller also previously served as the non-executive Chairman of the Board of Ticketmaster Entertainment, Inc. from August 2008 through January 2010 and as non-executive Chairman of the Board of Live Nation Entertainment from January 2010 through October 2010 and remained a member of the Board of Live Nation Entertainment through January 2011. He is President and a Director of The Diller-von Furstenberg Family Foundation and a Director of The Coca-Cola Company and The Daily Beast Company LLC. He also is a member of the Board of Trustees of New York University, a member of the Board of Councilors of the University of Southern California’s School of Cinema-Television and a member of the Council on Foreign Relations. Mr. Diller’s experience and leadership roles in the media and Internet sectors, including his experience with the challenges and opportunities associated with the digital transformation of the media industry, are of particular relevance to the Company’s business strategy. Mr. Diller’s significant experience across a variety of media and in the design, execution and oversight of new-media initiatives, as well as the distribution and monetization of Internet traffic across multiple advertising models, brings a vital perspective to the Board’s deliberations about the Company’s outlook and plans. Based on his service as a Director of other public companies, Mr. Diller also has experience in governance matters affecting organizations of comparable size and scope as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Goldberg</w:t>
      </w:r>
    </w:p>
    <w:p>
      <w:pPr>
        <w:spacing w:after="0" w:line="229" w:lineRule="exact"/>
        <w:rPr>
          <w:sz w:val="20"/>
          <w:szCs w:val="20"/>
          <w:color w:val="auto"/>
        </w:rPr>
      </w:pPr>
    </w:p>
    <w:p>
      <w:pPr>
        <w:ind w:left="500"/>
        <w:spacing w:after="0" w:line="269" w:lineRule="auto"/>
        <w:rPr>
          <w:sz w:val="20"/>
          <w:szCs w:val="20"/>
          <w:color w:val="auto"/>
        </w:rPr>
      </w:pPr>
      <w:r>
        <w:rPr>
          <w:rFonts w:ascii="Arial" w:cs="Arial" w:eastAsia="Arial" w:hAnsi="Arial"/>
          <w:sz w:val="17"/>
          <w:szCs w:val="17"/>
          <w:color w:val="auto"/>
        </w:rPr>
        <w:t>Mr. Goldberg, age 46, has served as Chief Executive Officer of SurveyMonkey, an online survey company, since April 2009. He was elected a Director of the Company in September 2012 and is a member of the Finance Committee. Mr. Goldberg founded LAUNCH Media, Inc. in 1994, a company dedicated to delivering music and music-related content online, and he led the company through its acquisition by Yahoo! in 2001. Following the sale, Mr. Goldberg served as Vice President and General Manager of Yahoo! Music until 2007. From 2007 until he joined SurveyMonkey in 2009, Mr. Goldberg served as an Entrepreneur in Residence with Benchmark Capital, where he evaluated investment opportunities for the firm and advised portfolio companies. Earlier in his career, Mr. Goldberg was Director of Marketing Strategy and New Business Development at Capitol Records. He currently serves on the boards of directors of several private companies, including The Farm Media and Dashbox. Mr. Goldberg is also a Trustee of the New Schools Venture Fund, an Oakland, CA, non-profit helping to build high-quality education organizations. Mr. Goldberg’s significant experience and leadership roles in the media and Internet sectors, including his experience with the challenges and opportunities associated with the digital evolution of the music industry, are of particular relevance to the Company’s business strategy. Mr. Goldberg’s experience in the technology sector, his role as a Director for a non-profit education organization, as well as his years spent in entrepreneurial roles bring a vital perspective to the Board’s deliberations about the Company’s outlook and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229" w:lineRule="exact"/>
        <w:rPr>
          <w:sz w:val="20"/>
          <w:szCs w:val="20"/>
          <w:color w:val="auto"/>
        </w:rPr>
      </w:pPr>
    </w:p>
    <w:p>
      <w:pPr>
        <w:ind w:left="500"/>
        <w:spacing w:after="0" w:line="287" w:lineRule="auto"/>
        <w:rPr>
          <w:sz w:val="20"/>
          <w:szCs w:val="20"/>
          <w:color w:val="auto"/>
        </w:rPr>
      </w:pPr>
      <w:r>
        <w:rPr>
          <w:rFonts w:ascii="Arial" w:cs="Arial" w:eastAsia="Arial" w:hAnsi="Arial"/>
          <w:sz w:val="16"/>
          <w:szCs w:val="16"/>
          <w:color w:val="auto"/>
        </w:rPr>
        <w:t>Mr. Graham, age 68, has served as Chairman of the Board of the Company since September 1993 and as Chief Executive Officer of the Company since May 1991. Mr. Graham served as President of the Company between May 1991 and September 1993. He also was Publisher of The Washington Post newspaper, for 21 years, a position he held between 1979 and 2000. Mr. Graham has been a Director of the Company since 1974 and is Chairman of the Executive Committee and a member of the Finance Committee of the Board. By virtue of his ownership of 62.7% of the outstanding Class A Stock of the Company and his right to control the vote as a trustee of certain family trusts of an additional 27.7% of such stock, Mr. Graham effectively votes a total of 90.4% of the Class A shares. Mr. Graham has been a Director of Facebook, Inc. since December 2008, where he is Chairman of the Governance Committee and serves on the Compensation Committee. Mr. Graham is a Trustee of the Federal City Council, the College Success Foundation, the Philip L. Graham Fund, the Summit Fund of Washington and KIPP-DC. He serves as Chairman of the Board and as a Director of the DC College Access Program and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an uncle of Katharine Weymouth, who also serves as a member of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L. Olson</w:t>
      </w:r>
    </w:p>
    <w:p>
      <w:pPr>
        <w:spacing w:after="0" w:line="229" w:lineRule="exact"/>
        <w:rPr>
          <w:sz w:val="20"/>
          <w:szCs w:val="20"/>
          <w:color w:val="auto"/>
        </w:rPr>
      </w:pPr>
    </w:p>
    <w:p>
      <w:pPr>
        <w:ind w:left="500"/>
        <w:spacing w:after="0" w:line="302" w:lineRule="auto"/>
        <w:rPr>
          <w:sz w:val="20"/>
          <w:szCs w:val="20"/>
          <w:color w:val="auto"/>
        </w:rPr>
      </w:pPr>
      <w:r>
        <w:rPr>
          <w:rFonts w:ascii="Arial" w:cs="Arial" w:eastAsia="Arial" w:hAnsi="Arial"/>
          <w:sz w:val="16"/>
          <w:szCs w:val="16"/>
          <w:color w:val="auto"/>
        </w:rPr>
        <w:t>Mr. Olson, age 72, has been a partner since 1970 in the law firm of Munger, Tolles &amp; Olson LLP, which is one of several law firms that were retained by a subsidiary of the Company in 2013 and which may again be retained in 2014. He has served as a Director of the Company since September 2003 and serves on the Executive Committee. Mr. Olson is a Director of Berkshire Hathaway Inc., Edison International and City National Corporation and is a Trustee of Western Asset Funds. He is a Director and serves on the Audit Committee of the non-profit RAND Corporation and is a Director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8" w:name="page9"/>
    <w:bookmarkEnd w:id="8"/>
    <w:p>
      <w:pPr>
        <w:ind w:left="500" w:right="60"/>
        <w:spacing w:after="0" w:line="257" w:lineRule="auto"/>
        <w:rPr>
          <w:sz w:val="20"/>
          <w:szCs w:val="20"/>
          <w:color w:val="auto"/>
        </w:rPr>
      </w:pPr>
      <w:r>
        <w:rPr>
          <w:rFonts w:ascii="Arial" w:cs="Arial" w:eastAsia="Arial" w:hAnsi="Arial"/>
          <w:sz w:val="18"/>
          <w:szCs w:val="18"/>
          <w:color w:val="auto"/>
        </w:rPr>
        <w:t>of a number of other non-profit organizations, including the California Institute of Technology, the Mayo Clinic and ProPublica. As a partner of a major law firm specializing in corporate and financial matters, Mr. Olson has significant experience in financial, transactional, litigation and compliance matters involving public companies in the United States, as well as public policy challenges facing companies with global operations. As a Director of other public companies and as an advisor to public company boards of directors, Mr. Olson also has experience in governance matters affecting organizations of comparable size and scope as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Richard Wagoner, Jr.</w:t>
      </w:r>
    </w:p>
    <w:p>
      <w:pPr>
        <w:spacing w:after="0" w:line="229" w:lineRule="exact"/>
        <w:rPr>
          <w:sz w:val="20"/>
          <w:szCs w:val="20"/>
          <w:color w:val="auto"/>
        </w:rPr>
      </w:pPr>
    </w:p>
    <w:p>
      <w:pPr>
        <w:ind w:left="500" w:right="20"/>
        <w:spacing w:after="0" w:line="286" w:lineRule="auto"/>
        <w:rPr>
          <w:sz w:val="20"/>
          <w:szCs w:val="20"/>
          <w:color w:val="auto"/>
        </w:rPr>
      </w:pPr>
      <w:r>
        <w:rPr>
          <w:rFonts w:ascii="Arial" w:cs="Arial" w:eastAsia="Arial" w:hAnsi="Arial"/>
          <w:sz w:val="16"/>
          <w:szCs w:val="16"/>
          <w:color w:val="auto"/>
        </w:rPr>
        <w:t>Mr. Wagoner, age 61,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On June 1, 2009, GM and its affiliates filed voluntary petitions in the United States Bankruptcy Court for the Southern District of New York, seeking relief under Chapter 11 of the U.S. Bankruptcy Code. Mr. Wagoner was not an Executive Officer or Director of GM at the time of that filing. Mr. Wagoner is a member of the Board of Directors of Invesco and several privately held companies. In addition, he advises several investment and finance firms, startup's and early-stage ventures. Mr. Wagoner is former Chair of the Board of Trustees of Duke University, and a member of Duke’s Fuqua School of Business Advisory Board and a member of the Board of Visitors of Virginia Commonwealth University. He is also a member of the Mayor of Shanghai, China’s 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Katharine Weymouth</w:t>
      </w:r>
    </w:p>
    <w:p>
      <w:pPr>
        <w:spacing w:after="0" w:line="229" w:lineRule="exact"/>
        <w:rPr>
          <w:sz w:val="20"/>
          <w:szCs w:val="20"/>
          <w:color w:val="auto"/>
        </w:rPr>
      </w:pPr>
    </w:p>
    <w:p>
      <w:pPr>
        <w:ind w:left="500" w:right="200"/>
        <w:spacing w:after="0" w:line="288" w:lineRule="auto"/>
        <w:rPr>
          <w:sz w:val="20"/>
          <w:szCs w:val="20"/>
          <w:color w:val="auto"/>
        </w:rPr>
      </w:pPr>
      <w:r>
        <w:rPr>
          <w:rFonts w:ascii="Arial" w:cs="Arial" w:eastAsia="Arial" w:hAnsi="Arial"/>
          <w:sz w:val="16"/>
          <w:szCs w:val="16"/>
          <w:color w:val="auto"/>
        </w:rPr>
        <w:t>Ms. Weymouth, age 47, is Publisher of The Washington Post and Chief Executive Officer of The Washington Post and its affiliated publishing businesses: Express Publications, The Gazette Newspapers, Comprint Military Publications, Southern Maryland Newspapers, Fairfax County Times, Greater Washington Publishing, El Tiempo Latino and Robinson Terminal Warehouse. She was named CEO and Publisher in February 2008.</w:t>
      </w:r>
    </w:p>
    <w:p>
      <w:pPr>
        <w:ind w:left="500"/>
        <w:spacing w:after="0" w:line="270" w:lineRule="auto"/>
        <w:rPr>
          <w:sz w:val="20"/>
          <w:szCs w:val="20"/>
          <w:color w:val="auto"/>
        </w:rPr>
      </w:pPr>
      <w:r>
        <w:rPr>
          <w:rFonts w:ascii="Arial" w:cs="Arial" w:eastAsia="Arial" w:hAnsi="Arial"/>
          <w:sz w:val="17"/>
          <w:szCs w:val="17"/>
          <w:color w:val="auto"/>
        </w:rPr>
        <w:t>Ms. Weymouth became a Director of the Company in September 2010 and she currently serves on the Finance Committee of the Board. She joined The Washington Post in 1996 as Assistant General Counsel and has held various positions within that organization over the past 18 years. Ms. Weymouth has held several positions within the Post’s advertising department, including Director of the department’s jobs unit, Director of Advertising Sales and Vice President of Advertising. She also served as Associate Counsel of Washingtonpost.Newsweek Interactive, then the online publishing subsidiary of The Washington Post Company. She serves as a Director of The Associated Press. Ms. Weymouth is a niece of the Chairman of the Board and Chief Executive Officer of the Company, Mr. Graham.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 BY CLASS B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229"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Mr. Davis, age 48, has served as Chairman of Davis Selected Advisers, Inc., an investment counseling firm, since 1998. He has served as a Director of the Company since January 2006 and is a member of the Audit, Finance and Executive Committees of the Board. Mr. Davis became lead Director in May 2011. Mr. Davis is also a Director and officer of a number of mutual funds advised by Davis Selected Advisers, L.P., as well as other entities controlled by Davis Selected Advisers, L.P. Mr. Davis is a Director of the Hudson Highland Land Trust and a Trustee of the American Museum of Natural History and the Shelby Cullom Davis Charitable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 Gayner</w:t>
      </w:r>
    </w:p>
    <w:p>
      <w:pPr>
        <w:spacing w:after="0" w:line="229" w:lineRule="exact"/>
        <w:rPr>
          <w:sz w:val="20"/>
          <w:szCs w:val="20"/>
          <w:color w:val="auto"/>
        </w:rPr>
      </w:pPr>
    </w:p>
    <w:p>
      <w:pPr>
        <w:ind w:left="500" w:right="680"/>
        <w:spacing w:after="0" w:line="277" w:lineRule="auto"/>
        <w:rPr>
          <w:sz w:val="20"/>
          <w:szCs w:val="20"/>
          <w:color w:val="auto"/>
        </w:rPr>
      </w:pPr>
      <w:r>
        <w:rPr>
          <w:rFonts w:ascii="Arial" w:cs="Arial" w:eastAsia="Arial" w:hAnsi="Arial"/>
          <w:sz w:val="18"/>
          <w:szCs w:val="18"/>
          <w:color w:val="auto"/>
        </w:rPr>
        <w:t>Mr. Gayner, age 52, has served as President and Chief Investment Officer of Markel Corporation, a publicly traded financial holding company headquartered in Glen Allen, VA, since May 2010. Mr. Gayner has served as a Director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ind w:left="500"/>
        <w:spacing w:after="0" w:line="272" w:lineRule="auto"/>
        <w:rPr>
          <w:sz w:val="20"/>
          <w:szCs w:val="20"/>
          <w:color w:val="auto"/>
        </w:rPr>
      </w:pPr>
      <w:r>
        <w:rPr>
          <w:rFonts w:ascii="Arial" w:cs="Arial" w:eastAsia="Arial" w:hAnsi="Arial"/>
          <w:sz w:val="17"/>
          <w:szCs w:val="17"/>
          <w:color w:val="auto"/>
        </w:rPr>
        <w:t>Company since January 2007, is Chairman of the Audit Committee and a member of the Finance Committee. Since 1990, he has served as President of Markel Gayner Asset Management; he served as a Director of Markel Corporation from 1998 to 2003. Previously, he was a certified public accountant at PricewaterhouseCoopers LLP and a Vice President of Davenport &amp; Company of Virginia. Mr. Gayner serves on the Board of Directors of Colfax Corporation, The Davis Series Mutual Funds and the Community Foundation of Richmond.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229" w:lineRule="exact"/>
        <w:rPr>
          <w:sz w:val="20"/>
          <w:szCs w:val="20"/>
          <w:color w:val="auto"/>
        </w:rPr>
      </w:pPr>
    </w:p>
    <w:p>
      <w:pPr>
        <w:ind w:left="500" w:right="80"/>
        <w:spacing w:after="0" w:line="288" w:lineRule="auto"/>
        <w:rPr>
          <w:sz w:val="20"/>
          <w:szCs w:val="20"/>
          <w:color w:val="auto"/>
        </w:rPr>
      </w:pPr>
      <w:r>
        <w:rPr>
          <w:rFonts w:ascii="Arial" w:cs="Arial" w:eastAsia="Arial" w:hAnsi="Arial"/>
          <w:sz w:val="16"/>
          <w:szCs w:val="16"/>
          <w:color w:val="auto"/>
        </w:rPr>
        <w:t>Mrs. Mulcahy, age 61,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w:t>
      </w:r>
    </w:p>
    <w:p>
      <w:pPr>
        <w:ind w:left="500" w:right="20"/>
        <w:spacing w:after="0" w:line="251" w:lineRule="auto"/>
        <w:rPr>
          <w:sz w:val="20"/>
          <w:szCs w:val="20"/>
          <w:color w:val="auto"/>
        </w:rPr>
      </w:pPr>
      <w:r>
        <w:rPr>
          <w:rFonts w:ascii="Arial" w:cs="Arial" w:eastAsia="Arial" w:hAnsi="Arial"/>
          <w:sz w:val="18"/>
          <w:szCs w:val="18"/>
          <w:color w:val="auto"/>
        </w:rPr>
        <w:t>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Target Corporation, Johnson &amp; Johnson, LPL Financial and the non-profit organization Save the Children, where she serves as Board Chairman. Mrs. Mulcahy was a Director of Citigroup, Inc. until May 2010.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Larry D. Thompson</w:t>
      </w:r>
    </w:p>
    <w:p>
      <w:pPr>
        <w:spacing w:after="0" w:line="229" w:lineRule="exact"/>
        <w:rPr>
          <w:sz w:val="20"/>
          <w:szCs w:val="20"/>
          <w:color w:val="auto"/>
        </w:rPr>
      </w:pPr>
    </w:p>
    <w:p>
      <w:pPr>
        <w:ind w:left="500" w:right="100"/>
        <w:spacing w:after="0" w:line="286" w:lineRule="auto"/>
        <w:rPr>
          <w:sz w:val="20"/>
          <w:szCs w:val="20"/>
          <w:color w:val="auto"/>
        </w:rPr>
      </w:pPr>
      <w:r>
        <w:rPr>
          <w:rFonts w:ascii="Arial" w:cs="Arial" w:eastAsia="Arial" w:hAnsi="Arial"/>
          <w:sz w:val="16"/>
          <w:szCs w:val="16"/>
          <w:color w:val="auto"/>
        </w:rPr>
        <w:t>Mr. Thompson, age 68, has served as Executive Vice President, Government Affairs, General Counsel and Corporate Secretary of PepsiCo, Inc., a global food and beverage company, since June 2012. From October 2004 to May 2011, when he retired from the position, Mr. Thompson served as a Senior Vice President, Government Affairs, General Counsel and Corporate Secretary of PepsiCo, Inc. Mr. Thompson has served as a Director of the Company since June 2011 and is a member of the Compensation Committee. Mr. Thompson serves as a Trustee of The Brookings Institution and as a Director of the National Center for State Courts and various Franklin, Templeton and Mutual Series Funds and is Honorary Chairman of the Georgia Justice Project. His government career included serving in the U.S. Department of Justice as Deputy Attorney General and leading the Department’s National Security Coordination Council. In 2002, President George W. Bush named Mr. Thompson to head the Corporate Fraud Task Force. Previously, Mr. Thompson had been a partner in the Atlanta law firm of King &amp; Spalding, where he practiced in the antitrust and litigation departments. He served as the U.S. Attorney for the Northern District of Georgia and was later appointed Independent Counsel for the Department of Housing and Urban Development Investigation by the Special Panel of the U.S. Circuit Court Judges appointed by the U.S. Supreme Court. He is an elected Fellow of the American Board of Criminal Lawyers. Mr. Thompson is a recipient of the Edmund Jennings Randolph Award for outstanding contributions to the accomplishment of the Department of Justice’s mission, the Outstanding Litigator Award by the Federal Bar Association and the A. T. Walden Award for outstanding accomplishments to the legal profession by the Gate City Bar Association in Atlanta. Through his previous roles in the U.S. Department of Justice and at PepsiCo, Mr. Thompson brings to the Board extensive legal experience in both a governmental and corporate setting. As a Director of other public companies, he also has significant experience with corporate governance matters and reporting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NOMINATED DIRECTORS.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standing committees of the Board include the Audit Committee, Compensation Committee, Finance Committee and Executive Committee.</w:t>
      </w:r>
    </w:p>
    <w:p>
      <w:pPr>
        <w:spacing w:after="0" w:line="248" w:lineRule="exact"/>
        <w:rPr>
          <w:sz w:val="20"/>
          <w:szCs w:val="20"/>
          <w:color w:val="auto"/>
        </w:rPr>
      </w:pPr>
    </w:p>
    <w:p>
      <w:pPr>
        <w:ind w:right="160" w:firstLine="729"/>
        <w:spacing w:after="0" w:line="264" w:lineRule="auto"/>
        <w:rPr>
          <w:sz w:val="20"/>
          <w:szCs w:val="20"/>
          <w:color w:val="auto"/>
        </w:rPr>
      </w:pPr>
      <w:r>
        <w:rPr>
          <w:rFonts w:ascii="Arial" w:cs="Arial" w:eastAsia="Arial" w:hAnsi="Arial"/>
          <w:sz w:val="18"/>
          <w:szCs w:val="18"/>
          <w:color w:val="auto"/>
        </w:rPr>
        <w:t>Given the ownership structure of the Company and its status as a “controlled company” (see page 12),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0" w:firstLine="729"/>
        <w:spacing w:after="0" w:line="272" w:lineRule="auto"/>
        <w:rPr>
          <w:sz w:val="20"/>
          <w:szCs w:val="20"/>
          <w:color w:val="auto"/>
        </w:rPr>
      </w:pPr>
      <w:r>
        <w:rPr>
          <w:rFonts w:ascii="Arial" w:cs="Arial" w:eastAsia="Arial" w:hAnsi="Arial"/>
          <w:sz w:val="17"/>
          <w:szCs w:val="17"/>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 (vii) the preparation of certain reports required by the rules and regulations of the Securities and Exchange Commission. A current copy of the Audit Committee’s Charter is available on the Company’s website, www.ghco.com; a copy of such Charter will be furnished without charge to any shareholder upon written request addressed to the Treasurer, Graham Holdings Company at 1150 15th Street, NW, Washington, DC 20071.</w:t>
      </w:r>
    </w:p>
    <w:p>
      <w:pPr>
        <w:spacing w:after="0" w:line="178" w:lineRule="exact"/>
        <w:rPr>
          <w:sz w:val="20"/>
          <w:szCs w:val="20"/>
          <w:color w:val="auto"/>
        </w:rPr>
      </w:pPr>
    </w:p>
    <w:p>
      <w:pPr>
        <w:ind w:right="60" w:firstLine="729"/>
        <w:spacing w:after="0" w:line="257" w:lineRule="auto"/>
        <w:rPr>
          <w:sz w:val="20"/>
          <w:szCs w:val="20"/>
          <w:color w:val="auto"/>
        </w:rPr>
      </w:pPr>
      <w:r>
        <w:rPr>
          <w:rFonts w:ascii="Arial" w:cs="Arial" w:eastAsia="Arial" w:hAnsi="Arial"/>
          <w:sz w:val="18"/>
          <w:szCs w:val="18"/>
          <w:color w:val="auto"/>
        </w:rPr>
        <w:t>Christopher C. Davis, Thomas S. Gayner (Chairman) and G. Richard Wagoner, Jr. served on the Audit Committee in 2013.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88" w:lineRule="exact"/>
        <w:rPr>
          <w:sz w:val="20"/>
          <w:szCs w:val="20"/>
          <w:color w:val="auto"/>
        </w:rPr>
      </w:pPr>
    </w:p>
    <w:p>
      <w:pPr>
        <w:ind w:firstLine="729"/>
        <w:spacing w:after="0" w:line="254" w:lineRule="auto"/>
        <w:rPr>
          <w:sz w:val="20"/>
          <w:szCs w:val="20"/>
          <w:color w:val="auto"/>
        </w:rPr>
      </w:pPr>
      <w:r>
        <w:rPr>
          <w:rFonts w:ascii="Arial" w:cs="Arial" w:eastAsia="Arial" w:hAnsi="Arial"/>
          <w:sz w:val="18"/>
          <w:szCs w:val="18"/>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Audit Committee held six meetings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00" w:firstLine="729"/>
        <w:spacing w:after="0" w:line="291" w:lineRule="auto"/>
        <w:rPr>
          <w:sz w:val="20"/>
          <w:szCs w:val="20"/>
          <w:color w:val="auto"/>
        </w:rPr>
      </w:pPr>
      <w:r>
        <w:rPr>
          <w:rFonts w:ascii="Arial" w:cs="Arial" w:eastAsia="Arial" w:hAnsi="Arial"/>
          <w:sz w:val="16"/>
          <w:szCs w:val="16"/>
          <w:color w:val="auto"/>
        </w:rPr>
        <w:t>The functions of the Compensation Committee include (i) reviewing the compensation of the Company’s Chief Executive Officer; (ii) consulting with the Chief Executive Officer with respect to the compensation of the Company’s other executives (including, specifically, approving all salaries of $300,000 or more per year; all incentive compensation awards and all other bonuses, other than sales bonuses, of $75,000 or more for employees of all business units, including Corporate; and awards of restricted stock and stock options); (iii) overseeing the administration and determination of awards under the Company’s compensation plans; and (iv) preparing any report on executive compensation required by the rules and regulations of the SEC. A current copy of the Compensation Committee’s Charter is available on the Company’s website, www.ghco.com; a copy of such Charter will be furnished without charge to any shareholder upon written request addressed to the Treasurer, Graham Holdings Company at 1150 15th Street, NW, Washington, DC 20071.</w:t>
      </w:r>
    </w:p>
    <w:p>
      <w:pPr>
        <w:spacing w:after="0" w:line="167" w:lineRule="exact"/>
        <w:rPr>
          <w:sz w:val="20"/>
          <w:szCs w:val="20"/>
          <w:color w:val="auto"/>
        </w:rPr>
      </w:pPr>
    </w:p>
    <w:p>
      <w:pPr>
        <w:ind w:right="40" w:firstLine="729"/>
        <w:spacing w:after="0" w:line="264" w:lineRule="auto"/>
        <w:rPr>
          <w:sz w:val="20"/>
          <w:szCs w:val="20"/>
          <w:color w:val="auto"/>
        </w:rPr>
      </w:pPr>
      <w:r>
        <w:rPr>
          <w:rFonts w:ascii="Arial" w:cs="Arial" w:eastAsia="Arial" w:hAnsi="Arial"/>
          <w:sz w:val="18"/>
          <w:szCs w:val="18"/>
          <w:color w:val="auto"/>
        </w:rPr>
        <w:t>Lee C. Bollinger, Barry Diller, Anne M. Mulcahy (Chairman) and Larry D. Thompson served on the Compensation Committee in 2013. All members of the Compensation Committee are non-employee, “independent” Directors within the meaning of the listing requirements of the New York Stock Exchange.</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Compensation Committee held seven meetings in 2013.</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80"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25"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8"/>
          <w:szCs w:val="18"/>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81" w:lineRule="exact"/>
        <w:rPr>
          <w:sz w:val="20"/>
          <w:szCs w:val="20"/>
          <w:color w:val="auto"/>
        </w:rPr>
      </w:pPr>
    </w:p>
    <w:p>
      <w:pPr>
        <w:ind w:right="280" w:firstLine="729"/>
        <w:spacing w:after="0" w:line="277" w:lineRule="auto"/>
        <w:rPr>
          <w:sz w:val="20"/>
          <w:szCs w:val="20"/>
          <w:color w:val="auto"/>
        </w:rPr>
      </w:pPr>
      <w:r>
        <w:rPr>
          <w:rFonts w:ascii="Arial" w:cs="Arial" w:eastAsia="Arial" w:hAnsi="Arial"/>
          <w:sz w:val="18"/>
          <w:szCs w:val="18"/>
          <w:color w:val="auto"/>
        </w:rPr>
        <w:t>Christopher C. Davis (Chairman), Barry Diller, Thomas S. Gayner, David Goldberg, Donald E. Graham and Katharine Weymouth served on the Finance Committee in 2013.</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Finance Committee held one meeting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5" w:lineRule="exact"/>
        <w:rPr>
          <w:sz w:val="20"/>
          <w:szCs w:val="20"/>
          <w:color w:val="auto"/>
        </w:rPr>
      </w:pPr>
    </w:p>
    <w:p>
      <w:pPr>
        <w:ind w:right="20" w:firstLine="729"/>
        <w:spacing w:after="0" w:line="277"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Christopher C. Davis, Barry Diller, Donald E. Graham (Chairman), Anne M. Mulcahy and Ronald L. Olson serve on the Executive Committee.</w:t>
      </w:r>
    </w:p>
    <w:p>
      <w:pPr>
        <w:spacing w:after="0" w:line="23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Executive Committee held two meetings in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ind w:right="140" w:firstLine="729"/>
        <w:spacing w:after="0" w:line="277" w:lineRule="auto"/>
        <w:rPr>
          <w:sz w:val="20"/>
          <w:szCs w:val="20"/>
          <w:color w:val="auto"/>
        </w:rPr>
      </w:pPr>
      <w:r>
        <w:rPr>
          <w:rFonts w:ascii="Arial" w:cs="Arial" w:eastAsia="Arial" w:hAnsi="Arial"/>
          <w:sz w:val="18"/>
          <w:szCs w:val="18"/>
          <w:color w:val="auto"/>
        </w:rPr>
        <w:t>The Board held a total of five regular meetings and one special meeting in 2013. Each Director attended at least 75% of the meetings of the Board and the committees of the Board on which the Director served.</w:t>
      </w:r>
    </w:p>
    <w:p>
      <w:pPr>
        <w:spacing w:after="0" w:line="170" w:lineRule="exact"/>
        <w:rPr>
          <w:sz w:val="20"/>
          <w:szCs w:val="20"/>
          <w:color w:val="auto"/>
        </w:rPr>
      </w:pPr>
    </w:p>
    <w:p>
      <w:pPr>
        <w:ind w:right="40" w:firstLine="729"/>
        <w:spacing w:after="0" w:line="308" w:lineRule="auto"/>
        <w:rPr>
          <w:sz w:val="20"/>
          <w:szCs w:val="20"/>
          <w:color w:val="auto"/>
        </w:rPr>
      </w:pPr>
      <w:r>
        <w:rPr>
          <w:rFonts w:ascii="Arial" w:cs="Arial" w:eastAsia="Arial" w:hAnsi="Arial"/>
          <w:sz w:val="17"/>
          <w:szCs w:val="17"/>
          <w:color w:val="auto"/>
        </w:rPr>
        <w:t>The Board does not have a policy of requiring Directors to attend annual meetings of shareholders and leaves it at the discretion of each Director as to whether he or she will attend the meeting. In addition to the Chairman, two Directors attended the 2013 Annual Meeting of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During 2013, non-employee Directors received the following annual payments:</w:t>
      </w:r>
    </w:p>
    <w:p>
      <w:pPr>
        <w:spacing w:after="0" w:line="63" w:lineRule="exact"/>
        <w:rPr>
          <w:sz w:val="20"/>
          <w:szCs w:val="20"/>
          <w:color w:val="auto"/>
        </w:rPr>
      </w:pPr>
    </w:p>
    <w:p>
      <w:pPr>
        <w:ind w:left="1700" w:hanging="314"/>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$80,000 as a cash retainer; and</w:t>
      </w:r>
    </w:p>
    <w:p>
      <w:pPr>
        <w:spacing w:after="0" w:line="63" w:lineRule="exact"/>
        <w:rPr>
          <w:rFonts w:ascii="Arial" w:cs="Arial" w:eastAsia="Arial" w:hAnsi="Arial"/>
          <w:sz w:val="18"/>
          <w:szCs w:val="18"/>
          <w:color w:val="auto"/>
        </w:rPr>
      </w:pPr>
    </w:p>
    <w:p>
      <w:pPr>
        <w:ind w:left="1700" w:hanging="314"/>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reimbursement of out-of-pocket expenses for the meetings they attended.</w:t>
      </w:r>
    </w:p>
    <w:p>
      <w:pPr>
        <w:spacing w:after="0" w:line="225" w:lineRule="exact"/>
        <w:rPr>
          <w:sz w:val="20"/>
          <w:szCs w:val="20"/>
          <w:color w:val="auto"/>
        </w:rPr>
      </w:pPr>
    </w:p>
    <w:p>
      <w:pPr>
        <w:ind w:right="240" w:firstLine="770"/>
        <w:spacing w:after="0" w:line="277" w:lineRule="auto"/>
        <w:rPr>
          <w:sz w:val="20"/>
          <w:szCs w:val="20"/>
          <w:color w:val="auto"/>
        </w:rPr>
      </w:pPr>
      <w:r>
        <w:rPr>
          <w:rFonts w:ascii="Arial" w:cs="Arial" w:eastAsia="Arial" w:hAnsi="Arial"/>
          <w:sz w:val="18"/>
          <w:szCs w:val="18"/>
          <w:color w:val="auto"/>
        </w:rPr>
        <w:t>Each non-employee Chair of a committee of the Board received an additional $10,000. Members of the Audit Committee received an additional $12,000 annually for their service on that committee. Employee Directors received no compensation for serving on the Board.</w:t>
      </w:r>
    </w:p>
    <w:p>
      <w:pPr>
        <w:spacing w:after="0" w:line="170" w:lineRule="exact"/>
        <w:rPr>
          <w:sz w:val="20"/>
          <w:szCs w:val="20"/>
          <w:color w:val="auto"/>
        </w:rPr>
      </w:pPr>
    </w:p>
    <w:p>
      <w:pPr>
        <w:ind w:right="20" w:firstLine="770"/>
        <w:spacing w:after="0" w:line="257" w:lineRule="auto"/>
        <w:rPr>
          <w:sz w:val="20"/>
          <w:szCs w:val="20"/>
          <w:color w:val="auto"/>
        </w:rPr>
      </w:pPr>
      <w:r>
        <w:rPr>
          <w:rFonts w:ascii="Arial" w:cs="Arial" w:eastAsia="Arial" w:hAnsi="Arial"/>
          <w:sz w:val="18"/>
          <w:szCs w:val="18"/>
          <w:color w:val="auto"/>
        </w:rPr>
        <w:t>The Company regularly evaluates the level of its non-employee Director compensation and occasionally makes recommendations to the Board to better align its non-employee Director compensation with the market. In 2014, the Company recommended and the Board approved increasing the annual cash retainer to $150,000; the compensation payable for service as a Chair of a committee of the Board, to $20,000; and the compensation payable for service as a member of the Audit Committee, to $20,000. These amounts are paid only to non-employee Directors. Employee Directors do not receive additional compensation for serving on the Board.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2" w:name="page13"/>
    <w:bookmarkEnd w:id="12"/>
    <w:p>
      <w:pPr>
        <w:ind w:left="780"/>
        <w:spacing w:after="0"/>
        <w:rPr>
          <w:sz w:val="20"/>
          <w:szCs w:val="20"/>
          <w:color w:val="auto"/>
        </w:rPr>
      </w:pPr>
      <w:r>
        <w:rPr>
          <w:rFonts w:ascii="Arial" w:cs="Arial" w:eastAsia="Arial" w:hAnsi="Arial"/>
          <w:sz w:val="18"/>
          <w:szCs w:val="18"/>
          <w:color w:val="auto"/>
        </w:rPr>
        <w:t>The total 2013 compensation of non-employee Directors is shown on the following table: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820" w:type="dxa"/>
            <w:vAlign w:val="bottom"/>
            <w:tcBorders>
              <w:top w:val="single" w:sz="8" w:color="auto"/>
              <w:left w:val="single" w:sz="8" w:color="auto"/>
              <w:right w:val="single" w:sz="8" w:color="auto"/>
            </w:tcBorders>
          </w:tcPr>
          <w:p>
            <w:pPr>
              <w:spacing w:after="0"/>
              <w:rPr>
                <w:sz w:val="14"/>
                <w:szCs w:val="14"/>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Fees Earned or Paid in</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Change in Pension Value and</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2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Borders>
              <w:left w:val="single" w:sz="8" w:color="auto"/>
              <w:right w:val="single" w:sz="8" w:color="auto"/>
            </w:tcBorders>
            <w:vMerge w:val="restart"/>
          </w:tcPr>
          <w:p>
            <w:pPr>
              <w:ind w:left="2140"/>
              <w:spacing w:after="0"/>
              <w:rPr>
                <w:sz w:val="20"/>
                <w:szCs w:val="20"/>
                <w:color w:val="auto"/>
              </w:rPr>
            </w:pPr>
            <w:r>
              <w:rPr>
                <w:rFonts w:ascii="Arial" w:cs="Arial" w:eastAsia="Arial" w:hAnsi="Arial"/>
                <w:sz w:val="14"/>
                <w:szCs w:val="14"/>
                <w:b w:val="1"/>
                <w:bCs w:val="1"/>
                <w:color w:val="auto"/>
              </w:rPr>
              <w:t>Name (a)</w:t>
            </w:r>
          </w:p>
        </w:tc>
        <w:tc>
          <w:tcPr>
            <w:tcW w:w="1600" w:type="dxa"/>
            <w:vAlign w:val="bottom"/>
            <w:tcBorders>
              <w:right w:val="single" w:sz="8" w:color="auto"/>
            </w:tcBorders>
            <w:vMerge w:val="continue"/>
          </w:tcPr>
          <w:p>
            <w:pPr>
              <w:spacing w:after="0"/>
              <w:rPr>
                <w:sz w:val="12"/>
                <w:szCs w:val="12"/>
                <w:color w:val="auto"/>
              </w:rPr>
            </w:pPr>
          </w:p>
        </w:tc>
        <w:tc>
          <w:tcPr>
            <w:tcW w:w="2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Nonqualified Deferred</w:t>
            </w:r>
          </w:p>
        </w:tc>
        <w:tc>
          <w:tcPr>
            <w:tcW w:w="148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Total ($) (h)</w:t>
            </w:r>
          </w:p>
        </w:tc>
        <w:tc>
          <w:tcPr>
            <w:tcW w:w="0" w:type="dxa"/>
            <w:vAlign w:val="bottom"/>
          </w:tcPr>
          <w:p>
            <w:pPr>
              <w:spacing w:after="0"/>
              <w:rPr>
                <w:sz w:val="1"/>
                <w:szCs w:val="1"/>
                <w:color w:val="auto"/>
              </w:rPr>
            </w:pPr>
          </w:p>
        </w:tc>
      </w:tr>
      <w:tr>
        <w:trPr>
          <w:trHeight w:val="192"/>
        </w:trPr>
        <w:tc>
          <w:tcPr>
            <w:tcW w:w="48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Cash ($) (b)</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Compensation Earnings ($) (f)</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Compensation ($) (g)</w:t>
            </w:r>
          </w:p>
        </w:tc>
        <w:tc>
          <w:tcPr>
            <w:tcW w:w="12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Lee C. Bollinger</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$80,000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$80,000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Christopher C. Davis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102,000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102,000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Barry Diller</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Thomas S. Gayner</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102,000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102,000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Goldberg</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Anne M. Mulcahy</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90,000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90,000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Ronald L. Olson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Larry D. Thompson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 Richard Wagoner, Jr.</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92,000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4,000 (2)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96,000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Katharine Weymouth</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20,000 (1)</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20,000</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208"/>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Weymouth became a non-employee Director in October 2013. Represents prorated fees after such date.</w:t>
      </w:r>
    </w:p>
    <w:p>
      <w:pPr>
        <w:spacing w:after="0" w:line="28" w:lineRule="exact"/>
        <w:rPr>
          <w:rFonts w:ascii="Arial" w:cs="Arial" w:eastAsia="Arial" w:hAnsi="Arial"/>
          <w:sz w:val="14"/>
          <w:szCs w:val="14"/>
          <w:color w:val="auto"/>
        </w:rPr>
      </w:pPr>
    </w:p>
    <w:p>
      <w:pPr>
        <w:ind w:left="540" w:hanging="208"/>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Charitable contribution made pursuant to the Company’s matching gift program.</w:t>
      </w:r>
    </w:p>
    <w:p>
      <w:pPr>
        <w:spacing w:after="0" w:line="208" w:lineRule="exact"/>
        <w:rPr>
          <w:sz w:val="20"/>
          <w:szCs w:val="20"/>
          <w:color w:val="auto"/>
        </w:rPr>
      </w:pPr>
    </w:p>
    <w:p>
      <w:pPr>
        <w:jc w:val="both"/>
        <w:ind w:right="20" w:firstLine="770"/>
        <w:spacing w:after="0" w:line="255" w:lineRule="auto"/>
        <w:rPr>
          <w:sz w:val="20"/>
          <w:szCs w:val="20"/>
          <w:color w:val="auto"/>
        </w:rPr>
      </w:pPr>
      <w:r>
        <w:rPr>
          <w:rFonts w:ascii="Arial" w:cs="Arial" w:eastAsia="Arial" w:hAnsi="Arial"/>
          <w:sz w:val="18"/>
          <w:szCs w:val="18"/>
          <w:color w:val="auto"/>
        </w:rPr>
        <w:t>The Company has in place a voluntary Deferred Compensation Plan for Directors of the Company. Amounts deferred pursuant to the Plan are reflected in the “Fees Earned or Paid in Cash” column in the table above. The Plan provides an opportunity for participants to elect to defer the receipt of either all or a portion of the fees received for service as a Director. Elections to defer must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are payable upon separation of service or such other future date as specified by the participant at the time of election. The Company does not provide stock awards, option awards or other non-equity compensation to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29" w:lineRule="exact"/>
        <w:rPr>
          <w:sz w:val="20"/>
          <w:szCs w:val="20"/>
          <w:color w:val="auto"/>
        </w:rPr>
      </w:pPr>
    </w:p>
    <w:p>
      <w:pPr>
        <w:ind w:right="40" w:firstLine="770"/>
        <w:spacing w:after="0" w:line="287" w:lineRule="auto"/>
        <w:rPr>
          <w:sz w:val="20"/>
          <w:szCs w:val="20"/>
          <w:color w:val="auto"/>
        </w:rPr>
      </w:pPr>
      <w:r>
        <w:rPr>
          <w:rFonts w:ascii="Arial" w:cs="Arial" w:eastAsia="Arial" w:hAnsi="Arial"/>
          <w:sz w:val="16"/>
          <w:szCs w:val="16"/>
          <w:color w:val="auto"/>
        </w:rPr>
        <w:t>The descendants of Katharine Graham (including the Company’s Chief Executive Officer and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Lee C. Bollinger, Christopher C. Davis, Barry Diller, Thomas S. Gayner, Anne M. Mulcahy, Ronald L. Olson, Larry D. Thompson and G. Richard Wagoner, Jr.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services in the ordinary course of business that were made on arm’s-length terms under circumstances and in amounts that did not affect the relevant Directors’ independence.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Non-Management Directors</w:t>
      </w:r>
    </w:p>
    <w:p>
      <w:pPr>
        <w:spacing w:after="0" w:line="229" w:lineRule="exact"/>
        <w:rPr>
          <w:sz w:val="20"/>
          <w:szCs w:val="20"/>
          <w:color w:val="auto"/>
        </w:rPr>
      </w:pPr>
    </w:p>
    <w:p>
      <w:pPr>
        <w:ind w:right="60" w:firstLine="770"/>
        <w:spacing w:after="0" w:line="312" w:lineRule="auto"/>
        <w:rPr>
          <w:sz w:val="20"/>
          <w:szCs w:val="20"/>
          <w:color w:val="auto"/>
        </w:rPr>
      </w:pPr>
      <w:r>
        <w:rPr>
          <w:rFonts w:ascii="Arial" w:cs="Arial" w:eastAsia="Arial" w:hAnsi="Arial"/>
          <w:sz w:val="16"/>
          <w:szCs w:val="16"/>
          <w:color w:val="auto"/>
        </w:rPr>
        <w:t>The listing requirements of the New York Stock Exchange call for the non-management Directors of the Company to meet regularly in executive session without management. The Board has appointed Christopher C. Davis as lead Director and has authorized him to preside at the executive sessions. The non-management Directors met in executive session in November 2013 and expect to meet in executive session in 2014 as appropriate.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80" w:firstLine="770"/>
        <w:spacing w:after="0" w:line="312" w:lineRule="auto"/>
        <w:rPr>
          <w:sz w:val="20"/>
          <w:szCs w:val="20"/>
          <w:color w:val="auto"/>
        </w:rPr>
      </w:pPr>
      <w:r>
        <w:rPr>
          <w:rFonts w:ascii="Arial" w:cs="Arial" w:eastAsia="Arial" w:hAnsi="Arial"/>
          <w:sz w:val="16"/>
          <w:szCs w:val="16"/>
          <w:color w:val="auto"/>
        </w:rPr>
        <w:t>Lee C. Bollinger, Barry Diller, Anne M. Mulcahy and Larry D. Thompson served as members of the Compensation Committee in 2013. No member of the Compensation Committee has ever been an employee of the Company. No executive officer of the Company serves on the compensation committee of any other entity that has, or has had, one or more of its executive officers serving on the Company’s Board of Directors.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584"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20" w:firstLine="770"/>
        <w:spacing w:after="0" w:line="270" w:lineRule="auto"/>
        <w:rPr>
          <w:sz w:val="20"/>
          <w:szCs w:val="20"/>
          <w:color w:val="auto"/>
        </w:rPr>
      </w:pPr>
      <w:r>
        <w:rPr>
          <w:rFonts w:ascii="Arial" w:cs="Arial" w:eastAsia="Arial" w:hAnsi="Arial"/>
          <w:sz w:val="17"/>
          <w:szCs w:val="17"/>
          <w:color w:val="auto"/>
        </w:rPr>
        <w:t>Donald E. Graham serves as Chairman of the Board of the Company, as well as Chief Executive Officer of the Company. The Board of Directors believes that Mr. Graham’s service as both Chairman of the Board and Chief Executive Officer is in the best interests of the Company. This structure is appropriate, given the significant shareholdings in the Company of Mr. Graham and the Graham family, and also serves other purposes. Mr. Graham possesses in-depth strategic and operational knowledge of the opportunities and challenges facing the Company and is best positioned to develop agendas that focus on matters that merit Board attention. At his request, Mr. Graham has not received a raise in his annual salary nor received an annual bonus in 23 years in his current non-Board roles. Because his shareholdings represent his main financial interest in the Company, the Board believes that Mr. Graham’s interests are well aligned with those of shareholders and that his dual role promotes decisive leadership, accountability and clarity in the overall direction of the Company’s business strategy. The Board also believes that this approach facilitates clear and consistent communication of the Company’s strategy to all stakeholders.</w:t>
      </w:r>
    </w:p>
    <w:p>
      <w:pPr>
        <w:spacing w:after="0" w:line="182" w:lineRule="exact"/>
        <w:rPr>
          <w:sz w:val="20"/>
          <w:szCs w:val="20"/>
          <w:color w:val="auto"/>
        </w:rPr>
      </w:pPr>
    </w:p>
    <w:p>
      <w:pPr>
        <w:ind w:right="80" w:firstLine="770"/>
        <w:spacing w:after="0" w:line="297" w:lineRule="auto"/>
        <w:rPr>
          <w:sz w:val="20"/>
          <w:szCs w:val="20"/>
          <w:color w:val="auto"/>
        </w:rPr>
      </w:pPr>
      <w:r>
        <w:rPr>
          <w:rFonts w:ascii="Arial" w:cs="Arial" w:eastAsia="Arial" w:hAnsi="Arial"/>
          <w:sz w:val="16"/>
          <w:szCs w:val="16"/>
          <w:color w:val="auto"/>
        </w:rPr>
        <w:t>While as a “controlled company,” the Company is not legally required to have a majority of independent Directors, the majority of the Board, in fact, comprises independent Directors who act as an effective counterbalance to Mr. Graham in his dual role. The Board also appoints a lead independent Director. Christopher C. Davis serves in this capacity. The lead independent Director typically chairs executive sessions of Board meetings and consults with Mr. Graham and senior management regarding issues to be included in Board meeting agendas. The lead independent Director is also expected to collaborate with Mr. Graham in reviewing key operational and other matters and to act as a liaison between Mr. Graham and the independent Directors.</w:t>
      </w:r>
    </w:p>
    <w:p>
      <w:pPr>
        <w:spacing w:after="0" w:line="158" w:lineRule="exact"/>
        <w:rPr>
          <w:sz w:val="20"/>
          <w:szCs w:val="20"/>
          <w:color w:val="auto"/>
        </w:rPr>
      </w:pPr>
    </w:p>
    <w:p>
      <w:pPr>
        <w:ind w:right="20" w:firstLine="770"/>
        <w:spacing w:after="0" w:line="255" w:lineRule="auto"/>
        <w:rPr>
          <w:sz w:val="20"/>
          <w:szCs w:val="20"/>
          <w:color w:val="auto"/>
        </w:rPr>
      </w:pPr>
      <w:r>
        <w:rPr>
          <w:rFonts w:ascii="Arial" w:cs="Arial" w:eastAsia="Arial" w:hAnsi="Arial"/>
          <w:sz w:val="18"/>
          <w:szCs w:val="18"/>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89" w:lineRule="exact"/>
        <w:rPr>
          <w:sz w:val="20"/>
          <w:szCs w:val="20"/>
          <w:color w:val="auto"/>
        </w:rPr>
      </w:pPr>
    </w:p>
    <w:p>
      <w:pPr>
        <w:ind w:right="220" w:firstLine="770"/>
        <w:spacing w:after="0" w:line="257" w:lineRule="auto"/>
        <w:rPr>
          <w:sz w:val="20"/>
          <w:szCs w:val="20"/>
          <w:color w:val="auto"/>
        </w:rPr>
      </w:pPr>
      <w:r>
        <w:rPr>
          <w:rFonts w:ascii="Arial" w:cs="Arial" w:eastAsia="Arial" w:hAnsi="Arial"/>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Directors</w:t>
      </w:r>
    </w:p>
    <w:p>
      <w:pPr>
        <w:spacing w:after="0" w:line="202" w:lineRule="exact"/>
        <w:rPr>
          <w:sz w:val="20"/>
          <w:szCs w:val="20"/>
          <w:color w:val="auto"/>
        </w:rPr>
      </w:pPr>
    </w:p>
    <w:p>
      <w:pPr>
        <w:ind w:firstLine="770"/>
        <w:spacing w:after="0" w:line="308" w:lineRule="auto"/>
        <w:rPr>
          <w:sz w:val="20"/>
          <w:szCs w:val="20"/>
          <w:color w:val="auto"/>
        </w:rPr>
      </w:pPr>
      <w:r>
        <w:rPr>
          <w:rFonts w:ascii="Arial" w:cs="Arial" w:eastAsia="Arial" w:hAnsi="Arial"/>
          <w:sz w:val="17"/>
          <w:szCs w:val="17"/>
          <w:color w:val="auto"/>
        </w:rPr>
        <w:t>Interested parties may communicate concerns to the lead Director or to the other Directors of the Company through Global Compliance Services, the Company’s third-party-managed hotline, via telephone at 1-866-687-8972 or online at https://www.compliance-helpline.com/GHCO.jsp.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HOLDINGS OF CERTAIN BENEFICIAL OWNERS AND MANAGEMENT</w:t>
      </w:r>
    </w:p>
    <w:p>
      <w:pPr>
        <w:spacing w:after="0" w:line="202" w:lineRule="exact"/>
        <w:rPr>
          <w:sz w:val="20"/>
          <w:szCs w:val="20"/>
          <w:color w:val="auto"/>
        </w:rPr>
      </w:pPr>
    </w:p>
    <w:p>
      <w:pPr>
        <w:ind w:right="60" w:firstLine="770"/>
        <w:spacing w:after="0" w:line="269" w:lineRule="auto"/>
        <w:rPr>
          <w:sz w:val="20"/>
          <w:szCs w:val="20"/>
          <w:color w:val="auto"/>
        </w:rPr>
      </w:pPr>
      <w:r>
        <w:rPr>
          <w:rFonts w:ascii="Arial" w:cs="Arial" w:eastAsia="Arial" w:hAnsi="Arial"/>
          <w:sz w:val="17"/>
          <w:szCs w:val="17"/>
          <w:color w:val="auto"/>
        </w:rPr>
        <w:t>The information in the following two tables relates to each person who, on February 3, 2014,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4" w:name="page15"/>
    <w:bookmarkEnd w:id="14"/>
    <w:p>
      <w:pPr>
        <w:ind w:right="120"/>
        <w:spacing w:after="0" w:line="277" w:lineRule="auto"/>
        <w:rPr>
          <w:sz w:val="20"/>
          <w:szCs w:val="20"/>
          <w:color w:val="auto"/>
        </w:rPr>
      </w:pPr>
      <w:r>
        <w:rPr>
          <w:rFonts w:ascii="Arial" w:cs="Arial" w:eastAsia="Arial" w:hAnsi="Arial"/>
          <w:sz w:val="18"/>
          <w:szCs w:val="18"/>
          <w:color w:val="auto"/>
        </w:rPr>
        <w:t>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Holders of Stock</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Shares (%)</w:t>
            </w:r>
          </w:p>
        </w:tc>
      </w:tr>
      <w:tr>
        <w:trPr>
          <w:trHeight w:val="229"/>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500" w:type="dxa"/>
            <w:vAlign w:val="bottom"/>
          </w:tcPr>
          <w:p>
            <w:pPr>
              <w:ind w:left="500"/>
              <w:spacing w:after="0"/>
              <w:rPr>
                <w:sz w:val="20"/>
                <w:szCs w:val="20"/>
                <w:color w:val="auto"/>
              </w:rPr>
            </w:pPr>
            <w:r>
              <w:rPr>
                <w:rFonts w:ascii="Arial" w:cs="Arial" w:eastAsia="Arial" w:hAnsi="Arial"/>
                <w:sz w:val="14"/>
                <w:szCs w:val="14"/>
                <w:b w:val="1"/>
                <w:bCs w:val="1"/>
                <w:color w:val="auto"/>
              </w:rPr>
              <w:t>Class A Stock</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460"/>
              <w:spacing w:after="0"/>
              <w:rPr>
                <w:sz w:val="20"/>
                <w:szCs w:val="20"/>
                <w:color w:val="auto"/>
              </w:rPr>
            </w:pPr>
            <w:r>
              <w:rPr>
                <w:rFonts w:ascii="Arial" w:cs="Arial" w:eastAsia="Arial" w:hAnsi="Arial"/>
                <w:sz w:val="14"/>
                <w:szCs w:val="14"/>
                <w:b w:val="1"/>
                <w:bCs w:val="1"/>
                <w:color w:val="auto"/>
              </w:rPr>
              <w:t>Class B Stock*</w:t>
            </w:r>
          </w:p>
        </w:tc>
      </w:tr>
      <w:tr>
        <w:trPr>
          <w:trHeight w:val="21"/>
        </w:trPr>
        <w:tc>
          <w:tcPr>
            <w:tcW w:w="242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8"/>
        </w:trPr>
        <w:tc>
          <w:tcPr>
            <w:tcW w:w="7620" w:type="dxa"/>
            <w:vAlign w:val="bottom"/>
            <w:gridSpan w:val="2"/>
          </w:tcPr>
          <w:p>
            <w:pPr>
              <w:spacing w:after="0"/>
              <w:rPr>
                <w:sz w:val="20"/>
                <w:szCs w:val="20"/>
                <w:color w:val="auto"/>
              </w:rPr>
            </w:pPr>
            <w:r>
              <w:rPr>
                <w:rFonts w:ascii="Arial" w:cs="Arial" w:eastAsia="Arial" w:hAnsi="Arial"/>
                <w:sz w:val="14"/>
                <w:szCs w:val="14"/>
                <w:color w:val="auto"/>
              </w:rPr>
              <w:t>Donald E. Graham (a)</w:t>
            </w:r>
          </w:p>
        </w:tc>
        <w:tc>
          <w:tcPr>
            <w:tcW w:w="1500" w:type="dxa"/>
            <w:vAlign w:val="bottom"/>
          </w:tcPr>
          <w:p>
            <w:pPr>
              <w:jc w:val="center"/>
              <w:ind w:left="268"/>
              <w:spacing w:after="0"/>
              <w:rPr>
                <w:sz w:val="20"/>
                <w:szCs w:val="20"/>
                <w:color w:val="auto"/>
              </w:rPr>
            </w:pPr>
            <w:r>
              <w:rPr>
                <w:rFonts w:ascii="Arial" w:cs="Arial" w:eastAsia="Arial" w:hAnsi="Arial"/>
                <w:sz w:val="14"/>
                <w:szCs w:val="14"/>
                <w:color w:val="auto"/>
                <w:w w:val="93"/>
              </w:rPr>
              <w:t>1,139,453 (97.5%)</w:t>
            </w:r>
          </w:p>
        </w:tc>
        <w:tc>
          <w:tcPr>
            <w:tcW w:w="2260" w:type="dxa"/>
            <w:vAlign w:val="bottom"/>
            <w:gridSpan w:val="3"/>
          </w:tcPr>
          <w:p>
            <w:pPr>
              <w:jc w:val="center"/>
              <w:ind w:left="348"/>
              <w:spacing w:after="0"/>
              <w:rPr>
                <w:sz w:val="20"/>
                <w:szCs w:val="20"/>
                <w:color w:val="auto"/>
              </w:rPr>
            </w:pPr>
            <w:r>
              <w:rPr>
                <w:rFonts w:ascii="Arial" w:cs="Arial" w:eastAsia="Arial" w:hAnsi="Arial"/>
                <w:sz w:val="14"/>
                <w:szCs w:val="14"/>
                <w:color w:val="auto"/>
                <w:w w:val="93"/>
              </w:rPr>
              <w:t>2,897,198 (39.2%)</w:t>
            </w: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1150 15th Street, NW</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Washington, DC</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Arial" w:cs="Arial" w:eastAsia="Arial" w:hAnsi="Arial"/>
                <w:sz w:val="14"/>
                <w:szCs w:val="14"/>
                <w:color w:val="auto"/>
              </w:rPr>
              <w:t>William W. Graham (b)</w:t>
            </w:r>
          </w:p>
        </w:tc>
        <w:tc>
          <w:tcPr>
            <w:tcW w:w="1500" w:type="dxa"/>
            <w:vAlign w:val="bottom"/>
          </w:tcPr>
          <w:p>
            <w:pPr>
              <w:jc w:val="center"/>
              <w:ind w:left="268"/>
              <w:spacing w:after="0"/>
              <w:rPr>
                <w:sz w:val="20"/>
                <w:szCs w:val="20"/>
                <w:color w:val="auto"/>
              </w:rPr>
            </w:pPr>
            <w:r>
              <w:rPr>
                <w:rFonts w:ascii="Arial" w:cs="Arial" w:eastAsia="Arial" w:hAnsi="Arial"/>
                <w:sz w:val="14"/>
                <w:szCs w:val="14"/>
                <w:color w:val="auto"/>
                <w:w w:val="92"/>
              </w:rPr>
              <w:t>230,569 (19.7%)</w:t>
            </w:r>
          </w:p>
        </w:tc>
        <w:tc>
          <w:tcPr>
            <w:tcW w:w="2260" w:type="dxa"/>
            <w:vAlign w:val="bottom"/>
            <w:gridSpan w:val="3"/>
          </w:tcPr>
          <w:p>
            <w:pPr>
              <w:jc w:val="center"/>
              <w:ind w:left="368"/>
              <w:spacing w:after="0"/>
              <w:rPr>
                <w:sz w:val="20"/>
                <w:szCs w:val="20"/>
                <w:color w:val="auto"/>
              </w:rPr>
            </w:pPr>
            <w:r>
              <w:rPr>
                <w:rFonts w:ascii="Arial" w:cs="Arial" w:eastAsia="Arial" w:hAnsi="Arial"/>
                <w:sz w:val="14"/>
                <w:szCs w:val="14"/>
                <w:color w:val="auto"/>
              </w:rPr>
              <w:t>**</w:t>
            </w: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11661 San Vicente Boulevard, Suite 401</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Los Angeles, CA</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Arial" w:cs="Arial" w:eastAsia="Arial" w:hAnsi="Arial"/>
                <w:sz w:val="14"/>
                <w:szCs w:val="14"/>
                <w:color w:val="auto"/>
              </w:rPr>
              <w:t>Stephen M. Graham (c)</w:t>
            </w:r>
          </w:p>
        </w:tc>
        <w:tc>
          <w:tcPr>
            <w:tcW w:w="1500" w:type="dxa"/>
            <w:vAlign w:val="bottom"/>
          </w:tcPr>
          <w:p>
            <w:pPr>
              <w:jc w:val="center"/>
              <w:ind w:left="268"/>
              <w:spacing w:after="0"/>
              <w:rPr>
                <w:sz w:val="20"/>
                <w:szCs w:val="20"/>
                <w:color w:val="auto"/>
              </w:rPr>
            </w:pPr>
            <w:r>
              <w:rPr>
                <w:rFonts w:ascii="Arial" w:cs="Arial" w:eastAsia="Arial" w:hAnsi="Arial"/>
                <w:sz w:val="14"/>
                <w:szCs w:val="14"/>
                <w:color w:val="auto"/>
                <w:w w:val="95"/>
              </w:rPr>
              <w:t>72,146 (6.2%)</w:t>
            </w:r>
          </w:p>
        </w:tc>
        <w:tc>
          <w:tcPr>
            <w:tcW w:w="2260" w:type="dxa"/>
            <w:vAlign w:val="bottom"/>
            <w:gridSpan w:val="3"/>
          </w:tcPr>
          <w:p>
            <w:pPr>
              <w:jc w:val="center"/>
              <w:ind w:left="368"/>
              <w:spacing w:after="0"/>
              <w:rPr>
                <w:sz w:val="20"/>
                <w:szCs w:val="20"/>
                <w:color w:val="auto"/>
              </w:rPr>
            </w:pPr>
            <w:r>
              <w:rPr>
                <w:rFonts w:ascii="Arial" w:cs="Arial" w:eastAsia="Arial" w:hAnsi="Arial"/>
                <w:sz w:val="14"/>
                <w:szCs w:val="14"/>
                <w:color w:val="auto"/>
              </w:rPr>
              <w:t>**</w:t>
            </w: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18 East 78th Street</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New York, NY</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Arial" w:cs="Arial" w:eastAsia="Arial" w:hAnsi="Arial"/>
                <w:sz w:val="14"/>
                <w:szCs w:val="14"/>
                <w:color w:val="auto"/>
              </w:rPr>
              <w:t>Elizabeth G. Weymouth (d)</w:t>
            </w:r>
          </w:p>
        </w:tc>
        <w:tc>
          <w:tcPr>
            <w:tcW w:w="1500" w:type="dxa"/>
            <w:vAlign w:val="bottom"/>
          </w:tcPr>
          <w:p>
            <w:pPr>
              <w:jc w:val="center"/>
              <w:ind w:left="268"/>
              <w:spacing w:after="0"/>
              <w:rPr>
                <w:sz w:val="20"/>
                <w:szCs w:val="20"/>
                <w:color w:val="auto"/>
              </w:rPr>
            </w:pPr>
            <w:r>
              <w:rPr>
                <w:rFonts w:ascii="Arial" w:cs="Arial" w:eastAsia="Arial" w:hAnsi="Arial"/>
                <w:sz w:val="14"/>
                <w:szCs w:val="14"/>
                <w:color w:val="auto"/>
                <w:w w:val="92"/>
              </w:rPr>
              <w:t>306,044 (26.2%)</w:t>
            </w:r>
          </w:p>
        </w:tc>
        <w:tc>
          <w:tcPr>
            <w:tcW w:w="2260" w:type="dxa"/>
            <w:vAlign w:val="bottom"/>
            <w:gridSpan w:val="3"/>
          </w:tcPr>
          <w:p>
            <w:pPr>
              <w:jc w:val="center"/>
              <w:ind w:left="368"/>
              <w:spacing w:after="0"/>
              <w:rPr>
                <w:sz w:val="20"/>
                <w:szCs w:val="20"/>
                <w:color w:val="auto"/>
              </w:rPr>
            </w:pPr>
            <w:r>
              <w:rPr>
                <w:rFonts w:ascii="Arial" w:cs="Arial" w:eastAsia="Arial" w:hAnsi="Arial"/>
                <w:sz w:val="14"/>
                <w:szCs w:val="14"/>
                <w:color w:val="auto"/>
              </w:rPr>
              <w:t>**</w:t>
            </w: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1150 15th Street, NW</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Washington, DC</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Arial" w:cs="Arial" w:eastAsia="Arial" w:hAnsi="Arial"/>
                <w:sz w:val="14"/>
                <w:szCs w:val="14"/>
                <w:color w:val="auto"/>
              </w:rPr>
              <w:t>George J. Gillespie III (e)</w:t>
            </w:r>
          </w:p>
        </w:tc>
        <w:tc>
          <w:tcPr>
            <w:tcW w:w="1500" w:type="dxa"/>
            <w:vAlign w:val="bottom"/>
          </w:tcPr>
          <w:p>
            <w:pPr>
              <w:jc w:val="center"/>
              <w:ind w:left="268"/>
              <w:spacing w:after="0"/>
              <w:rPr>
                <w:sz w:val="20"/>
                <w:szCs w:val="20"/>
                <w:color w:val="auto"/>
              </w:rPr>
            </w:pPr>
            <w:r>
              <w:rPr>
                <w:rFonts w:ascii="Arial" w:cs="Arial" w:eastAsia="Arial" w:hAnsi="Arial"/>
                <w:sz w:val="14"/>
                <w:szCs w:val="14"/>
                <w:color w:val="auto"/>
                <w:w w:val="92"/>
              </w:rPr>
              <w:t>184,200 (15.8%)</w:t>
            </w:r>
          </w:p>
        </w:tc>
        <w:tc>
          <w:tcPr>
            <w:tcW w:w="2260" w:type="dxa"/>
            <w:vAlign w:val="bottom"/>
            <w:gridSpan w:val="3"/>
          </w:tcPr>
          <w:p>
            <w:pPr>
              <w:jc w:val="center"/>
              <w:ind w:left="368"/>
              <w:spacing w:after="0"/>
              <w:rPr>
                <w:sz w:val="20"/>
                <w:szCs w:val="20"/>
                <w:color w:val="auto"/>
              </w:rPr>
            </w:pPr>
            <w:r>
              <w:rPr>
                <w:rFonts w:ascii="Arial" w:cs="Arial" w:eastAsia="Arial" w:hAnsi="Arial"/>
                <w:sz w:val="14"/>
                <w:szCs w:val="14"/>
                <w:color w:val="auto"/>
              </w:rPr>
              <w:t>**</w:t>
            </w: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825 Eighth Avenue</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New York, NY</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Arial" w:cs="Arial" w:eastAsia="Arial" w:hAnsi="Arial"/>
                <w:sz w:val="14"/>
                <w:szCs w:val="14"/>
                <w:color w:val="auto"/>
              </w:rPr>
              <w:t>Daniel L. Mosley (f)</w:t>
            </w:r>
          </w:p>
        </w:tc>
        <w:tc>
          <w:tcPr>
            <w:tcW w:w="1500" w:type="dxa"/>
            <w:vAlign w:val="bottom"/>
          </w:tcPr>
          <w:p>
            <w:pPr>
              <w:jc w:val="center"/>
              <w:ind w:left="268"/>
              <w:spacing w:after="0"/>
              <w:rPr>
                <w:sz w:val="20"/>
                <w:szCs w:val="20"/>
                <w:color w:val="auto"/>
              </w:rPr>
            </w:pPr>
            <w:r>
              <w:rPr>
                <w:rFonts w:ascii="Arial" w:cs="Arial" w:eastAsia="Arial" w:hAnsi="Arial"/>
                <w:sz w:val="14"/>
                <w:szCs w:val="14"/>
                <w:color w:val="auto"/>
                <w:w w:val="92"/>
              </w:rPr>
              <w:t>841,177 (72.0%)</w:t>
            </w:r>
          </w:p>
        </w:tc>
        <w:tc>
          <w:tcPr>
            <w:tcW w:w="2260" w:type="dxa"/>
            <w:vAlign w:val="bottom"/>
            <w:gridSpan w:val="3"/>
          </w:tcPr>
          <w:p>
            <w:pPr>
              <w:jc w:val="center"/>
              <w:ind w:left="368"/>
              <w:spacing w:after="0"/>
              <w:rPr>
                <w:sz w:val="20"/>
                <w:szCs w:val="20"/>
                <w:color w:val="auto"/>
              </w:rPr>
            </w:pPr>
            <w:r>
              <w:rPr>
                <w:rFonts w:ascii="Arial" w:cs="Arial" w:eastAsia="Arial" w:hAnsi="Arial"/>
                <w:sz w:val="14"/>
                <w:szCs w:val="14"/>
                <w:color w:val="auto"/>
                <w:w w:val="94"/>
              </w:rPr>
              <w:t>869,723 (11.8%)</w:t>
            </w: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825 Eighth Avenue</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New York, NY</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Arial" w:cs="Arial" w:eastAsia="Arial" w:hAnsi="Arial"/>
                <w:sz w:val="14"/>
                <w:szCs w:val="14"/>
                <w:color w:val="auto"/>
              </w:rPr>
              <w:t>Berkshire Hathaway Inc. (g)</w:t>
            </w:r>
          </w:p>
        </w:tc>
        <w:tc>
          <w:tcPr>
            <w:tcW w:w="1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2260" w:type="dxa"/>
            <w:vAlign w:val="bottom"/>
            <w:gridSpan w:val="3"/>
          </w:tcPr>
          <w:p>
            <w:pPr>
              <w:jc w:val="center"/>
              <w:ind w:left="348"/>
              <w:spacing w:after="0"/>
              <w:rPr>
                <w:sz w:val="20"/>
                <w:szCs w:val="20"/>
                <w:color w:val="auto"/>
              </w:rPr>
            </w:pPr>
            <w:r>
              <w:rPr>
                <w:rFonts w:ascii="Arial" w:cs="Arial" w:eastAsia="Arial" w:hAnsi="Arial"/>
                <w:sz w:val="14"/>
                <w:szCs w:val="14"/>
                <w:color w:val="auto"/>
                <w:w w:val="93"/>
              </w:rPr>
              <w:t>1,727,765 (23.4%)</w:t>
            </w: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1440 Kiewit Plaza</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Omaha, NE</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Arial" w:cs="Arial" w:eastAsia="Arial" w:hAnsi="Arial"/>
                <w:sz w:val="14"/>
                <w:szCs w:val="14"/>
                <w:color w:val="auto"/>
              </w:rPr>
              <w:t>Southeastern Asset Management (h)</w:t>
            </w:r>
          </w:p>
        </w:tc>
        <w:tc>
          <w:tcPr>
            <w:tcW w:w="1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2260" w:type="dxa"/>
            <w:vAlign w:val="bottom"/>
            <w:gridSpan w:val="3"/>
          </w:tcPr>
          <w:p>
            <w:pPr>
              <w:jc w:val="center"/>
              <w:ind w:left="368"/>
              <w:spacing w:after="0"/>
              <w:rPr>
                <w:sz w:val="20"/>
                <w:szCs w:val="20"/>
                <w:color w:val="auto"/>
              </w:rPr>
            </w:pPr>
            <w:r>
              <w:rPr>
                <w:rFonts w:ascii="Arial" w:cs="Arial" w:eastAsia="Arial" w:hAnsi="Arial"/>
                <w:sz w:val="14"/>
                <w:szCs w:val="14"/>
                <w:color w:val="auto"/>
                <w:w w:val="94"/>
              </w:rPr>
              <w:t>543, 210 (8.7%)</w:t>
            </w:r>
          </w:p>
        </w:tc>
      </w:tr>
      <w:tr>
        <w:trPr>
          <w:trHeight w:val="27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6410 Poplar Avenue, Suite 900</w:t>
            </w: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bl>
    <w:p>
      <w:pPr>
        <w:spacing w:after="0" w:line="8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Memphis, TN</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ind w:right="40" w:firstLine="8"/>
        <w:spacing w:after="0" w:line="218" w:lineRule="auto"/>
        <w:tabs>
          <w:tab w:leader="none" w:pos="144"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calculations set forth in this table relating to percentage ownership of Class B Stock include 1,169,073 shares of Class B Stock issuable upon conversion of shares of Class A Stock beneficially owned, with the exception of Southeastern Asset Management and International Value Advisers. The percentage calculation for Southeastern Asset Management and International Value Advisers does not include the conversion of Class A shares to Class B shares.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Less than 5%.</w:t>
      </w:r>
    </w:p>
    <w:p>
      <w:pPr>
        <w:spacing w:after="0" w:line="28" w:lineRule="exact"/>
        <w:rPr>
          <w:sz w:val="20"/>
          <w:szCs w:val="20"/>
          <w:color w:val="auto"/>
        </w:rPr>
      </w:pPr>
    </w:p>
    <w:p>
      <w:pPr>
        <w:ind w:left="340" w:right="120" w:hanging="332"/>
        <w:spacing w:after="0" w:line="236"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According to information as of February 1, 2014, and available to the Company, Mr. Donald Graham has voting and investment power with respect to shares of Class A Stock as follows: sole voting and investment power, 140,996 (12.1%); and shared voting and investment power, 998,457 (85.4%) shares.</w:t>
      </w:r>
    </w:p>
    <w:p>
      <w:pPr>
        <w:spacing w:after="0" w:line="7" w:lineRule="exact"/>
        <w:rPr>
          <w:rFonts w:ascii="Arial" w:cs="Arial" w:eastAsia="Arial" w:hAnsi="Arial"/>
          <w:sz w:val="14"/>
          <w:szCs w:val="14"/>
          <w:color w:val="auto"/>
        </w:rPr>
      </w:pPr>
    </w:p>
    <w:p>
      <w:pPr>
        <w:ind w:left="340" w:right="300"/>
        <w:spacing w:after="0" w:line="260" w:lineRule="auto"/>
        <w:rPr>
          <w:rFonts w:ascii="Arial" w:cs="Arial" w:eastAsia="Arial" w:hAnsi="Arial"/>
          <w:sz w:val="14"/>
          <w:szCs w:val="14"/>
          <w:color w:val="auto"/>
        </w:rPr>
      </w:pPr>
      <w:r>
        <w:rPr>
          <w:rFonts w:ascii="Arial" w:cs="Arial" w:eastAsia="Arial" w:hAnsi="Arial"/>
          <w:sz w:val="13"/>
          <w:szCs w:val="13"/>
          <w:color w:val="auto"/>
        </w:rPr>
        <w:t>Mr. Graham also has voting and investment power with respect to shares of Class B Stock as follows: sole voting and investment power, 3,600 (&lt;1%) shares; shared voting and investment power 26,380 (&lt;1%) shares; and 1,139,453 (15.4%) shares issuable upon conversion of shares of Class A Stock deemed to be beneficially owned by Mr. Graham.</w:t>
      </w:r>
    </w:p>
    <w:p>
      <w:pPr>
        <w:ind w:left="340" w:right="80"/>
        <w:spacing w:after="0" w:line="224" w:lineRule="auto"/>
        <w:rPr>
          <w:rFonts w:ascii="Arial" w:cs="Arial" w:eastAsia="Arial" w:hAnsi="Arial"/>
          <w:sz w:val="14"/>
          <w:szCs w:val="14"/>
          <w:color w:val="auto"/>
        </w:rPr>
      </w:pPr>
      <w:r>
        <w:rPr>
          <w:rFonts w:ascii="Arial" w:cs="Arial" w:eastAsia="Arial" w:hAnsi="Arial"/>
          <w:sz w:val="14"/>
          <w:szCs w:val="14"/>
          <w:color w:val="auto"/>
        </w:rPr>
        <w:t>The holdings of Class B Stock recorded for Mr. Graham also include shares of Class B Stock owned by subsidiaries of Berkshire Hathaway Inc. (“Berkshire”), which have the sole investment power of the shares; sole voting power is held by Mr. Donald Graham under an agreement dated February 25, 1977, and amended and extended on September 13, 1985, May 15, 1996, and July 6, 2006, which has a termination date (which may be extended) of February 24, 2017.</w:t>
      </w:r>
    </w:p>
    <w:p>
      <w:pPr>
        <w:spacing w:after="0" w:line="8" w:lineRule="exact"/>
        <w:rPr>
          <w:rFonts w:ascii="Arial" w:cs="Arial" w:eastAsia="Arial" w:hAnsi="Arial"/>
          <w:sz w:val="14"/>
          <w:szCs w:val="14"/>
          <w:color w:val="auto"/>
        </w:rPr>
      </w:pPr>
    </w:p>
    <w:p>
      <w:pPr>
        <w:ind w:left="340" w:right="40"/>
        <w:spacing w:after="0" w:line="224" w:lineRule="auto"/>
        <w:rPr>
          <w:rFonts w:ascii="Arial" w:cs="Arial" w:eastAsia="Arial" w:hAnsi="Arial"/>
          <w:sz w:val="14"/>
          <w:szCs w:val="14"/>
          <w:color w:val="auto"/>
        </w:rPr>
      </w:pPr>
      <w:r>
        <w:rPr>
          <w:rFonts w:ascii="Arial" w:cs="Arial" w:eastAsia="Arial" w:hAnsi="Arial"/>
          <w:sz w:val="14"/>
          <w:szCs w:val="14"/>
          <w:color w:val="auto"/>
        </w:rPr>
        <w:t>The Company reached an agreement in principle with Berkshire to enter into a transaction to acquire approximately 1.6 million shares of the Company's stock from Berkshire in exchange for a wholly-owned subsidiary of the Company together with other consideration. For additional details relating to the potential transaction, see the Company's current report on Form 8-K, filed March 13, 2014 and Schedule 13D/A, filed March 12, 2014.</w:t>
      </w:r>
    </w:p>
    <w:p>
      <w:pPr>
        <w:spacing w:after="0" w:line="8" w:lineRule="exact"/>
        <w:rPr>
          <w:rFonts w:ascii="Arial" w:cs="Arial" w:eastAsia="Arial" w:hAnsi="Arial"/>
          <w:sz w:val="14"/>
          <w:szCs w:val="14"/>
          <w:color w:val="auto"/>
        </w:rPr>
      </w:pPr>
    </w:p>
    <w:p>
      <w:pPr>
        <w:ind w:left="340" w:right="280" w:hanging="332"/>
        <w:spacing w:after="0" w:line="21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According to information as of February 1, 2014, and available to the Company, Mr. William Graham has voting and investment power with respect to shares of Class A Stock as follows: shared voting and investment power, 134,569 (11.5%) shares. In addition, Mr. William Graham, as the beneficiary of trusts (even though he has no voting or investment power with respect thereto) is deemed to be the beneficial owner of 96,000 (8.2%) shares of Class A Stock. The holdings of Class B Stock recorded for Mr. William Graham, including shares issuable upon conversion of shares of Class A Stock deemed to be beneficially owned by Mr. Graham, are less than 5%.</w:t>
      </w:r>
    </w:p>
    <w:p>
      <w:pPr>
        <w:spacing w:after="0" w:line="9" w:lineRule="exact"/>
        <w:rPr>
          <w:rFonts w:ascii="Arial" w:cs="Arial" w:eastAsia="Arial" w:hAnsi="Arial"/>
          <w:sz w:val="14"/>
          <w:szCs w:val="14"/>
          <w:color w:val="auto"/>
        </w:rPr>
      </w:pPr>
    </w:p>
    <w:p>
      <w:pPr>
        <w:ind w:left="340" w:right="340" w:hanging="332"/>
        <w:spacing w:after="0" w:line="21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According to information as of February 1, 2014, and available to the Company, Mr. Stephen Graham has voting and investment power with respect to shares of Class A Stock as follows: shared voting and investment power, 42,783 (3.7%) shares. In addition, Mr. Stephen Graham, as the beneficiary of trusts (even though he has no voting or investment power with respect thereto) is deemed to be the beneficial owner of 64,975 (5.6%) shares of Class A Stock. The holdings of Class B Stock recorded for Mr. Stephen Graham, including shares issuable upon conversion of shares of Class A Stock deemed to be beneficially owned by Mr. Graham, are less than 5%.</w:t>
      </w:r>
    </w:p>
    <w:p>
      <w:pPr>
        <w:spacing w:after="0" w:line="9" w:lineRule="exact"/>
        <w:rPr>
          <w:rFonts w:ascii="Arial" w:cs="Arial" w:eastAsia="Arial" w:hAnsi="Arial"/>
          <w:sz w:val="14"/>
          <w:szCs w:val="14"/>
          <w:color w:val="auto"/>
        </w:rPr>
      </w:pPr>
    </w:p>
    <w:p>
      <w:pPr>
        <w:ind w:left="340" w:right="40" w:hanging="332"/>
        <w:spacing w:after="0" w:line="21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According to information as of February 1, 2014, and available to the Company, Mrs. Elizabeth Weymouth has voting and investment power with respect to shares of Class A Stock as follows: shared voting and investment power, 201,022 (17.2%) shares. In addition, Mrs. Weymouth, as the beneficiary of a trust (even though she has no voting or investment power with respect thereto) is deemed to be the beneficial owner of 69,625 (6.0%) shares of Class A Stock. The holdings of Class B Stock recorded for Mrs. Weymouth, including shares issuable upon conversion of shares of Class A Stock deemed to be beneficially owned by Mrs. Weymouth, are less than 5%.</w:t>
      </w:r>
    </w:p>
    <w:p>
      <w:pPr>
        <w:spacing w:after="0" w:line="9" w:lineRule="exact"/>
        <w:rPr>
          <w:rFonts w:ascii="Arial" w:cs="Arial" w:eastAsia="Arial" w:hAnsi="Arial"/>
          <w:sz w:val="14"/>
          <w:szCs w:val="14"/>
          <w:color w:val="auto"/>
        </w:rPr>
      </w:pPr>
    </w:p>
    <w:p>
      <w:pPr>
        <w:ind w:left="340" w:right="120" w:hanging="332"/>
        <w:spacing w:after="0" w:line="21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According to information as of February 1, 2014, and available to the Company, Mr. George J. Gillespie III, as a Trustee of various trusts, has voting and investment power with respect to shares of Class A Stock as follows: shared voting and investment power, 184,200 (15.8%) shares. In addition, Mr. Gillespie has voting and investment power with respect to shares of Class B Stock as follows: shared voting and investment power, 35,142 (&lt;1%) shares. The holdings of Class B Stock recorded for Mr. Gillespie, including shares issuable upon conversion of shares of Class A Stock deemed to be beneficially owned by Mr. Gillespie, are less than 5%.</w:t>
      </w:r>
    </w:p>
    <w:p>
      <w:pPr>
        <w:spacing w:after="0" w:line="9" w:lineRule="exact"/>
        <w:rPr>
          <w:rFonts w:ascii="Arial" w:cs="Arial" w:eastAsia="Arial" w:hAnsi="Arial"/>
          <w:sz w:val="14"/>
          <w:szCs w:val="14"/>
          <w:color w:val="auto"/>
        </w:rPr>
      </w:pPr>
    </w:p>
    <w:p>
      <w:pPr>
        <w:ind w:left="340" w:right="60" w:hanging="332"/>
        <w:spacing w:after="0" w:line="21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According to information as of February 1, 2014, and available to the Company, Mr. Daniel Mosley, as a Trustee of various trusts, has voting and investment power with respect to shares of Class A Stock as follows: shared voting and investment power, 841,177 (72.0%) shares. In addition, Mr. Mosley has voting and investment power with respect to shares of Class B Stock as follows: shared voting and investment power, 24,052 (&lt;1%) shares. The holdings of Class B Stock recorded for Mr. Mosley include 841,177 (11.4%) shares issuable upon conversion of shares of Class A Stock deemed to be beneficially owned by Mr. Mosley as a Trustee of various trusts.</w:t>
      </w:r>
    </w:p>
    <w:p>
      <w:pPr>
        <w:sectPr>
          <w:pgSz w:w="11900" w:h="16838" w:orient="portrait"/>
          <w:cols w:equalWidth="0" w:num="1">
            <w:col w:w="11420"/>
          </w:cols>
          <w:pgMar w:left="240" w:top="584"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4" w:right="239" w:bottom="1440" w:gutter="0" w:footer="0" w:header="0"/>
          <w:type w:val="continuous"/>
        </w:sectPr>
      </w:pPr>
    </w:p>
    <w:bookmarkStart w:id="15" w:name="page16"/>
    <w:bookmarkEnd w:id="15"/>
    <w:p>
      <w:pPr>
        <w:ind w:left="340" w:right="60" w:hanging="332"/>
        <w:spacing w:after="0" w:line="213"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According to information as of February 1, 2014, and available to the Company, Berkshire Hathaway Inc. is the beneficial owner of 1,727,765 (23.4%) shares of Class B Stock. The ownership of these shares is through several subsidiaries of Berkshire. Mr. Warren Buffett is Chairman of the Board of Berkshire. Mr. Buffett owns approximately 21.4%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February 25, 1977, and amended and extended on September 13, 1985, May 15, 1996, and July 6, 2006, which has a termination date (which may be extended) of February 24, 2017, Mr. Buffett, Berkshire and such subsidiaries have granted Mr. Donald Graham a proxy to vote such shares at his discretion.</w:t>
      </w:r>
    </w:p>
    <w:p>
      <w:pPr>
        <w:spacing w:after="0" w:line="7" w:lineRule="exact"/>
        <w:rPr>
          <w:rFonts w:ascii="Arial" w:cs="Arial" w:eastAsia="Arial" w:hAnsi="Arial"/>
          <w:sz w:val="14"/>
          <w:szCs w:val="14"/>
          <w:color w:val="auto"/>
        </w:rPr>
      </w:pPr>
    </w:p>
    <w:p>
      <w:pPr>
        <w:ind w:left="340" w:right="40"/>
        <w:spacing w:after="0" w:line="224" w:lineRule="auto"/>
        <w:rPr>
          <w:rFonts w:ascii="Arial" w:cs="Arial" w:eastAsia="Arial" w:hAnsi="Arial"/>
          <w:sz w:val="14"/>
          <w:szCs w:val="14"/>
          <w:color w:val="auto"/>
        </w:rPr>
      </w:pPr>
      <w:r>
        <w:rPr>
          <w:rFonts w:ascii="Arial" w:cs="Arial" w:eastAsia="Arial" w:hAnsi="Arial"/>
          <w:sz w:val="14"/>
          <w:szCs w:val="14"/>
          <w:color w:val="auto"/>
        </w:rPr>
        <w:t>The Company reached an agreement in principle with Berkshire to enter into a transaction to acquire approximately 1.6 million shares of the Company's stock from Berkshire in exchange for a wholly-owned subsidiary of the Company together with other consideration. For additional details relating to the potential transaction, see the Company's current report on Form 8-K, filed March 13, 2014 and Schedule 13D/A, filed March 12, 2014.</w:t>
      </w:r>
    </w:p>
    <w:p>
      <w:pPr>
        <w:spacing w:after="0" w:line="8" w:lineRule="exact"/>
        <w:rPr>
          <w:rFonts w:ascii="Arial" w:cs="Arial" w:eastAsia="Arial" w:hAnsi="Arial"/>
          <w:sz w:val="14"/>
          <w:szCs w:val="14"/>
          <w:color w:val="auto"/>
        </w:rPr>
      </w:pPr>
    </w:p>
    <w:p>
      <w:pPr>
        <w:ind w:left="340" w:right="140" w:hanging="332"/>
        <w:spacing w:after="0" w:line="215"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According to a Schedule 13G filed on February 11, 2014, Southeastern Asset Management, Inc. (“Southeastern Asset”), an investment adviser, was deemed to be the beneficial owner of 543,210 (8.7%) shares of Class B Stock. According to the Schedule 13G, Southeastern Asset has sole voting power over 110,310 (1.8%) shares; shared voting power over 428,000 (6.9%) shares; no voting power over 4,900 (&lt;1%) shares; sole dispositive power over 115,210 (2.0%) shares; and shared dispositive power over 428,000 (6.9%) shares. The Schedule 13G was filed jointly with Longleaf Partners Small-Cap Fund (an investment company) and Mr. O. Mason Hawkins, Chairman and Chief Executive Officer of Southeastern Asset, Longleaf Partners Small-Cap Fund has shared voting power over 428,000 (6.9%) shares according to the Schedule 13G.</w:t>
      </w:r>
    </w:p>
    <w:p>
      <w:pPr>
        <w:spacing w:after="0" w:line="188" w:lineRule="exact"/>
        <w:rPr>
          <w:sz w:val="20"/>
          <w:szCs w:val="20"/>
          <w:color w:val="auto"/>
        </w:rPr>
      </w:pPr>
    </w:p>
    <w:p>
      <w:pPr>
        <w:ind w:right="40" w:firstLine="810"/>
        <w:spacing w:after="0" w:line="276" w:lineRule="auto"/>
        <w:rPr>
          <w:sz w:val="20"/>
          <w:szCs w:val="20"/>
          <w:color w:val="auto"/>
        </w:rPr>
      </w:pPr>
      <w:r>
        <w:rPr>
          <w:rFonts w:ascii="Arial" w:cs="Arial" w:eastAsia="Arial" w:hAnsi="Arial"/>
          <w:sz w:val="17"/>
          <w:szCs w:val="17"/>
          <w:color w:val="auto"/>
        </w:rPr>
        <w:t>The table below, which is based on information furnished to the Company by its Directors and officers, shows as of February 1, 2014, for each person nominated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Holdings of Directors and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Shares (%)</w:t>
            </w:r>
          </w:p>
        </w:tc>
      </w:tr>
      <w:tr>
        <w:trPr>
          <w:trHeight w:val="264"/>
        </w:trPr>
        <w:tc>
          <w:tcPr>
            <w:tcW w:w="7660" w:type="dxa"/>
            <w:vAlign w:val="bottom"/>
          </w:tcPr>
          <w:p>
            <w:pPr>
              <w:spacing w:after="0"/>
              <w:rPr>
                <w:sz w:val="22"/>
                <w:szCs w:val="22"/>
                <w:color w:val="auto"/>
              </w:rPr>
            </w:pPr>
          </w:p>
        </w:tc>
        <w:tc>
          <w:tcPr>
            <w:tcW w:w="14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Class A</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 B(a)</w:t>
            </w:r>
          </w:p>
        </w:tc>
      </w:tr>
      <w:tr>
        <w:trPr>
          <w:trHeight w:val="244"/>
        </w:trPr>
        <w:tc>
          <w:tcPr>
            <w:tcW w:w="7660" w:type="dxa"/>
            <w:vAlign w:val="bottom"/>
          </w:tcPr>
          <w:p>
            <w:pPr>
              <w:ind w:left="40"/>
              <w:spacing w:after="0"/>
              <w:rPr>
                <w:sz w:val="20"/>
                <w:szCs w:val="20"/>
                <w:color w:val="auto"/>
              </w:rPr>
            </w:pPr>
            <w:r>
              <w:rPr>
                <w:rFonts w:ascii="Arial" w:cs="Arial" w:eastAsia="Arial" w:hAnsi="Arial"/>
                <w:sz w:val="14"/>
                <w:szCs w:val="14"/>
                <w:color w:val="auto"/>
              </w:rPr>
              <w:t>Lee C. Bollinger^</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Christopher C. Davis^</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5,000 (b)</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Barry Diller^</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4,000 (b)</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Veronica Dillon+</w:t>
            </w:r>
            <w:r>
              <w:rPr>
                <w:rFonts w:ascii="Arial" w:cs="Arial" w:eastAsia="Arial" w:hAnsi="Arial"/>
                <w:sz w:val="8"/>
                <w:szCs w:val="8"/>
                <w:color w:val="auto"/>
              </w:rPr>
              <w:t>(c)</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3,650 (b)</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Thomas S. Gayner^</w:t>
            </w:r>
            <w:r>
              <w:rPr>
                <w:rFonts w:ascii="Arial" w:cs="Arial" w:eastAsia="Arial" w:hAnsi="Arial"/>
                <w:sz w:val="8"/>
                <w:szCs w:val="8"/>
                <w:color w:val="auto"/>
              </w:rPr>
              <w:t>(d)</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5,300 (b)</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David Goldberg^</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Donald E. Graham^+</w:t>
            </w:r>
            <w:r>
              <w:rPr>
                <w:rFonts w:ascii="Arial" w:cs="Arial" w:eastAsia="Arial" w:hAnsi="Arial"/>
                <w:sz w:val="8"/>
                <w:szCs w:val="8"/>
                <w:color w:val="auto"/>
              </w:rPr>
              <w:t>(e)</w:t>
            </w:r>
          </w:p>
        </w:tc>
        <w:tc>
          <w:tcPr>
            <w:tcW w:w="1480" w:type="dxa"/>
            <w:vAlign w:val="bottom"/>
          </w:tcPr>
          <w:p>
            <w:pPr>
              <w:jc w:val="center"/>
              <w:ind w:left="288"/>
              <w:spacing w:after="0"/>
              <w:rPr>
                <w:sz w:val="20"/>
                <w:szCs w:val="20"/>
                <w:color w:val="auto"/>
              </w:rPr>
            </w:pPr>
            <w:r>
              <w:rPr>
                <w:rFonts w:ascii="Arial" w:cs="Arial" w:eastAsia="Arial" w:hAnsi="Arial"/>
                <w:sz w:val="14"/>
                <w:szCs w:val="14"/>
                <w:color w:val="auto"/>
                <w:w w:val="93"/>
              </w:rPr>
              <w:t>1,139,453 (97.5%)</w:t>
            </w:r>
          </w:p>
        </w:tc>
        <w:tc>
          <w:tcPr>
            <w:tcW w:w="2280" w:type="dxa"/>
            <w:vAlign w:val="bottom"/>
            <w:gridSpan w:val="3"/>
          </w:tcPr>
          <w:p>
            <w:pPr>
              <w:jc w:val="center"/>
              <w:ind w:left="368"/>
              <w:spacing w:after="0"/>
              <w:rPr>
                <w:sz w:val="20"/>
                <w:szCs w:val="20"/>
                <w:color w:val="auto"/>
              </w:rPr>
            </w:pPr>
            <w:r>
              <w:rPr>
                <w:rFonts w:ascii="Arial" w:cs="Arial" w:eastAsia="Arial" w:hAnsi="Arial"/>
                <w:sz w:val="14"/>
                <w:szCs w:val="14"/>
                <w:color w:val="auto"/>
                <w:w w:val="93"/>
              </w:rPr>
              <w:t>2,897,198 (39.2%)</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Hal S. Jones+</w:t>
            </w:r>
            <w:r>
              <w:rPr>
                <w:rFonts w:ascii="Arial" w:cs="Arial" w:eastAsia="Arial" w:hAnsi="Arial"/>
                <w:sz w:val="8"/>
                <w:szCs w:val="8"/>
                <w:color w:val="auto"/>
              </w:rPr>
              <w:t>(f)</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6,025 (b)</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Ann L. McDaniel+</w:t>
            </w:r>
            <w:r>
              <w:rPr>
                <w:rFonts w:ascii="Arial" w:cs="Arial" w:eastAsia="Arial" w:hAnsi="Arial"/>
                <w:sz w:val="8"/>
                <w:szCs w:val="8"/>
                <w:color w:val="auto"/>
              </w:rPr>
              <w:t>(g)</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4,100 (b)</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Anne M. Mulcahy^</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Ronald L. Olson^</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Gerald M. Rosberg+</w:t>
            </w:r>
            <w:r>
              <w:rPr>
                <w:rFonts w:ascii="Arial" w:cs="Arial" w:eastAsia="Arial" w:hAnsi="Arial"/>
                <w:sz w:val="8"/>
                <w:szCs w:val="8"/>
                <w:color w:val="auto"/>
              </w:rPr>
              <w:t>(h)</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5,825 (b)</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Larry D. Thompson^</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2"/>
              </w:rPr>
              <w:t>76 (b)</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G. Richard Wagoner, Jr.^</w:t>
            </w:r>
            <w:r>
              <w:rPr>
                <w:rFonts w:ascii="Arial" w:cs="Arial" w:eastAsia="Arial" w:hAnsi="Arial"/>
                <w:sz w:val="8"/>
                <w:szCs w:val="8"/>
                <w:color w:val="auto"/>
              </w:rPr>
              <w:t>(i)</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1,000 (b)</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Katharine Weymouth^</w:t>
            </w:r>
          </w:p>
        </w:tc>
        <w:tc>
          <w:tcPr>
            <w:tcW w:w="1480" w:type="dxa"/>
            <w:vAlign w:val="bottom"/>
          </w:tcPr>
          <w:p>
            <w:pPr>
              <w:jc w:val="center"/>
              <w:ind w:left="268"/>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3"/>
              </w:rPr>
              <w:t>20,000 (b)</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w w:val="98"/>
              </w:rPr>
              <w:t>All Directors, named executive officers and remaining executive officers as a group, eliminating duplications (16 individuals)</w:t>
            </w:r>
            <w:r>
              <w:rPr>
                <w:rFonts w:ascii="Arial" w:cs="Arial" w:eastAsia="Arial" w:hAnsi="Arial"/>
                <w:sz w:val="8"/>
                <w:szCs w:val="8"/>
                <w:color w:val="auto"/>
                <w:w w:val="98"/>
              </w:rPr>
              <w:t>(j)</w:t>
            </w:r>
          </w:p>
        </w:tc>
        <w:tc>
          <w:tcPr>
            <w:tcW w:w="1480" w:type="dxa"/>
            <w:vAlign w:val="bottom"/>
          </w:tcPr>
          <w:p>
            <w:pPr>
              <w:jc w:val="center"/>
              <w:ind w:left="288"/>
              <w:spacing w:after="0"/>
              <w:rPr>
                <w:sz w:val="20"/>
                <w:szCs w:val="20"/>
                <w:color w:val="auto"/>
              </w:rPr>
            </w:pPr>
            <w:r>
              <w:rPr>
                <w:rFonts w:ascii="Arial" w:cs="Arial" w:eastAsia="Arial" w:hAnsi="Arial"/>
                <w:sz w:val="14"/>
                <w:szCs w:val="14"/>
                <w:color w:val="auto"/>
                <w:w w:val="93"/>
              </w:rPr>
              <w:t>1,139,453 (97.5%)</w:t>
            </w:r>
          </w:p>
        </w:tc>
        <w:tc>
          <w:tcPr>
            <w:tcW w:w="2280" w:type="dxa"/>
            <w:vAlign w:val="bottom"/>
            <w:gridSpan w:val="3"/>
          </w:tcPr>
          <w:p>
            <w:pPr>
              <w:jc w:val="center"/>
              <w:ind w:left="368"/>
              <w:spacing w:after="0"/>
              <w:rPr>
                <w:sz w:val="20"/>
                <w:szCs w:val="20"/>
                <w:color w:val="auto"/>
              </w:rPr>
            </w:pPr>
            <w:r>
              <w:rPr>
                <w:rFonts w:ascii="Arial" w:cs="Arial" w:eastAsia="Arial" w:hAnsi="Arial"/>
                <w:sz w:val="14"/>
                <w:szCs w:val="14"/>
                <w:color w:val="auto"/>
                <w:w w:val="93"/>
              </w:rPr>
              <w:t>2,953,124 (40.0%)</w:t>
            </w:r>
          </w:p>
        </w:tc>
      </w:tr>
      <w:tr>
        <w:trPr>
          <w:trHeight w:val="161"/>
        </w:trPr>
        <w:tc>
          <w:tcPr>
            <w:tcW w:w="7660" w:type="dxa"/>
            <w:vAlign w:val="bottom"/>
          </w:tcPr>
          <w:p>
            <w:pPr>
              <w:spacing w:after="0"/>
              <w:rPr>
                <w:sz w:val="20"/>
                <w:szCs w:val="20"/>
                <w:color w:val="auto"/>
              </w:rPr>
            </w:pPr>
            <w:r>
              <w:rPr>
                <w:rFonts w:ascii="Arial" w:cs="Arial" w:eastAsia="Arial" w:hAnsi="Arial"/>
                <w:sz w:val="14"/>
                <w:szCs w:val="14"/>
                <w:color w:val="auto"/>
              </w:rPr>
              <w:t>__________________</w:t>
            </w: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r>
    </w:tbl>
    <w:p>
      <w:pPr>
        <w:ind w:right="760" w:firstLine="8"/>
        <w:spacing w:after="0" w:line="303" w:lineRule="auto"/>
        <w:tabs>
          <w:tab w:leader="none" w:pos="144"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Unless otherwise indicated, the Directors and officers listed have sole voting and investment power with respect to such securities. None of the securities has been pledged as security. ^ Director.</w:t>
      </w:r>
    </w:p>
    <w:p>
      <w:pPr>
        <w:spacing w:after="0"/>
        <w:rPr>
          <w:rFonts w:ascii="Arial" w:cs="Arial" w:eastAsia="Arial" w:hAnsi="Arial"/>
          <w:sz w:val="14"/>
          <w:szCs w:val="14"/>
          <w:color w:val="auto"/>
        </w:rPr>
      </w:pPr>
      <w:r>
        <w:rPr>
          <w:rFonts w:ascii="Arial" w:cs="Arial" w:eastAsia="Arial" w:hAnsi="Arial"/>
          <w:sz w:val="14"/>
          <w:szCs w:val="14"/>
          <w:color w:val="auto"/>
        </w:rPr>
        <w:t>+  Named Executive Officer.</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 Includes 1,169,073 shares of Class B Stock issuable upon conversion of shares of Class A Stock beneficially owned.</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(b) Less than 1%.</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(c) Includes 1,000 shares Ms. Dillon has the right to purchase, pursuant to stock options.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(d) Includes 5,200 shares of Class B Stock held for the account of a number of beneficial owners in which Mr. Gayner disclaims beneficial ownership.</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(e) See Table of “Principal Holders of Stock” on page 14.</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(f)  Includes 3,750 shares Mr. Jones has the right to purchase, pursuant to stock options.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(g) Includes 2,000 shares Ms. McDaniel has the right to purchase, pursuant to stock option.</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(h) Includes 1,000 shares Mr. Rosberg has the right to purchase, pursuant to stock options.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(i)  Shares are held in a revocable trust.</w:t>
      </w:r>
    </w:p>
    <w:p>
      <w:pPr>
        <w:spacing w:after="0" w:line="42" w:lineRule="exact"/>
        <w:rPr>
          <w:sz w:val="20"/>
          <w:szCs w:val="20"/>
          <w:color w:val="auto"/>
        </w:rPr>
      </w:pPr>
    </w:p>
    <w:p>
      <w:pPr>
        <w:ind w:left="260" w:right="40" w:hanging="252"/>
        <w:spacing w:after="0" w:line="224"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30,200 shares of Class B Stock, which Directors and executive officers have the right to purchase, pursuant to stock options, and shares of restricted stock awarded to executive officers in accordance with the Graham Holdings Company Incentive Compensation Plan. It does not include 19,520 shares of Class B Stock held as of February 11, 2014, by the trustee of various savings plans maintained by the Company and its business units over which the trustee has voting and investment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6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firstLine="770"/>
        <w:spacing w:after="0" w:line="264" w:lineRule="auto"/>
        <w:rPr>
          <w:sz w:val="20"/>
          <w:szCs w:val="20"/>
          <w:color w:val="auto"/>
        </w:rPr>
      </w:pPr>
      <w:r>
        <w:rPr>
          <w:rFonts w:ascii="Arial" w:cs="Arial" w:eastAsia="Arial" w:hAnsi="Arial"/>
          <w:sz w:val="18"/>
          <w:szCs w:val="18"/>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During the fiscal year ended December 31, 2013, the Company is not aware of any deficiency in reporting.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 APPROVAL OF 2013 COMPENSATION AWARDED TO NAMED EXECUTIVE OFFICERS</w:t>
      </w:r>
    </w:p>
    <w:p>
      <w:pPr>
        <w:spacing w:after="0" w:line="229" w:lineRule="exact"/>
        <w:rPr>
          <w:sz w:val="20"/>
          <w:szCs w:val="20"/>
          <w:color w:val="auto"/>
        </w:rPr>
      </w:pPr>
    </w:p>
    <w:p>
      <w:pPr>
        <w:ind w:firstLine="770"/>
        <w:spacing w:after="0" w:line="269" w:lineRule="auto"/>
        <w:rPr>
          <w:sz w:val="20"/>
          <w:szCs w:val="20"/>
          <w:color w:val="auto"/>
        </w:rPr>
      </w:pPr>
      <w:r>
        <w:rPr>
          <w:rFonts w:ascii="Arial" w:cs="Arial" w:eastAsia="Arial" w:hAnsi="Arial"/>
          <w:sz w:val="17"/>
          <w:szCs w:val="17"/>
          <w:color w:val="auto"/>
        </w:rPr>
        <w:t>As required by Schedule 14A of the Securities Exchange Act of 1934 and the corresponding SEC rules, the Company is seeking an advisory, non-binding shareholder vote from its Class A Shareholders with respect to compensation awarded to its named executive officers for 2013. On May 12, 2011, the majority of the Company’s Class A Shareholders voted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 Following the Meeting, the next such non-binding advisory vote to approve the Company’s executive compensation is scheduled to occur at the 2015 Annual Meeting of Shareholders.</w:t>
      </w:r>
    </w:p>
    <w:p>
      <w:pPr>
        <w:spacing w:after="0" w:line="179" w:lineRule="exact"/>
        <w:rPr>
          <w:sz w:val="20"/>
          <w:szCs w:val="20"/>
          <w:color w:val="auto"/>
        </w:rPr>
      </w:pPr>
    </w:p>
    <w:p>
      <w:pPr>
        <w:ind w:right="400" w:firstLine="770"/>
        <w:spacing w:after="0" w:line="289" w:lineRule="auto"/>
        <w:rPr>
          <w:sz w:val="20"/>
          <w:szCs w:val="20"/>
          <w:color w:val="auto"/>
        </w:rPr>
      </w:pPr>
      <w:r>
        <w:rPr>
          <w:rFonts w:ascii="Arial" w:cs="Arial" w:eastAsia="Arial" w:hAnsi="Arial"/>
          <w:sz w:val="17"/>
          <w:szCs w:val="17"/>
          <w:b w:val="1"/>
          <w:bCs w:val="1"/>
          <w:color w:val="auto"/>
        </w:rPr>
        <w:t>Resolved, that the compensation paid to the Company’s named executive officers for 2013, as disclosed pursuant to the compensation disclosure rules of the Securities and Exchange Commission, including the Compensation Discussion and Analysis, the compensation tables, narrative discussion and related material included in this Proxy Statement, is hereby APPROVED.</w:t>
      </w:r>
    </w:p>
    <w:p>
      <w:pPr>
        <w:spacing w:after="0" w:line="15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BOARD OF DIRECTORS RECOMMENDS THAT CLASS A SHAREHOLDERS VOTE “FOR” THE APPROVAL OF THE FOREGOING RESOLUTION.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0"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229" w:lineRule="exact"/>
        <w:rPr>
          <w:sz w:val="20"/>
          <w:szCs w:val="20"/>
          <w:color w:val="auto"/>
        </w:rPr>
      </w:pPr>
    </w:p>
    <w:p>
      <w:pPr>
        <w:ind w:firstLine="770"/>
        <w:spacing w:after="0" w:line="268" w:lineRule="auto"/>
        <w:rPr>
          <w:sz w:val="20"/>
          <w:szCs w:val="20"/>
          <w:color w:val="auto"/>
        </w:rPr>
      </w:pPr>
      <w:r>
        <w:rPr>
          <w:rFonts w:ascii="Arial" w:cs="Arial" w:eastAsia="Arial" w:hAnsi="Arial"/>
          <w:sz w:val="17"/>
          <w:szCs w:val="17"/>
          <w:color w:val="auto"/>
        </w:rPr>
        <w:t>The Compensation Committee (the “Committee”) of the Board of Directors has responsibility for establishing and continually monitoring adherence to the Company’s compensation philosophy—a philosophy designed to attract, retain and motivate qualified and talented employees who are enthusiastic about the Company’s mission and culture. The Committee, which is chaired by Anne M. Mulcahy and includes Lee C. Bollinger, Barry Diller and Larry D. Thompson, seeks to establish total compensation packages that are attractive to employees and comparable to, but not dramatically different from, those offered by peer companies with comparable revenue in the education and media industries. Through regular meetings and discussions with management, the Committee ensures that the total compensation paid to all executives, including named executive officers of the Company, and all employees earning more than $300,000 in salary, is fair, reasonable and based on performance goals established to increase value for Shareholders by facilitating the long-term growth of the Company. The Committee considers both short-term and long-term plans in determining compensation. Annual plans are used to motivate and reward management for achieving specific yearly goals. Long-term plans, typically three or four years in duration, are designed to reward cumulative long-term goals. All performance criteria, however, including those in annual or relatively short-term plans, are designed to reward executives for making decisions that will enhance the long-term value of the Company. Except in the case of sales executives or executives in high-growth revenue-focused business units, no targets are based on quarterly or partial-year results. Some of these plans reward with cash, and others reward with stock-based compensation. The Company has no specific formula for allocating between cash and non-cash compensation or between long-term and current compensation. Management and the Committee select the method of compensation thought most likely to lead to achievement of the particular goal; however, the Company has historically favored cash compensation over non-cash compensation. Management and the Committee believe that cash incentives provide more targeted rewards for specific performance.</w:t>
      </w:r>
    </w:p>
    <w:p>
      <w:pPr>
        <w:spacing w:after="0" w:line="181" w:lineRule="exact"/>
        <w:rPr>
          <w:sz w:val="20"/>
          <w:szCs w:val="20"/>
          <w:color w:val="auto"/>
        </w:rPr>
      </w:pPr>
    </w:p>
    <w:p>
      <w:pPr>
        <w:ind w:right="100" w:firstLine="770"/>
        <w:spacing w:after="0" w:line="276" w:lineRule="auto"/>
        <w:rPr>
          <w:sz w:val="20"/>
          <w:szCs w:val="20"/>
          <w:color w:val="auto"/>
        </w:rPr>
      </w:pPr>
      <w:r>
        <w:rPr>
          <w:rFonts w:ascii="Arial" w:cs="Arial" w:eastAsia="Arial" w:hAnsi="Arial"/>
          <w:sz w:val="17"/>
          <w:szCs w:val="17"/>
          <w:color w:val="auto"/>
        </w:rPr>
        <w:t>All named executive officers, except Donald E. Graham, Chairman of the Board and Chief Executive Officer, receive an annual salary and restricted stock awards every other year and participate in performance-based annual bonus plans and four-year cash-based Performance Unit Plans. Named executive officers and others occasionally receive restricted stock or stock option grants in off-cycle years as a reward for past performance and incentive for future performance. They also receive the benefits of the Supplemental Executive Retirement Plan (the “SERP”). Mr. Graham receives an annual salary and participates in the Performance Unit Plans and the defined benefit portion of the SERP as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Charter</w:t>
      </w:r>
    </w:p>
    <w:p>
      <w:pPr>
        <w:spacing w:after="0" w:line="229" w:lineRule="exact"/>
        <w:rPr>
          <w:sz w:val="20"/>
          <w:szCs w:val="20"/>
          <w:color w:val="auto"/>
        </w:rPr>
      </w:pPr>
    </w:p>
    <w:p>
      <w:pPr>
        <w:ind w:right="20" w:firstLine="770"/>
        <w:spacing w:after="0" w:line="271" w:lineRule="auto"/>
        <w:rPr>
          <w:sz w:val="20"/>
          <w:szCs w:val="20"/>
          <w:color w:val="auto"/>
        </w:rPr>
      </w:pPr>
      <w:r>
        <w:rPr>
          <w:rFonts w:ascii="Arial" w:cs="Arial" w:eastAsia="Arial" w:hAnsi="Arial"/>
          <w:sz w:val="17"/>
          <w:szCs w:val="17"/>
          <w:color w:val="auto"/>
        </w:rPr>
        <w:t>The Board has delegated to the Committee the responsibility of overseeing the administration of the Company’s compensation plans and the preparation of all reports and documents required by the rules and regulations of the SEC. To meet this responsibility, the Committee is required to meet at least once a year. The Committee annually reviews and approves the corporate goals and objectives upon which the compensation of the Chief Executive Officer and senior management, including the named executive officers, is based. The Committee evaluates the Chief Executive Officer’s performance in light of these goals and objectives. Furthermore, the Committee reviews and makes recommendations to the Board with respect to any incentive compensation plans, including equity-based plans, to be adopted or submitted to shareholders for approval. The Committee reviews the Company’s succession plans, including (i) the Chairman and Chief Executive Officer’s recommendations as to a successor, should he be disabled or unable to perform his duties for an extended period of time, and (ii) annually, the Company’s efforts at management development.</w:t>
      </w:r>
    </w:p>
    <w:p>
      <w:pPr>
        <w:spacing w:after="0" w:line="179" w:lineRule="exact"/>
        <w:rPr>
          <w:sz w:val="20"/>
          <w:szCs w:val="20"/>
          <w:color w:val="auto"/>
        </w:rPr>
      </w:pPr>
    </w:p>
    <w:p>
      <w:pPr>
        <w:ind w:right="20" w:firstLine="770"/>
        <w:spacing w:after="0" w:line="276" w:lineRule="auto"/>
        <w:rPr>
          <w:sz w:val="20"/>
          <w:szCs w:val="20"/>
          <w:color w:val="auto"/>
        </w:rPr>
      </w:pPr>
      <w:r>
        <w:rPr>
          <w:rFonts w:ascii="Arial" w:cs="Arial" w:eastAsia="Arial" w:hAnsi="Arial"/>
          <w:sz w:val="17"/>
          <w:szCs w:val="17"/>
          <w:color w:val="auto"/>
        </w:rPr>
        <w:t>The Committee may request that any officer or employee of the Company, including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Chief Executive Officer or senior management compensation and has sole authority to approve the consultant’s fees and other retention terms. The Committee did not retain any consultant for such purpose in 2013. The Committee also has authority to obtain advice and assistance from internal or external legal, accounting or other advisors.</w:t>
      </w:r>
    </w:p>
    <w:p>
      <w:pPr>
        <w:spacing w:after="0" w:line="173" w:lineRule="exact"/>
        <w:rPr>
          <w:sz w:val="20"/>
          <w:szCs w:val="20"/>
          <w:color w:val="auto"/>
        </w:rPr>
      </w:pPr>
    </w:p>
    <w:p>
      <w:pPr>
        <w:ind w:right="620" w:firstLine="770"/>
        <w:spacing w:after="0" w:line="277" w:lineRule="auto"/>
        <w:rPr>
          <w:sz w:val="20"/>
          <w:szCs w:val="20"/>
          <w:color w:val="auto"/>
        </w:rPr>
      </w:pPr>
      <w:r>
        <w:rPr>
          <w:rFonts w:ascii="Arial" w:cs="Arial" w:eastAsia="Arial" w:hAnsi="Arial"/>
          <w:sz w:val="18"/>
          <w:szCs w:val="18"/>
          <w:color w:val="auto"/>
        </w:rPr>
        <w:t>During 2013, the Committee met seven times. A copy of the Company’s Compensation Committee Charter is available under the “Investor Relations” tab at www.ghco.com.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ind w:right="480" w:firstLine="810"/>
        <w:spacing w:after="0" w:line="277" w:lineRule="auto"/>
        <w:rPr>
          <w:sz w:val="20"/>
          <w:szCs w:val="20"/>
          <w:color w:val="auto"/>
        </w:rPr>
      </w:pPr>
      <w:r>
        <w:rPr>
          <w:rFonts w:ascii="Arial" w:cs="Arial" w:eastAsia="Arial" w:hAnsi="Arial"/>
          <w:sz w:val="18"/>
          <w:szCs w:val="18"/>
          <w:color w:val="auto"/>
        </w:rPr>
        <w:t>Mr. Graham, the Chief Executive Officer, and Ms. McDaniel, Senior Vice President and secretary of the Committee (also a named executive officer), attended all Committee meetings during 2013. Veronica Dillon, Senior Vice President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ind w:right="360"/>
        <w:spacing w:after="0" w:line="277" w:lineRule="auto"/>
        <w:rPr>
          <w:sz w:val="20"/>
          <w:szCs w:val="20"/>
          <w:color w:val="auto"/>
        </w:rPr>
      </w:pPr>
      <w:r>
        <w:rPr>
          <w:rFonts w:ascii="Arial" w:cs="Arial" w:eastAsia="Arial" w:hAnsi="Arial"/>
          <w:sz w:val="18"/>
          <w:szCs w:val="18"/>
          <w:color w:val="auto"/>
        </w:rPr>
        <w:t>General Counsel (also a named executive officer), attended one meeting to assist the Committee in determining compensation terms related to the sale of most of the Company’s newspaper publishing and affiliated businesses.</w:t>
      </w:r>
    </w:p>
    <w:p>
      <w:pPr>
        <w:spacing w:after="0" w:line="170" w:lineRule="exact"/>
        <w:rPr>
          <w:sz w:val="20"/>
          <w:szCs w:val="20"/>
          <w:color w:val="auto"/>
        </w:rPr>
      </w:pPr>
    </w:p>
    <w:p>
      <w:pPr>
        <w:jc w:val="both"/>
        <w:ind w:right="160" w:firstLine="770"/>
        <w:spacing w:after="0" w:line="264" w:lineRule="auto"/>
        <w:rPr>
          <w:sz w:val="20"/>
          <w:szCs w:val="20"/>
          <w:color w:val="auto"/>
        </w:rPr>
      </w:pPr>
      <w:r>
        <w:rPr>
          <w:rFonts w:ascii="Arial" w:cs="Arial" w:eastAsia="Arial" w:hAnsi="Arial"/>
          <w:sz w:val="18"/>
          <w:szCs w:val="18"/>
          <w:color w:val="auto"/>
        </w:rPr>
        <w:t>The Committee makes all compensation decisions for the named executive officers of the Company, except those perquisites under $200,000 per named executive officer that may be approved by Mr. Graham. The Committee also approves the compensation of all employees earning annual salaries of $300,000 or more and bonuses of $75,000 or more.</w:t>
      </w:r>
    </w:p>
    <w:p>
      <w:pPr>
        <w:spacing w:after="0" w:line="181" w:lineRule="exact"/>
        <w:rPr>
          <w:sz w:val="20"/>
          <w:szCs w:val="20"/>
          <w:color w:val="auto"/>
        </w:rPr>
      </w:pPr>
    </w:p>
    <w:p>
      <w:pPr>
        <w:ind w:right="260" w:firstLine="770"/>
        <w:spacing w:after="0" w:line="279" w:lineRule="auto"/>
        <w:rPr>
          <w:sz w:val="20"/>
          <w:szCs w:val="20"/>
          <w:color w:val="auto"/>
        </w:rPr>
      </w:pPr>
      <w:r>
        <w:rPr>
          <w:rFonts w:ascii="Arial" w:cs="Arial" w:eastAsia="Arial" w:hAnsi="Arial"/>
          <w:sz w:val="17"/>
          <w:szCs w:val="17"/>
          <w:color w:val="auto"/>
        </w:rPr>
        <w:t>Except for awards involving themselves, Mr. Graham and Ms. McDaniel recommend to the Committee the size of each component of compensation, based on a discussion with the head of the division where the employee works,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w:t>
      </w:r>
    </w:p>
    <w:p>
      <w:pPr>
        <w:spacing w:after="0" w:line="171" w:lineRule="exact"/>
        <w:rPr>
          <w:sz w:val="20"/>
          <w:szCs w:val="20"/>
          <w:color w:val="auto"/>
        </w:rPr>
      </w:pPr>
    </w:p>
    <w:p>
      <w:pPr>
        <w:ind w:right="200" w:firstLine="770"/>
        <w:spacing w:after="0" w:line="297" w:lineRule="auto"/>
        <w:rPr>
          <w:sz w:val="20"/>
          <w:szCs w:val="20"/>
          <w:color w:val="auto"/>
        </w:rPr>
      </w:pPr>
      <w:r>
        <w:rPr>
          <w:rFonts w:ascii="Arial" w:cs="Arial" w:eastAsia="Arial" w:hAnsi="Arial"/>
          <w:sz w:val="16"/>
          <w:szCs w:val="16"/>
          <w:color w:val="auto"/>
        </w:rPr>
        <w:t>At his request, Mr. Graham has not received a raise in his annual salary nor has he received an annual bonus since 1991. He stopped accepting grants of restricted stock in the Company in 2004 and requested that he receive no payment for his performance units beginning with the 2007–2010 award cycle. All compensation for Ms. McDaniel is determined solely by the Chief Executive Officer and the Committee. The Chief Executive Officer and the Committee use the same performance-based criteria to set Ms. McDaniel’s compensation as they do for all other named executive officers and other senior staff (other than Mr. Graham). Ms. McDaniel is asked to leave the Committee meetings when her performance is discussed.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29" w:lineRule="exact"/>
        <w:rPr>
          <w:sz w:val="20"/>
          <w:szCs w:val="20"/>
          <w:color w:val="auto"/>
        </w:rPr>
      </w:pPr>
    </w:p>
    <w:p>
      <w:pPr>
        <w:ind w:firstLine="770"/>
        <w:spacing w:after="0" w:line="312" w:lineRule="auto"/>
        <w:rPr>
          <w:sz w:val="20"/>
          <w:szCs w:val="20"/>
          <w:color w:val="auto"/>
        </w:rPr>
      </w:pPr>
      <w:r>
        <w:rPr>
          <w:rFonts w:ascii="Arial" w:cs="Arial" w:eastAsia="Arial" w:hAnsi="Arial"/>
          <w:sz w:val="16"/>
          <w:szCs w:val="16"/>
          <w:color w:val="auto"/>
        </w:rPr>
        <w:t>To meet its objectives, the Committee asks the Chief Executive Officer and the secretary of the Committee to draft annual and long-term incentive-based cash and non-cash executive compensation plans. The Committee reviews and, in its sole discretion, modifies the formula and goals established for various awards under the plans before the plans take effect, which is typically no later than the end of the first quarter of the first year covered by the plan.</w:t>
      </w:r>
    </w:p>
    <w:p>
      <w:pPr>
        <w:spacing w:after="0" w:line="147" w:lineRule="exact"/>
        <w:rPr>
          <w:sz w:val="20"/>
          <w:szCs w:val="20"/>
          <w:color w:val="auto"/>
        </w:rPr>
      </w:pPr>
    </w:p>
    <w:p>
      <w:pPr>
        <w:ind w:right="100" w:firstLine="770"/>
        <w:spacing w:after="0" w:line="273" w:lineRule="auto"/>
        <w:rPr>
          <w:sz w:val="20"/>
          <w:szCs w:val="20"/>
          <w:color w:val="auto"/>
        </w:rPr>
      </w:pPr>
      <w:r>
        <w:rPr>
          <w:rFonts w:ascii="Arial" w:cs="Arial" w:eastAsia="Arial" w:hAnsi="Arial"/>
          <w:sz w:val="17"/>
          <w:szCs w:val="17"/>
          <w:color w:val="auto"/>
        </w:rPr>
        <w:t>Through the programs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and deems it desirable that certain compensation paid under the 2012 Incentive Compensation Plan meet the requirements of Section 162(m) of the Internal Revenue Code concerning deductibility of executive compensation. However, the Committee reserves the right to put in place certain compensation programs that do not meet those requirements, which may result in compensation payments that are not deductible to the Company, if such programs are otherwise in the best interests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compensation package offered by the Company to its executive officers comprises the following components:</w:t>
      </w:r>
    </w:p>
    <w:p>
      <w:pPr>
        <w:spacing w:after="0" w:line="50" w:lineRule="exact"/>
        <w:rPr>
          <w:sz w:val="20"/>
          <w:szCs w:val="20"/>
          <w:color w:val="auto"/>
        </w:rPr>
      </w:pPr>
    </w:p>
    <w:p>
      <w:pPr>
        <w:ind w:left="1620" w:hanging="31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Short-term incentive compensation in the form of performance-based annual bonuses;</w:t>
      </w:r>
    </w:p>
    <w:p>
      <w:pPr>
        <w:spacing w:after="0" w:line="22" w:lineRule="exact"/>
        <w:rPr>
          <w:rFonts w:ascii="Arial" w:cs="Arial" w:eastAsia="Arial" w:hAnsi="Arial"/>
          <w:sz w:val="18"/>
          <w:szCs w:val="18"/>
          <w:color w:val="auto"/>
        </w:rPr>
      </w:pPr>
    </w:p>
    <w:p>
      <w:pPr>
        <w:ind w:left="1620" w:hanging="31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incentive compensation, typically based on performance over three to four years;</w:t>
      </w:r>
    </w:p>
    <w:p>
      <w:pPr>
        <w:spacing w:after="0" w:line="22" w:lineRule="exact"/>
        <w:rPr>
          <w:rFonts w:ascii="Arial" w:cs="Arial" w:eastAsia="Arial" w:hAnsi="Arial"/>
          <w:sz w:val="18"/>
          <w:szCs w:val="18"/>
          <w:color w:val="auto"/>
        </w:rPr>
      </w:pPr>
    </w:p>
    <w:p>
      <w:pPr>
        <w:ind w:left="1620" w:hanging="31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restricted stock and stock options;</w:t>
      </w:r>
    </w:p>
    <w:p>
      <w:pPr>
        <w:spacing w:after="0" w:line="22" w:lineRule="exact"/>
        <w:rPr>
          <w:rFonts w:ascii="Arial" w:cs="Arial" w:eastAsia="Arial" w:hAnsi="Arial"/>
          <w:sz w:val="18"/>
          <w:szCs w:val="18"/>
          <w:color w:val="auto"/>
        </w:rPr>
      </w:pPr>
    </w:p>
    <w:p>
      <w:pPr>
        <w:ind w:left="1620" w:hanging="31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Perquisites; and</w:t>
      </w:r>
    </w:p>
    <w:p>
      <w:pPr>
        <w:spacing w:after="0" w:line="22" w:lineRule="exact"/>
        <w:rPr>
          <w:rFonts w:ascii="Arial" w:cs="Arial" w:eastAsia="Arial" w:hAnsi="Arial"/>
          <w:sz w:val="18"/>
          <w:szCs w:val="18"/>
          <w:color w:val="auto"/>
        </w:rPr>
      </w:pPr>
    </w:p>
    <w:p>
      <w:pPr>
        <w:ind w:left="1620" w:hanging="31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right="80" w:firstLine="770"/>
        <w:spacing w:after="0" w:line="290" w:lineRule="auto"/>
        <w:rPr>
          <w:sz w:val="20"/>
          <w:szCs w:val="20"/>
          <w:color w:val="auto"/>
        </w:rPr>
      </w:pPr>
      <w:r>
        <w:rPr>
          <w:rFonts w:ascii="Arial" w:cs="Arial" w:eastAsia="Arial" w:hAnsi="Arial"/>
          <w:sz w:val="16"/>
          <w:szCs w:val="16"/>
          <w:color w:val="auto"/>
        </w:rPr>
        <w:t>The Company pays named executive officers base salaries to compensate them for services rendered during the fiscal year. Salaries for named executive officers are based on their responsibilities, their prior experience and their recent performance and are evaluated against market data provided by outside surveys. In 2013, the Committee reviewed data from Towers Watson surveys of U.S. General Industry and Media executives and the Equilar Top 25 Survey. The Company compares its management salaries to those of companies in similar industries and with comparable revenues in order to get a general understanding of the compensation structures maintained by similarly situated companies, but does not target its executive compensation at a certain level or percentage based upon other companies’ arrangements. Salaries are typically reviewed on a 12-month or longer cycle, except when there is a significant change in an executive’s responsibilities during a shorter period of time. Such adjustments are determined by evaluating (i) the scope of the new responsibilities, (ii) the competitive market value of that role, (iii) the performance of the individual and (iv) the performance of the Company.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4" w:right="279" w:bottom="1440" w:gutter="0" w:footer="0" w:header="0"/>
        </w:sectPr>
      </w:pPr>
    </w:p>
    <w:bookmarkStart w:id="19" w:name="page20"/>
    <w:bookmarkEnd w:id="19"/>
    <w:p>
      <w:pPr>
        <w:ind w:firstLine="770"/>
        <w:spacing w:after="0" w:line="272" w:lineRule="auto"/>
        <w:rPr>
          <w:sz w:val="20"/>
          <w:szCs w:val="20"/>
          <w:color w:val="auto"/>
        </w:rPr>
      </w:pPr>
      <w:r>
        <w:rPr>
          <w:rFonts w:ascii="Arial" w:cs="Arial" w:eastAsia="Arial" w:hAnsi="Arial"/>
          <w:sz w:val="17"/>
          <w:szCs w:val="17"/>
          <w:color w:val="auto"/>
        </w:rPr>
        <w:t>With respect to the base salary paid to Mr. Graham in 2013, the Committee took into account a comparison of base salaries paid to chief executive officers of peer education and media companies, the Company’s results in 2012 and Mr. Graham’s performance since 1979, when he became publisher of The Washington Post. The Committee noted that Mr. Graham’s base salary was, and has long been, significantly below the median of base salaries paid to chief executive officers of these peer companies: other prominent media companies, including The New York Times Company and Gannett Co., Inc.; and publicly held education companies, including Apollo Group, Inc., DeVry, Inc., Strayer Education, Inc., and Corinthian Colleges, Inc. However, at Mr. Graham’s request, the Committee left his salary at $400,000. The Committee does not give significance to Mr. Graham’s below-market salary when reviewing and establishing salaries for other named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229" w:lineRule="exact"/>
        <w:rPr>
          <w:sz w:val="20"/>
          <w:szCs w:val="20"/>
          <w:color w:val="auto"/>
        </w:rPr>
      </w:pPr>
    </w:p>
    <w:p>
      <w:pPr>
        <w:ind w:right="20" w:firstLine="770"/>
        <w:spacing w:after="0" w:line="288" w:lineRule="auto"/>
        <w:rPr>
          <w:sz w:val="20"/>
          <w:szCs w:val="20"/>
          <w:color w:val="auto"/>
        </w:rPr>
      </w:pPr>
      <w:r>
        <w:rPr>
          <w:rFonts w:ascii="Arial" w:cs="Arial" w:eastAsia="Arial" w:hAnsi="Arial"/>
          <w:sz w:val="16"/>
          <w:szCs w:val="16"/>
          <w:color w:val="auto"/>
        </w:rPr>
        <w:t>To supplement base salaries and to reward management (including named executive officers and other employees key to the long-term success of the Company) for meeting specific individual and financial goals, the Class A Shareholders of the Company adopted in December 1981 the Long-Term Incentive Compensation Plan. In 2001, the Annual Compensation Plan, originally approved by the Class A Shareholders in February 1974, was combined with the Long-Term Incentive Compensation Plan to create the Incentive Compensation Plan. In May 2012, the Class A and Class B Shareholders of the Company adopted the 2012 Incentive Compensation Plan (the “Plan”). The Incentive Compensation Plan was combined with the Stock Option Plan, which the shareholders reauthorized in 2003, to create the Plan. 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167 employees of the Company who are participants under the Plan and receive annual bonus awards and/or hold restricted stock, and/or stock options and/or grants of Performance Units. Each named executive officer, except Mr. Graham (who only participates in the Performance Units portion of the Plan), participates in each of these programs.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225" w:lineRule="exact"/>
        <w:rPr>
          <w:sz w:val="20"/>
          <w:szCs w:val="20"/>
          <w:color w:val="auto"/>
        </w:rPr>
      </w:pPr>
    </w:p>
    <w:p>
      <w:pPr>
        <w:ind w:right="20" w:firstLine="770"/>
        <w:spacing w:after="0" w:line="291" w:lineRule="auto"/>
        <w:rPr>
          <w:sz w:val="20"/>
          <w:szCs w:val="20"/>
          <w:color w:val="auto"/>
        </w:rPr>
      </w:pPr>
      <w:r>
        <w:rPr>
          <w:rFonts w:ascii="Arial" w:cs="Arial" w:eastAsia="Arial" w:hAnsi="Arial"/>
          <w:sz w:val="16"/>
          <w:szCs w:val="16"/>
          <w:color w:val="auto"/>
        </w:rPr>
        <w:t>The Plan calls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2013 target percentage of base salary for each of the named executive officers was as follows: Mr. Jones, 50%; Mr. Rosberg, 40%; Ms. McDaniel, 70% (to reflect additional responsibilities relating to the management of Slate, Post–Newsweek Media and The Herald); and Ms. Dillon, 40%. Mr. Graham has asked the Committee not to grant him an annual bonus award. In 2014, Ms. McDaniel's bonus target was reduced to 50% of base salary to reflect the sales of Post–Newsweek Media and the Herald, which both occurred in 2013.</w:t>
      </w:r>
    </w:p>
    <w:p>
      <w:pPr>
        <w:spacing w:after="0" w:line="167" w:lineRule="exact"/>
        <w:rPr>
          <w:sz w:val="20"/>
          <w:szCs w:val="20"/>
          <w:color w:val="auto"/>
        </w:rPr>
      </w:pPr>
    </w:p>
    <w:p>
      <w:pPr>
        <w:ind w:right="160" w:firstLine="770"/>
        <w:spacing w:after="0" w:line="257" w:lineRule="auto"/>
        <w:rPr>
          <w:sz w:val="20"/>
          <w:szCs w:val="20"/>
          <w:color w:val="auto"/>
        </w:rPr>
      </w:pPr>
      <w:r>
        <w:rPr>
          <w:rFonts w:ascii="Arial" w:cs="Arial" w:eastAsia="Arial" w:hAnsi="Arial"/>
          <w:sz w:val="18"/>
          <w:szCs w:val="18"/>
          <w:color w:val="auto"/>
        </w:rPr>
        <w:t>In 2013, the annual bonus formula for the named executive officers was based on a diluted earnings per share target because the Committee believed that such a goal would align the interests of shareholders and the named executive officers in growing the value of the Company. Management and the Committee believe that they have designed the targets to be challenging, but achievable. The Company has achieved its financial goals and paid out at target or above in the bonus portion of the Plan in four of the past five years; in one of the past five years, the Company achieved less than 100% of its earnings per share goal, as adjusted to exclude certain items.</w:t>
      </w:r>
    </w:p>
    <w:p>
      <w:pPr>
        <w:spacing w:after="0" w:line="188" w:lineRule="exact"/>
        <w:rPr>
          <w:sz w:val="20"/>
          <w:szCs w:val="20"/>
          <w:color w:val="auto"/>
        </w:rPr>
      </w:pPr>
    </w:p>
    <w:p>
      <w:pPr>
        <w:ind w:right="100" w:firstLine="770"/>
        <w:spacing w:after="0" w:line="257" w:lineRule="auto"/>
        <w:rPr>
          <w:sz w:val="20"/>
          <w:szCs w:val="20"/>
          <w:color w:val="auto"/>
        </w:rPr>
      </w:pPr>
      <w:r>
        <w:rPr>
          <w:rFonts w:ascii="Arial" w:cs="Arial" w:eastAsia="Arial" w:hAnsi="Arial"/>
          <w:sz w:val="18"/>
          <w:szCs w:val="18"/>
          <w:color w:val="auto"/>
        </w:rPr>
        <w:t>The original diluted earnings per share goal for 2013 was $20.12; however the Committee adjusted the goal to exclude the impact of discontinued operations, resulting in a revised diluted earnings per share goal of $23.54. In setting the original goal, the Committee established a formula for bonus purposes that included adjustments for certain items, to the extent that actual amounts varied from those in the 2013 annual budget. Specifically, these adjustments included credits for unbudgeted divestitures and a pension budget variance, offset by additions for foreign exchange losses, acquisitions and a Kaplan stock compensation expense budget variance.</w:t>
      </w:r>
    </w:p>
    <w:p>
      <w:pPr>
        <w:spacing w:after="0" w:line="188" w:lineRule="exact"/>
        <w:rPr>
          <w:sz w:val="20"/>
          <w:szCs w:val="20"/>
          <w:color w:val="auto"/>
        </w:rPr>
      </w:pPr>
    </w:p>
    <w:p>
      <w:pPr>
        <w:ind w:right="20" w:firstLine="770"/>
        <w:spacing w:after="0" w:line="273" w:lineRule="auto"/>
        <w:rPr>
          <w:sz w:val="20"/>
          <w:szCs w:val="20"/>
          <w:color w:val="auto"/>
        </w:rPr>
      </w:pPr>
      <w:r>
        <w:rPr>
          <w:rFonts w:ascii="Arial" w:cs="Arial" w:eastAsia="Arial" w:hAnsi="Arial"/>
          <w:sz w:val="17"/>
          <w:szCs w:val="17"/>
          <w:color w:val="auto"/>
        </w:rPr>
        <w:t>In calculating the Company’s achievement of 2013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unbudgeted restructuring charges at Kaplan, a non-cash intangible and other long-lived assets impairment charge at one of the Kaplan businesses, a write-down of a marketable equity security, other investment write-downs and unbudgeted costs related to the sale of certain publishing businesses. The Committee adjusted for these items as they do not relate to the regular operating results that are customarily considered by the Committee in determining bonus amounts.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4" w:right="279" w:bottom="1440" w:gutter="0" w:footer="0" w:header="0"/>
        </w:sectPr>
      </w:pPr>
    </w:p>
    <w:bookmarkStart w:id="20" w:name="page21"/>
    <w:bookmarkEnd w:id="20"/>
    <w:p>
      <w:pPr>
        <w:jc w:val="both"/>
        <w:ind w:right="120"/>
        <w:spacing w:after="0" w:line="342" w:lineRule="auto"/>
        <w:rPr>
          <w:sz w:val="20"/>
          <w:szCs w:val="20"/>
          <w:color w:val="auto"/>
        </w:rPr>
      </w:pPr>
      <w:r>
        <w:rPr>
          <w:rFonts w:ascii="Arial" w:cs="Arial" w:eastAsia="Arial" w:hAnsi="Arial"/>
          <w:sz w:val="16"/>
          <w:szCs w:val="16"/>
          <w:color w:val="auto"/>
        </w:rPr>
        <w:t>exhibit to the Company’s Form 8-K filed on February 21, 2014, detailed most of these items, as does page 40 of the Company’s Annual Report on Form 10-K, filed on February 28, 2014. These items collectively amounted to $2.30 in diluted earnings per share net additions, or 70% of the total adjustments made.</w:t>
      </w:r>
    </w:p>
    <w:p>
      <w:pPr>
        <w:spacing w:after="0" w:line="124" w:lineRule="exact"/>
        <w:rPr>
          <w:sz w:val="20"/>
          <w:szCs w:val="20"/>
          <w:color w:val="auto"/>
        </w:rPr>
      </w:pPr>
    </w:p>
    <w:p>
      <w:pPr>
        <w:ind w:firstLine="770"/>
        <w:spacing w:after="0" w:line="279" w:lineRule="auto"/>
        <w:rPr>
          <w:sz w:val="20"/>
          <w:szCs w:val="20"/>
          <w:color w:val="auto"/>
        </w:rPr>
      </w:pPr>
      <w:r>
        <w:rPr>
          <w:rFonts w:ascii="Arial" w:cs="Arial" w:eastAsia="Arial" w:hAnsi="Arial"/>
          <w:sz w:val="17"/>
          <w:szCs w:val="17"/>
          <w:color w:val="auto"/>
        </w:rPr>
        <w:t>Taking into account these adjustments, the Company’s 2013 diluted earnings per share, as adjusted for purposes of the bonus determination, was $30.14 (compared to reported diluted earnings per share from continuing operations of $25.78), resulting in the Company’s achievement of 128% of its revised earnings per share goal for 2013. Annual bonuses are paid at a maximum of 175% of target for earnings per share performance of 135% of budget. As a result, the annual bonus payout was approximately 165% of target, based on the established annual formula.</w:t>
      </w:r>
    </w:p>
    <w:p>
      <w:pPr>
        <w:spacing w:after="0" w:line="171" w:lineRule="exact"/>
        <w:rPr>
          <w:sz w:val="20"/>
          <w:szCs w:val="20"/>
          <w:color w:val="auto"/>
        </w:rPr>
      </w:pPr>
    </w:p>
    <w:p>
      <w:pPr>
        <w:ind w:right="200" w:firstLine="770"/>
        <w:spacing w:after="0" w:line="257" w:lineRule="auto"/>
        <w:rPr>
          <w:sz w:val="20"/>
          <w:szCs w:val="20"/>
          <w:color w:val="auto"/>
        </w:rPr>
      </w:pPr>
      <w:r>
        <w:rPr>
          <w:rFonts w:ascii="Arial" w:cs="Arial" w:eastAsia="Arial" w:hAnsi="Arial"/>
          <w:sz w:val="18"/>
          <w:szCs w:val="18"/>
          <w:color w:val="auto"/>
        </w:rPr>
        <w:t>In addition to the annual bonus based on a pre-established formula, in 2013, the Committee exercised its discretion to award special bonus payments to certain individuals, including three of the named executive officers, who were integral to the closing of the sale of most of the Company’s newspaper publishing and affiliated businesses, which is defined below as the WPM Transaction. Specifically, the Committee awarded special payments in the amount of $500,000 to each of Ms. Dillon and Mr. Jones and $200,000 to Ms. McDaniel in recognition of their extraordinary efforts in connection with the WPM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00" w:firstLine="770"/>
        <w:spacing w:after="0" w:line="255" w:lineRule="auto"/>
        <w:rPr>
          <w:sz w:val="20"/>
          <w:szCs w:val="20"/>
          <w:color w:val="auto"/>
        </w:rPr>
      </w:pPr>
      <w:r>
        <w:rPr>
          <w:rFonts w:ascii="Arial" w:cs="Arial" w:eastAsia="Arial" w:hAnsi="Arial"/>
          <w:sz w:val="18"/>
          <w:szCs w:val="18"/>
          <w:color w:val="auto"/>
        </w:rPr>
        <w:t>No target stock ownership level exists for the named executive officers, but to align the interests of Shareholders and management and to ensure that the full potential of an executive’s compensation package cannot be realized unless stock appreciation occurs over a number of years, the Plan also provides for grants of restricted stock in the Company. To determine the number of shares to be granted, the Committee considers on an individual basis the likely value of shares already held, the level of contribution the employee has previously made and the potential of the employee to bring additional value to the Company. The shares are vested at the end of the restriction period, usually four years, and vesting does not accelerate under their terms, except at the discretion of the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ind w:right="60" w:firstLine="729"/>
        <w:spacing w:after="0" w:line="291" w:lineRule="auto"/>
        <w:rPr>
          <w:sz w:val="20"/>
          <w:szCs w:val="20"/>
          <w:color w:val="auto"/>
        </w:rPr>
      </w:pPr>
      <w:r>
        <w:rPr>
          <w:rFonts w:ascii="Arial" w:cs="Arial" w:eastAsia="Arial" w:hAnsi="Arial"/>
          <w:sz w:val="16"/>
          <w:szCs w:val="16"/>
          <w:color w:val="auto"/>
        </w:rPr>
        <w:t>To highlight specific long-term financial goals, the Plan provides for Performance Unit Plans. All named executive officers participate in these plans, in which performance-based goals are determined at the beginning of each four-year award cycle. The goals consider operating income, peer company performance, cash flow, earnings per share, measures of economic value added, and/or quantitative revenue growth or profitability measurements of the Company as a whole or of individual business units. Management and the Committee believe that they have designed the performance-based goals to be challenging, but achievable. In three of the past four award cycles, the Company exceeded its goals and paid out above target. In one of the past four award cycles, the targeted performance goals were not met and the plan paid out below target. Each performance unit has a nominal value of $100. The maximum payout of performance units is $200 per unit, and the payment of a total award to any individual at the end of an award cycle may not exceed $5 million.</w:t>
      </w:r>
    </w:p>
    <w:p>
      <w:pPr>
        <w:spacing w:after="0" w:line="167" w:lineRule="exact"/>
        <w:rPr>
          <w:sz w:val="20"/>
          <w:szCs w:val="20"/>
          <w:color w:val="auto"/>
        </w:rPr>
      </w:pPr>
    </w:p>
    <w:p>
      <w:pPr>
        <w:ind w:right="180" w:firstLine="729"/>
        <w:spacing w:after="0" w:line="257" w:lineRule="auto"/>
        <w:rPr>
          <w:sz w:val="20"/>
          <w:szCs w:val="20"/>
          <w:color w:val="auto"/>
        </w:rPr>
      </w:pPr>
      <w:r>
        <w:rPr>
          <w:rFonts w:ascii="Arial" w:cs="Arial" w:eastAsia="Arial" w:hAnsi="Arial"/>
          <w:sz w:val="18"/>
          <w:szCs w:val="18"/>
          <w:color w:val="auto"/>
        </w:rPr>
        <w:t>For each cycle under a Performance Unit Plan, the Committee establishes a valuation formula at the start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 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88" w:lineRule="exact"/>
        <w:rPr>
          <w:sz w:val="20"/>
          <w:szCs w:val="20"/>
          <w:color w:val="auto"/>
        </w:rPr>
      </w:pPr>
    </w:p>
    <w:p>
      <w:pPr>
        <w:ind w:right="40" w:firstLine="729"/>
        <w:spacing w:after="0" w:line="257" w:lineRule="auto"/>
        <w:rPr>
          <w:sz w:val="20"/>
          <w:szCs w:val="20"/>
          <w:color w:val="auto"/>
        </w:rPr>
      </w:pPr>
      <w:r>
        <w:rPr>
          <w:rFonts w:ascii="Arial" w:cs="Arial" w:eastAsia="Arial" w:hAnsi="Arial"/>
          <w:sz w:val="18"/>
          <w:szCs w:val="18"/>
          <w:color w:val="auto"/>
        </w:rPr>
        <w:t>Washington Post Media (“WPM”) was comprised of most of the Company’s former newspaper publishing and affiliated businesses, sold to Nash Holdings LLC (“Nash”). WPM comprised the following subsidiaries: WP Company LLC, Express Publications Company, LLC and El Tiempo Latino LLC. Post–Newsweek Media LLC, Greater Washington Publishing, LLC and Robinson Terminal Warehouse LLC were also sold to Nash. The sale to Nash was completed in October 2013 (the “WPM Transaction”). As a result of the WPM Transaction, the Committee in January 2014 revised the valuation formulas of the 2011–2014 and 2013–2016 cycles.</w:t>
      </w:r>
    </w:p>
    <w:p>
      <w:pPr>
        <w:spacing w:after="0" w:line="188" w:lineRule="exact"/>
        <w:rPr>
          <w:sz w:val="20"/>
          <w:szCs w:val="20"/>
          <w:color w:val="auto"/>
        </w:rPr>
      </w:pPr>
    </w:p>
    <w:p>
      <w:pPr>
        <w:ind w:right="140" w:firstLine="716"/>
        <w:spacing w:after="0" w:line="291" w:lineRule="auto"/>
        <w:rPr>
          <w:sz w:val="20"/>
          <w:szCs w:val="20"/>
          <w:color w:val="auto"/>
        </w:rPr>
      </w:pPr>
      <w:r>
        <w:rPr>
          <w:rFonts w:ascii="Arial" w:cs="Arial" w:eastAsia="Arial" w:hAnsi="Arial"/>
          <w:sz w:val="16"/>
          <w:szCs w:val="16"/>
          <w:color w:val="auto"/>
        </w:rPr>
        <w:t>Awards under the 2011–2014 cycle are based on a three-pronged formula. The 2011–2014 cycle formula consists of an average of the value of the performance units allocable to the 2011–2014 performance of WPM, Cable ONE, Inc. (“Cable ONE”) and Post–Newsweek Stations, Inc. (“PNS”)</w:t>
      </w:r>
    </w:p>
    <w:p>
      <w:pPr>
        <w:ind w:right="200"/>
        <w:spacing w:after="0" w:line="255" w:lineRule="auto"/>
        <w:rPr>
          <w:sz w:val="20"/>
          <w:szCs w:val="20"/>
          <w:color w:val="auto"/>
        </w:rPr>
      </w:pPr>
      <w:r>
        <w:rPr>
          <w:rFonts w:ascii="Arial" w:cs="Arial" w:eastAsia="Arial" w:hAnsi="Arial"/>
          <w:sz w:val="18"/>
          <w:szCs w:val="18"/>
          <w:color w:val="auto"/>
        </w:rPr>
        <w:t>(49%); plus an average of the value of the performance units allocable to 2011–2014 performance of Cable ONE and PNS (16%); plus an amount based on Kaplan’s achievement of cumulative operating income goals during the four-year period, excluding Kaplan stock compensation expense and restructuring charges (35%).</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sectPr>
      </w:pPr>
    </w:p>
    <w:bookmarkStart w:id="21" w:name="page22"/>
    <w:bookmarkEnd w:id="21"/>
    <w:p>
      <w:pPr>
        <w:jc w:val="both"/>
        <w:ind w:right="140" w:firstLine="716"/>
        <w:spacing w:after="0" w:line="286" w:lineRule="auto"/>
        <w:rPr>
          <w:sz w:val="20"/>
          <w:szCs w:val="20"/>
          <w:color w:val="auto"/>
        </w:rPr>
      </w:pPr>
      <w:r>
        <w:rPr>
          <w:rFonts w:ascii="Arial" w:cs="Arial" w:eastAsia="Arial" w:hAnsi="Arial"/>
          <w:sz w:val="17"/>
          <w:szCs w:val="17"/>
          <w:color w:val="auto"/>
        </w:rPr>
        <w:t>Awards under the 2013–2016 cycle are based on a two-pronged formula. The 2013–2016 cycle formula consists of an average of the value of the performance units allocable to performance of Cable ONE and PNS (65%), plus an amount based on Kaplan’s achievement of cumulative operating income goals during the four-year period, excluding Kaplan stock compensation expense and restructuring charge (35%).</w:t>
      </w:r>
    </w:p>
    <w:p>
      <w:pPr>
        <w:spacing w:after="0" w:line="166" w:lineRule="exact"/>
        <w:rPr>
          <w:sz w:val="20"/>
          <w:szCs w:val="20"/>
          <w:color w:val="auto"/>
        </w:rPr>
      </w:pPr>
    </w:p>
    <w:p>
      <w:pPr>
        <w:ind w:right="40" w:firstLine="716"/>
        <w:spacing w:after="0" w:line="264" w:lineRule="auto"/>
        <w:rPr>
          <w:sz w:val="20"/>
          <w:szCs w:val="20"/>
          <w:color w:val="auto"/>
        </w:rPr>
      </w:pPr>
      <w:r>
        <w:rPr>
          <w:rFonts w:ascii="Arial" w:cs="Arial" w:eastAsia="Arial" w:hAnsi="Arial"/>
          <w:sz w:val="18"/>
          <w:szCs w:val="18"/>
          <w:color w:val="auto"/>
        </w:rPr>
        <w:t>The Committee selected these targets because they reflected the key priorities for the Company on the grant date for the applicable time periods. The values of Performance Units in the 2011–2014 and 2013–2016 cycles are determined at the conclusion of those cycles, based on the performance criteria described below.</w:t>
      </w:r>
    </w:p>
    <w:p>
      <w:pPr>
        <w:spacing w:after="0" w:line="181" w:lineRule="exact"/>
        <w:rPr>
          <w:sz w:val="20"/>
          <w:szCs w:val="20"/>
          <w:color w:val="auto"/>
        </w:rPr>
      </w:pPr>
    </w:p>
    <w:p>
      <w:pPr>
        <w:ind w:right="540" w:firstLine="716"/>
        <w:spacing w:after="0" w:line="277" w:lineRule="auto"/>
        <w:rPr>
          <w:sz w:val="20"/>
          <w:szCs w:val="20"/>
          <w:color w:val="auto"/>
        </w:rPr>
      </w:pPr>
      <w:r>
        <w:rPr>
          <w:rFonts w:ascii="Arial" w:cs="Arial" w:eastAsia="Arial" w:hAnsi="Arial"/>
          <w:sz w:val="18"/>
          <w:szCs w:val="18"/>
          <w:color w:val="auto"/>
        </w:rPr>
        <w:t>The performance measure used in the formula at WPM under the 2011–2014 cycle is cumulative operating income over the four-year period relative to a break-even target. Valuations of performance units, based on this measure are as follows:</w:t>
      </w:r>
    </w:p>
    <w:p>
      <w:pPr>
        <w:spacing w:after="0" w:line="105"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b w:val="1"/>
                <w:bCs w:val="1"/>
                <w:color w:val="auto"/>
                <w:w w:val="91"/>
              </w:rPr>
              <w:t>Performance</w:t>
            </w: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Unit Value</w:t>
            </w:r>
          </w:p>
        </w:tc>
      </w:tr>
      <w:tr>
        <w:trPr>
          <w:trHeight w:val="20"/>
        </w:trPr>
        <w:tc>
          <w:tcPr>
            <w:tcW w:w="8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480" w:type="dxa"/>
            <w:vAlign w:val="bottom"/>
            <w:gridSpan w:val="2"/>
          </w:tcPr>
          <w:p>
            <w:pPr>
              <w:spacing w:after="0"/>
              <w:rPr>
                <w:sz w:val="20"/>
                <w:szCs w:val="20"/>
                <w:color w:val="auto"/>
              </w:rPr>
            </w:pPr>
            <w:r>
              <w:rPr>
                <w:rFonts w:ascii="Arial" w:cs="Arial" w:eastAsia="Arial" w:hAnsi="Arial"/>
                <w:sz w:val="18"/>
                <w:szCs w:val="18"/>
                <w:color w:val="auto"/>
              </w:rPr>
              <w:t>Greater than $86M</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$66M to $85M</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$36M to $65M</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$0M to $35M</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Less than $0M</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all cases, the performance measure of operating income excludes pension expense.</w:t>
      </w:r>
    </w:p>
    <w:p>
      <w:pPr>
        <w:spacing w:after="0" w:line="225" w:lineRule="exact"/>
        <w:rPr>
          <w:sz w:val="20"/>
          <w:szCs w:val="20"/>
          <w:color w:val="auto"/>
        </w:rPr>
      </w:pPr>
    </w:p>
    <w:p>
      <w:pPr>
        <w:jc w:val="both"/>
        <w:ind w:right="120" w:firstLine="729"/>
        <w:spacing w:after="0" w:line="312" w:lineRule="auto"/>
        <w:rPr>
          <w:sz w:val="20"/>
          <w:szCs w:val="20"/>
          <w:color w:val="auto"/>
        </w:rPr>
      </w:pPr>
      <w:r>
        <w:rPr>
          <w:rFonts w:ascii="Arial" w:cs="Arial" w:eastAsia="Arial" w:hAnsi="Arial"/>
          <w:sz w:val="16"/>
          <w:szCs w:val="16"/>
          <w:color w:val="auto"/>
        </w:rPr>
        <w:t>As a result of the WPM Transaction, awards under WPM’s 2011–2014 cycle were valued in October 2013, based on 2011–2013 performance. For WPM’s 2011–2014 cycle, the Committee determined a payout value of $75 per unit with respect to the portion of performance attributable to WPM, which will not become payable until the 2011-2014 cycle is complete and the Company's cumulative performance during the cycle is known.</w:t>
      </w:r>
    </w:p>
    <w:p>
      <w:pPr>
        <w:spacing w:after="0" w:line="147" w:lineRule="exact"/>
        <w:rPr>
          <w:sz w:val="20"/>
          <w:szCs w:val="20"/>
          <w:color w:val="auto"/>
        </w:rPr>
      </w:pPr>
    </w:p>
    <w:p>
      <w:pPr>
        <w:ind w:right="100" w:firstLine="729"/>
        <w:spacing w:after="0" w:line="264" w:lineRule="auto"/>
        <w:rPr>
          <w:sz w:val="20"/>
          <w:szCs w:val="20"/>
          <w:color w:val="auto"/>
        </w:rPr>
      </w:pPr>
      <w:r>
        <w:rPr>
          <w:rFonts w:ascii="Arial" w:cs="Arial" w:eastAsia="Arial" w:hAnsi="Arial"/>
          <w:sz w:val="18"/>
          <w:szCs w:val="18"/>
          <w:color w:val="auto"/>
        </w:rPr>
        <w:t>The performance measure used in the formula for Cable ONE for both the 2011–2014 and 2013–2016 cycles is cumulative free cash flow over the applicable four-year period relative to a target amount. Free cash flow is defined as operating income, plus depreciation and amortization, less capital expenditures. Valuations of performance units, based on this measure, are as follows:</w:t>
      </w:r>
    </w:p>
    <w:p>
      <w:pPr>
        <w:spacing w:after="0" w:line="116"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b w:val="1"/>
                <w:bCs w:val="1"/>
                <w:color w:val="auto"/>
                <w:w w:val="91"/>
              </w:rPr>
              <w:t>Performance</w:t>
            </w: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Unit Value</w:t>
            </w:r>
          </w:p>
        </w:tc>
      </w:tr>
      <w:tr>
        <w:trPr>
          <w:trHeight w:val="20"/>
        </w:trPr>
        <w:tc>
          <w:tcPr>
            <w:tcW w:w="8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800" w:type="dxa"/>
            <w:vAlign w:val="bottom"/>
          </w:tcPr>
          <w:p>
            <w:pPr>
              <w:spacing w:after="0"/>
              <w:rPr>
                <w:sz w:val="20"/>
                <w:szCs w:val="20"/>
                <w:color w:val="auto"/>
              </w:rPr>
            </w:pPr>
            <w:r>
              <w:rPr>
                <w:rFonts w:ascii="Arial" w:cs="Arial" w:eastAsia="Arial" w:hAnsi="Arial"/>
                <w:sz w:val="18"/>
                <w:szCs w:val="18"/>
                <w:color w:val="auto"/>
              </w:rPr>
              <w:t>110%</w:t>
            </w:r>
          </w:p>
        </w:tc>
        <w:tc>
          <w:tcPr>
            <w:tcW w:w="1540" w:type="dxa"/>
            <w:vAlign w:val="bottom"/>
          </w:tcPr>
          <w:p>
            <w:pPr>
              <w:spacing w:after="0"/>
              <w:rPr>
                <w:sz w:val="22"/>
                <w:szCs w:val="22"/>
                <w:color w:val="auto"/>
              </w:rPr>
            </w:pP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1540" w:type="dxa"/>
            <w:vAlign w:val="bottom"/>
          </w:tcPr>
          <w:p>
            <w:pPr>
              <w:spacing w:after="0"/>
              <w:rPr>
                <w:sz w:val="23"/>
                <w:szCs w:val="23"/>
                <w:color w:val="auto"/>
              </w:rPr>
            </w:pP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2340" w:type="dxa"/>
            <w:vAlign w:val="bottom"/>
            <w:gridSpan w:val="2"/>
          </w:tcPr>
          <w:p>
            <w:pPr>
              <w:spacing w:after="0"/>
              <w:rPr>
                <w:sz w:val="20"/>
                <w:szCs w:val="20"/>
                <w:color w:val="auto"/>
              </w:rPr>
            </w:pPr>
            <w:r>
              <w:rPr>
                <w:rFonts w:ascii="Arial" w:cs="Arial" w:eastAsia="Arial" w:hAnsi="Arial"/>
                <w:sz w:val="18"/>
                <w:szCs w:val="18"/>
                <w:color w:val="auto"/>
              </w:rPr>
              <w:t>100% Target</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91%</w:t>
            </w:r>
          </w:p>
        </w:tc>
        <w:tc>
          <w:tcPr>
            <w:tcW w:w="1540" w:type="dxa"/>
            <w:vAlign w:val="bottom"/>
          </w:tcPr>
          <w:p>
            <w:pPr>
              <w:spacing w:after="0"/>
              <w:rPr>
                <w:sz w:val="23"/>
                <w:szCs w:val="23"/>
                <w:color w:val="auto"/>
              </w:rPr>
            </w:pP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2340" w:type="dxa"/>
            <w:vAlign w:val="bottom"/>
            <w:gridSpan w:val="2"/>
          </w:tcPr>
          <w:p>
            <w:pPr>
              <w:spacing w:after="0"/>
              <w:rPr>
                <w:sz w:val="20"/>
                <w:szCs w:val="20"/>
                <w:color w:val="auto"/>
              </w:rPr>
            </w:pPr>
            <w:r>
              <w:rPr>
                <w:rFonts w:ascii="Arial" w:cs="Arial" w:eastAsia="Arial" w:hAnsi="Arial"/>
                <w:sz w:val="18"/>
                <w:szCs w:val="18"/>
                <w:color w:val="auto"/>
              </w:rPr>
              <w:t>Less than 91%</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firstLine="770"/>
        <w:spacing w:after="0" w:line="276" w:lineRule="auto"/>
        <w:rPr>
          <w:sz w:val="20"/>
          <w:szCs w:val="20"/>
          <w:color w:val="auto"/>
        </w:rPr>
      </w:pPr>
      <w:r>
        <w:rPr>
          <w:rFonts w:ascii="Arial" w:cs="Arial" w:eastAsia="Arial" w:hAnsi="Arial"/>
          <w:sz w:val="17"/>
          <w:szCs w:val="17"/>
          <w:color w:val="auto"/>
        </w:rPr>
        <w:t>The performance measure used for PNS for both the 2011–2014 and 2013–2016 cycles is PNS’s cumulative cash flow margin ranking over the applicable four-year period compared to the cash flow margins of selected peer companies at the end of the award cycle. Cash flow margin is computed based on operating income plus depreciation and amortization, as a percentage of revenue. As soon as practical after the award cycle, the Committee determines PNS’s cash flow margin rank among the cash flow margins of the peer companies and determines the payout value of each performance unit. The value of each performance unit is determined as set forth in the following table:</w:t>
      </w:r>
    </w:p>
    <w:p>
      <w:pPr>
        <w:spacing w:after="0" w:line="107"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Arial" w:cs="Arial" w:eastAsia="Arial" w:hAnsi="Arial"/>
                <w:sz w:val="14"/>
                <w:szCs w:val="14"/>
                <w:b w:val="1"/>
                <w:bCs w:val="1"/>
                <w:color w:val="auto"/>
                <w:w w:val="95"/>
              </w:rPr>
              <w:t>PNS Cash Flow Margin Rank</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Unit Value</w:t>
            </w:r>
          </w:p>
        </w:tc>
      </w:tr>
      <w:tr>
        <w:trPr>
          <w:trHeight w:val="20"/>
        </w:trPr>
        <w:tc>
          <w:tcPr>
            <w:tcW w:w="1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22"/>
                <w:szCs w:val="22"/>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3"/>
                <w:szCs w:val="23"/>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23"/>
                <w:szCs w:val="23"/>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Below #3</w:t>
            </w: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PNS formula for both the 2011–2014 and 2013–2016 cycles provides that the payout value will be increased by $12.50 for each of the four years during the award cycle in which PNS’s actual cash flow margin is not only number one among peer companies, but is also 2% higher than the nearest competitor among the peer companies. The formula also provides that the payout value will be reduced by 50% if PNS does not produce operating income in one of the four years during the award cycle. If PNS does not produce operating income for at least two years in the cycle, then there will be no payout with respect to the portion of performance attributable to PNS.</w:t>
      </w:r>
    </w:p>
    <w:p>
      <w:pPr>
        <w:spacing w:after="0" w:line="188" w:lineRule="exact"/>
        <w:rPr>
          <w:sz w:val="20"/>
          <w:szCs w:val="20"/>
          <w:color w:val="auto"/>
        </w:rPr>
      </w:pPr>
    </w:p>
    <w:p>
      <w:pPr>
        <w:ind w:right="560" w:firstLine="770"/>
        <w:spacing w:after="0" w:line="277" w:lineRule="auto"/>
        <w:rPr>
          <w:sz w:val="20"/>
          <w:szCs w:val="20"/>
          <w:color w:val="auto"/>
        </w:rPr>
      </w:pPr>
      <w:r>
        <w:rPr>
          <w:rFonts w:ascii="Arial" w:cs="Arial" w:eastAsia="Arial" w:hAnsi="Arial"/>
          <w:sz w:val="18"/>
          <w:szCs w:val="18"/>
          <w:color w:val="auto"/>
        </w:rPr>
        <w:t>Because the performance measures that compose the valuation formula for performance units are cumulative for the measures applicable to Kaplan, WPM, Cable ONE and PNS, it is not possible to calculate with certainty any interim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4" w:right="27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performance unit values mid-cycle, and no named executive officer is entitled to any payout until the Performance Units vest and the Committee approves the valuation at the conclusion of the cycle.</w:t>
      </w:r>
    </w:p>
    <w:p>
      <w:pPr>
        <w:spacing w:after="0" w:line="170" w:lineRule="exact"/>
        <w:rPr>
          <w:sz w:val="20"/>
          <w:szCs w:val="20"/>
          <w:color w:val="auto"/>
        </w:rPr>
      </w:pPr>
    </w:p>
    <w:p>
      <w:pPr>
        <w:ind w:right="120" w:firstLine="770"/>
        <w:spacing w:after="0" w:line="277" w:lineRule="auto"/>
        <w:rPr>
          <w:sz w:val="20"/>
          <w:szCs w:val="20"/>
          <w:color w:val="auto"/>
        </w:rPr>
      </w:pPr>
      <w:r>
        <w:rPr>
          <w:rFonts w:ascii="Arial" w:cs="Arial" w:eastAsia="Arial" w:hAnsi="Arial"/>
          <w:sz w:val="18"/>
          <w:szCs w:val="18"/>
          <w:color w:val="auto"/>
        </w:rPr>
        <w:t>Mr. Graham holds 9,750 units in each of the 2011–2014 and 2013–2016 cycles. Mr. Jones, Mr. Rosberg, Ms. McDaniel and Ms. Dillon each holds 6,000 units in the 2011–2014 cycle and 6,500 units in the 2013–2016 cycle.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firstLine="770"/>
        <w:spacing w:after="0" w:line="291" w:lineRule="auto"/>
        <w:rPr>
          <w:sz w:val="20"/>
          <w:szCs w:val="20"/>
          <w:color w:val="auto"/>
        </w:rPr>
      </w:pPr>
      <w:r>
        <w:rPr>
          <w:rFonts w:ascii="Arial" w:cs="Arial" w:eastAsia="Arial" w:hAnsi="Arial"/>
          <w:sz w:val="16"/>
          <w:szCs w:val="16"/>
          <w:color w:val="auto"/>
        </w:rPr>
        <w:t>Although the Company grants stock options sparingly, the Plan provides that shares of Class B Stock can be issued upon the exercise of stock options that have been granted to key employees of the Company. The Committee grants options only when a key employee has made a significant contribution to the Company and demonstrates the ability to contribute more. The options generally vest 25% per year, over four years, and expire ten years from the grant date. As of the end of the Company’s 2013 fiscal year, Mr. Jones held options to acquire 4,000 shares of Class B Stock (3,000 granted in 2008 and 1,000 granted in 2010); Mr. Rosberg held options to acquire 1,000 shares of Class B Stock, granted in 2008; Ms. McDaniel held options to acquire 2,000 shares of Class B Stock (1,000 granted in 2004 and 1,000 granted in 2008); and Ms. Dillon held options to acquire 1,000 shares of Class B Stock, granted in 2008. Given Mr. Graham’s significant ownership in the Company, the Committee has not granted any stock options to Mr. Graham.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229" w:lineRule="exact"/>
        <w:rPr>
          <w:sz w:val="20"/>
          <w:szCs w:val="20"/>
          <w:color w:val="auto"/>
        </w:rPr>
      </w:pPr>
    </w:p>
    <w:p>
      <w:pPr>
        <w:ind w:right="560" w:firstLine="770"/>
        <w:spacing w:after="0" w:line="277" w:lineRule="auto"/>
        <w:rPr>
          <w:sz w:val="20"/>
          <w:szCs w:val="20"/>
          <w:color w:val="auto"/>
        </w:rPr>
      </w:pPr>
      <w:r>
        <w:rPr>
          <w:rFonts w:ascii="Arial" w:cs="Arial" w:eastAsia="Arial" w:hAnsi="Arial"/>
          <w:sz w:val="18"/>
          <w:szCs w:val="18"/>
          <w:color w:val="auto"/>
        </w:rPr>
        <w:t>The Company provides few perquisites for the named executive officers. In 2013, Ms. McDaniel received financial and tax advice valued at $10,466. Ms. Dillon received financial planning services and reimbursement for living expenses valued at $75,729.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29" w:lineRule="exact"/>
        <w:rPr>
          <w:sz w:val="20"/>
          <w:szCs w:val="20"/>
          <w:color w:val="auto"/>
        </w:rPr>
      </w:pPr>
    </w:p>
    <w:p>
      <w:pPr>
        <w:ind w:right="100" w:firstLine="770"/>
        <w:spacing w:after="0" w:line="264" w:lineRule="auto"/>
        <w:rPr>
          <w:sz w:val="20"/>
          <w:szCs w:val="20"/>
          <w:color w:val="auto"/>
        </w:rPr>
      </w:pPr>
      <w:r>
        <w:rPr>
          <w:rFonts w:ascii="Arial" w:cs="Arial" w:eastAsia="Arial" w:hAnsi="Arial"/>
          <w:sz w:val="18"/>
          <w:szCs w:val="18"/>
          <w:color w:val="auto"/>
        </w:rPr>
        <w:t>Most employees in the Company, including named executive officers, are eligible to participate in the Company’s qualified defined contribution 401(k) and defined benefit retirement programs. Benefits under these plans are determined on the basis of base salary only, exclusive of all bonuses, deferred compensation and other forms of remuneration.</w:t>
      </w:r>
    </w:p>
    <w:p>
      <w:pPr>
        <w:spacing w:after="0" w:line="181" w:lineRule="exact"/>
        <w:rPr>
          <w:sz w:val="20"/>
          <w:szCs w:val="20"/>
          <w:color w:val="auto"/>
        </w:rPr>
      </w:pPr>
    </w:p>
    <w:p>
      <w:pPr>
        <w:ind w:firstLine="770"/>
        <w:spacing w:after="0" w:line="277" w:lineRule="auto"/>
        <w:rPr>
          <w:sz w:val="20"/>
          <w:szCs w:val="20"/>
          <w:color w:val="auto"/>
        </w:rPr>
      </w:pPr>
      <w:r>
        <w:rPr>
          <w:rFonts w:ascii="Arial" w:cs="Arial" w:eastAsia="Arial" w:hAnsi="Arial"/>
          <w:sz w:val="16"/>
          <w:szCs w:val="16"/>
          <w:color w:val="auto"/>
        </w:rPr>
        <w:t>Eligible Corporate employees hired on or after September 1, 2009, participate in the Cash Balance Retirement Program (“CBRP”). Eligible Corporate employees who were actively employed on or after August 1, 2012, also participate in the Secure Retirement Account (“SRA”). Both the CBRP and the SRA are defined benefit programs in which participant account balances grow through quarterly pay-based credits and quarterly interest credits. Corporate employees hired prior to September 1, 2009, including all named executive officers who are vested and who begin to take their pension benefit at age 65 or whose age and years of service when added together equal 90, receive an annual pension equal to 1.75% of their highest average 60-month base salary annualized up to the limits permitted by the Internal Revenue Code, minus Social Security-covered compensation multiplied by the appropriate Social Security offset percentage, multiplied by the number of years of credited service under the Graham Holdings Retirement Benefits Schedule.</w:t>
      </w:r>
      <w:r>
        <w:rPr>
          <w:rFonts w:ascii="Arial" w:cs="Arial" w:eastAsia="Arial" w:hAnsi="Arial"/>
          <w:sz w:val="22"/>
          <w:szCs w:val="22"/>
          <w:color w:val="auto"/>
          <w:vertAlign w:val="superscript"/>
        </w:rPr>
        <w:t>(A)</w:t>
      </w:r>
      <w:r>
        <w:rPr>
          <w:rFonts w:ascii="Arial" w:cs="Arial" w:eastAsia="Arial" w:hAnsi="Arial"/>
          <w:sz w:val="16"/>
          <w:szCs w:val="16"/>
          <w:color w:val="auto"/>
        </w:rPr>
        <w:t xml:space="preserve"> An annual cash pension supplement is also provided to assist in payment of retiree medical coverage equal to $200 multiplied by the number of years of credited service under the Graham Holdings Retirement Benefits Schedule. An additional cash pension supplement of $3,000 per year is provided to participants who retire and commence benefit payment at or after age 55, but prior to age 65, and who had ten years of vesting service at retirement. The pre-age 65 supplement is discontinued when the retiree qualifies for Medicare (the month prior to the 65th birthday).</w:t>
      </w:r>
    </w:p>
    <w:p>
      <w:pPr>
        <w:spacing w:after="0" w:line="178" w:lineRule="exact"/>
        <w:rPr>
          <w:sz w:val="20"/>
          <w:szCs w:val="20"/>
          <w:color w:val="auto"/>
        </w:rPr>
      </w:pPr>
    </w:p>
    <w:p>
      <w:pPr>
        <w:ind w:right="200" w:firstLine="770"/>
        <w:spacing w:after="0" w:line="264" w:lineRule="auto"/>
        <w:rPr>
          <w:sz w:val="20"/>
          <w:szCs w:val="20"/>
          <w:color w:val="auto"/>
        </w:rPr>
      </w:pPr>
      <w:r>
        <w:rPr>
          <w:rFonts w:ascii="Arial" w:cs="Arial" w:eastAsia="Arial" w:hAnsi="Arial"/>
          <w:sz w:val="18"/>
          <w:szCs w:val="18"/>
          <w:color w:val="auto"/>
        </w:rPr>
        <w:t>Due to the WPM Transaction, in accordance with the terms of the sale, approximately $318 million of assets held in The Retirement Plan for Graham Holdings Company (formerly The Retirement Plan for Washington Post Companies) were transferred to the Pension Plan for The Washington Post and Companies.</w:t>
      </w:r>
    </w:p>
    <w:p>
      <w:pPr>
        <w:spacing w:after="0" w:line="181" w:lineRule="exact"/>
        <w:rPr>
          <w:sz w:val="20"/>
          <w:szCs w:val="20"/>
          <w:color w:val="auto"/>
        </w:rPr>
      </w:pPr>
    </w:p>
    <w:p>
      <w:pPr>
        <w:jc w:val="both"/>
        <w:ind w:right="140" w:firstLine="770"/>
        <w:spacing w:after="0" w:line="264" w:lineRule="auto"/>
        <w:rPr>
          <w:sz w:val="20"/>
          <w:szCs w:val="20"/>
          <w:color w:val="auto"/>
        </w:rPr>
      </w:pPr>
      <w:r>
        <w:rPr>
          <w:rFonts w:ascii="Arial" w:cs="Arial" w:eastAsia="Arial" w:hAnsi="Arial"/>
          <w:sz w:val="18"/>
          <w:szCs w:val="18"/>
          <w:color w:val="auto"/>
        </w:rPr>
        <w:t>The Company maintains an unfunded Supplemental Executive Retirement Plan (“SERP”), which is designed to retain and recruit key executives. Participants in the SERP, including named executive officers, are selected by management as employees whom management most wants to retain because of their superior performance and are approved for participation by the Committee.</w:t>
      </w:r>
    </w:p>
    <w:p>
      <w:pPr>
        <w:spacing w:after="0" w:line="181" w:lineRule="exact"/>
        <w:rPr>
          <w:sz w:val="20"/>
          <w:szCs w:val="20"/>
          <w:color w:val="auto"/>
        </w:rPr>
      </w:pPr>
    </w:p>
    <w:p>
      <w:pPr>
        <w:ind w:right="80" w:firstLine="770"/>
        <w:spacing w:after="0" w:line="258" w:lineRule="auto"/>
        <w:rPr>
          <w:sz w:val="20"/>
          <w:szCs w:val="20"/>
          <w:color w:val="auto"/>
        </w:rPr>
      </w:pPr>
      <w:r>
        <w:rPr>
          <w:rFonts w:ascii="Arial" w:cs="Arial" w:eastAsia="Arial" w:hAnsi="Arial"/>
          <w:sz w:val="18"/>
          <w:szCs w:val="18"/>
          <w:color w:val="auto"/>
        </w:rPr>
        <w:t>To offset IRS limitations placed on the income that can be considered in the formulas of retirement plans and benefits that can be payable from the plans, the SERP provides a “supplemental retirement benefit.” This benefit is calculated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9"/>
          <w:szCs w:val="9"/>
          <w:color w:val="auto"/>
        </w:rPr>
      </w:pPr>
      <w:r>
        <w:rPr>
          <w:rFonts w:ascii="Arial" w:cs="Arial" w:eastAsia="Arial" w:hAnsi="Arial"/>
          <w:sz w:val="14"/>
          <w:szCs w:val="14"/>
          <w:color w:val="auto"/>
        </w:rPr>
        <w:t>Formerly known as TWPC Retirement Benefits Schedule. Formal amendment to change the schedule name is expected to be completed in the second quarter of 2014.</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ind w:right="300"/>
        <w:spacing w:after="0" w:line="259" w:lineRule="auto"/>
        <w:rPr>
          <w:sz w:val="20"/>
          <w:szCs w:val="20"/>
          <w:color w:val="auto"/>
        </w:rPr>
      </w:pPr>
      <w:r>
        <w:rPr>
          <w:rFonts w:ascii="Arial" w:cs="Arial" w:eastAsia="Arial" w:hAnsi="Arial"/>
          <w:sz w:val="18"/>
          <w:szCs w:val="18"/>
          <w:color w:val="auto"/>
        </w:rPr>
        <w:t>under the rules of the qualified benefit retirement plan, but without reference to the IRS-imposed income and benefit limitations, and includes in the calculation compensation from annual bonuses in the case of certain key executives (including the named executive officers). In any instance in which a retiring executive’s supplemental retirement benefit exceeds the benefit payable by the qualified benefit plan or plans, the Company will pay the excess to him or her as a supplemental retirement benefit.</w:t>
      </w:r>
    </w:p>
    <w:p>
      <w:pPr>
        <w:spacing w:after="0" w:line="187" w:lineRule="exact"/>
        <w:rPr>
          <w:sz w:val="20"/>
          <w:szCs w:val="20"/>
          <w:color w:val="auto"/>
        </w:rPr>
      </w:pPr>
    </w:p>
    <w:p>
      <w:pPr>
        <w:ind w:firstLine="770"/>
        <w:spacing w:after="0" w:line="302" w:lineRule="auto"/>
        <w:rPr>
          <w:sz w:val="20"/>
          <w:szCs w:val="20"/>
          <w:color w:val="auto"/>
        </w:rPr>
      </w:pPr>
      <w:r>
        <w:rPr>
          <w:rFonts w:ascii="Arial" w:cs="Arial" w:eastAsia="Arial" w:hAnsi="Arial"/>
          <w:sz w:val="16"/>
          <w:szCs w:val="16"/>
          <w:color w:val="auto"/>
        </w:rPr>
        <w:t>The SERP also provides key executives, including the named executive officers, with tax-deferred accruals of amounts proportionate to the benefits available to non-highly compensated participants in the Company’s 401(k) savings plan, to the extent that benefits exceed those under the Company’s basic plans because of the tax law limitations ($52,000 in 2014). The executive is required to defer compensation to the SERP savings plan in order to receive the applicable matching company credit each year. Mr. Graham has waived his right to maintain a separate unfunded savings plan account under the SERP.</w:t>
      </w:r>
    </w:p>
    <w:p>
      <w:pPr>
        <w:spacing w:after="0" w:line="154" w:lineRule="exact"/>
        <w:rPr>
          <w:sz w:val="20"/>
          <w:szCs w:val="20"/>
          <w:color w:val="auto"/>
        </w:rPr>
      </w:pPr>
    </w:p>
    <w:p>
      <w:pPr>
        <w:jc w:val="both"/>
        <w:ind w:right="180" w:firstLine="810"/>
        <w:spacing w:after="0" w:line="279" w:lineRule="auto"/>
        <w:rPr>
          <w:sz w:val="20"/>
          <w:szCs w:val="20"/>
          <w:color w:val="auto"/>
        </w:rPr>
      </w:pPr>
      <w:r>
        <w:rPr>
          <w:rFonts w:ascii="Arial" w:cs="Arial" w:eastAsia="Arial" w:hAnsi="Arial"/>
          <w:sz w:val="17"/>
          <w:szCs w:val="17"/>
          <w:color w:val="auto"/>
        </w:rPr>
        <w:t>The Company also maintains a Deferred Compensation Plan. The Deferred Compensation Plan is an unfunded plan that allows a select group of senior executives and non-employee Directors the opportunity to voluntarily defer, on a nonqualified basis, the receipt of certain compensation payments or fees. For employee participants, including the named executive officers, eligible compensation for deferral is limited to annual bonus and certain long-term cash awards (including performance unit grants) under the 2012 Incentive Compensation Plan.</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retirement plans are more fully described under “Pension Benefits,” beginning on page 27.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Packages</w:t>
      </w:r>
    </w:p>
    <w:p>
      <w:pPr>
        <w:spacing w:after="0" w:line="229" w:lineRule="exact"/>
        <w:rPr>
          <w:sz w:val="20"/>
          <w:szCs w:val="20"/>
          <w:color w:val="auto"/>
        </w:rPr>
      </w:pPr>
    </w:p>
    <w:p>
      <w:pPr>
        <w:ind w:right="280" w:firstLine="770"/>
        <w:spacing w:after="0" w:line="277" w:lineRule="auto"/>
        <w:rPr>
          <w:sz w:val="20"/>
          <w:szCs w:val="20"/>
          <w:color w:val="auto"/>
        </w:rPr>
      </w:pPr>
      <w:r>
        <w:rPr>
          <w:rFonts w:ascii="Arial" w:cs="Arial" w:eastAsia="Arial" w:hAnsi="Arial"/>
          <w:sz w:val="18"/>
          <w:szCs w:val="18"/>
          <w:color w:val="auto"/>
        </w:rPr>
        <w:t>Consistent with its policy, the Company has not entered into any employment agreements with, or guaranteed severance packages to, any of the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Shareholder Advisory Votes on Executive Compensation</w:t>
      </w:r>
    </w:p>
    <w:p>
      <w:pPr>
        <w:spacing w:after="0" w:line="229" w:lineRule="exact"/>
        <w:rPr>
          <w:sz w:val="20"/>
          <w:szCs w:val="20"/>
          <w:color w:val="auto"/>
        </w:rPr>
      </w:pPr>
    </w:p>
    <w:p>
      <w:pPr>
        <w:ind w:right="180" w:firstLine="770"/>
        <w:spacing w:after="0" w:line="293" w:lineRule="auto"/>
        <w:rPr>
          <w:sz w:val="20"/>
          <w:szCs w:val="20"/>
          <w:color w:val="auto"/>
        </w:rPr>
      </w:pPr>
      <w:r>
        <w:rPr>
          <w:rFonts w:ascii="Arial" w:cs="Arial" w:eastAsia="Arial" w:hAnsi="Arial"/>
          <w:sz w:val="16"/>
          <w:szCs w:val="16"/>
          <w:color w:val="auto"/>
        </w:rPr>
        <w:t>At the 2013 Annual Meeting of Shareholders, the Company’s Class A Shareholders unanimously approved the overall 2012 compensation for its named executive officers, including the policies and practices related thereto. The Company believes this vote reflected Class A Shareholder approval of its pay-for-performance philosophy and the absence of pay practices that shareholders consider problematic. Accordingly, the Compensation Committee generally continued to apply the same principles in determining the amounts and types of executive compensation for 2013 as outlined in its compensation philosophy and framework. The Compensation Committee values the shareholder feedback provided through the vote and will consider the results of the vote, as well as future votes, in refining the development of our compensation program and goal setting in the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460" w:firstLine="770"/>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Anne M. Mulcahy, Chairman</w:t>
      </w:r>
    </w:p>
    <w:p>
      <w:pPr>
        <w:ind w:left="5840"/>
        <w:spacing w:after="0" w:line="219" w:lineRule="auto"/>
        <w:rPr>
          <w:sz w:val="20"/>
          <w:szCs w:val="20"/>
          <w:color w:val="auto"/>
        </w:rPr>
      </w:pPr>
      <w:r>
        <w:rPr>
          <w:rFonts w:ascii="Arial" w:cs="Arial" w:eastAsia="Arial" w:hAnsi="Arial"/>
          <w:sz w:val="18"/>
          <w:szCs w:val="18"/>
          <w:color w:val="auto"/>
        </w:rPr>
        <w:t>Lee C. Bollinger</w:t>
      </w:r>
    </w:p>
    <w:p>
      <w:pPr>
        <w:ind w:left="5840"/>
        <w:spacing w:after="0" w:line="219" w:lineRule="auto"/>
        <w:rPr>
          <w:sz w:val="20"/>
          <w:szCs w:val="20"/>
          <w:color w:val="auto"/>
        </w:rPr>
      </w:pPr>
      <w:r>
        <w:rPr>
          <w:rFonts w:ascii="Arial" w:cs="Arial" w:eastAsia="Arial" w:hAnsi="Arial"/>
          <w:sz w:val="18"/>
          <w:szCs w:val="18"/>
          <w:color w:val="auto"/>
        </w:rPr>
        <w:t>Barry Diller</w:t>
      </w:r>
    </w:p>
    <w:p>
      <w:pPr>
        <w:ind w:left="5840"/>
        <w:spacing w:after="0"/>
        <w:rPr>
          <w:sz w:val="20"/>
          <w:szCs w:val="20"/>
          <w:color w:val="auto"/>
        </w:rPr>
      </w:pPr>
      <w:r>
        <w:rPr>
          <w:rFonts w:ascii="Arial" w:cs="Arial" w:eastAsia="Arial" w:hAnsi="Arial"/>
          <w:sz w:val="18"/>
          <w:szCs w:val="18"/>
          <w:color w:val="auto"/>
        </w:rPr>
        <w:t>Larry D. Thompson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4" w:name="page25"/>
    <w:bookmarkEnd w:id="24"/>
    <w:p>
      <w:pPr>
        <w:ind w:right="660" w:firstLine="770"/>
        <w:spacing w:after="0" w:line="277" w:lineRule="auto"/>
        <w:rPr>
          <w:sz w:val="20"/>
          <w:szCs w:val="20"/>
          <w:color w:val="auto"/>
        </w:rPr>
      </w:pPr>
      <w:r>
        <w:rPr>
          <w:rFonts w:ascii="Arial" w:cs="Arial" w:eastAsia="Arial" w:hAnsi="Arial"/>
          <w:sz w:val="18"/>
          <w:szCs w:val="18"/>
          <w:color w:val="auto"/>
        </w:rPr>
        <w:t>The following table shows the compensation paid by the Company during the most recent three years to the principal executive officer, the principal financial officer and the three most highly compensated executive officers of the Company.</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4380" w:type="dxa"/>
            <w:vAlign w:val="bottom"/>
            <w:tcBorders>
              <w:top w:val="single" w:sz="8" w:color="auto"/>
              <w:left w:val="single" w:sz="8" w:color="auto"/>
              <w:right w:val="single" w:sz="8" w:color="auto"/>
            </w:tcBorders>
          </w:tcPr>
          <w:p>
            <w:pPr>
              <w:spacing w:after="0"/>
              <w:rPr>
                <w:sz w:val="15"/>
                <w:szCs w:val="15"/>
                <w:color w:val="auto"/>
              </w:rPr>
            </w:pPr>
          </w:p>
        </w:tc>
        <w:tc>
          <w:tcPr>
            <w:tcW w:w="46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78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38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5"/>
              </w:rPr>
              <w:t>Pension Value and</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7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Compen-</w:t>
            </w: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80" w:type="dxa"/>
            <w:vAlign w:val="bottom"/>
            <w:tcBorders>
              <w:left w:val="single" w:sz="8" w:color="auto"/>
              <w:right w:val="single" w:sz="8" w:color="auto"/>
            </w:tcBorders>
          </w:tcPr>
          <w:p>
            <w:pPr>
              <w:ind w:left="1300"/>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97"/>
              </w:rPr>
              <w:t>Salary ($) (c)</w:t>
            </w: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97"/>
              </w:rPr>
              <w:t>Bonus ($) (d)</w:t>
            </w:r>
          </w:p>
        </w:tc>
        <w:tc>
          <w:tcPr>
            <w:tcW w:w="10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7"/>
              </w:rPr>
              <w:t>Stock Awards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Compen-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sation ($)</w:t>
            </w:r>
          </w:p>
        </w:tc>
        <w:tc>
          <w:tcPr>
            <w:tcW w:w="90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Total ($) (i)</w:t>
            </w:r>
          </w:p>
        </w:tc>
        <w:tc>
          <w:tcPr>
            <w:tcW w:w="0" w:type="dxa"/>
            <w:vAlign w:val="bottom"/>
          </w:tcPr>
          <w:p>
            <w:pPr>
              <w:spacing w:after="0"/>
              <w:rPr>
                <w:sz w:val="1"/>
                <w:szCs w:val="1"/>
                <w:color w:val="auto"/>
              </w:rPr>
            </w:pPr>
          </w:p>
        </w:tc>
      </w:tr>
      <w:tr>
        <w:trPr>
          <w:trHeight w:val="182"/>
        </w:trPr>
        <w:tc>
          <w:tcPr>
            <w:tcW w:w="4380" w:type="dxa"/>
            <w:vAlign w:val="bottom"/>
            <w:tcBorders>
              <w:left w:val="single" w:sz="8" w:color="auto"/>
              <w:bottom w:val="single" w:sz="8" w:color="auto"/>
              <w:right w:val="single" w:sz="8" w:color="auto"/>
            </w:tcBorders>
          </w:tcPr>
          <w:p>
            <w:pPr>
              <w:ind w:left="2100"/>
              <w:spacing w:after="0"/>
              <w:rPr>
                <w:sz w:val="20"/>
                <w:szCs w:val="20"/>
                <w:color w:val="auto"/>
              </w:rPr>
            </w:pPr>
            <w:r>
              <w:rPr>
                <w:rFonts w:ascii="Arial" w:cs="Arial" w:eastAsia="Arial" w:hAnsi="Arial"/>
                <w:sz w:val="14"/>
                <w:szCs w:val="14"/>
                <w:b w:val="1"/>
                <w:bCs w:val="1"/>
                <w:color w:val="auto"/>
              </w:rPr>
              <w:t>(a)</w:t>
            </w:r>
          </w:p>
        </w:tc>
        <w:tc>
          <w:tcPr>
            <w:tcW w:w="4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(b)</w:t>
            </w: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94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9"/>
                <w:szCs w:val="9"/>
                <w:b w:val="1"/>
                <w:bCs w:val="1"/>
                <w:color w:val="auto"/>
              </w:rPr>
              <w:t>1</w:t>
            </w:r>
          </w:p>
        </w:tc>
        <w:tc>
          <w:tcPr>
            <w:tcW w:w="102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xml:space="preserve">($) (e) </w:t>
            </w:r>
            <w:r>
              <w:rPr>
                <w:rFonts w:ascii="Arial" w:cs="Arial" w:eastAsia="Arial" w:hAnsi="Arial"/>
                <w:sz w:val="8"/>
                <w:szCs w:val="8"/>
                <w:b w:val="1"/>
                <w:bCs w:val="1"/>
                <w:color w:val="auto"/>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sation ($) (f) </w:t>
            </w:r>
            <w:r>
              <w:rPr>
                <w:rFonts w:ascii="Arial" w:cs="Arial" w:eastAsia="Arial" w:hAnsi="Arial"/>
                <w:sz w:val="8"/>
                <w:szCs w:val="8"/>
                <w:b w:val="1"/>
                <w:bCs w:val="1"/>
                <w:color w:val="auto"/>
                <w:w w:val="92"/>
              </w:rPr>
              <w:t>3</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3"/>
                <w:szCs w:val="13"/>
                <w:b w:val="1"/>
                <w:bCs w:val="1"/>
                <w:color w:val="auto"/>
                <w:w w:val="93"/>
              </w:rPr>
              <w:t xml:space="preserve">Earnings ($) (g) </w:t>
            </w:r>
            <w:r>
              <w:rPr>
                <w:rFonts w:ascii="Arial" w:cs="Arial" w:eastAsia="Arial" w:hAnsi="Arial"/>
                <w:sz w:val="21"/>
                <w:szCs w:val="21"/>
                <w:b w:val="1"/>
                <w:bCs w:val="1"/>
                <w:color w:val="auto"/>
                <w:w w:val="93"/>
                <w:vertAlign w:val="superscript"/>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(h) </w:t>
            </w:r>
            <w:r>
              <w:rPr>
                <w:rFonts w:ascii="Arial" w:cs="Arial" w:eastAsia="Arial" w:hAnsi="Arial"/>
                <w:sz w:val="8"/>
                <w:szCs w:val="8"/>
                <w:b w:val="1"/>
                <w:bCs w:val="1"/>
                <w:color w:val="auto"/>
                <w:w w:val="98"/>
              </w:rPr>
              <w:t>5</w:t>
            </w:r>
          </w:p>
        </w:tc>
        <w:tc>
          <w:tcPr>
            <w:tcW w:w="9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Donald E. Graham</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2013</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400,000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2,550</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402,550</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Chairman of the Board and Chief Executive Officer</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2012</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400,000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464,724</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13,000</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877,724</w:t>
            </w:r>
          </w:p>
        </w:tc>
        <w:tc>
          <w:tcPr>
            <w:tcW w:w="0" w:type="dxa"/>
            <w:vAlign w:val="bottom"/>
          </w:tcPr>
          <w:p>
            <w:pPr>
              <w:spacing w:after="0"/>
              <w:rPr>
                <w:sz w:val="1"/>
                <w:szCs w:val="1"/>
                <w:color w:val="auto"/>
              </w:rPr>
            </w:pPr>
          </w:p>
        </w:tc>
      </w:tr>
      <w:tr>
        <w:trPr>
          <w:trHeight w:val="276"/>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w w:val="96"/>
              </w:rPr>
              <w:t>2011</w:t>
            </w:r>
          </w:p>
        </w:tc>
        <w:tc>
          <w:tcPr>
            <w:tcW w:w="9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400,000</w:t>
            </w:r>
          </w:p>
        </w:tc>
        <w:tc>
          <w:tcPr>
            <w:tcW w:w="9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auto"/>
              </w:rPr>
              <w:t>619,163</w:t>
            </w:r>
          </w:p>
        </w:tc>
        <w:tc>
          <w:tcPr>
            <w:tcW w:w="7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12,740</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1,031,903</w:t>
            </w:r>
          </w:p>
        </w:tc>
        <w:tc>
          <w:tcPr>
            <w:tcW w:w="0" w:type="dxa"/>
            <w:vAlign w:val="bottom"/>
          </w:tcPr>
          <w:p>
            <w:pPr>
              <w:spacing w:after="0"/>
              <w:rPr>
                <w:sz w:val="1"/>
                <w:szCs w:val="1"/>
                <w:color w:val="auto"/>
              </w:rPr>
            </w:pPr>
          </w:p>
        </w:tc>
      </w:tr>
      <w:tr>
        <w:trPr>
          <w:trHeight w:val="20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Hal S. Jones</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2013</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725,000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500,000</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596,600</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552,554</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26,990</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2,401,144</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President–Finance and Chief Financial Officer</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2012</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700,000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297,704</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1,307,848</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1,239,250</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67,760</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3,612,562</w:t>
            </w:r>
          </w:p>
        </w:tc>
        <w:tc>
          <w:tcPr>
            <w:tcW w:w="0" w:type="dxa"/>
            <w:vAlign w:val="bottom"/>
          </w:tcPr>
          <w:p>
            <w:pPr>
              <w:spacing w:after="0"/>
              <w:rPr>
                <w:sz w:val="1"/>
                <w:szCs w:val="1"/>
                <w:color w:val="auto"/>
              </w:rPr>
            </w:pPr>
          </w:p>
        </w:tc>
      </w:tr>
      <w:tr>
        <w:trPr>
          <w:trHeight w:val="276"/>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w w:val="96"/>
              </w:rPr>
              <w:t>2011</w:t>
            </w:r>
          </w:p>
        </w:tc>
        <w:tc>
          <w:tcPr>
            <w:tcW w:w="9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675,000</w:t>
            </w:r>
          </w:p>
        </w:tc>
        <w:tc>
          <w:tcPr>
            <w:tcW w:w="9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352,680</w:t>
            </w:r>
          </w:p>
        </w:tc>
        <w:tc>
          <w:tcPr>
            <w:tcW w:w="9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179,700</w:t>
            </w:r>
          </w:p>
        </w:tc>
        <w:tc>
          <w:tcPr>
            <w:tcW w:w="114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auto"/>
              </w:rPr>
              <w:t>967,167</w:t>
            </w:r>
          </w:p>
        </w:tc>
        <w:tc>
          <w:tcPr>
            <w:tcW w:w="7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46,380</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2,220,927</w:t>
            </w:r>
          </w:p>
        </w:tc>
        <w:tc>
          <w:tcPr>
            <w:tcW w:w="0" w:type="dxa"/>
            <w:vAlign w:val="bottom"/>
          </w:tcPr>
          <w:p>
            <w:pPr>
              <w:spacing w:after="0"/>
              <w:rPr>
                <w:sz w:val="1"/>
                <w:szCs w:val="1"/>
                <w:color w:val="auto"/>
              </w:rPr>
            </w:pPr>
          </w:p>
        </w:tc>
      </w:tr>
      <w:tr>
        <w:trPr>
          <w:trHeight w:val="20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Gerald M. Rosberg</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2013</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615,000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404,900</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21,270</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1,041,170</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President–Planning and Development</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2012</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592,250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297,704</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1,009,700</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294,356</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64,607</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2,258,617</w:t>
            </w:r>
          </w:p>
        </w:tc>
        <w:tc>
          <w:tcPr>
            <w:tcW w:w="0" w:type="dxa"/>
            <w:vAlign w:val="bottom"/>
          </w:tcPr>
          <w:p>
            <w:pPr>
              <w:spacing w:after="0"/>
              <w:rPr>
                <w:sz w:val="1"/>
                <w:szCs w:val="1"/>
                <w:color w:val="auto"/>
              </w:rPr>
            </w:pPr>
          </w:p>
        </w:tc>
      </w:tr>
      <w:tr>
        <w:trPr>
          <w:trHeight w:val="276"/>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w w:val="96"/>
              </w:rPr>
              <w:t>2011</w:t>
            </w:r>
          </w:p>
        </w:tc>
        <w:tc>
          <w:tcPr>
            <w:tcW w:w="9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575,000</w:t>
            </w:r>
          </w:p>
        </w:tc>
        <w:tc>
          <w:tcPr>
            <w:tcW w:w="9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352,680</w:t>
            </w:r>
          </w:p>
        </w:tc>
        <w:tc>
          <w:tcPr>
            <w:tcW w:w="9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122,500</w:t>
            </w:r>
          </w:p>
        </w:tc>
        <w:tc>
          <w:tcPr>
            <w:tcW w:w="114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auto"/>
              </w:rPr>
              <w:t>780,214</w:t>
            </w:r>
          </w:p>
        </w:tc>
        <w:tc>
          <w:tcPr>
            <w:tcW w:w="7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50,580</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1,880,974</w:t>
            </w:r>
          </w:p>
        </w:tc>
        <w:tc>
          <w:tcPr>
            <w:tcW w:w="0" w:type="dxa"/>
            <w:vAlign w:val="bottom"/>
          </w:tcPr>
          <w:p>
            <w:pPr>
              <w:spacing w:after="0"/>
              <w:rPr>
                <w:sz w:val="1"/>
                <w:szCs w:val="1"/>
                <w:color w:val="auto"/>
              </w:rPr>
            </w:pPr>
          </w:p>
        </w:tc>
      </w:tr>
      <w:tr>
        <w:trPr>
          <w:trHeight w:val="20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 L. McDaniel</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2013</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615,000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200,000</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466,400</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433,606</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31,736</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1,746,742</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2012</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592,250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297,704</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1,068,925</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1,186,376</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81,423</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3,226,678</w:t>
            </w:r>
          </w:p>
        </w:tc>
        <w:tc>
          <w:tcPr>
            <w:tcW w:w="0" w:type="dxa"/>
            <w:vAlign w:val="bottom"/>
          </w:tcPr>
          <w:p>
            <w:pPr>
              <w:spacing w:after="0"/>
              <w:rPr>
                <w:sz w:val="1"/>
                <w:szCs w:val="1"/>
                <w:color w:val="auto"/>
              </w:rPr>
            </w:pPr>
          </w:p>
        </w:tc>
      </w:tr>
      <w:tr>
        <w:trPr>
          <w:trHeight w:val="276"/>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w w:val="96"/>
              </w:rPr>
              <w:t>2011</w:t>
            </w:r>
          </w:p>
        </w:tc>
        <w:tc>
          <w:tcPr>
            <w:tcW w:w="9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575,000</w:t>
            </w:r>
          </w:p>
        </w:tc>
        <w:tc>
          <w:tcPr>
            <w:tcW w:w="9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352,680</w:t>
            </w:r>
          </w:p>
        </w:tc>
        <w:tc>
          <w:tcPr>
            <w:tcW w:w="9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122,500</w:t>
            </w:r>
          </w:p>
        </w:tc>
        <w:tc>
          <w:tcPr>
            <w:tcW w:w="114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auto"/>
              </w:rPr>
              <w:t>1,491,123</w:t>
            </w:r>
          </w:p>
        </w:tc>
        <w:tc>
          <w:tcPr>
            <w:tcW w:w="7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68,164</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2,609,467</w:t>
            </w:r>
          </w:p>
        </w:tc>
        <w:tc>
          <w:tcPr>
            <w:tcW w:w="0" w:type="dxa"/>
            <w:vAlign w:val="bottom"/>
          </w:tcPr>
          <w:p>
            <w:pPr>
              <w:spacing w:after="0"/>
              <w:rPr>
                <w:sz w:val="1"/>
                <w:szCs w:val="1"/>
                <w:color w:val="auto"/>
              </w:rPr>
            </w:pPr>
          </w:p>
        </w:tc>
      </w:tr>
      <w:tr>
        <w:trPr>
          <w:trHeight w:val="20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Veronica Dillon</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2013</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615,000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500,000</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404,900</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248,024</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96,999</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1,864,923</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General Counsel and Secretary</w:t>
            </w: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6"/>
              </w:rPr>
              <w:t>2012</w:t>
            </w:r>
          </w:p>
        </w:tc>
        <w:tc>
          <w:tcPr>
            <w:tcW w:w="9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592,250</w:t>
            </w:r>
          </w:p>
        </w:tc>
        <w:tc>
          <w:tcPr>
            <w:tcW w:w="9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297,704</w:t>
            </w:r>
          </w:p>
        </w:tc>
        <w:tc>
          <w:tcPr>
            <w:tcW w:w="9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1,009,700</w:t>
            </w:r>
          </w:p>
        </w:tc>
        <w:tc>
          <w:tcPr>
            <w:tcW w:w="114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1,019,736</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144,625</w:t>
            </w:r>
          </w:p>
        </w:tc>
        <w:tc>
          <w:tcPr>
            <w:tcW w:w="9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3,064,015</w:t>
            </w:r>
          </w:p>
        </w:tc>
        <w:tc>
          <w:tcPr>
            <w:tcW w:w="0" w:type="dxa"/>
            <w:vAlign w:val="bottom"/>
          </w:tcPr>
          <w:p>
            <w:pPr>
              <w:spacing w:after="0"/>
              <w:rPr>
                <w:sz w:val="1"/>
                <w:szCs w:val="1"/>
                <w:color w:val="auto"/>
              </w:rPr>
            </w:pPr>
          </w:p>
        </w:tc>
      </w:tr>
      <w:tr>
        <w:trPr>
          <w:trHeight w:val="276"/>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w w:val="96"/>
              </w:rPr>
              <w:t>2011</w:t>
            </w:r>
          </w:p>
        </w:tc>
        <w:tc>
          <w:tcPr>
            <w:tcW w:w="9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575,000</w:t>
            </w:r>
          </w:p>
        </w:tc>
        <w:tc>
          <w:tcPr>
            <w:tcW w:w="9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352,680</w:t>
            </w:r>
          </w:p>
        </w:tc>
        <w:tc>
          <w:tcPr>
            <w:tcW w:w="9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122,500</w:t>
            </w:r>
          </w:p>
        </w:tc>
        <w:tc>
          <w:tcPr>
            <w:tcW w:w="114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auto"/>
              </w:rPr>
              <w:t>646,458</w:t>
            </w:r>
          </w:p>
        </w:tc>
        <w:tc>
          <w:tcPr>
            <w:tcW w:w="7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127,854</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1,824,492</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in this column represent special payments made in recognition of extraordinary efforts in connection with the WPM Transaction.</w:t>
      </w:r>
    </w:p>
    <w:p>
      <w:pPr>
        <w:spacing w:after="0" w:line="28" w:lineRule="exact"/>
        <w:rPr>
          <w:rFonts w:ascii="Arial" w:cs="Arial" w:eastAsia="Arial" w:hAnsi="Arial"/>
          <w:sz w:val="14"/>
          <w:szCs w:val="14"/>
          <w:color w:val="auto"/>
        </w:rPr>
      </w:pPr>
    </w:p>
    <w:p>
      <w:pPr>
        <w:ind w:left="260" w:right="80" w:hanging="252"/>
        <w:spacing w:after="0" w:line="218"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value of the stock awards is disclosed based on the grant date fair value computed in accordance with FASB ASC TOPIC 718. They represent the fair value amounts associated with grants made through the close of the 2013 fiscal year, rather than amounts paid to or realized by the named executive officers. There can be no assurance that the amounts calculated will be realized, and amounts realized could ultimately exceed the amounts calculated. See Note 13 of Notes to the Consolidated Financial Statements contained in the Company's Annual Report on Form 10-K, filed on February 28, 2014, for a discussion of the assumptions used in valuation of the stock awards.</w:t>
      </w:r>
    </w:p>
    <w:p>
      <w:pPr>
        <w:spacing w:after="0" w:line="9" w:lineRule="exact"/>
        <w:rPr>
          <w:rFonts w:ascii="Arial" w:cs="Arial" w:eastAsia="Arial" w:hAnsi="Arial"/>
          <w:sz w:val="14"/>
          <w:szCs w:val="14"/>
          <w:color w:val="auto"/>
        </w:rPr>
      </w:pPr>
    </w:p>
    <w:p>
      <w:pPr>
        <w:ind w:left="260" w:right="420" w:hanging="252"/>
        <w:spacing w:after="0" w:line="245" w:lineRule="auto"/>
        <w:tabs>
          <w:tab w:leader="none" w:pos="2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Amounts in this column for 2013 represent payments under the annual bonus plan. Amounts in this column for 2012 represent payments under the 2012 annual bonus plan, the 2009–2012 Performance Unit Plan and other plans as follows: Mr. Graham requested that the Compensation Committee not consider for payment his performance unit award valued at $1,296,750;</w:t>
      </w:r>
    </w:p>
    <w:p>
      <w:pPr>
        <w:ind w:left="260" w:right="40"/>
        <w:spacing w:after="0" w:line="218" w:lineRule="auto"/>
        <w:rPr>
          <w:rFonts w:ascii="Arial" w:cs="Arial" w:eastAsia="Arial" w:hAnsi="Arial"/>
          <w:sz w:val="12"/>
          <w:szCs w:val="12"/>
          <w:color w:val="auto"/>
        </w:rPr>
      </w:pPr>
      <w:r>
        <w:rPr>
          <w:rFonts w:ascii="Arial" w:cs="Arial" w:eastAsia="Arial" w:hAnsi="Arial"/>
          <w:sz w:val="14"/>
          <w:szCs w:val="14"/>
          <w:color w:val="auto"/>
        </w:rPr>
        <w:t>Mr. Jones, $411,100 in annual bonus, $731,500 in performance units and an award that was granted in 2007 with a five-year cliff vest and was valued based on the estimated fair value of Kaplan stock as of 12/31/2011; Mr. Rosberg, $278,200 in annual bonus and $731,500 in performance units; Ms. McDaniel, $337,425 in annual bonus and $731,500 in performance units; Ms. Dillon, $278,200 in annual bonus and $731,500 in performance units. Amounts in this column for 2011 represent payments under the annual bonus plan.</w:t>
      </w:r>
    </w:p>
    <w:p>
      <w:pPr>
        <w:spacing w:after="0" w:line="8" w:lineRule="exact"/>
        <w:rPr>
          <w:rFonts w:ascii="Arial" w:cs="Arial" w:eastAsia="Arial" w:hAnsi="Arial"/>
          <w:sz w:val="12"/>
          <w:szCs w:val="12"/>
          <w:color w:val="auto"/>
        </w:rPr>
      </w:pPr>
    </w:p>
    <w:p>
      <w:pPr>
        <w:ind w:left="260" w:right="340" w:hanging="252"/>
        <w:spacing w:after="0" w:line="236"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There were no above-market or preferential earnings on compensation that are deferred on a basis that is not tax-qualified. Thus, no such earnings are reflected in the amounts shown in this column.</w:t>
      </w:r>
    </w:p>
    <w:p>
      <w:pPr>
        <w:spacing w:after="0" w:line="8" w:lineRule="exact"/>
        <w:rPr>
          <w:sz w:val="20"/>
          <w:szCs w:val="20"/>
          <w:color w:val="auto"/>
        </w:rPr>
      </w:pPr>
    </w:p>
    <w:p>
      <w:pPr>
        <w:ind w:left="260" w:right="240"/>
        <w:spacing w:after="0" w:line="236" w:lineRule="auto"/>
        <w:rPr>
          <w:sz w:val="20"/>
          <w:szCs w:val="20"/>
          <w:color w:val="auto"/>
        </w:rPr>
      </w:pPr>
      <w:r>
        <w:rPr>
          <w:rFonts w:ascii="Arial" w:cs="Arial" w:eastAsia="Arial" w:hAnsi="Arial"/>
          <w:sz w:val="14"/>
          <w:szCs w:val="14"/>
          <w:color w:val="auto"/>
        </w:rPr>
        <w:t>Benefits were assumed to commence at the age when they are first unreduced, and were discounted to the date as of which they were determined (either 12/31/2013 or 12/31/2012). Assumed benefit commencement ages are shown below, rounded to the nearest age:</w:t>
      </w:r>
    </w:p>
    <w:p>
      <w:pPr>
        <w:ind w:left="660"/>
        <w:spacing w:after="0" w:line="230" w:lineRule="auto"/>
        <w:tabs>
          <w:tab w:leader="none" w:pos="1320" w:val="left"/>
        </w:tabs>
        <w:rPr>
          <w:sz w:val="20"/>
          <w:szCs w:val="20"/>
          <w:color w:val="auto"/>
        </w:rPr>
      </w:pPr>
      <w:r>
        <w:rPr>
          <w:rFonts w:ascii="Arial" w:cs="Arial" w:eastAsia="Arial" w:hAnsi="Arial"/>
          <w:sz w:val="14"/>
          <w:szCs w:val="14"/>
          <w:color w:val="auto"/>
        </w:rPr>
        <w:t>Graham:</w:t>
        <w:tab/>
        <w:t>age 69 (12/31/2013); age 68 (12/31/2012)</w:t>
      </w:r>
    </w:p>
    <w:p>
      <w:pPr>
        <w:ind w:left="660"/>
        <w:spacing w:after="0" w:line="201" w:lineRule="auto"/>
        <w:tabs>
          <w:tab w:leader="none" w:pos="1280" w:val="left"/>
        </w:tabs>
        <w:rPr>
          <w:sz w:val="20"/>
          <w:szCs w:val="20"/>
          <w:color w:val="auto"/>
        </w:rPr>
      </w:pPr>
      <w:r>
        <w:rPr>
          <w:rFonts w:ascii="Arial" w:cs="Arial" w:eastAsia="Arial" w:hAnsi="Arial"/>
          <w:sz w:val="14"/>
          <w:szCs w:val="14"/>
          <w:color w:val="auto"/>
        </w:rPr>
        <w:t>Jones:</w:t>
      </w:r>
      <w:r>
        <w:rPr>
          <w:sz w:val="20"/>
          <w:szCs w:val="20"/>
          <w:color w:val="auto"/>
        </w:rPr>
        <w:tab/>
      </w:r>
      <w:r>
        <w:rPr>
          <w:rFonts w:ascii="Arial" w:cs="Arial" w:eastAsia="Arial" w:hAnsi="Arial"/>
          <w:sz w:val="14"/>
          <w:szCs w:val="14"/>
          <w:color w:val="auto"/>
        </w:rPr>
        <w:t>age 63 (12/31/2013 and 12/31/2012)</w:t>
      </w:r>
    </w:p>
    <w:p>
      <w:pPr>
        <w:ind w:left="660"/>
        <w:spacing w:after="0" w:line="235" w:lineRule="auto"/>
        <w:tabs>
          <w:tab w:leader="none" w:pos="1300" w:val="left"/>
        </w:tabs>
        <w:rPr>
          <w:sz w:val="20"/>
          <w:szCs w:val="20"/>
          <w:color w:val="auto"/>
        </w:rPr>
      </w:pPr>
      <w:r>
        <w:rPr>
          <w:rFonts w:ascii="Arial" w:cs="Arial" w:eastAsia="Arial" w:hAnsi="Arial"/>
          <w:sz w:val="14"/>
          <w:szCs w:val="14"/>
          <w:color w:val="auto"/>
        </w:rPr>
        <w:t>Rosberg:</w:t>
      </w:r>
      <w:r>
        <w:rPr>
          <w:sz w:val="20"/>
          <w:szCs w:val="20"/>
          <w:color w:val="auto"/>
        </w:rPr>
        <w:tab/>
      </w:r>
      <w:r>
        <w:rPr>
          <w:rFonts w:ascii="Arial" w:cs="Arial" w:eastAsia="Arial" w:hAnsi="Arial"/>
          <w:sz w:val="12"/>
          <w:szCs w:val="12"/>
          <w:color w:val="auto"/>
        </w:rPr>
        <w:t>age 67 (12/31/2013); age 66 (12/31/2012)</w:t>
      </w:r>
    </w:p>
    <w:p>
      <w:pPr>
        <w:ind w:left="660"/>
        <w:spacing w:after="0" w:line="201" w:lineRule="auto"/>
        <w:rPr>
          <w:sz w:val="20"/>
          <w:szCs w:val="20"/>
          <w:color w:val="auto"/>
        </w:rPr>
      </w:pPr>
      <w:r>
        <w:rPr>
          <w:rFonts w:ascii="Arial" w:cs="Arial" w:eastAsia="Arial" w:hAnsi="Arial"/>
          <w:sz w:val="14"/>
          <w:szCs w:val="14"/>
          <w:color w:val="auto"/>
        </w:rPr>
        <w:t>McDaniel: age 59 (12/31/2013 and 12/31/2012)</w:t>
      </w:r>
    </w:p>
    <w:p>
      <w:pPr>
        <w:ind w:left="660"/>
        <w:spacing w:after="0"/>
        <w:tabs>
          <w:tab w:leader="none" w:pos="1260" w:val="left"/>
        </w:tabs>
        <w:rPr>
          <w:sz w:val="20"/>
          <w:szCs w:val="20"/>
          <w:color w:val="auto"/>
        </w:rPr>
      </w:pPr>
      <w:r>
        <w:rPr>
          <w:rFonts w:ascii="Arial" w:cs="Arial" w:eastAsia="Arial" w:hAnsi="Arial"/>
          <w:sz w:val="14"/>
          <w:szCs w:val="14"/>
          <w:color w:val="auto"/>
        </w:rPr>
        <w:t>Dillon:</w:t>
      </w:r>
      <w:r>
        <w:rPr>
          <w:sz w:val="20"/>
          <w:szCs w:val="20"/>
          <w:color w:val="auto"/>
        </w:rPr>
        <w:tab/>
      </w:r>
      <w:r>
        <w:rPr>
          <w:rFonts w:ascii="Arial" w:cs="Arial" w:eastAsia="Arial" w:hAnsi="Arial"/>
          <w:sz w:val="14"/>
          <w:szCs w:val="14"/>
          <w:color w:val="auto"/>
        </w:rPr>
        <w:t>age 65 (12/31/2013 and 12/31/2012)</w:t>
      </w:r>
    </w:p>
    <w:p>
      <w:pPr>
        <w:spacing w:after="0" w:line="16" w:lineRule="exact"/>
        <w:rPr>
          <w:sz w:val="20"/>
          <w:szCs w:val="20"/>
          <w:color w:val="auto"/>
        </w:rPr>
      </w:pPr>
    </w:p>
    <w:p>
      <w:pPr>
        <w:ind w:left="260" w:right="180"/>
        <w:spacing w:after="0" w:line="236" w:lineRule="auto"/>
        <w:rPr>
          <w:sz w:val="20"/>
          <w:szCs w:val="20"/>
          <w:color w:val="auto"/>
        </w:rPr>
      </w:pPr>
      <w:r>
        <w:rPr>
          <w:rFonts w:ascii="Arial" w:cs="Arial" w:eastAsia="Arial" w:hAnsi="Arial"/>
          <w:sz w:val="14"/>
          <w:szCs w:val="14"/>
          <w:color w:val="auto"/>
        </w:rPr>
        <w:t>Mr. Graham and Mr. Rosberg have both reached Normal Retirement Age (age 65). Mr. Jones, Ms. McDaniel and Ms. Dillon have all met the eligibility requirements for Early Retirement (age 55, with ten years of Company service).</w:t>
      </w:r>
    </w:p>
    <w:p>
      <w:pPr>
        <w:spacing w:after="0" w:line="8" w:lineRule="exact"/>
        <w:rPr>
          <w:sz w:val="20"/>
          <w:szCs w:val="20"/>
          <w:color w:val="auto"/>
        </w:rPr>
      </w:pPr>
    </w:p>
    <w:p>
      <w:pPr>
        <w:ind w:left="260" w:right="80"/>
        <w:spacing w:after="0" w:line="224" w:lineRule="auto"/>
        <w:rPr>
          <w:sz w:val="20"/>
          <w:szCs w:val="20"/>
          <w:color w:val="auto"/>
        </w:rPr>
      </w:pPr>
      <w:r>
        <w:rPr>
          <w:rFonts w:ascii="Arial" w:cs="Arial" w:eastAsia="Arial" w:hAnsi="Arial"/>
          <w:sz w:val="14"/>
          <w:szCs w:val="14"/>
          <w:color w:val="auto"/>
        </w:rPr>
        <w:t>Changes in the present value of benefits in 2013 are attributable to The Retirement Plan for Graham Holdings Company (“Retirement Plan”) and the corresponding benefit under the SERP as follows: Mr. Graham, ($86,624) Retirement Plan and ($131,671) the SERP; Mr. Jones, $42,428 Retirement Plan and $510,126 the SERP; Mr. Rosberg, ($2,677) Retirement Plan and ($112,560) the SERP; Ms. McDaniel, $20,941 Retirement Plan and $412,665 the SERP; Ms. Dillon, $52,870 Retirement Plan and $195,154 the SERP.</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values of accumulated plan benefits were determined using a discount rate of 4.80% at 12/31/2013 and a discount rate of 4.00% at 12/31/2012.</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total change in present value of accumulated benefits of less than $0 may not be shown in the total.</w:t>
      </w:r>
    </w:p>
    <w:p>
      <w:pPr>
        <w:spacing w:after="0" w:line="5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3"/>
          <w:szCs w:val="13"/>
          <w:color w:val="auto"/>
        </w:rPr>
        <w:t>For 2013, the amounts presented include the information in the following table:</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OTHER COMPENSATION</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680" w:type="dxa"/>
            <w:vAlign w:val="bottom"/>
            <w:tcBorders>
              <w:top w:val="single" w:sz="8" w:color="auto"/>
              <w:left w:val="single" w:sz="8" w:color="auto"/>
              <w:right w:val="single" w:sz="8" w:color="auto"/>
            </w:tcBorders>
            <w:vMerge w:val="restart"/>
          </w:tcPr>
          <w:p>
            <w:pPr>
              <w:ind w:left="1640"/>
              <w:spacing w:after="0"/>
              <w:rPr>
                <w:sz w:val="20"/>
                <w:szCs w:val="20"/>
                <w:color w:val="auto"/>
              </w:rPr>
            </w:pPr>
            <w:r>
              <w:rPr>
                <w:rFonts w:ascii="Arial" w:cs="Arial" w:eastAsia="Arial" w:hAnsi="Arial"/>
                <w:sz w:val="14"/>
                <w:szCs w:val="14"/>
                <w:b w:val="1"/>
                <w:bCs w:val="1"/>
                <w:color w:val="auto"/>
              </w:rPr>
              <w:t>Name</w:t>
            </w:r>
          </w:p>
        </w:tc>
        <w:tc>
          <w:tcPr>
            <w:tcW w:w="1420" w:type="dxa"/>
            <w:vAlign w:val="bottom"/>
            <w:tcBorders>
              <w:top w:val="single" w:sz="8" w:color="auto"/>
            </w:tcBorders>
            <w:vMerge w:val="restart"/>
          </w:tcPr>
          <w:p>
            <w:pPr>
              <w:jc w:val="center"/>
              <w:ind w:left="468"/>
              <w:spacing w:after="0"/>
              <w:rPr>
                <w:sz w:val="20"/>
                <w:szCs w:val="20"/>
                <w:color w:val="auto"/>
              </w:rPr>
            </w:pPr>
            <w:r>
              <w:rPr>
                <w:rFonts w:ascii="Arial" w:cs="Arial" w:eastAsia="Arial" w:hAnsi="Arial"/>
                <w:sz w:val="14"/>
                <w:szCs w:val="14"/>
                <w:b w:val="1"/>
                <w:bCs w:val="1"/>
                <w:color w:val="auto"/>
                <w:w w:val="91"/>
              </w:rPr>
              <w:t>Perquisites ($)</w:t>
            </w:r>
          </w:p>
        </w:tc>
        <w:tc>
          <w:tcPr>
            <w:tcW w:w="54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6"/>
              </w:rPr>
              <w:t>401(k) Company</w:t>
            </w:r>
          </w:p>
        </w:tc>
        <w:tc>
          <w:tcPr>
            <w:tcW w:w="46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SERP Company</w:t>
            </w:r>
          </w:p>
        </w:tc>
        <w:tc>
          <w:tcPr>
            <w:tcW w:w="1940" w:type="dxa"/>
            <w:vAlign w:val="bottom"/>
            <w:tcBorders>
              <w:top w:val="single" w:sz="8" w:color="auto"/>
              <w:right w:val="single" w:sz="8" w:color="auto"/>
            </w:tcBorders>
            <w:vMerge w:val="restart"/>
          </w:tcPr>
          <w:p>
            <w:pPr>
              <w:jc w:val="right"/>
              <w:ind w:right="66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48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5"/>
              </w:rPr>
              <w:t>Contributions ($)</w:t>
            </w:r>
          </w:p>
        </w:tc>
        <w:tc>
          <w:tcPr>
            <w:tcW w:w="46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 ($)</w:t>
            </w: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80" w:type="dxa"/>
            <w:vAlign w:val="bottom"/>
            <w:tcBorders>
              <w:left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4"/>
                <w:szCs w:val="14"/>
                <w:b w:val="1"/>
                <w:bCs w:val="1"/>
                <w:color w:val="auto"/>
              </w:rPr>
              <w:t>(a)</w:t>
            </w:r>
          </w:p>
        </w:tc>
        <w:tc>
          <w:tcPr>
            <w:tcW w:w="142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8"/>
              </w:rPr>
              <w:t xml:space="preserve">(b) </w:t>
            </w:r>
            <w:r>
              <w:rPr>
                <w:rFonts w:ascii="Arial" w:cs="Arial" w:eastAsia="Arial" w:hAnsi="Arial"/>
                <w:sz w:val="8"/>
                <w:szCs w:val="8"/>
                <w:b w:val="1"/>
                <w:bCs w:val="1"/>
                <w:color w:val="auto"/>
                <w:w w:val="98"/>
              </w:rPr>
              <w:t>1</w:t>
            </w:r>
          </w:p>
        </w:tc>
        <w:tc>
          <w:tcPr>
            <w:tcW w:w="5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(c)</w:t>
            </w:r>
          </w:p>
        </w:tc>
        <w:tc>
          <w:tcPr>
            <w:tcW w:w="46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940" w:type="dxa"/>
            <w:vAlign w:val="bottom"/>
            <w:tcBorders>
              <w:bottom w:val="single" w:sz="8" w:color="auto"/>
              <w:right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Donald E. Graham</w:t>
            </w: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w w:val="85"/>
              </w:rPr>
              <w:t>2,550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2,550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Hal S. Jones</w:t>
            </w: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w w:val="85"/>
              </w:rPr>
              <w:t>2,550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24,440</w:t>
            </w:r>
          </w:p>
        </w:tc>
        <w:tc>
          <w:tcPr>
            <w:tcW w:w="1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26,990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Gerald M. Rosberg</w:t>
            </w: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w w:val="85"/>
              </w:rPr>
              <w:t>2,550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18,720</w:t>
            </w:r>
          </w:p>
        </w:tc>
        <w:tc>
          <w:tcPr>
            <w:tcW w:w="1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21,270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 L. McDaniel</w:t>
            </w: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w w:val="88"/>
              </w:rPr>
              <w:t>10,466</w:t>
            </w: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w w:val="85"/>
              </w:rPr>
              <w:t>2,550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18,720</w:t>
            </w:r>
          </w:p>
        </w:tc>
        <w:tc>
          <w:tcPr>
            <w:tcW w:w="1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31,736</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Veronica Dillon</w:t>
            </w: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w w:val="88"/>
              </w:rPr>
              <w:t>75,729</w:t>
            </w: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w w:val="85"/>
              </w:rPr>
              <w:t>2,550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18,720</w:t>
            </w:r>
          </w:p>
        </w:tc>
        <w:tc>
          <w:tcPr>
            <w:tcW w:w="1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96,999</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60" w:right="120" w:hanging="252"/>
        <w:spacing w:after="0" w:line="236"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 represents $10,466 for financial planning services provided by the Company for Ms. McDaniel; the amount represents $9,094 for financial planning services and $66,635 for living expenses provided by the Company for Ms. Dillon.</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40"/>
          </w:cols>
          <w:pgMar w:left="240" w:top="584" w:right="219" w:bottom="1440" w:gutter="0" w:footer="0" w:header="0"/>
        </w:sectPr>
      </w:pPr>
    </w:p>
    <w:bookmarkStart w:id="25" w:name="page26"/>
    <w:bookmarkEnd w:id="25"/>
    <w:p>
      <w:pPr>
        <w:ind w:right="40" w:firstLine="770"/>
        <w:spacing w:after="0" w:line="277" w:lineRule="auto"/>
        <w:rPr>
          <w:sz w:val="20"/>
          <w:szCs w:val="20"/>
          <w:color w:val="auto"/>
        </w:rPr>
      </w:pPr>
      <w:r>
        <w:rPr>
          <w:rFonts w:ascii="Arial" w:cs="Arial" w:eastAsia="Arial" w:hAnsi="Arial"/>
          <w:sz w:val="18"/>
          <w:szCs w:val="18"/>
          <w:color w:val="auto"/>
        </w:rPr>
        <w:t>The following table provides information on awards made under the Company’s 2012 Incentive Compensation Plan to each of the named executive officers in 2013. The types of awards granted in 2013 include annual incentive and performance units: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1400" w:type="dxa"/>
            <w:vAlign w:val="bottom"/>
            <w:tcBorders>
              <w:top w:val="single" w:sz="8" w:color="auto"/>
              <w:left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2420" w:type="dxa"/>
            <w:vAlign w:val="bottom"/>
            <w:tcBorders>
              <w:top w:val="single" w:sz="8" w:color="auto"/>
              <w:right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w w:val="93"/>
              </w:rPr>
              <w:t>Estimated Future Payouts Under Non-</w:t>
            </w:r>
          </w:p>
        </w:tc>
        <w:tc>
          <w:tcPr>
            <w:tcW w:w="20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Estimated Future Payouts Under</w:t>
            </w:r>
          </w:p>
        </w:tc>
        <w:tc>
          <w:tcPr>
            <w:tcW w:w="80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r>
      <w:tr>
        <w:trPr>
          <w:trHeight w:val="174"/>
        </w:trPr>
        <w:tc>
          <w:tcPr>
            <w:tcW w:w="140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2420" w:type="dxa"/>
            <w:vAlign w:val="bottom"/>
            <w:tcBorders>
              <w:bottom w:val="single" w:sz="8" w:color="auto"/>
              <w:right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Equity Incentive Plan Awards</w:t>
            </w:r>
          </w:p>
        </w:tc>
        <w:tc>
          <w:tcPr>
            <w:tcW w:w="2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Equity Incentive Plan Awards</w:t>
            </w:r>
          </w:p>
        </w:tc>
        <w:tc>
          <w:tcPr>
            <w:tcW w:w="8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130"/>
        </w:trPr>
        <w:tc>
          <w:tcPr>
            <w:tcW w:w="14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4"/>
              </w:rPr>
              <w:t>All Other</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4"/>
              </w:rPr>
              <w:t>All Other</w:t>
            </w: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Non-equity</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Closing Price</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Exercise or</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on Date of</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Date Fair</w:t>
            </w: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Base Price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Grant for</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Stock and</w:t>
            </w: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Units or Other</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Target</w:t>
            </w: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Stock or</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Awards, if</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b w:val="1"/>
                <w:bCs w:val="1"/>
                <w:color w:val="auto"/>
                <w:w w:val="93"/>
              </w:rPr>
              <w:t>Grant Date</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Rights (#)</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Threshold ($)</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Target ($)</w:t>
            </w:r>
          </w:p>
        </w:tc>
        <w:tc>
          <w:tcPr>
            <w:tcW w:w="920" w:type="dxa"/>
            <w:vAlign w:val="bottom"/>
            <w:tcBorders>
              <w:right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auto"/>
              </w:rPr>
              <w:t>Max ($)</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Threshold ($)</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Max</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Units (#)</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Options (#)</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($/share)</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Different ($)</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r>
      <w:tr>
        <w:trPr>
          <w:trHeight w:val="174"/>
        </w:trPr>
        <w:tc>
          <w:tcPr>
            <w:tcW w:w="14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3"/>
                <w:szCs w:val="13"/>
                <w:b w:val="1"/>
                <w:bCs w:val="1"/>
                <w:color w:val="auto"/>
              </w:rPr>
              <w:t>Name (a)</w:t>
            </w:r>
          </w:p>
        </w:tc>
        <w:tc>
          <w:tcPr>
            <w:tcW w:w="7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b w:val="1"/>
                <w:bCs w:val="1"/>
                <w:color w:val="auto"/>
              </w:rPr>
              <w:t>(b)</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w:t>
            </w:r>
          </w:p>
        </w:tc>
        <w:tc>
          <w:tcPr>
            <w:tcW w:w="92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(f)</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(g)</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 (i)</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(j)</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(k)</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(l)</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(m)</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(n)</w:t>
            </w:r>
          </w:p>
        </w:tc>
      </w:tr>
      <w:tr>
        <w:trPr>
          <w:trHeight w:val="18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Donald E. Graham</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243"/>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Performance Units</w:t>
            </w:r>
            <w:r>
              <w:rPr>
                <w:rFonts w:ascii="Arial" w:cs="Arial" w:eastAsia="Arial" w:hAnsi="Arial"/>
                <w:sz w:val="8"/>
                <w:szCs w:val="8"/>
                <w:color w:val="auto"/>
              </w:rPr>
              <w:t>2</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1/1/2013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9,750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47,580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400,000</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400,000</w:t>
            </w:r>
          </w:p>
        </w:tc>
        <w:tc>
          <w:tcPr>
            <w:tcW w:w="780" w:type="dxa"/>
            <w:vAlign w:val="bottom"/>
            <w:tcBorders>
              <w:right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r>
      <w:tr>
        <w:trPr>
          <w:trHeight w:val="57"/>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180"/>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Hal S. Jones</w:t>
            </w:r>
          </w:p>
        </w:tc>
        <w:tc>
          <w:tcPr>
            <w:tcW w:w="7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Annual Incentive</w:t>
            </w:r>
            <w:r>
              <w:rPr>
                <w:rFonts w:ascii="Arial" w:cs="Arial" w:eastAsia="Arial" w:hAnsi="Arial"/>
                <w:sz w:val="8"/>
                <w:szCs w:val="8"/>
                <w:color w:val="auto"/>
              </w:rPr>
              <w:t>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181,250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362,500</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634,375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21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Performance Units</w:t>
            </w:r>
            <w:r>
              <w:rPr>
                <w:rFonts w:ascii="Arial" w:cs="Arial" w:eastAsia="Arial" w:hAnsi="Arial"/>
                <w:sz w:val="8"/>
                <w:szCs w:val="8"/>
                <w:color w:val="auto"/>
              </w:rPr>
              <w:t>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1/1/2013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6,500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31,720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650,000</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1,300,000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30"/>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180"/>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Gerald M. Rosberg</w:t>
            </w:r>
          </w:p>
        </w:tc>
        <w:tc>
          <w:tcPr>
            <w:tcW w:w="7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Annual Incentive</w:t>
            </w:r>
            <w:r>
              <w:rPr>
                <w:rFonts w:ascii="Arial" w:cs="Arial" w:eastAsia="Arial" w:hAnsi="Arial"/>
                <w:sz w:val="8"/>
                <w:szCs w:val="8"/>
                <w:color w:val="auto"/>
              </w:rPr>
              <w:t>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123,000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246,000</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430,500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21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Performance Units</w:t>
            </w:r>
            <w:r>
              <w:rPr>
                <w:rFonts w:ascii="Arial" w:cs="Arial" w:eastAsia="Arial" w:hAnsi="Arial"/>
                <w:sz w:val="8"/>
                <w:szCs w:val="8"/>
                <w:color w:val="auto"/>
              </w:rPr>
              <w:t>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1/1/2013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6,500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31,720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650,000</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1,300,000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30"/>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180"/>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Ann L. McDaniel</w:t>
            </w:r>
          </w:p>
        </w:tc>
        <w:tc>
          <w:tcPr>
            <w:tcW w:w="7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Annual Incentive</w:t>
            </w:r>
            <w:r>
              <w:rPr>
                <w:rFonts w:ascii="Arial" w:cs="Arial" w:eastAsia="Arial" w:hAnsi="Arial"/>
                <w:sz w:val="8"/>
                <w:szCs w:val="8"/>
                <w:color w:val="auto"/>
              </w:rPr>
              <w:t>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215,250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430,500</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615,000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21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Performance Units</w:t>
            </w:r>
            <w:r>
              <w:rPr>
                <w:rFonts w:ascii="Arial" w:cs="Arial" w:eastAsia="Arial" w:hAnsi="Arial"/>
                <w:sz w:val="8"/>
                <w:szCs w:val="8"/>
                <w:color w:val="auto"/>
              </w:rPr>
              <w:t>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1/1/2013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6,500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31,720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650,000</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1,300,000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30"/>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180"/>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Veronica Dillon</w:t>
            </w:r>
          </w:p>
        </w:tc>
        <w:tc>
          <w:tcPr>
            <w:tcW w:w="7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Annual Incentive</w:t>
            </w:r>
            <w:r>
              <w:rPr>
                <w:rFonts w:ascii="Arial" w:cs="Arial" w:eastAsia="Arial" w:hAnsi="Arial"/>
                <w:sz w:val="8"/>
                <w:szCs w:val="8"/>
                <w:color w:val="auto"/>
              </w:rPr>
              <w:t>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123,000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246,000</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430,500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21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Performance Units</w:t>
            </w:r>
            <w:r>
              <w:rPr>
                <w:rFonts w:ascii="Arial" w:cs="Arial" w:eastAsia="Arial" w:hAnsi="Arial"/>
                <w:sz w:val="8"/>
                <w:szCs w:val="8"/>
                <w:color w:val="auto"/>
              </w:rPr>
              <w:t>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1/1/2013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6,500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31,720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650,000</w:t>
            </w:r>
          </w:p>
        </w:tc>
        <w:tc>
          <w:tcPr>
            <w:tcW w:w="9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1,300,000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30"/>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bl>
    <w:p>
      <w:pPr>
        <w:spacing w:after="0" w:line="238" w:lineRule="exact"/>
        <w:rPr>
          <w:sz w:val="20"/>
          <w:szCs w:val="20"/>
          <w:color w:val="auto"/>
        </w:rPr>
      </w:pPr>
    </w:p>
    <w:p>
      <w:pPr>
        <w:ind w:left="260" w:right="80" w:hanging="252"/>
        <w:spacing w:after="0" w:line="218"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presented are the threshold, target and maximum payouts under the annual bonus component of the Company’s 2012 Incentive Compensation Plan. The Compensation Committee sets the performance-based goals for the purpose of the annual incentive awards to be paid for fiscal year 2013. The amount in column (d) represents the minimum payment level, which is 50% of the target. The amount shown in column (f) represents the maximum payout level, which is 175% of the target. In the event that the goals set by the Compensation Committee are not attained, no amount would be paid.</w:t>
      </w:r>
    </w:p>
    <w:p>
      <w:pPr>
        <w:spacing w:after="0" w:line="9" w:lineRule="exact"/>
        <w:rPr>
          <w:rFonts w:ascii="Arial" w:cs="Arial" w:eastAsia="Arial" w:hAnsi="Arial"/>
          <w:sz w:val="14"/>
          <w:szCs w:val="14"/>
          <w:color w:val="auto"/>
        </w:rPr>
      </w:pPr>
    </w:p>
    <w:p>
      <w:pPr>
        <w:ind w:left="260" w:right="120" w:hanging="252"/>
        <w:spacing w:after="0" w:line="215"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grants represent performance units granted as part of a four-year award cycle. The Compensation Committee has set the performance-based goals for these grants, which are to be paid in fiscal year 2017. With the exception of those performance units granted to Mr. Graham, the amount in column (d) represents the minimum payment level, which is $4.88 per unit. The amount shown in column (e) represents the nominal value of each unit, which is $100 per unit, and the amount in column (f) represents the maximum payout per unit, which is $200 per unit. The amounts appearing in columns (e) and (f) for Mr. Graham reflect his request that he be paid no more than $400,000 as a result of this award. In the event that the goals set by the Compensation Committee for these grants are not attained, no amount will be paid.</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NARRATIVE DISCLOSURE TO SUMMARY COMPENSATION TABLE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 TABLE</w:t>
      </w:r>
    </w:p>
    <w:p>
      <w:pPr>
        <w:spacing w:after="0" w:line="211" w:lineRule="exact"/>
        <w:rPr>
          <w:sz w:val="20"/>
          <w:szCs w:val="20"/>
          <w:color w:val="auto"/>
        </w:rPr>
      </w:pPr>
    </w:p>
    <w:p>
      <w:pPr>
        <w:ind w:right="580" w:firstLine="770"/>
        <w:spacing w:after="0" w:line="277" w:lineRule="auto"/>
        <w:rPr>
          <w:sz w:val="20"/>
          <w:szCs w:val="20"/>
          <w:color w:val="auto"/>
        </w:rPr>
      </w:pPr>
      <w:r>
        <w:rPr>
          <w:rFonts w:ascii="Arial" w:cs="Arial" w:eastAsia="Arial" w:hAnsi="Arial"/>
          <w:sz w:val="18"/>
          <w:szCs w:val="18"/>
          <w:color w:val="auto"/>
        </w:rPr>
        <w:t>The following describes material features of the compensation disclosed in the Summary Compensation Table and the Grants of Plan-Based Awards Table.</w:t>
      </w:r>
    </w:p>
    <w:p>
      <w:pPr>
        <w:spacing w:after="0" w:line="166" w:lineRule="exact"/>
        <w:rPr>
          <w:sz w:val="20"/>
          <w:szCs w:val="20"/>
          <w:color w:val="auto"/>
        </w:rPr>
      </w:pPr>
    </w:p>
    <w:p>
      <w:pPr>
        <w:ind w:right="720" w:firstLine="770"/>
        <w:spacing w:after="0" w:line="282" w:lineRule="auto"/>
        <w:rPr>
          <w:sz w:val="20"/>
          <w:szCs w:val="20"/>
          <w:color w:val="auto"/>
        </w:rPr>
      </w:pPr>
      <w:r>
        <w:rPr>
          <w:rFonts w:ascii="Arial" w:cs="Arial" w:eastAsia="Arial" w:hAnsi="Arial"/>
          <w:sz w:val="18"/>
          <w:szCs w:val="18"/>
          <w:b w:val="1"/>
          <w:bCs w:val="1"/>
          <w:color w:val="auto"/>
        </w:rPr>
        <w:t xml:space="preserve">Employment Agreements. </w:t>
      </w:r>
      <w:r>
        <w:rPr>
          <w:rFonts w:ascii="Arial" w:cs="Arial" w:eastAsia="Arial" w:hAnsi="Arial"/>
          <w:sz w:val="18"/>
          <w:szCs w:val="18"/>
          <w:color w:val="auto"/>
        </w:rPr>
        <w:t>Consistent with its policy, the Company has not entered into any employment agreements with, or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packages to, any of the named executive officers.</w:t>
      </w:r>
    </w:p>
    <w:p>
      <w:pPr>
        <w:spacing w:after="0" w:line="162" w:lineRule="exact"/>
        <w:rPr>
          <w:sz w:val="20"/>
          <w:szCs w:val="20"/>
          <w:color w:val="auto"/>
        </w:rPr>
      </w:pPr>
    </w:p>
    <w:p>
      <w:pPr>
        <w:ind w:right="600" w:firstLine="770"/>
        <w:spacing w:after="0" w:line="282" w:lineRule="auto"/>
        <w:rPr>
          <w:sz w:val="20"/>
          <w:szCs w:val="20"/>
          <w:color w:val="auto"/>
        </w:rPr>
      </w:pPr>
      <w:r>
        <w:rPr>
          <w:rFonts w:ascii="Arial" w:cs="Arial" w:eastAsia="Arial" w:hAnsi="Arial"/>
          <w:sz w:val="18"/>
          <w:szCs w:val="18"/>
          <w:b w:val="1"/>
          <w:bCs w:val="1"/>
          <w:color w:val="auto"/>
        </w:rPr>
        <w:t xml:space="preserve">Annual Bonus/Incentive. </w:t>
      </w:r>
      <w:r>
        <w:rPr>
          <w:rFonts w:ascii="Arial" w:cs="Arial" w:eastAsia="Arial" w:hAnsi="Arial"/>
          <w:sz w:val="18"/>
          <w:szCs w:val="18"/>
          <w:color w:val="auto"/>
        </w:rPr>
        <w:t>Both tables show the annual bonus component under the Company’s 2012 Incentive Compensation Plan. See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Discussion and Analysis for further details on the annual bonuses.</w:t>
      </w:r>
    </w:p>
    <w:p>
      <w:pPr>
        <w:spacing w:after="0" w:line="162" w:lineRule="exact"/>
        <w:rPr>
          <w:sz w:val="20"/>
          <w:szCs w:val="20"/>
          <w:color w:val="auto"/>
        </w:rPr>
      </w:pPr>
    </w:p>
    <w:p>
      <w:pPr>
        <w:jc w:val="both"/>
        <w:ind w:right="200" w:firstLine="770"/>
        <w:spacing w:after="0" w:line="266"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Summary Compensation Table reflects the fair value of the restricted stock awards made in 2011 and 2012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Restricted Stock generally vests four years from the date of grant, subject to continued employment. There were no restricted stock awards granted to the named executive officers in 2013.</w:t>
      </w:r>
    </w:p>
    <w:p>
      <w:pPr>
        <w:spacing w:after="0" w:line="176" w:lineRule="exact"/>
        <w:rPr>
          <w:sz w:val="20"/>
          <w:szCs w:val="20"/>
          <w:color w:val="auto"/>
        </w:rPr>
      </w:pPr>
    </w:p>
    <w:p>
      <w:pPr>
        <w:ind w:right="20" w:firstLine="770"/>
        <w:spacing w:after="0" w:line="261" w:lineRule="auto"/>
        <w:rPr>
          <w:sz w:val="20"/>
          <w:szCs w:val="20"/>
          <w:color w:val="auto"/>
        </w:rPr>
      </w:pPr>
      <w:r>
        <w:rPr>
          <w:rFonts w:ascii="Arial" w:cs="Arial" w:eastAsia="Arial" w:hAnsi="Arial"/>
          <w:sz w:val="18"/>
          <w:szCs w:val="18"/>
          <w:b w:val="1"/>
          <w:bCs w:val="1"/>
          <w:color w:val="auto"/>
        </w:rPr>
        <w:t xml:space="preserve">Performance Units. </w:t>
      </w:r>
      <w:r>
        <w:rPr>
          <w:rFonts w:ascii="Arial" w:cs="Arial" w:eastAsia="Arial" w:hAnsi="Arial"/>
          <w:sz w:val="18"/>
          <w:szCs w:val="18"/>
          <w:color w:val="auto"/>
        </w:rPr>
        <w:t>The Summary Compensation Table includes amounts earned for Performance Units granted under the 2009–2012 award</w:t>
      </w:r>
      <w:r>
        <w:rPr>
          <w:rFonts w:ascii="Arial" w:cs="Arial" w:eastAsia="Arial" w:hAnsi="Arial"/>
          <w:sz w:val="18"/>
          <w:szCs w:val="18"/>
          <w:b w:val="1"/>
          <w:bCs w:val="1"/>
          <w:color w:val="auto"/>
        </w:rPr>
        <w:t xml:space="preserve"> </w:t>
      </w:r>
      <w:r>
        <w:rPr>
          <w:rFonts w:ascii="Arial" w:cs="Arial" w:eastAsia="Arial" w:hAnsi="Arial"/>
          <w:sz w:val="18"/>
          <w:szCs w:val="18"/>
          <w:color w:val="auto"/>
        </w:rPr>
        <w:t>cycle. The Grants of Plan-Based Awards Table includes the threshold, target and maximum payouts of Performance Units granted under the 2013–2016 award cycle to the named executive officers. The Compensation Committee sets the performance-based goals for the grants at the beginning of each four-year award cycle. See the Compensation Discussion and Analysis for further details on Performance Units.</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There were no stock options granted to the named executive officers from 2011 to 2013.</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40"/>
          </w:cols>
          <w:pgMar w:left="240" w:top="584" w:right="219" w:bottom="1440" w:gutter="0" w:footer="0" w:header="0"/>
        </w:sectPr>
      </w:pPr>
    </w:p>
    <w:bookmarkStart w:id="26" w:name="page27"/>
    <w:bookmarkEnd w:id="26"/>
    <w:p>
      <w:pPr>
        <w:ind w:right="580" w:firstLine="770"/>
        <w:spacing w:after="0" w:line="277"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held by the Company’s named executive officers on December 31, 2013.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2" w:lineRule="exact"/>
        <w:rPr>
          <w:sz w:val="20"/>
          <w:szCs w:val="20"/>
          <w:color w:val="auto"/>
        </w:rPr>
      </w:pPr>
    </w:p>
    <w:tbl>
      <w:tblPr>
        <w:tblLayout w:type="fixed"/>
        <w:tblInd w:w="50" w:type="dxa"/>
        <w:tblCellMar>
          <w:top w:w="0" w:type="dxa"/>
          <w:left w:w="0" w:type="dxa"/>
          <w:bottom w:w="0" w:type="dxa"/>
          <w:right w:w="0" w:type="dxa"/>
        </w:tblCellMar>
      </w:tblPr>
      <w:tr>
        <w:trPr>
          <w:trHeight w:val="278"/>
        </w:trPr>
        <w:tc>
          <w:tcPr>
            <w:tcW w:w="1160" w:type="dxa"/>
            <w:vAlign w:val="bottom"/>
            <w:tcBorders>
              <w:top w:val="single" w:sz="8" w:color="auto"/>
              <w:left w:val="single" w:sz="8" w:color="auto"/>
              <w:right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8"/>
                <w:szCs w:val="8"/>
                <w:b w:val="1"/>
                <w:bCs w:val="1"/>
                <w:color w:val="auto"/>
              </w:rPr>
              <w:t>1</w:t>
            </w:r>
          </w:p>
        </w:tc>
        <w:tc>
          <w:tcPr>
            <w:tcW w:w="9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8"/>
                <w:szCs w:val="8"/>
                <w:b w:val="1"/>
                <w:bCs w:val="1"/>
                <w:color w:val="auto"/>
              </w:rPr>
              <w:t>2</w:t>
            </w:r>
          </w:p>
        </w:tc>
        <w:tc>
          <w:tcPr>
            <w:tcW w:w="114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9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11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9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Payout Value of</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Shares, Units or</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Options:</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Options:</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vMerge w:val="continue"/>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Exercisable (#)</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Unexercisable (#)</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Price ($)</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Expiration Date</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Vested (#)</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Vested ($)</w:t>
            </w:r>
          </w:p>
        </w:tc>
        <w:tc>
          <w:tcPr>
            <w:tcW w:w="0" w:type="dxa"/>
            <w:vAlign w:val="bottom"/>
          </w:tcPr>
          <w:p>
            <w:pPr>
              <w:spacing w:after="0"/>
              <w:rPr>
                <w:sz w:val="1"/>
                <w:szCs w:val="1"/>
                <w:color w:val="auto"/>
              </w:rPr>
            </w:pPr>
          </w:p>
        </w:tc>
      </w:tr>
      <w:tr>
        <w:trPr>
          <w:trHeight w:val="192"/>
        </w:trPr>
        <w:tc>
          <w:tcPr>
            <w:tcW w:w="116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4"/>
                <w:szCs w:val="14"/>
                <w:b w:val="1"/>
                <w:bCs w:val="1"/>
                <w:color w:val="auto"/>
              </w:rPr>
              <w:t>(a)</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(g)</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(h) </w:t>
            </w:r>
            <w:r>
              <w:rPr>
                <w:rFonts w:ascii="Arial" w:cs="Arial" w:eastAsia="Arial" w:hAnsi="Arial"/>
                <w:sz w:val="8"/>
                <w:szCs w:val="8"/>
                <w:b w:val="1"/>
                <w:bCs w:val="1"/>
                <w:color w:val="auto"/>
                <w:w w:val="91"/>
              </w:rPr>
              <w:t>3</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56"/>
        </w:trPr>
        <w:tc>
          <w:tcPr>
            <w:tcW w:w="116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Donald E.</w:t>
            </w:r>
          </w:p>
        </w:tc>
        <w:tc>
          <w:tcPr>
            <w:tcW w:w="11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Graham</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Hal S. Jones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2,000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651.91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5/12/2018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1,600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1,061,312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160" w:type="dxa"/>
            <w:vAlign w:val="bottom"/>
            <w:tcBorders>
              <w:left w:val="single" w:sz="8" w:color="auto"/>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1,000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368.56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12/15/2018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750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250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395.67</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12/7/2020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6"/>
        </w:trPr>
        <w:tc>
          <w:tcPr>
            <w:tcW w:w="116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Gerald M.</w:t>
            </w:r>
          </w:p>
        </w:tc>
        <w:tc>
          <w:tcPr>
            <w:tcW w:w="11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Rosberg</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368.56</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12/15/2018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1,600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1,061,312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 L. McDaniel</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1,000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953.50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12/13/2014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1,600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1,061,312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368.56</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12/15/2018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1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Veronica Dillon</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368.56</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12/15/2018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1,600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1,061,312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right="80" w:hanging="332"/>
        <w:spacing w:after="0" w:line="236"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Stock Options granted under the Company’s Stock Option Plan and 2012 Incentive Compensation Plan vest 25% per year over a four-year period from the date of grant. The following are the vesting dates of outstanding options granted to the named executive officers: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Year 1</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Year 4</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Vested</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3"/>
                <w:szCs w:val="13"/>
                <w:color w:val="auto"/>
              </w:rPr>
            </w:pPr>
          </w:p>
        </w:tc>
        <w:tc>
          <w:tcPr>
            <w:tcW w:w="8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87"/>
              </w:rPr>
              <w:t>Vest Date</w:t>
            </w:r>
          </w:p>
        </w:tc>
        <w:tc>
          <w:tcPr>
            <w:tcW w:w="480" w:type="dxa"/>
            <w:vAlign w:val="bottom"/>
          </w:tcPr>
          <w:p>
            <w:pPr>
              <w:spacing w:after="0"/>
              <w:rPr>
                <w:sz w:val="13"/>
                <w:szCs w:val="13"/>
                <w:color w:val="auto"/>
              </w:rPr>
            </w:pPr>
          </w:p>
        </w:tc>
        <w:tc>
          <w:tcPr>
            <w:tcW w:w="112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Vest Date</w:t>
            </w:r>
          </w:p>
        </w:tc>
        <w:tc>
          <w:tcPr>
            <w:tcW w:w="660" w:type="dxa"/>
            <w:vAlign w:val="bottom"/>
            <w:gridSpan w:val="2"/>
            <w:vMerge w:val="continue"/>
          </w:tcPr>
          <w:p>
            <w:pPr>
              <w:spacing w:after="0"/>
              <w:rPr>
                <w:sz w:val="13"/>
                <w:szCs w:val="13"/>
                <w:color w:val="auto"/>
              </w:rPr>
            </w:pPr>
          </w:p>
        </w:tc>
        <w:tc>
          <w:tcPr>
            <w:tcW w:w="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220" w:type="dxa"/>
            <w:vAlign w:val="bottom"/>
          </w:tcPr>
          <w:p>
            <w:pPr>
              <w:spacing w:after="0"/>
              <w:rPr>
                <w:sz w:val="20"/>
                <w:szCs w:val="20"/>
                <w:color w:val="auto"/>
              </w:rPr>
            </w:pPr>
            <w:r>
              <w:rPr>
                <w:rFonts w:ascii="Arial" w:cs="Arial" w:eastAsia="Arial" w:hAnsi="Arial"/>
                <w:sz w:val="14"/>
                <w:szCs w:val="14"/>
                <w:color w:val="auto"/>
              </w:rPr>
              <w:t>Hal S. Jones</w:t>
            </w: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1"/>
              </w:rPr>
              <w:t>2,000</w:t>
            </w: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5/12/2009</w:t>
            </w:r>
          </w:p>
        </w:tc>
        <w:tc>
          <w:tcPr>
            <w:tcW w:w="480" w:type="dxa"/>
            <w:vAlign w:val="bottom"/>
          </w:tcPr>
          <w:p>
            <w:pPr>
              <w:ind w:left="160"/>
              <w:spacing w:after="0"/>
              <w:rPr>
                <w:sz w:val="20"/>
                <w:szCs w:val="20"/>
                <w:color w:val="auto"/>
              </w:rPr>
            </w:pPr>
            <w:r>
              <w:rPr>
                <w:rFonts w:ascii="Arial" w:cs="Arial" w:eastAsia="Arial" w:hAnsi="Arial"/>
                <w:sz w:val="14"/>
                <w:szCs w:val="14"/>
                <w:color w:val="auto"/>
              </w:rPr>
              <w:t>to</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5/12/2012</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2,000</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64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1,000</w:t>
            </w:r>
          </w:p>
        </w:tc>
        <w:tc>
          <w:tcPr>
            <w:tcW w:w="34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12/15/2009</w:t>
            </w:r>
          </w:p>
        </w:tc>
        <w:tc>
          <w:tcPr>
            <w:tcW w:w="480" w:type="dxa"/>
            <w:vAlign w:val="bottom"/>
          </w:tcPr>
          <w:p>
            <w:pPr>
              <w:ind w:left="160"/>
              <w:spacing w:after="0"/>
              <w:rPr>
                <w:sz w:val="20"/>
                <w:szCs w:val="20"/>
                <w:color w:val="auto"/>
              </w:rPr>
            </w:pPr>
            <w:r>
              <w:rPr>
                <w:rFonts w:ascii="Arial" w:cs="Arial" w:eastAsia="Arial" w:hAnsi="Arial"/>
                <w:sz w:val="14"/>
                <w:szCs w:val="14"/>
                <w:color w:val="auto"/>
              </w:rPr>
              <w:t>to</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12/15/2012</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1,000</w:t>
            </w:r>
          </w:p>
        </w:tc>
        <w:tc>
          <w:tcPr>
            <w:tcW w:w="24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64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1,000</w:t>
            </w:r>
          </w:p>
        </w:tc>
        <w:tc>
          <w:tcPr>
            <w:tcW w:w="34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12/7/2011</w:t>
            </w:r>
          </w:p>
        </w:tc>
        <w:tc>
          <w:tcPr>
            <w:tcW w:w="480" w:type="dxa"/>
            <w:vAlign w:val="bottom"/>
          </w:tcPr>
          <w:p>
            <w:pPr>
              <w:ind w:left="160"/>
              <w:spacing w:after="0"/>
              <w:rPr>
                <w:sz w:val="20"/>
                <w:szCs w:val="20"/>
                <w:color w:val="auto"/>
              </w:rPr>
            </w:pPr>
            <w:r>
              <w:rPr>
                <w:rFonts w:ascii="Arial" w:cs="Arial" w:eastAsia="Arial" w:hAnsi="Arial"/>
                <w:sz w:val="14"/>
                <w:szCs w:val="14"/>
                <w:color w:val="auto"/>
              </w:rPr>
              <w:t>to</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12/7/2014</w:t>
            </w:r>
          </w:p>
        </w:tc>
        <w:tc>
          <w:tcPr>
            <w:tcW w:w="420" w:type="dxa"/>
            <w:vAlign w:val="bottom"/>
          </w:tcPr>
          <w:p>
            <w:pPr>
              <w:jc w:val="center"/>
              <w:spacing w:after="0"/>
              <w:rPr>
                <w:sz w:val="20"/>
                <w:szCs w:val="20"/>
                <w:color w:val="auto"/>
              </w:rPr>
            </w:pPr>
            <w:r>
              <w:rPr>
                <w:rFonts w:ascii="Arial" w:cs="Arial" w:eastAsia="Arial" w:hAnsi="Arial"/>
                <w:sz w:val="14"/>
                <w:szCs w:val="14"/>
                <w:color w:val="auto"/>
                <w:w w:val="94"/>
              </w:rPr>
              <w:t>750</w:t>
            </w:r>
          </w:p>
        </w:tc>
        <w:tc>
          <w:tcPr>
            <w:tcW w:w="24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5"/>
              </w:rPr>
              <w:t>250</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4"/>
                <w:szCs w:val="14"/>
                <w:color w:val="auto"/>
              </w:rPr>
              <w:t>Gerald M. Rosberg</w:t>
            </w:r>
          </w:p>
        </w:tc>
        <w:tc>
          <w:tcPr>
            <w:tcW w:w="64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1,000</w:t>
            </w:r>
          </w:p>
        </w:tc>
        <w:tc>
          <w:tcPr>
            <w:tcW w:w="34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12/15/2009</w:t>
            </w:r>
          </w:p>
        </w:tc>
        <w:tc>
          <w:tcPr>
            <w:tcW w:w="480" w:type="dxa"/>
            <w:vAlign w:val="bottom"/>
          </w:tcPr>
          <w:p>
            <w:pPr>
              <w:ind w:left="160"/>
              <w:spacing w:after="0"/>
              <w:rPr>
                <w:sz w:val="20"/>
                <w:szCs w:val="20"/>
                <w:color w:val="auto"/>
              </w:rPr>
            </w:pPr>
            <w:r>
              <w:rPr>
                <w:rFonts w:ascii="Arial" w:cs="Arial" w:eastAsia="Arial" w:hAnsi="Arial"/>
                <w:sz w:val="14"/>
                <w:szCs w:val="14"/>
                <w:color w:val="auto"/>
              </w:rPr>
              <w:t>to</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12/15/2012</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1,000</w:t>
            </w:r>
          </w:p>
        </w:tc>
        <w:tc>
          <w:tcPr>
            <w:tcW w:w="24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4"/>
                <w:szCs w:val="14"/>
                <w:color w:val="auto"/>
              </w:rPr>
              <w:t>Ann L. McDaniel</w:t>
            </w:r>
          </w:p>
        </w:tc>
        <w:tc>
          <w:tcPr>
            <w:tcW w:w="64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1,000</w:t>
            </w:r>
          </w:p>
        </w:tc>
        <w:tc>
          <w:tcPr>
            <w:tcW w:w="34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12/13/2005</w:t>
            </w:r>
          </w:p>
        </w:tc>
        <w:tc>
          <w:tcPr>
            <w:tcW w:w="480" w:type="dxa"/>
            <w:vAlign w:val="bottom"/>
          </w:tcPr>
          <w:p>
            <w:pPr>
              <w:ind w:left="160"/>
              <w:spacing w:after="0"/>
              <w:rPr>
                <w:sz w:val="20"/>
                <w:szCs w:val="20"/>
                <w:color w:val="auto"/>
              </w:rPr>
            </w:pPr>
            <w:r>
              <w:rPr>
                <w:rFonts w:ascii="Arial" w:cs="Arial" w:eastAsia="Arial" w:hAnsi="Arial"/>
                <w:sz w:val="14"/>
                <w:szCs w:val="14"/>
                <w:color w:val="auto"/>
              </w:rPr>
              <w:t>to</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12/13/2008</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1,000</w:t>
            </w:r>
          </w:p>
        </w:tc>
        <w:tc>
          <w:tcPr>
            <w:tcW w:w="24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64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1,000</w:t>
            </w:r>
          </w:p>
        </w:tc>
        <w:tc>
          <w:tcPr>
            <w:tcW w:w="34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12/15/2009</w:t>
            </w:r>
          </w:p>
        </w:tc>
        <w:tc>
          <w:tcPr>
            <w:tcW w:w="480" w:type="dxa"/>
            <w:vAlign w:val="bottom"/>
          </w:tcPr>
          <w:p>
            <w:pPr>
              <w:ind w:left="160"/>
              <w:spacing w:after="0"/>
              <w:rPr>
                <w:sz w:val="20"/>
                <w:szCs w:val="20"/>
                <w:color w:val="auto"/>
              </w:rPr>
            </w:pPr>
            <w:r>
              <w:rPr>
                <w:rFonts w:ascii="Arial" w:cs="Arial" w:eastAsia="Arial" w:hAnsi="Arial"/>
                <w:sz w:val="14"/>
                <w:szCs w:val="14"/>
                <w:color w:val="auto"/>
              </w:rPr>
              <w:t>to</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12/15/2012</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1,000</w:t>
            </w:r>
          </w:p>
        </w:tc>
        <w:tc>
          <w:tcPr>
            <w:tcW w:w="24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4"/>
                <w:szCs w:val="14"/>
                <w:color w:val="auto"/>
              </w:rPr>
              <w:t>Veronica Dillon</w:t>
            </w:r>
          </w:p>
        </w:tc>
        <w:tc>
          <w:tcPr>
            <w:tcW w:w="64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1,000</w:t>
            </w:r>
          </w:p>
        </w:tc>
        <w:tc>
          <w:tcPr>
            <w:tcW w:w="34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12/15/2009</w:t>
            </w:r>
          </w:p>
        </w:tc>
        <w:tc>
          <w:tcPr>
            <w:tcW w:w="480" w:type="dxa"/>
            <w:vAlign w:val="bottom"/>
          </w:tcPr>
          <w:p>
            <w:pPr>
              <w:ind w:left="160"/>
              <w:spacing w:after="0"/>
              <w:rPr>
                <w:sz w:val="20"/>
                <w:szCs w:val="20"/>
                <w:color w:val="auto"/>
              </w:rPr>
            </w:pPr>
            <w:r>
              <w:rPr>
                <w:rFonts w:ascii="Arial" w:cs="Arial" w:eastAsia="Arial" w:hAnsi="Arial"/>
                <w:sz w:val="14"/>
                <w:szCs w:val="14"/>
                <w:color w:val="auto"/>
              </w:rPr>
              <w:t>to</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12/15/2012</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1,000</w:t>
            </w:r>
          </w:p>
        </w:tc>
        <w:tc>
          <w:tcPr>
            <w:tcW w:w="24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40" w:right="160" w:hanging="332"/>
        <w:spacing w:after="0" w:line="236"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Stock Awards have been granted in the form of Restricted Stock under the Company’s Incentive Compensation Plan and 2012 Incentive Compensation Plan as of December 31, 2013. All of the awards listed below vest 100% at the end of the relevant Award Cycle. The following are the vesting dates of the grants to the named executives: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Vest Date</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of Shares</w:t>
            </w:r>
          </w:p>
        </w:tc>
        <w:tc>
          <w:tcPr>
            <w:tcW w:w="32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220" w:type="dxa"/>
            <w:vAlign w:val="bottom"/>
          </w:tcPr>
          <w:p>
            <w:pPr>
              <w:spacing w:after="0"/>
              <w:rPr>
                <w:sz w:val="20"/>
                <w:szCs w:val="20"/>
                <w:color w:val="auto"/>
              </w:rPr>
            </w:pPr>
            <w:r>
              <w:rPr>
                <w:rFonts w:ascii="Arial" w:cs="Arial" w:eastAsia="Arial" w:hAnsi="Arial"/>
                <w:sz w:val="14"/>
                <w:szCs w:val="14"/>
                <w:color w:val="auto"/>
              </w:rPr>
              <w:t>Hal S. Jones</w:t>
            </w:r>
          </w:p>
        </w:tc>
        <w:tc>
          <w:tcPr>
            <w:tcW w:w="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800</w:t>
            </w: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1/4/2017</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800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1/5/2015</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4"/>
                <w:szCs w:val="14"/>
                <w:color w:val="auto"/>
              </w:rPr>
              <w:t>Gerald M. Rosberg</w:t>
            </w:r>
          </w:p>
        </w:tc>
        <w:tc>
          <w:tcPr>
            <w:tcW w:w="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800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1/4/2017</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800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1/5/2015</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4"/>
                <w:szCs w:val="14"/>
                <w:color w:val="auto"/>
              </w:rPr>
              <w:t>Ann L. McDaniel</w:t>
            </w:r>
          </w:p>
        </w:tc>
        <w:tc>
          <w:tcPr>
            <w:tcW w:w="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800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1/4/2017</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800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1/5/2015</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4"/>
                <w:szCs w:val="14"/>
                <w:color w:val="auto"/>
              </w:rPr>
              <w:t>Veronica Dillon</w:t>
            </w:r>
          </w:p>
        </w:tc>
        <w:tc>
          <w:tcPr>
            <w:tcW w:w="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800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1/4/2017</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300" w:hanging="759"/>
        <w:spacing w:after="0"/>
        <w:tabs>
          <w:tab w:leader="none" w:pos="2300" w:val="left"/>
        </w:tabs>
        <w:numPr>
          <w:ilvl w:val="1"/>
          <w:numId w:val="35"/>
        </w:numPr>
        <w:rPr>
          <w:rFonts w:ascii="Arial" w:cs="Arial" w:eastAsia="Arial" w:hAnsi="Arial"/>
          <w:sz w:val="14"/>
          <w:szCs w:val="14"/>
          <w:color w:val="auto"/>
        </w:rPr>
      </w:pPr>
      <w:r>
        <w:rPr>
          <w:rFonts w:ascii="Arial" w:cs="Arial" w:eastAsia="Arial" w:hAnsi="Arial"/>
          <w:sz w:val="14"/>
          <w:szCs w:val="14"/>
          <w:color w:val="auto"/>
        </w:rPr>
        <w:t>1/5/2015</w:t>
      </w:r>
    </w:p>
    <w:p>
      <w:pPr>
        <w:spacing w:after="0" w:line="284"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Calculated using the closing price of a share of the Company’s Class B Common Stock as of December 31, 2013 ($663.32).</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right="60" w:firstLine="770"/>
        <w:spacing w:after="0" w:line="266" w:lineRule="auto"/>
        <w:rPr>
          <w:sz w:val="20"/>
          <w:szCs w:val="20"/>
          <w:color w:val="auto"/>
        </w:rPr>
      </w:pPr>
      <w:r>
        <w:rPr>
          <w:rFonts w:ascii="Arial" w:cs="Arial" w:eastAsia="Arial" w:hAnsi="Arial"/>
          <w:sz w:val="16"/>
          <w:szCs w:val="16"/>
          <w:color w:val="auto"/>
        </w:rPr>
        <w:t>The Pension Benefits table includes information related to the Company’s tax-qualified defined benefit plan, The Retirement Plan for Graham Holdings Company (the “Retirement Plan”),</w:t>
      </w:r>
      <w:r>
        <w:rPr>
          <w:rFonts w:ascii="Arial" w:cs="Arial" w:eastAsia="Arial" w:hAnsi="Arial"/>
          <w:sz w:val="22"/>
          <w:szCs w:val="22"/>
          <w:color w:val="auto"/>
          <w:vertAlign w:val="superscript"/>
        </w:rPr>
        <w:t>(A)</w:t>
      </w:r>
      <w:r>
        <w:rPr>
          <w:rFonts w:ascii="Arial" w:cs="Arial" w:eastAsia="Arial" w:hAnsi="Arial"/>
          <w:sz w:val="16"/>
          <w:szCs w:val="16"/>
          <w:color w:val="auto"/>
        </w:rPr>
        <w:t xml:space="preserve"> as well as the associated nonqualified plan, Graham Holdings Company Supplemental Executive Retirement Plan (the “SERP”).</w:t>
      </w:r>
      <w:r>
        <w:rPr>
          <w:rFonts w:ascii="Arial" w:cs="Arial" w:eastAsia="Arial" w:hAnsi="Arial"/>
          <w:sz w:val="22"/>
          <w:szCs w:val="22"/>
          <w:color w:val="auto"/>
          <w:vertAlign w:val="superscript"/>
        </w:rPr>
        <w:t>(B)</w:t>
      </w:r>
      <w:r>
        <w:rPr>
          <w:rFonts w:ascii="Arial" w:cs="Arial" w:eastAsia="Arial" w:hAnsi="Arial"/>
          <w:sz w:val="16"/>
          <w:szCs w:val="16"/>
          <w:color w:val="auto"/>
        </w:rPr>
        <w:t xml:space="preserve"> The Retirement Plan covers most employees of the Company and provides benefits that are based on formulas that take into account base salary and service. Such formulas are contained in individual affiliate benefits schedules including the Graham Holdings Retirement Benefits Schedule, the Newsweek Retirement Benefits Schedule, the Cash Balance Retirement Program and the Secure Retirement Account. Benefits under the Retirement Plan become vested after three or five years of service, depending on which schedules cover the individual employee. All of the named executive officers are fully vested in their benefits under the Retirement Plan. The SERP provides benefits that are calculated based on the formulas in the Retirement Plan, but include bonuses under the 2012 Incentive Compensation Plan, rather than just base salary, without regard to (i) the salary limitation applicable to tax-qualified plans (currently $260,000) or (ii) the benefit limitation applicable to tax-qualified plans (currently $210,000 per year commencing at age 65). The SERP provides benefits only to the extent that the benefit described above exceeds the benefit in the Retirement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Graham Holdings Retirement Benefits Schedule</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Mr. Graham, Mr. Jones, Mr. Rosberg, Ms. McDaniel and Ms. Dillon are participants in the Graham Holdings Retirement Benefits Schedule.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Benefits payable under this Schedule include the following, subject to the limitations on tax-qualified plans mentioned above:</w:t>
      </w:r>
    </w:p>
    <w:p>
      <w:pPr>
        <w:spacing w:after="0" w:line="49" w:lineRule="exact"/>
        <w:rPr>
          <w:sz w:val="20"/>
          <w:szCs w:val="20"/>
          <w:color w:val="auto"/>
        </w:rPr>
      </w:pPr>
    </w:p>
    <w:p>
      <w:pPr>
        <w:ind w:left="1300" w:right="40" w:hanging="158"/>
        <w:spacing w:after="0" w:line="272"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annual pension (payable one-twelfth each month)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42" w:lineRule="exact"/>
        <w:rPr>
          <w:rFonts w:ascii="Arial" w:cs="Arial" w:eastAsia="Arial" w:hAnsi="Arial"/>
          <w:sz w:val="17"/>
          <w:szCs w:val="17"/>
          <w:color w:val="auto"/>
        </w:rPr>
      </w:pPr>
    </w:p>
    <w:p>
      <w:pPr>
        <w:ind w:left="1360" w:hanging="218"/>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w:t>
      </w:r>
    </w:p>
    <w:p>
      <w:pPr>
        <w:spacing w:after="0" w:line="76" w:lineRule="exact"/>
        <w:rPr>
          <w:rFonts w:ascii="Arial" w:cs="Arial" w:eastAsia="Arial" w:hAnsi="Arial"/>
          <w:sz w:val="18"/>
          <w:szCs w:val="18"/>
          <w:color w:val="auto"/>
        </w:rPr>
      </w:pPr>
    </w:p>
    <w:p>
      <w:pPr>
        <w:ind w:left="1300" w:right="540" w:hanging="158"/>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temporary pre-age 65 supplement of $250 per month payable until age 65 to employees retiring at or after age 55 with ten years of vesting service.</w:t>
      </w:r>
    </w:p>
    <w:p>
      <w:pPr>
        <w:spacing w:after="0" w:line="170" w:lineRule="exact"/>
        <w:rPr>
          <w:sz w:val="20"/>
          <w:szCs w:val="20"/>
          <w:color w:val="auto"/>
        </w:rPr>
      </w:pPr>
    </w:p>
    <w:p>
      <w:pPr>
        <w:ind w:firstLine="770"/>
        <w:spacing w:after="0" w:line="297" w:lineRule="auto"/>
        <w:rPr>
          <w:sz w:val="20"/>
          <w:szCs w:val="20"/>
          <w:color w:val="auto"/>
        </w:rPr>
      </w:pPr>
      <w:r>
        <w:rPr>
          <w:rFonts w:ascii="Arial" w:cs="Arial" w:eastAsia="Arial" w:hAnsi="Arial"/>
          <w:sz w:val="16"/>
          <w:szCs w:val="16"/>
          <w:color w:val="auto"/>
        </w:rPr>
        <w:t>Vested benefits under the Retirement Plan are generally payable in the form of a single life annuity.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Holdings Retirement Benefits Schedule provides a reduced benefit beginning at age 55. The reduction is a percentage based on age at retirement. For example, at age 55 with ten years of service, the reduction is 60%; at age 58, the reduction is 26%. However, if the employee’s age plus years of service at retirement is at least 90, then there is no reduction for early payment.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Newsweek Retirement Benefits Schedule</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 portion of Ms. McDaniel’s pension benefit was earned under the Newsweek Retirement Benefits Schedule. Vested benefits payable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include the following, subject to the limitations on tax-qualified plans mentioned above:</w:t>
      </w:r>
    </w:p>
    <w:p>
      <w:pPr>
        <w:spacing w:after="0" w:line="49" w:lineRule="exact"/>
        <w:rPr>
          <w:sz w:val="20"/>
          <w:szCs w:val="20"/>
          <w:color w:val="auto"/>
        </w:rPr>
      </w:pPr>
    </w:p>
    <w:p>
      <w:pPr>
        <w:ind w:left="1300" w:right="320" w:hanging="158"/>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annual pension (payable one-twelfth each month) equal to 1.1% of the highest average compensation multiplied by years of credited service with Newsweek after 1982 (with a slightly different formula for service before 1983).</w:t>
      </w:r>
    </w:p>
    <w:p>
      <w:pPr>
        <w:spacing w:after="0" w:line="35" w:lineRule="exact"/>
        <w:rPr>
          <w:rFonts w:ascii="Arial" w:cs="Arial" w:eastAsia="Arial" w:hAnsi="Arial"/>
          <w:sz w:val="18"/>
          <w:szCs w:val="18"/>
          <w:color w:val="auto"/>
        </w:rPr>
      </w:pPr>
    </w:p>
    <w:p>
      <w:pPr>
        <w:ind w:left="1360" w:hanging="218"/>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239" w:lineRule="exact"/>
        <w:rPr>
          <w:sz w:val="20"/>
          <w:szCs w:val="20"/>
          <w:color w:val="auto"/>
        </w:rPr>
      </w:pPr>
    </w:p>
    <w:p>
      <w:pPr>
        <w:ind w:right="40" w:firstLine="770"/>
        <w:spacing w:after="0" w:line="277" w:lineRule="auto"/>
        <w:rPr>
          <w:sz w:val="20"/>
          <w:szCs w:val="20"/>
          <w:color w:val="auto"/>
        </w:rPr>
      </w:pPr>
      <w:r>
        <w:rPr>
          <w:rFonts w:ascii="Arial" w:cs="Arial" w:eastAsia="Arial" w:hAnsi="Arial"/>
          <w:sz w:val="18"/>
          <w:szCs w:val="18"/>
          <w:color w:val="auto"/>
        </w:rPr>
        <w:t>The Newsweek Retirement Benefits Schedule permits early retirement with full benefits at various combinations of age and service. Ms. McDaniel is presently entitled to an unreduced early retirement benefit.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9"/>
          <w:szCs w:val="9"/>
          <w:color w:val="auto"/>
        </w:rPr>
      </w:pPr>
      <w:r>
        <w:rPr>
          <w:rFonts w:ascii="Arial" w:cs="Arial" w:eastAsia="Arial" w:hAnsi="Arial"/>
          <w:sz w:val="14"/>
          <w:szCs w:val="14"/>
          <w:color w:val="auto"/>
        </w:rPr>
        <w:t>Formerly known as The Retirement Plan for Washington Post Companies. Formal amendment to change the plan name is expected to be completed in the second quarter of 2014.</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39"/>
        </w:numPr>
        <w:rPr>
          <w:rFonts w:ascii="Arial" w:cs="Arial" w:eastAsia="Arial" w:hAnsi="Arial"/>
          <w:sz w:val="9"/>
          <w:szCs w:val="9"/>
          <w:color w:val="auto"/>
        </w:rPr>
      </w:pPr>
      <w:r>
        <w:rPr>
          <w:rFonts w:ascii="Arial" w:cs="Arial" w:eastAsia="Arial" w:hAnsi="Arial"/>
          <w:sz w:val="14"/>
          <w:szCs w:val="14"/>
          <w:color w:val="auto"/>
        </w:rPr>
        <w:t>Formerly known as The Washington Post Company Supplemental Executive Retirement Plan.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Retirement Plan Benefits Under the Kaplan Cash Balance Retirement Benefit Schedule</w:t>
      </w:r>
    </w:p>
    <w:p>
      <w:pPr>
        <w:spacing w:after="0" w:line="229" w:lineRule="exact"/>
        <w:rPr>
          <w:sz w:val="20"/>
          <w:szCs w:val="20"/>
          <w:color w:val="auto"/>
        </w:rPr>
      </w:pPr>
    </w:p>
    <w:p>
      <w:pPr>
        <w:ind w:right="40" w:firstLine="770"/>
        <w:spacing w:after="0" w:line="255" w:lineRule="auto"/>
        <w:rPr>
          <w:sz w:val="20"/>
          <w:szCs w:val="20"/>
          <w:color w:val="auto"/>
        </w:rPr>
      </w:pPr>
      <w:r>
        <w:rPr>
          <w:rFonts w:ascii="Arial" w:cs="Arial" w:eastAsia="Arial" w:hAnsi="Arial"/>
          <w:sz w:val="18"/>
          <w:szCs w:val="18"/>
          <w:color w:val="auto"/>
        </w:rPr>
        <w:t>A portion of Mr. Jones’s and Ms. Dillon’s pension benefit was earned under the Kaplan Cash Balance Retirement Benefits Schedule. Under this Schedule, each employee has an account (expressed as a lump sum amount, rather than as an annuity) that is credited with quarterly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 sum payment. Vested benefits are payable upon termination of employment at any age.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Secure Retirement Account Cash Balance Retirement Program Schedule</w:t>
      </w:r>
    </w:p>
    <w:p>
      <w:pPr>
        <w:spacing w:after="0" w:line="229" w:lineRule="exact"/>
        <w:rPr>
          <w:sz w:val="20"/>
          <w:szCs w:val="20"/>
          <w:color w:val="auto"/>
        </w:rPr>
      </w:pPr>
    </w:p>
    <w:p>
      <w:pPr>
        <w:ind w:right="100" w:firstLine="770"/>
        <w:spacing w:after="0" w:line="273" w:lineRule="auto"/>
        <w:rPr>
          <w:sz w:val="20"/>
          <w:szCs w:val="20"/>
          <w:color w:val="auto"/>
        </w:rPr>
      </w:pPr>
      <w:r>
        <w:rPr>
          <w:rFonts w:ascii="Arial" w:cs="Arial" w:eastAsia="Arial" w:hAnsi="Arial"/>
          <w:sz w:val="17"/>
          <w:szCs w:val="17"/>
          <w:color w:val="auto"/>
        </w:rPr>
        <w:t>A portion of Mr. Graham’s, Mr. Jones’s, Mr. Rosberg’s, Ms. McDaniel’s and Ms. Dillon’s pension benefit was earned under the Secure Retirement Account Cash Balance Retirement Program Schedule (“SRA”). Under this Schedule, each employee has an account (expressed as a lump sum amount, rather than as an annuity) that is credited with quarterly pay-based credits and interest credits. Pay-based credits vary from 4.62% to 7.35%,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 sum payment. Vested benefits are payable upon termination of employment at any 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 Benefits</w:t>
      </w:r>
    </w:p>
    <w:p>
      <w:pPr>
        <w:spacing w:after="0" w:line="229" w:lineRule="exact"/>
        <w:rPr>
          <w:sz w:val="20"/>
          <w:szCs w:val="20"/>
          <w:color w:val="auto"/>
        </w:rPr>
      </w:pPr>
    </w:p>
    <w:p>
      <w:pPr>
        <w:ind w:right="220" w:firstLine="770"/>
        <w:spacing w:after="0" w:line="257" w:lineRule="auto"/>
        <w:rPr>
          <w:sz w:val="20"/>
          <w:szCs w:val="20"/>
          <w:color w:val="auto"/>
        </w:rPr>
      </w:pPr>
      <w:r>
        <w:rPr>
          <w:rFonts w:ascii="Arial" w:cs="Arial" w:eastAsia="Arial" w:hAnsi="Arial"/>
          <w:sz w:val="18"/>
          <w:szCs w:val="18"/>
          <w:color w:val="auto"/>
        </w:rPr>
        <w:t>As explained above, the SERP provides benefits to each of the named executive officers under the formulas outlined above, counting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Pension Benefits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860" w:type="dxa"/>
            <w:vAlign w:val="bottom"/>
            <w:tcBorders>
              <w:top w:val="single" w:sz="8" w:color="auto"/>
              <w:left w:val="single" w:sz="8" w:color="auto"/>
              <w:right w:val="single" w:sz="8" w:color="auto"/>
            </w:tcBorders>
          </w:tcPr>
          <w:p>
            <w:pPr>
              <w:spacing w:after="0"/>
              <w:rPr>
                <w:sz w:val="14"/>
                <w:szCs w:val="14"/>
                <w:color w:val="auto"/>
              </w:rPr>
            </w:pPr>
          </w:p>
        </w:tc>
        <w:tc>
          <w:tcPr>
            <w:tcW w:w="594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Number of Years</w:t>
            </w:r>
          </w:p>
        </w:tc>
        <w:tc>
          <w:tcPr>
            <w:tcW w:w="11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Present Value of</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Payments During</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59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vMerge w:val="continue"/>
          </w:tcPr>
          <w:p>
            <w:pPr>
              <w:spacing w:after="0"/>
              <w:rPr>
                <w:sz w:val="12"/>
                <w:szCs w:val="12"/>
                <w:color w:val="auto"/>
              </w:rPr>
            </w:pPr>
          </w:p>
        </w:tc>
        <w:tc>
          <w:tcPr>
            <w:tcW w:w="5940" w:type="dxa"/>
            <w:vAlign w:val="bottom"/>
            <w:tcBorders>
              <w:right w:val="single" w:sz="8" w:color="auto"/>
            </w:tcBorders>
            <w:vMerge w:val="restart"/>
          </w:tcPr>
          <w:p>
            <w:pPr>
              <w:ind w:left="2520"/>
              <w:spacing w:after="0"/>
              <w:rPr>
                <w:sz w:val="20"/>
                <w:szCs w:val="20"/>
                <w:color w:val="auto"/>
              </w:rPr>
            </w:pPr>
            <w:r>
              <w:rPr>
                <w:rFonts w:ascii="Arial" w:cs="Arial" w:eastAsia="Arial" w:hAnsi="Arial"/>
                <w:sz w:val="14"/>
                <w:szCs w:val="14"/>
                <w:b w:val="1"/>
                <w:bCs w:val="1"/>
                <w:color w:val="auto"/>
              </w:rPr>
              <w:t>Plan Name (b)</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of Credited Service</w:t>
            </w:r>
          </w:p>
        </w:tc>
        <w:tc>
          <w:tcPr>
            <w:tcW w:w="1140" w:type="dxa"/>
            <w:vAlign w:val="bottom"/>
            <w:tcBorders>
              <w:right w:val="single" w:sz="8" w:color="auto"/>
            </w:tcBorders>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Benefit ($)</w:t>
            </w: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Last FY ($)</w:t>
            </w:r>
          </w:p>
        </w:tc>
        <w:tc>
          <w:tcPr>
            <w:tcW w:w="0" w:type="dxa"/>
            <w:vAlign w:val="bottom"/>
          </w:tcPr>
          <w:p>
            <w:pPr>
              <w:spacing w:after="0"/>
              <w:rPr>
                <w:sz w:val="1"/>
                <w:szCs w:val="1"/>
                <w:color w:val="auto"/>
              </w:rPr>
            </w:pPr>
          </w:p>
        </w:tc>
      </w:tr>
      <w:tr>
        <w:trPr>
          <w:trHeight w:val="192"/>
        </w:trPr>
        <w:tc>
          <w:tcPr>
            <w:tcW w:w="1860" w:type="dxa"/>
            <w:vAlign w:val="bottom"/>
            <w:tcBorders>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4"/>
                <w:szCs w:val="14"/>
                <w:b w:val="1"/>
                <w:bCs w:val="1"/>
                <w:color w:val="auto"/>
              </w:rPr>
              <w:t>(a)</w:t>
            </w:r>
          </w:p>
        </w:tc>
        <w:tc>
          <w:tcPr>
            <w:tcW w:w="5940" w:type="dxa"/>
            <w:vAlign w:val="bottom"/>
            <w:tcBorders>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8"/>
                <w:szCs w:val="8"/>
                <w:b w:val="1"/>
                <w:bCs w:val="1"/>
                <w:color w:val="auto"/>
                <w:w w:val="92"/>
              </w:rPr>
              <w:t>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(d)</w:t>
            </w:r>
            <w:r>
              <w:rPr>
                <w:rFonts w:ascii="Arial" w:cs="Arial" w:eastAsia="Arial" w:hAnsi="Arial"/>
                <w:sz w:val="8"/>
                <w:szCs w:val="8"/>
                <w:b w:val="1"/>
                <w:bCs w:val="1"/>
                <w:color w:val="auto"/>
                <w:w w:val="98"/>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90"/>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Donald E. Graham</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43</w:t>
            </w:r>
          </w:p>
        </w:tc>
        <w:tc>
          <w:tcPr>
            <w:tcW w:w="84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1,932,285</w:t>
            </w:r>
          </w:p>
        </w:tc>
        <w:tc>
          <w:tcPr>
            <w:tcW w:w="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4"/>
        </w:trPr>
        <w:tc>
          <w:tcPr>
            <w:tcW w:w="1860" w:type="dxa"/>
            <w:vAlign w:val="bottom"/>
            <w:tcBorders>
              <w:left w:val="single" w:sz="8" w:color="auto"/>
              <w:right w:val="single" w:sz="8" w:color="auto"/>
            </w:tcBorders>
          </w:tcPr>
          <w:p>
            <w:pPr>
              <w:spacing w:after="0"/>
              <w:rPr>
                <w:sz w:val="15"/>
                <w:szCs w:val="15"/>
                <w:color w:val="auto"/>
              </w:rPr>
            </w:pP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1,219,465</w:t>
            </w:r>
          </w:p>
        </w:tc>
        <w:tc>
          <w:tcPr>
            <w:tcW w:w="3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5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43</w:t>
            </w:r>
          </w:p>
        </w:tc>
        <w:tc>
          <w:tcPr>
            <w:tcW w:w="84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3"/>
              </w:rPr>
              <w:t>3,151,750</w:t>
            </w:r>
          </w:p>
        </w:tc>
        <w:tc>
          <w:tcPr>
            <w:tcW w:w="3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Hal S. Jones</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w:t>
            </w:r>
          </w:p>
        </w:tc>
        <w:tc>
          <w:tcPr>
            <w:tcW w:w="840" w:type="dxa"/>
            <w:vAlign w:val="bottom"/>
            <w:gridSpan w:val="2"/>
          </w:tcPr>
          <w:p>
            <w:pPr>
              <w:jc w:val="center"/>
              <w:ind w:left="208"/>
              <w:spacing w:after="0"/>
              <w:rPr>
                <w:sz w:val="20"/>
                <w:szCs w:val="20"/>
                <w:color w:val="auto"/>
              </w:rPr>
            </w:pPr>
            <w:r>
              <w:rPr>
                <w:rFonts w:ascii="Arial" w:cs="Arial" w:eastAsia="Arial" w:hAnsi="Arial"/>
                <w:sz w:val="14"/>
                <w:szCs w:val="14"/>
                <w:color w:val="auto"/>
                <w:w w:val="94"/>
              </w:rPr>
              <w:t>924,658</w:t>
            </w:r>
          </w:p>
        </w:tc>
        <w:tc>
          <w:tcPr>
            <w:tcW w:w="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4"/>
        </w:trPr>
        <w:tc>
          <w:tcPr>
            <w:tcW w:w="1860" w:type="dxa"/>
            <w:vAlign w:val="bottom"/>
            <w:tcBorders>
              <w:left w:val="single" w:sz="8" w:color="auto"/>
              <w:right w:val="single" w:sz="8" w:color="auto"/>
            </w:tcBorders>
          </w:tcPr>
          <w:p>
            <w:pPr>
              <w:spacing w:after="0"/>
              <w:rPr>
                <w:sz w:val="15"/>
                <w:szCs w:val="15"/>
                <w:color w:val="auto"/>
              </w:rPr>
            </w:pP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4,406,463</w:t>
            </w:r>
          </w:p>
        </w:tc>
        <w:tc>
          <w:tcPr>
            <w:tcW w:w="3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5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24</w:t>
            </w:r>
          </w:p>
        </w:tc>
        <w:tc>
          <w:tcPr>
            <w:tcW w:w="84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3"/>
              </w:rPr>
              <w:t>5,331,121</w:t>
            </w:r>
          </w:p>
        </w:tc>
        <w:tc>
          <w:tcPr>
            <w:tcW w:w="3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Gerald M. Rosberg</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840" w:type="dxa"/>
            <w:vAlign w:val="bottom"/>
            <w:gridSpan w:val="2"/>
          </w:tcPr>
          <w:p>
            <w:pPr>
              <w:jc w:val="center"/>
              <w:ind w:left="208"/>
              <w:spacing w:after="0"/>
              <w:rPr>
                <w:sz w:val="20"/>
                <w:szCs w:val="20"/>
                <w:color w:val="auto"/>
              </w:rPr>
            </w:pPr>
            <w:r>
              <w:rPr>
                <w:rFonts w:ascii="Arial" w:cs="Arial" w:eastAsia="Arial" w:hAnsi="Arial"/>
                <w:sz w:val="14"/>
                <w:szCs w:val="14"/>
                <w:color w:val="auto"/>
                <w:w w:val="94"/>
              </w:rPr>
              <w:t>868,145</w:t>
            </w:r>
          </w:p>
        </w:tc>
        <w:tc>
          <w:tcPr>
            <w:tcW w:w="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4"/>
        </w:trPr>
        <w:tc>
          <w:tcPr>
            <w:tcW w:w="1860" w:type="dxa"/>
            <w:vAlign w:val="bottom"/>
            <w:tcBorders>
              <w:left w:val="single" w:sz="8" w:color="auto"/>
              <w:right w:val="single" w:sz="8" w:color="auto"/>
            </w:tcBorders>
          </w:tcPr>
          <w:p>
            <w:pPr>
              <w:spacing w:after="0"/>
              <w:rPr>
                <w:sz w:val="15"/>
                <w:szCs w:val="15"/>
                <w:color w:val="auto"/>
              </w:rPr>
            </w:pP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2,420,391</w:t>
            </w:r>
          </w:p>
        </w:tc>
        <w:tc>
          <w:tcPr>
            <w:tcW w:w="3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5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84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3"/>
              </w:rPr>
              <w:t>3,288,536</w:t>
            </w:r>
          </w:p>
        </w:tc>
        <w:tc>
          <w:tcPr>
            <w:tcW w:w="3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 L. McDaniel</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84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1,454,585</w:t>
            </w:r>
          </w:p>
        </w:tc>
        <w:tc>
          <w:tcPr>
            <w:tcW w:w="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4"/>
        </w:trPr>
        <w:tc>
          <w:tcPr>
            <w:tcW w:w="1860" w:type="dxa"/>
            <w:vAlign w:val="bottom"/>
            <w:tcBorders>
              <w:left w:val="single" w:sz="8" w:color="auto"/>
              <w:right w:val="single" w:sz="8" w:color="auto"/>
            </w:tcBorders>
          </w:tcPr>
          <w:p>
            <w:pPr>
              <w:spacing w:after="0"/>
              <w:rPr>
                <w:sz w:val="15"/>
                <w:szCs w:val="15"/>
                <w:color w:val="auto"/>
              </w:rPr>
            </w:pP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4,031,792</w:t>
            </w:r>
          </w:p>
        </w:tc>
        <w:tc>
          <w:tcPr>
            <w:tcW w:w="3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5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84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3"/>
              </w:rPr>
              <w:t>5,486,377</w:t>
            </w:r>
          </w:p>
        </w:tc>
        <w:tc>
          <w:tcPr>
            <w:tcW w:w="3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Veronica Dillon</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w:t>
            </w:r>
          </w:p>
        </w:tc>
        <w:tc>
          <w:tcPr>
            <w:tcW w:w="840" w:type="dxa"/>
            <w:vAlign w:val="bottom"/>
            <w:gridSpan w:val="2"/>
          </w:tcPr>
          <w:p>
            <w:pPr>
              <w:jc w:val="center"/>
              <w:ind w:left="208"/>
              <w:spacing w:after="0"/>
              <w:rPr>
                <w:sz w:val="20"/>
                <w:szCs w:val="20"/>
                <w:color w:val="auto"/>
              </w:rPr>
            </w:pPr>
            <w:r>
              <w:rPr>
                <w:rFonts w:ascii="Arial" w:cs="Arial" w:eastAsia="Arial" w:hAnsi="Arial"/>
                <w:sz w:val="14"/>
                <w:szCs w:val="14"/>
                <w:color w:val="auto"/>
                <w:w w:val="94"/>
              </w:rPr>
              <w:t>435,194</w:t>
            </w:r>
          </w:p>
        </w:tc>
        <w:tc>
          <w:tcPr>
            <w:tcW w:w="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4"/>
        </w:trPr>
        <w:tc>
          <w:tcPr>
            <w:tcW w:w="1860" w:type="dxa"/>
            <w:vAlign w:val="bottom"/>
            <w:tcBorders>
              <w:left w:val="single" w:sz="8" w:color="auto"/>
              <w:right w:val="single" w:sz="8" w:color="auto"/>
            </w:tcBorders>
          </w:tcPr>
          <w:p>
            <w:pPr>
              <w:spacing w:after="0"/>
              <w:rPr>
                <w:sz w:val="15"/>
                <w:szCs w:val="15"/>
                <w:color w:val="auto"/>
              </w:rPr>
            </w:pP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3,758,389</w:t>
            </w:r>
          </w:p>
        </w:tc>
        <w:tc>
          <w:tcPr>
            <w:tcW w:w="3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5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w:t>
            </w:r>
          </w:p>
        </w:tc>
        <w:tc>
          <w:tcPr>
            <w:tcW w:w="84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3"/>
              </w:rPr>
              <w:t>4,193,583</w:t>
            </w:r>
          </w:p>
        </w:tc>
        <w:tc>
          <w:tcPr>
            <w:tcW w:w="3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60" w:right="620" w:hanging="252"/>
        <w:spacing w:after="0" w:line="236" w:lineRule="auto"/>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Data in this column represent the number of years of credited service earned by the named executive officer as of December 31, 2013. Ms. McDaniel has prior service with Newsweek. Mr. Jones and Ms. Dillon have prior service with Kaplan. All are included in this column.</w:t>
      </w:r>
    </w:p>
    <w:p>
      <w:pPr>
        <w:spacing w:after="0" w:line="7" w:lineRule="exact"/>
        <w:rPr>
          <w:rFonts w:ascii="Arial" w:cs="Arial" w:eastAsia="Arial" w:hAnsi="Arial"/>
          <w:sz w:val="14"/>
          <w:szCs w:val="14"/>
          <w:color w:val="auto"/>
        </w:rPr>
      </w:pPr>
    </w:p>
    <w:p>
      <w:pPr>
        <w:ind w:left="260" w:right="60" w:hanging="252"/>
        <w:spacing w:after="0" w:line="231" w:lineRule="auto"/>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Amounts in this column represent the actuarial present value of the named executive officer’s accumulated benefits under the plan as of December 31, 2013. The benefits valued for Mr. Graham and Mr. Rosberg include the Company and SRA amounts. The benefits valued for Ms. McDaniel include the Company, Newsweek and SRA amounts. The benefits valued for Mr. Jones and Ms. Dillon include the Company, Kaplan Cash Balance and SRA amounts. The assumptions used in determining the present value of accumulated benefits are the RP-2000 Fully Generational Mortality Table for males and females and a 4.80% discount rate. The benefits valued reflect service and earnings through December 31, 2013, and are valued as payable on the date at which they are unreduced. There can be no assurance that the amounts listed in this column will ever be fully paid out to the applicable named executive officer.</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40"/>
          </w:cols>
          <w:pgMar w:left="240" w:top="580" w:right="21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right="40" w:firstLine="770"/>
        <w:spacing w:after="0" w:line="269" w:lineRule="auto"/>
        <w:rPr>
          <w:sz w:val="20"/>
          <w:szCs w:val="20"/>
          <w:color w:val="auto"/>
        </w:rPr>
      </w:pPr>
      <w:r>
        <w:rPr>
          <w:rFonts w:ascii="Arial" w:cs="Arial" w:eastAsia="Arial" w:hAnsi="Arial"/>
          <w:sz w:val="17"/>
          <w:szCs w:val="17"/>
          <w:color w:val="auto"/>
        </w:rPr>
        <w:t>The following table includes information related to the SERP and the Deferred Compensation Plan. Among the benefits provided under the SERP is a supplemental defined contribution plan benefit wherein the Company provides a matching contribution percentage up to 4% of the participating executive’s base salary in excess of the annual covered compensation limit applied to qualified plan benefits. The executive is required to make contributions to the SERP in order to receive the applicable matching Company credit each year. The Deferred Compensation Plan provides an opportunity for participants to voluntarily defer the receipt of all or a portion of annual bonus and/or certain long-term cash awards under the 2012 Incentive Compensation Plan. Elections to defer must be filed in advance of earning such awards.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 elections made on or after January 1, 2014, amounts deferred under the Deferred Compensation Plan are payable on the first business day of the seventh month following the date of separation of service regardless of the participant’s elections.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980" w:type="dxa"/>
            <w:vAlign w:val="bottom"/>
            <w:tcBorders>
              <w:top w:val="single" w:sz="8" w:color="auto"/>
              <w:left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Executive Contributions in Last</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Registrant Contributions in</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Aggregate Earnings in</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Aggregate Withdrawals/</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Aggregate Balance at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tcPr>
          <w:p>
            <w:pPr>
              <w:ind w:left="700"/>
              <w:spacing w:after="0"/>
              <w:rPr>
                <w:sz w:val="20"/>
                <w:szCs w:val="20"/>
                <w:color w:val="auto"/>
              </w:rPr>
            </w:pPr>
            <w:r>
              <w:rPr>
                <w:rFonts w:ascii="Arial" w:cs="Arial" w:eastAsia="Arial" w:hAnsi="Arial"/>
                <w:sz w:val="14"/>
                <w:szCs w:val="14"/>
                <w:b w:val="1"/>
                <w:bCs w:val="1"/>
                <w:color w:val="auto"/>
              </w:rPr>
              <w:t>Name (a)</w:t>
            </w:r>
          </w:p>
        </w:tc>
        <w:tc>
          <w:tcPr>
            <w:tcW w:w="2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FY ($)</w:t>
            </w:r>
          </w:p>
        </w:tc>
        <w:tc>
          <w:tcPr>
            <w:tcW w:w="2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Last FY ($)</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Last FY ($)</w:t>
            </w:r>
          </w:p>
        </w:tc>
        <w:tc>
          <w:tcPr>
            <w:tcW w:w="2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Distributions ($)</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last FYE ($)</w:t>
            </w: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06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(b)</w:t>
            </w:r>
            <w:r>
              <w:rPr>
                <w:rFonts w:ascii="Arial" w:cs="Arial" w:eastAsia="Arial" w:hAnsi="Arial"/>
                <w:sz w:val="8"/>
                <w:szCs w:val="8"/>
                <w:b w:val="1"/>
                <w:bCs w:val="1"/>
                <w:color w:val="auto"/>
                <w:w w:val="98"/>
              </w:rPr>
              <w:t>1</w:t>
            </w:r>
          </w:p>
        </w:tc>
        <w:tc>
          <w:tcPr>
            <w:tcW w:w="206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8"/>
                <w:szCs w:val="8"/>
                <w:b w:val="1"/>
                <w:bCs w:val="1"/>
                <w:color w:val="auto"/>
              </w:rPr>
              <w:t>2</w:t>
            </w:r>
          </w:p>
        </w:tc>
        <w:tc>
          <w:tcPr>
            <w:tcW w:w="170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(d)</w:t>
            </w:r>
            <w:r>
              <w:rPr>
                <w:rFonts w:ascii="Arial" w:cs="Arial" w:eastAsia="Arial" w:hAnsi="Arial"/>
                <w:sz w:val="8"/>
                <w:szCs w:val="8"/>
                <w:b w:val="1"/>
                <w:bCs w:val="1"/>
                <w:color w:val="auto"/>
                <w:w w:val="98"/>
              </w:rPr>
              <w:t>3</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Donald E. Graham</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Hal S. Jones</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18,800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24,440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484,990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2,237,575</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Gerald M. Rosberg</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14,400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18,720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115,865</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507,392</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 L. McDaniel</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384,280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18,720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263,503</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1,656,067</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Veronica Dillon</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14,400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18,720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35,688</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265,396</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340" w:right="100" w:hanging="332"/>
        <w:spacing w:after="0" w:line="224"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in this column represent contributions by the named executive officer to the SERP and to the Deferred Compensation Plan as follows: Mr. Jones, $18,800 to the SERP; Mr. Rosberg, $14,400 to the SERP; Ms. McDaniel, $14,400 to the SERP and $369,880 to Deferred Compensation Plan; Ms. Dillon, $14,400 to the SERP. Executive contributions to the SERP and Deferred Compensation Plan are included in the Salary, Bonus and Non-Equity Incentive Plan Compensation columns of the Summary Compensation Table.</w:t>
      </w:r>
    </w:p>
    <w:p>
      <w:pPr>
        <w:spacing w:after="0" w:line="8"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Company matching credits to the SERP are included in column (h) in the Summary Compensation Table for fiscal year 2013.</w:t>
      </w:r>
    </w:p>
    <w:p>
      <w:pPr>
        <w:spacing w:after="0" w:line="28" w:lineRule="exact"/>
        <w:rPr>
          <w:rFonts w:ascii="Arial" w:cs="Arial" w:eastAsia="Arial" w:hAnsi="Arial"/>
          <w:sz w:val="14"/>
          <w:szCs w:val="14"/>
          <w:color w:val="auto"/>
        </w:rPr>
      </w:pPr>
    </w:p>
    <w:p>
      <w:pPr>
        <w:ind w:left="340" w:right="260" w:hanging="332"/>
        <w:spacing w:after="0" w:line="21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in this column represent investment gains or losses to the SERP and to the Deferred Compensation Plans, based on the named executive officer’s investment elections as follows: Mr. Jones, $103,736 to the SERP and $381,254 to the Deferred Compensation Plan; Mr. Rosberg, $115,865 to the SERP; Ms. McDaniel, $97,035 to the SERP and $166,468 to the Deferred Compensation Plan; Ms. Dillon, $35,688 to the SERP. These gains and losses are not included in the Summary Compensation Table; the gains and losses reflect market performance of investment indexes selected by the named executive officer.</w:t>
      </w:r>
    </w:p>
    <w:p>
      <w:pPr>
        <w:spacing w:after="0" w:line="9" w:lineRule="exact"/>
        <w:rPr>
          <w:rFonts w:ascii="Arial" w:cs="Arial" w:eastAsia="Arial" w:hAnsi="Arial"/>
          <w:sz w:val="14"/>
          <w:szCs w:val="14"/>
          <w:color w:val="auto"/>
        </w:rPr>
      </w:pPr>
    </w:p>
    <w:p>
      <w:pPr>
        <w:ind w:left="340" w:right="40" w:hanging="332"/>
        <w:spacing w:after="0" w:line="21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in this column represent balances at December 31, 2013, for the SERP and the Deferred Compensation Plan as follows: Mr. Jones, $432,098 in the SERP and $1,805,477 in deferred compensation; Mr. Rosberg, $507,392 in the SERP; Ms. McDaniel, $427,606 in the SERP and $1,228,461 in deferred compensation; Ms. Dillon, $265,396 in the SERP. The following amounts were reported as compensation to the named executives in the Summary Compensation Table for years beginning after 2008 (excluding 2013): Mr. Jones, $149,500; Mr. Rosberg, $114,287; Ms. McDaniel, $1,015,060; and Ms. Dillon, $114,747.</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580" w:right="2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60" w:firstLine="770"/>
        <w:spacing w:after="0" w:line="271" w:lineRule="auto"/>
        <w:rPr>
          <w:sz w:val="20"/>
          <w:szCs w:val="20"/>
          <w:color w:val="auto"/>
        </w:rPr>
      </w:pPr>
      <w:r>
        <w:rPr>
          <w:rFonts w:ascii="Arial" w:cs="Arial" w:eastAsia="Arial" w:hAnsi="Arial"/>
          <w:sz w:val="17"/>
          <w:szCs w:val="17"/>
          <w:color w:val="auto"/>
        </w:rPr>
        <w:t>One of the standing committees of the Board of Directors of the Company is the Audit Committee. Currently there are three non-employee members of the Board on the Audit Committee: Christopher C. Davis; Thomas S. Gayner, who serves as Chairman of the Audit Committee; and G. Richard Wagoner, Jr.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(iii) 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79" w:lineRule="exact"/>
        <w:rPr>
          <w:sz w:val="20"/>
          <w:szCs w:val="20"/>
          <w:color w:val="auto"/>
        </w:rPr>
      </w:pPr>
    </w:p>
    <w:p>
      <w:pPr>
        <w:ind w:right="140" w:firstLine="770"/>
        <w:spacing w:after="0" w:line="271" w:lineRule="auto"/>
        <w:rPr>
          <w:sz w:val="20"/>
          <w:szCs w:val="20"/>
          <w:color w:val="auto"/>
        </w:rPr>
      </w:pPr>
      <w:r>
        <w:rPr>
          <w:rFonts w:ascii="Arial" w:cs="Arial" w:eastAsia="Arial" w:hAnsi="Arial"/>
          <w:sz w:val="17"/>
          <w:szCs w:val="17"/>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79" w:lineRule="exact"/>
        <w:rPr>
          <w:sz w:val="20"/>
          <w:szCs w:val="20"/>
          <w:color w:val="auto"/>
        </w:rPr>
      </w:pPr>
    </w:p>
    <w:p>
      <w:pPr>
        <w:ind w:right="80" w:firstLine="770"/>
        <w:spacing w:after="0" w:line="293" w:lineRule="auto"/>
        <w:rPr>
          <w:sz w:val="20"/>
          <w:szCs w:val="20"/>
          <w:color w:val="auto"/>
        </w:rPr>
      </w:pPr>
      <w:r>
        <w:rPr>
          <w:rFonts w:ascii="Arial" w:cs="Arial" w:eastAsia="Arial" w:hAnsi="Arial"/>
          <w:sz w:val="16"/>
          <w:szCs w:val="16"/>
          <w:color w:val="auto"/>
        </w:rPr>
        <w:t>The Audit Committee has reviewed and discussed the audited fiscal year 2013 financial statements with the Company’s management. In addition, the Audit Committee has discussed with PricewaterhouseCoopers LLP the matters required to be discussed by PCAOB Auditing Standard No. 16. The Audit Committee has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whether PricewaterhouseCoopers LLP’s provision of non-audit services to the Company is compatible with the independence of such firm.</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Audit Committee also reviewed matters relating to the Company’s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225" w:lineRule="exact"/>
        <w:rPr>
          <w:sz w:val="20"/>
          <w:szCs w:val="20"/>
          <w:color w:val="auto"/>
        </w:rPr>
      </w:pPr>
    </w:p>
    <w:p>
      <w:pPr>
        <w:ind w:right="20" w:firstLine="770"/>
        <w:spacing w:after="0" w:line="272" w:lineRule="auto"/>
        <w:rPr>
          <w:sz w:val="20"/>
          <w:szCs w:val="20"/>
          <w:color w:val="auto"/>
        </w:rPr>
      </w:pPr>
      <w:r>
        <w:rPr>
          <w:rFonts w:ascii="Arial" w:cs="Arial" w:eastAsia="Arial" w:hAnsi="Arial"/>
          <w:sz w:val="17"/>
          <w:szCs w:val="17"/>
          <w:color w:val="auto"/>
        </w:rPr>
        <w:t>In 2013,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178" w:lineRule="exact"/>
        <w:rPr>
          <w:sz w:val="20"/>
          <w:szCs w:val="20"/>
          <w:color w:val="auto"/>
        </w:rPr>
      </w:pPr>
    </w:p>
    <w:p>
      <w:pPr>
        <w:ind w:firstLine="770"/>
        <w:spacing w:after="0" w:line="255" w:lineRule="auto"/>
        <w:rPr>
          <w:sz w:val="20"/>
          <w:szCs w:val="20"/>
          <w:color w:val="auto"/>
        </w:rPr>
      </w:pPr>
      <w:r>
        <w:rPr>
          <w:rFonts w:ascii="Arial" w:cs="Arial" w:eastAsia="Arial" w:hAnsi="Arial"/>
          <w:sz w:val="18"/>
          <w:szCs w:val="18"/>
          <w:color w:val="auto"/>
        </w:rPr>
        <w:t>The Audit Committee will not delegate to management responsibilities to preapprove services performed by the independent auditor to management.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93" w:lineRule="exact"/>
        <w:rPr>
          <w:sz w:val="20"/>
          <w:szCs w:val="20"/>
          <w:color w:val="auto"/>
        </w:rPr>
      </w:pPr>
    </w:p>
    <w:p>
      <w:pPr>
        <w:ind w:right="140" w:firstLine="770"/>
        <w:spacing w:after="0" w:line="264"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1" w:name="page32"/>
    <w:bookmarkEnd w:id="31"/>
    <w:p>
      <w:pPr>
        <w:ind w:right="100" w:firstLine="770"/>
        <w:spacing w:after="0" w:line="259" w:lineRule="auto"/>
        <w:rPr>
          <w:sz w:val="20"/>
          <w:szCs w:val="20"/>
          <w:color w:val="auto"/>
        </w:rPr>
      </w:pPr>
      <w:r>
        <w:rPr>
          <w:rFonts w:ascii="Arial" w:cs="Arial" w:eastAsia="Arial" w:hAnsi="Arial"/>
          <w:sz w:val="18"/>
          <w:szCs w:val="18"/>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87" w:lineRule="exact"/>
        <w:rPr>
          <w:sz w:val="20"/>
          <w:szCs w:val="20"/>
          <w:color w:val="auto"/>
        </w:rPr>
      </w:pPr>
    </w:p>
    <w:p>
      <w:pPr>
        <w:ind w:right="180" w:firstLine="770"/>
        <w:spacing w:after="0" w:line="259" w:lineRule="auto"/>
        <w:rPr>
          <w:sz w:val="20"/>
          <w:szCs w:val="20"/>
          <w:color w:val="auto"/>
        </w:rPr>
      </w:pPr>
      <w:r>
        <w:rPr>
          <w:rFonts w:ascii="Arial" w:cs="Arial" w:eastAsia="Arial" w:hAnsi="Arial"/>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7" w:lineRule="exact"/>
        <w:rPr>
          <w:sz w:val="20"/>
          <w:szCs w:val="20"/>
          <w:color w:val="auto"/>
        </w:rPr>
      </w:pPr>
    </w:p>
    <w:p>
      <w:pPr>
        <w:jc w:val="both"/>
        <w:ind w:firstLine="770"/>
        <w:spacing w:after="0" w:line="286" w:lineRule="auto"/>
        <w:rPr>
          <w:sz w:val="20"/>
          <w:szCs w:val="20"/>
          <w:color w:val="auto"/>
        </w:rPr>
      </w:pPr>
      <w:r>
        <w:rPr>
          <w:rFonts w:ascii="Arial" w:cs="Arial" w:eastAsia="Arial" w:hAnsi="Arial"/>
          <w:sz w:val="17"/>
          <w:szCs w:val="17"/>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66" w:lineRule="exact"/>
        <w:rPr>
          <w:sz w:val="20"/>
          <w:szCs w:val="20"/>
          <w:color w:val="auto"/>
        </w:rPr>
      </w:pPr>
    </w:p>
    <w:p>
      <w:pPr>
        <w:ind w:right="180" w:firstLine="770"/>
        <w:spacing w:after="0" w:line="312" w:lineRule="auto"/>
        <w:rPr>
          <w:sz w:val="20"/>
          <w:szCs w:val="20"/>
          <w:color w:val="auto"/>
        </w:rPr>
      </w:pPr>
      <w:r>
        <w:rPr>
          <w:rFonts w:ascii="Arial" w:cs="Arial" w:eastAsia="Arial" w:hAnsi="Arial"/>
          <w:sz w:val="16"/>
          <w:szCs w:val="16"/>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40" w:firstLine="770"/>
        <w:spacing w:after="0" w:line="342" w:lineRule="auto"/>
        <w:rPr>
          <w:sz w:val="20"/>
          <w:szCs w:val="20"/>
          <w:color w:val="auto"/>
        </w:rPr>
      </w:pPr>
      <w:r>
        <w:rPr>
          <w:rFonts w:ascii="Arial" w:cs="Arial" w:eastAsia="Arial" w:hAnsi="Arial"/>
          <w:sz w:val="16"/>
          <w:szCs w:val="16"/>
          <w:color w:val="auto"/>
        </w:rPr>
        <w:t>PricewaterhouseCoopers LLP’s fees for the annual audit, statutory audits and reviews of financial statements included in the Company’s quarterly filings, including reimbursable expenses, were $4,476,100 in 2013 and $4,126,500 in 2012, which fees were reviewed and approved by the Audit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right="20" w:firstLine="770"/>
        <w:spacing w:after="0" w:line="312" w:lineRule="auto"/>
        <w:rPr>
          <w:sz w:val="20"/>
          <w:szCs w:val="20"/>
          <w:color w:val="auto"/>
        </w:rPr>
      </w:pPr>
      <w:r>
        <w:rPr>
          <w:rFonts w:ascii="Arial" w:cs="Arial" w:eastAsia="Arial" w:hAnsi="Arial"/>
          <w:sz w:val="16"/>
          <w:szCs w:val="16"/>
          <w:color w:val="auto"/>
        </w:rPr>
        <w:t>PricewaterhouseCoopers LLP’s fees for assurance and related services reasonably related to the performance of the audit or reviews of financial statements and not included under “Audit Fees” above, including reimbursable expenses, were $30,000 in 2013 and $30,000 in 2012, which fees were reviewed and approved by the Audit Committee. These fees were primarily for financial due diligence and transaction analysis and other audit-related reports.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right="60" w:firstLine="770"/>
        <w:spacing w:after="0" w:line="264" w:lineRule="auto"/>
        <w:rPr>
          <w:sz w:val="20"/>
          <w:szCs w:val="20"/>
          <w:color w:val="auto"/>
        </w:rPr>
      </w:pPr>
      <w:r>
        <w:rPr>
          <w:rFonts w:ascii="Arial" w:cs="Arial" w:eastAsia="Arial" w:hAnsi="Arial"/>
          <w:sz w:val="18"/>
          <w:szCs w:val="18"/>
          <w:color w:val="auto"/>
        </w:rPr>
        <w:t>PricewaterhouseCoopers LLP’s fees for tax compliance, tax advice and tax planning, including reimbursable expenses, were $952,300 in 2013 and $1,430,900 in 2012, which fees were reviewed and approved by the Audit Committee. These fees were primarily for tax due diligence and transaction analysis, as well as federal, multistate and foreign tax consulting.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right="40" w:firstLine="770"/>
        <w:spacing w:after="0" w:line="277" w:lineRule="auto"/>
        <w:rPr>
          <w:sz w:val="20"/>
          <w:szCs w:val="20"/>
          <w:color w:val="auto"/>
        </w:rPr>
      </w:pPr>
      <w:r>
        <w:rPr>
          <w:rFonts w:ascii="Arial" w:cs="Arial" w:eastAsia="Arial" w:hAnsi="Arial"/>
          <w:sz w:val="18"/>
          <w:szCs w:val="18"/>
          <w:color w:val="auto"/>
        </w:rPr>
        <w:t>PricewaterhouseCoopers LLP’s fees for a finance and accounting research tool provided by PricewaterhouseCoopers LLP were $9,600 in 2013 and $16,600 in 2012, which fees were reviewed and approved by the Audit Committee.</w:t>
      </w:r>
    </w:p>
    <w:p>
      <w:pPr>
        <w:spacing w:after="0" w:line="170" w:lineRule="exact"/>
        <w:rPr>
          <w:sz w:val="20"/>
          <w:szCs w:val="20"/>
          <w:color w:val="auto"/>
        </w:rPr>
      </w:pPr>
    </w:p>
    <w:p>
      <w:pPr>
        <w:ind w:right="140" w:firstLine="770"/>
        <w:spacing w:after="0" w:line="264"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2013, for filing with the Securities and Exchange Commission.</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Thomas S. Gayner, Chairman</w:t>
      </w:r>
    </w:p>
    <w:p>
      <w:pPr>
        <w:ind w:left="5840"/>
        <w:spacing w:after="0" w:line="219" w:lineRule="auto"/>
        <w:rPr>
          <w:sz w:val="20"/>
          <w:szCs w:val="20"/>
          <w:color w:val="auto"/>
        </w:rPr>
      </w:pPr>
      <w:r>
        <w:rPr>
          <w:rFonts w:ascii="Arial" w:cs="Arial" w:eastAsia="Arial" w:hAnsi="Arial"/>
          <w:sz w:val="18"/>
          <w:szCs w:val="18"/>
          <w:color w:val="auto"/>
        </w:rPr>
        <w:t>Christopher C. Davis</w:t>
      </w:r>
    </w:p>
    <w:p>
      <w:pPr>
        <w:ind w:left="5840"/>
        <w:spacing w:after="0"/>
        <w:rPr>
          <w:sz w:val="20"/>
          <w:szCs w:val="20"/>
          <w:color w:val="auto"/>
        </w:rPr>
      </w:pPr>
      <w:r>
        <w:rPr>
          <w:rFonts w:ascii="Arial" w:cs="Arial" w:eastAsia="Arial" w:hAnsi="Arial"/>
          <w:sz w:val="18"/>
          <w:szCs w:val="18"/>
          <w:color w:val="auto"/>
        </w:rPr>
        <w:t>G. Richard Wagoner, Jr.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29" w:lineRule="exact"/>
        <w:rPr>
          <w:sz w:val="20"/>
          <w:szCs w:val="20"/>
          <w:color w:val="auto"/>
        </w:rPr>
      </w:pPr>
    </w:p>
    <w:p>
      <w:pPr>
        <w:ind w:right="20" w:firstLine="770"/>
        <w:spacing w:after="0" w:line="342" w:lineRule="auto"/>
        <w:rPr>
          <w:sz w:val="20"/>
          <w:szCs w:val="20"/>
          <w:color w:val="auto"/>
        </w:rPr>
      </w:pPr>
      <w:r>
        <w:rPr>
          <w:rFonts w:ascii="Arial" w:cs="Arial" w:eastAsia="Arial" w:hAnsi="Arial"/>
          <w:sz w:val="16"/>
          <w:szCs w:val="16"/>
          <w:color w:val="auto"/>
        </w:rPr>
        <w:t>Mrs. Elizabeth G. Weymouth, the daughter of the late Mrs. Katharine Graham and the sister of Mr. Donald E. Graham, is employed as an Editor-at-Large of the Company’s publications and websites. In 2013, she received $300,000 in compensation. Mrs. Weymouth’s base salary for 2014 is $300,000.</w:t>
      </w:r>
    </w:p>
    <w:p>
      <w:pPr>
        <w:spacing w:after="0" w:line="124" w:lineRule="exact"/>
        <w:rPr>
          <w:sz w:val="20"/>
          <w:szCs w:val="20"/>
          <w:color w:val="auto"/>
        </w:rPr>
      </w:pPr>
    </w:p>
    <w:p>
      <w:pPr>
        <w:ind w:firstLine="770"/>
        <w:spacing w:after="0" w:line="268" w:lineRule="auto"/>
        <w:rPr>
          <w:sz w:val="20"/>
          <w:szCs w:val="20"/>
          <w:color w:val="auto"/>
        </w:rPr>
      </w:pPr>
      <w:r>
        <w:rPr>
          <w:rFonts w:ascii="Arial" w:cs="Arial" w:eastAsia="Arial" w:hAnsi="Arial"/>
          <w:sz w:val="17"/>
          <w:szCs w:val="17"/>
          <w:color w:val="auto"/>
        </w:rPr>
        <w:t>Katharine Weymouth, a granddaughter of the late Mrs. Katharine Graham, a daughter of Mrs. Elizabeth G. Weymouth and a niece of Mr. Donald E. Graham, is Publisher of The Washington Post newspaper, Chief Executive Officer of The Washington Post and its affiliated publishing businesses and a member of the Company’s Board of Directors. WPM and its affiliated publishing businesses were sold in the WPM Transaction in October 2013. Prior to the WPM Transaction, Ms. Weymouth was paid $479,688 in base salary and received a bonus of $1,199,109 in February, 2014 based on the achievement of pre-established 2013 performance goals. As a result of the WPM Transaction, in October 2013, Ms. Weymouth received a payment of $562,500 for her 7,500 Performance Units in the 2011–2014 Award Cycle and a payment of $900,000 based on achieving certain pre-established goals under the WPM Three-Year Long-Term Incentive Plan. In addition, 15,250 shares of Restricted Stock and 750 Stock Options were accelerated to vest at the closing of the WPM Transaction. At the same time, Ms. Weymouth also forfeited 7,500 Performance Units from the 2013–2016 Award Cycle, 1,250 shares of Restricted Stock in the 2011–2014 cycle, 2,500 shares of Restricted Stock in the 2013–2016 cycle, 17,500 shares of Restricted Stock under a Special Award granted in June 2012 and 250 Stock Options. In 2013, Ms. Weymouth was re-elected to the Board of Directors. As an employee Director for three quarters of the year, she was ineligible for compensation for her service on the Board. In the fourth quarter, she received $20,000 for her services as a non-employee Director of the Board. In 2014, Ms. Weymouth is eligible for the same non-employee Director compensation as the Company’s other non-employee Directors. She also has 15,000 shares of Restricted Stock under the Special Award granted to her in June 2012 that was modified as part of the WPM Transaction, such that these shares will vest one-third each year on the anniversary of the closing of the WPM Transaction provided that she is a member of the Company's Board of Directors on each applicable vesting date.</w:t>
      </w:r>
    </w:p>
    <w:p>
      <w:pPr>
        <w:spacing w:after="0" w:line="183" w:lineRule="exact"/>
        <w:rPr>
          <w:sz w:val="20"/>
          <w:szCs w:val="20"/>
          <w:color w:val="auto"/>
        </w:rPr>
      </w:pPr>
    </w:p>
    <w:p>
      <w:pPr>
        <w:ind w:right="240" w:firstLine="770"/>
        <w:spacing w:after="0" w:line="259" w:lineRule="auto"/>
        <w:rPr>
          <w:sz w:val="20"/>
          <w:szCs w:val="20"/>
          <w:color w:val="auto"/>
        </w:rPr>
      </w:pPr>
      <w:r>
        <w:rPr>
          <w:rFonts w:ascii="Arial" w:cs="Arial" w:eastAsia="Arial" w:hAnsi="Arial"/>
          <w:sz w:val="18"/>
          <w:szCs w:val="18"/>
          <w:color w:val="auto"/>
        </w:rPr>
        <w:t>Laura O’Shaughnessy, a daughter of Mr. Donald E. Graham, is employed full time as the President and Chief Executive Officer of Social Code, LLC, a subsidiary of the Company. In 2013, Mrs. O’Shaughnessy was paid $150,000 in base salary and received a bonus of $250,000 based on the achievement of pre-established 2013 performance goals. She currently has 1,500 shares of Restricted Stock in the 2013–2016 cycle. Mrs. O’Shaughnessy’s base salary for 2014 is $200,000.</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229" w:lineRule="exact"/>
        <w:rPr>
          <w:sz w:val="20"/>
          <w:szCs w:val="20"/>
          <w:color w:val="auto"/>
        </w:rPr>
      </w:pPr>
    </w:p>
    <w:p>
      <w:pPr>
        <w:jc w:val="both"/>
        <w:ind w:right="80" w:firstLine="770"/>
        <w:spacing w:after="0" w:line="264"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81" w:lineRule="exact"/>
        <w:rPr>
          <w:sz w:val="20"/>
          <w:szCs w:val="20"/>
          <w:color w:val="auto"/>
        </w:rPr>
      </w:pPr>
    </w:p>
    <w:p>
      <w:pPr>
        <w:ind w:right="140" w:firstLine="770"/>
        <w:spacing w:after="0" w:line="297"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registered accountant to audit and report on its financial statements for the fiscal year 2014.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2013 and the firm’s relationship with the Company and will be available to respond to appropriate questions from shareholders.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3" w:name="page34"/>
    <w:bookmarkEnd w:id="33"/>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106280"/>
        </w:rPr>
        <w:t>Notice of</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41"/>
          <w:szCs w:val="41"/>
          <w:b w:val="1"/>
          <w:bCs w:val="1"/>
          <w:color w:val="106280"/>
        </w:rPr>
        <w:t>Annual Meeting</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106280"/>
        </w:rPr>
        <w:t>and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39"/>
          <w:szCs w:val="39"/>
          <w:b w:val="1"/>
          <w:bCs w:val="1"/>
          <w:color w:val="106280"/>
        </w:rPr>
        <w:t>Proxy Statement</w:t>
      </w:r>
    </w:p>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106280"/>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2880360</wp:posOffset>
            </wp:positionV>
            <wp:extent cx="492252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22520" cy="6686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ind w:left="625"/>
        <w:spacing w:after="0"/>
        <w:rPr>
          <w:sz w:val="20"/>
          <w:szCs w:val="20"/>
          <w:color w:val="auto"/>
        </w:rPr>
      </w:pPr>
      <w:r>
        <w:rPr>
          <w:rFonts w:ascii="Arial" w:cs="Arial" w:eastAsia="Arial" w:hAnsi="Arial"/>
          <w:sz w:val="29"/>
          <w:szCs w:val="29"/>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103505</wp:posOffset>
            </wp:positionV>
            <wp:extent cx="174117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1170" cy="257175"/>
                    </a:xfrm>
                    <a:prstGeom prst="rect">
                      <a:avLst/>
                    </a:prstGeom>
                    <a:noFill/>
                  </pic:spPr>
                </pic:pic>
              </a:graphicData>
            </a:graphic>
          </wp:anchor>
        </w:drawing>
      </w:r>
    </w:p>
    <w:p>
      <w:pPr>
        <w:spacing w:after="0" w:line="178" w:lineRule="exact"/>
        <w:rPr>
          <w:sz w:val="20"/>
          <w:szCs w:val="20"/>
          <w:color w:val="auto"/>
        </w:rPr>
      </w:pPr>
    </w:p>
    <w:p>
      <w:pPr>
        <w:jc w:val="center"/>
        <w:ind w:right="6234"/>
        <w:spacing w:after="0"/>
        <w:rPr>
          <w:sz w:val="20"/>
          <w:szCs w:val="20"/>
          <w:color w:val="auto"/>
        </w:rPr>
      </w:pPr>
      <w:r>
        <w:rPr>
          <w:rFonts w:ascii="Arial" w:cs="Arial" w:eastAsia="Arial" w:hAnsi="Arial"/>
          <w:sz w:val="14"/>
          <w:szCs w:val="14"/>
          <w:i w:val="1"/>
          <w:iCs w:val="1"/>
          <w:color w:val="auto"/>
        </w:rPr>
        <w:t>IMPORTANT ANNUAL MEETING</w:t>
      </w:r>
    </w:p>
    <w:p>
      <w:pPr>
        <w:jc w:val="center"/>
        <w:ind w:right="6234"/>
        <w:spacing w:after="0"/>
        <w:rPr>
          <w:sz w:val="20"/>
          <w:szCs w:val="20"/>
          <w:color w:val="auto"/>
        </w:rPr>
      </w:pPr>
      <w:r>
        <w:rPr>
          <w:rFonts w:ascii="Arial" w:cs="Arial" w:eastAsia="Arial" w:hAnsi="Arial"/>
          <w:sz w:val="14"/>
          <w:szCs w:val="14"/>
          <w:i w:val="1"/>
          <w:iCs w:val="1"/>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1402715</wp:posOffset>
            </wp:positionV>
            <wp:extent cx="28321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2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u w:val="single" w:color="auto"/>
                <w:color w:val="auto"/>
              </w:rPr>
              <w:t>black ink</w:t>
            </w:r>
            <w:r>
              <w:rPr>
                <w:rFonts w:ascii="Arial" w:cs="Arial" w:eastAsia="Arial" w:hAnsi="Arial"/>
                <w:sz w:val="14"/>
                <w:szCs w:val="14"/>
                <w:color w:val="auto"/>
              </w:rPr>
              <w:t xml:space="preserve"> pen, mark your votes with an 'X' as shown in</w:t>
            </w:r>
          </w:p>
        </w:tc>
        <w:tc>
          <w:tcPr>
            <w:tcW w:w="50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82"/>
              </w:rPr>
              <w:t>X</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102235</wp:posOffset>
            </wp:positionV>
            <wp:extent cx="585724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205740"/>
                    </a:xfrm>
                    <a:prstGeom prst="rect">
                      <a:avLst/>
                    </a:prstGeom>
                    <a:noFill/>
                  </pic:spPr>
                </pic:pic>
              </a:graphicData>
            </a:graphic>
          </wp:anchor>
        </w:drawing>
      </w:r>
    </w:p>
    <w:p>
      <w:pPr>
        <w:spacing w:after="0" w:line="176" w:lineRule="exact"/>
        <w:rPr>
          <w:sz w:val="20"/>
          <w:szCs w:val="20"/>
          <w:color w:val="auto"/>
        </w:rPr>
      </w:pPr>
    </w:p>
    <w:p>
      <w:pPr>
        <w:ind w:left="1085"/>
        <w:spacing w:after="0"/>
        <w:rPr>
          <w:sz w:val="20"/>
          <w:szCs w:val="20"/>
          <w:color w:val="auto"/>
        </w:rPr>
      </w:pPr>
      <w:r>
        <w:rPr>
          <w:rFonts w:ascii="Arial" w:cs="Arial" w:eastAsia="Arial" w:hAnsi="Arial"/>
          <w:sz w:val="18"/>
          <w:szCs w:val="18"/>
          <w:b w:val="1"/>
          <w:bCs w:val="1"/>
          <w:color w:val="auto"/>
        </w:rPr>
        <w:t>Annual Meeting Proxy Card — Class A Common</w:t>
      </w:r>
    </w:p>
    <w:p>
      <w:pPr>
        <w:spacing w:after="0" w:line="182" w:lineRule="exact"/>
        <w:rPr>
          <w:sz w:val="20"/>
          <w:szCs w:val="20"/>
          <w:color w:val="auto"/>
        </w:rPr>
      </w:pPr>
    </w:p>
    <w:p>
      <w:pPr>
        <w:jc w:val="right"/>
        <w:ind w:right="19"/>
        <w:spacing w:after="0"/>
        <w:rPr>
          <w:sz w:val="20"/>
          <w:szCs w:val="20"/>
          <w:color w:val="auto"/>
        </w:rPr>
      </w:pPr>
      <w:r>
        <w:rPr>
          <w:rFonts w:ascii="Arial" w:cs="Arial" w:eastAsia="Arial" w:hAnsi="Arial"/>
          <w:sz w:val="22"/>
          <w:szCs w:val="22"/>
          <w:color w:val="auto"/>
        </w:rPr>
        <w:t>6</w:t>
      </w:r>
      <w:r>
        <w:rPr>
          <w:rFonts w:ascii="Arial" w:cs="Arial" w:eastAsia="Arial" w:hAnsi="Arial"/>
          <w:sz w:val="14"/>
          <w:szCs w:val="14"/>
          <w:b w:val="1"/>
          <w:bCs w:val="1"/>
          <w:color w:val="auto"/>
        </w:rPr>
        <w:t>PLEASE FOLD ALONG THE PERFORATION, DETACH AND RETURN THE BOTTOM PORTION OIN THE ENCLOSED ENVELOPE.</w:t>
      </w:r>
      <w:r>
        <w:rPr>
          <w:rFonts w:ascii="Arial" w:cs="Arial" w:eastAsia="Arial" w:hAnsi="Arial"/>
          <w:sz w:val="22"/>
          <w:szCs w:val="22"/>
          <w:color w:val="auto"/>
        </w:rPr>
        <w:t xml:space="preserve"> 6</w:t>
      </w:r>
    </w:p>
    <w:p>
      <w:pPr>
        <w:spacing w:after="0" w:line="200" w:lineRule="exact"/>
        <w:rPr>
          <w:sz w:val="20"/>
          <w:szCs w:val="20"/>
          <w:color w:val="auto"/>
        </w:rPr>
      </w:pPr>
    </w:p>
    <w:p>
      <w:pPr>
        <w:spacing w:after="0" w:line="207" w:lineRule="exact"/>
        <w:rPr>
          <w:sz w:val="20"/>
          <w:szCs w:val="20"/>
          <w:color w:val="auto"/>
        </w:rPr>
      </w:pPr>
    </w:p>
    <w:p>
      <w:pPr>
        <w:ind w:left="225" w:hanging="225"/>
        <w:spacing w:after="0"/>
        <w:tabs>
          <w:tab w:leader="none" w:pos="225" w:val="left"/>
        </w:tabs>
        <w:numPr>
          <w:ilvl w:val="0"/>
          <w:numId w:val="42"/>
        </w:numPr>
        <w:rPr>
          <w:rFonts w:ascii="Arial" w:cs="Arial" w:eastAsia="Arial" w:hAnsi="Arial"/>
          <w:sz w:val="29"/>
          <w:szCs w:val="29"/>
          <w:color w:val="FFFFFF"/>
          <w:vertAlign w:val="subscript"/>
        </w:rPr>
      </w:pPr>
      <w:r>
        <w:rPr>
          <w:rFonts w:ascii="Arial" w:cs="Arial" w:eastAsia="Arial" w:hAnsi="Arial"/>
          <w:sz w:val="18"/>
          <w:szCs w:val="18"/>
          <w:b w:val="1"/>
          <w:bCs w:val="1"/>
          <w:color w:val="auto"/>
        </w:rPr>
        <w:t xml:space="preserve">Proposals — The Board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-153670</wp:posOffset>
            </wp:positionV>
            <wp:extent cx="1371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171450"/>
                    </a:xfrm>
                    <a:prstGeom prst="rect">
                      <a:avLst/>
                    </a:prstGeom>
                    <a:noFill/>
                  </pic:spPr>
                </pic:pic>
              </a:graphicData>
            </a:graphic>
          </wp:anchor>
        </w:drawing>
      </w:r>
    </w:p>
    <w:p>
      <w:pPr>
        <w:spacing w:after="0" w:line="3"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color w:val="auto"/>
              </w:rPr>
              <w:t>For</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0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8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8"/>
              </w:rPr>
              <w:t>For Withhold</w:t>
            </w: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5"/>
              </w:rPr>
              <w:t>Withhold</w:t>
            </w:r>
          </w:p>
        </w:tc>
        <w:tc>
          <w:tcPr>
            <w:tcW w:w="2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For Withhold</w:t>
            </w:r>
          </w:p>
        </w:tc>
        <w:tc>
          <w:tcPr>
            <w:tcW w:w="0" w:type="dxa"/>
            <w:vAlign w:val="bottom"/>
          </w:tcPr>
          <w:p>
            <w:pPr>
              <w:spacing w:after="0"/>
              <w:rPr>
                <w:sz w:val="1"/>
                <w:szCs w:val="1"/>
                <w:color w:val="auto"/>
              </w:rPr>
            </w:pPr>
          </w:p>
        </w:tc>
      </w:tr>
      <w:tr>
        <w:trPr>
          <w:trHeight w:val="277"/>
        </w:trPr>
        <w:tc>
          <w:tcPr>
            <w:tcW w:w="480" w:type="dxa"/>
            <w:vAlign w:val="bottom"/>
          </w:tcPr>
          <w:p>
            <w:pPr>
              <w:ind w:left="220"/>
              <w:spacing w:after="0"/>
              <w:rPr>
                <w:sz w:val="20"/>
                <w:szCs w:val="20"/>
                <w:color w:val="auto"/>
              </w:rPr>
            </w:pPr>
            <w:r>
              <w:rPr>
                <w:rFonts w:ascii="Arial" w:cs="Arial" w:eastAsia="Arial" w:hAnsi="Arial"/>
                <w:sz w:val="14"/>
                <w:szCs w:val="14"/>
                <w:color w:val="auto"/>
                <w:w w:val="99"/>
              </w:rPr>
              <w:t>01 -</w:t>
            </w:r>
          </w:p>
        </w:tc>
        <w:tc>
          <w:tcPr>
            <w:tcW w:w="1420" w:type="dxa"/>
            <w:vAlign w:val="bottom"/>
          </w:tcPr>
          <w:p>
            <w:pPr>
              <w:ind w:left="60"/>
              <w:spacing w:after="0"/>
              <w:rPr>
                <w:sz w:val="20"/>
                <w:szCs w:val="20"/>
                <w:color w:val="auto"/>
              </w:rPr>
            </w:pPr>
            <w:r>
              <w:rPr>
                <w:rFonts w:ascii="Arial" w:cs="Arial" w:eastAsia="Arial" w:hAnsi="Arial"/>
                <w:sz w:val="14"/>
                <w:szCs w:val="14"/>
                <w:color w:val="auto"/>
              </w:rPr>
              <w:t>Lee C. Bollinger</w:t>
            </w:r>
          </w:p>
        </w:tc>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02 -</w:t>
            </w:r>
          </w:p>
        </w:tc>
        <w:tc>
          <w:tcPr>
            <w:tcW w:w="1400" w:type="dxa"/>
            <w:vAlign w:val="bottom"/>
          </w:tcPr>
          <w:p>
            <w:pPr>
              <w:ind w:left="60"/>
              <w:spacing w:after="0"/>
              <w:rPr>
                <w:sz w:val="20"/>
                <w:szCs w:val="20"/>
                <w:color w:val="auto"/>
              </w:rPr>
            </w:pPr>
            <w:r>
              <w:rPr>
                <w:rFonts w:ascii="Arial" w:cs="Arial" w:eastAsia="Arial" w:hAnsi="Arial"/>
                <w:sz w:val="14"/>
                <w:szCs w:val="14"/>
                <w:color w:val="auto"/>
              </w:rPr>
              <w:t>Barry Diller</w:t>
            </w:r>
          </w:p>
        </w:tc>
        <w:tc>
          <w:tcPr>
            <w:tcW w:w="32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9"/>
              </w:rPr>
              <w:t>03 -</w:t>
            </w:r>
          </w:p>
        </w:tc>
        <w:tc>
          <w:tcPr>
            <w:tcW w:w="1780" w:type="dxa"/>
            <w:vAlign w:val="bottom"/>
          </w:tcPr>
          <w:p>
            <w:pPr>
              <w:ind w:left="40"/>
              <w:spacing w:after="0"/>
              <w:rPr>
                <w:sz w:val="20"/>
                <w:szCs w:val="20"/>
                <w:color w:val="auto"/>
              </w:rPr>
            </w:pPr>
            <w:r>
              <w:rPr>
                <w:rFonts w:ascii="Arial" w:cs="Arial" w:eastAsia="Arial" w:hAnsi="Arial"/>
                <w:sz w:val="14"/>
                <w:szCs w:val="14"/>
                <w:color w:val="auto"/>
              </w:rPr>
              <w:t>David Goldberg</w:t>
            </w:r>
          </w:p>
        </w:tc>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0" w:type="dxa"/>
            <w:vAlign w:val="bottom"/>
            <w:vMerge w:val="restart"/>
          </w:tcPr>
          <w:p>
            <w:pPr>
              <w:ind w:left="220"/>
              <w:spacing w:after="0"/>
              <w:rPr>
                <w:sz w:val="20"/>
                <w:szCs w:val="20"/>
                <w:color w:val="auto"/>
              </w:rPr>
            </w:pPr>
            <w:r>
              <w:rPr>
                <w:rFonts w:ascii="Arial" w:cs="Arial" w:eastAsia="Arial" w:hAnsi="Arial"/>
                <w:sz w:val="14"/>
                <w:szCs w:val="14"/>
                <w:color w:val="auto"/>
                <w:w w:val="99"/>
              </w:rPr>
              <w:t>04 -</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Donald E. Graham</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1400" w:type="dxa"/>
            <w:vAlign w:val="bottom"/>
            <w:vMerge w:val="restart"/>
          </w:tcPr>
          <w:p>
            <w:pPr>
              <w:ind w:left="60"/>
              <w:spacing w:after="0"/>
              <w:rPr>
                <w:sz w:val="20"/>
                <w:szCs w:val="20"/>
                <w:color w:val="auto"/>
              </w:rPr>
            </w:pPr>
            <w:r>
              <w:rPr>
                <w:rFonts w:ascii="Arial" w:cs="Arial" w:eastAsia="Arial" w:hAnsi="Arial"/>
                <w:sz w:val="14"/>
                <w:szCs w:val="14"/>
                <w:color w:val="auto"/>
              </w:rPr>
              <w:t>Ronald L. Olson</w:t>
            </w:r>
          </w:p>
        </w:tc>
        <w:tc>
          <w:tcPr>
            <w:tcW w:w="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99"/>
              </w:rPr>
              <w:t>06 -</w:t>
            </w:r>
          </w:p>
        </w:tc>
        <w:tc>
          <w:tcPr>
            <w:tcW w:w="1780" w:type="dxa"/>
            <w:vAlign w:val="bottom"/>
            <w:vMerge w:val="restart"/>
          </w:tcPr>
          <w:p>
            <w:pPr>
              <w:ind w:left="40"/>
              <w:spacing w:after="0"/>
              <w:rPr>
                <w:sz w:val="20"/>
                <w:szCs w:val="20"/>
                <w:color w:val="auto"/>
              </w:rPr>
            </w:pPr>
            <w:r>
              <w:rPr>
                <w:rFonts w:ascii="Arial" w:cs="Arial" w:eastAsia="Arial" w:hAnsi="Arial"/>
                <w:sz w:val="14"/>
                <w:szCs w:val="14"/>
                <w:color w:val="auto"/>
              </w:rPr>
              <w:t>G. Richard Wagoner, Jr.</w:t>
            </w: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32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0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0" w:type="dxa"/>
            <w:vAlign w:val="bottom"/>
            <w:vMerge w:val="restart"/>
          </w:tcPr>
          <w:p>
            <w:pPr>
              <w:ind w:left="220"/>
              <w:spacing w:after="0"/>
              <w:rPr>
                <w:sz w:val="20"/>
                <w:szCs w:val="20"/>
                <w:color w:val="auto"/>
              </w:rPr>
            </w:pPr>
            <w:r>
              <w:rPr>
                <w:rFonts w:ascii="Arial" w:cs="Arial" w:eastAsia="Arial" w:hAnsi="Arial"/>
                <w:sz w:val="14"/>
                <w:szCs w:val="14"/>
                <w:color w:val="auto"/>
              </w:rPr>
              <w:t>07-</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Katharine Weymouth</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color w:val="auto"/>
              </w:rPr>
              <w:t>For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Against</w:t>
            </w:r>
          </w:p>
        </w:tc>
        <w:tc>
          <w:tcPr>
            <w:tcW w:w="2720" w:type="dxa"/>
            <w:vAlign w:val="bottom"/>
            <w:gridSpan w:val="4"/>
          </w:tcPr>
          <w:p>
            <w:pPr>
              <w:ind w:left="22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0</wp:posOffset>
            </wp:positionV>
            <wp:extent cx="24892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920" cy="20574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0</wp:posOffset>
            </wp:positionV>
            <wp:extent cx="24003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030" cy="205740"/>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0</wp:posOffset>
            </wp:positionV>
            <wp:extent cx="24003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95" w:lineRule="exact"/>
        <w:rPr>
          <w:sz w:val="20"/>
          <w:szCs w:val="20"/>
          <w:color w:val="auto"/>
        </w:rPr>
      </w:pPr>
    </w:p>
    <w:p>
      <w:pPr>
        <w:ind w:left="5"/>
        <w:spacing w:after="0"/>
        <w:rPr>
          <w:sz w:val="20"/>
          <w:szCs w:val="20"/>
          <w:color w:val="auto"/>
        </w:rPr>
      </w:pPr>
      <w:r>
        <w:rPr>
          <w:rFonts w:ascii="Arial" w:cs="Arial" w:eastAsia="Arial" w:hAnsi="Arial"/>
          <w:sz w:val="14"/>
          <w:szCs w:val="14"/>
          <w:color w:val="auto"/>
        </w:rPr>
        <w:t>2. Advisory Approval of the Company's Executive Compensation.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5" w:hanging="225"/>
        <w:spacing w:after="0"/>
        <w:tabs>
          <w:tab w:leader="none" w:pos="225" w:val="left"/>
        </w:tabs>
        <w:numPr>
          <w:ilvl w:val="0"/>
          <w:numId w:val="43"/>
        </w:numPr>
        <w:rPr>
          <w:rFonts w:ascii="Arial" w:cs="Arial" w:eastAsia="Arial" w:hAnsi="Arial"/>
          <w:sz w:val="29"/>
          <w:szCs w:val="29"/>
          <w:color w:val="FFFFFF"/>
          <w:vertAlign w:val="subscript"/>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-153670</wp:posOffset>
            </wp:positionV>
            <wp:extent cx="1460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 cy="171450"/>
                    </a:xfrm>
                    <a:prstGeom prst="rect">
                      <a:avLst/>
                    </a:prstGeom>
                    <a:noFill/>
                  </pic:spPr>
                </pic:pic>
              </a:graphicData>
            </a:graphic>
          </wp:anchor>
        </w:drawing>
      </w:r>
    </w:p>
    <w:p>
      <w:pPr>
        <w:spacing w:after="0" w:line="69" w:lineRule="exact"/>
        <w:rPr>
          <w:sz w:val="20"/>
          <w:szCs w:val="20"/>
          <w:color w:val="auto"/>
        </w:rPr>
      </w:pPr>
    </w:p>
    <w:p>
      <w:pPr>
        <w:ind w:left="5"/>
        <w:spacing w:after="0"/>
        <w:tabs>
          <w:tab w:leader="none" w:pos="4745" w:val="left"/>
        </w:tabs>
        <w:rPr>
          <w:sz w:val="20"/>
          <w:szCs w:val="20"/>
          <w:color w:val="auto"/>
        </w:rPr>
      </w:pPr>
      <w:r>
        <w:rPr>
          <w:rFonts w:ascii="Arial" w:cs="Arial" w:eastAsia="Arial" w:hAnsi="Arial"/>
          <w:sz w:val="14"/>
          <w:szCs w:val="14"/>
          <w:color w:val="auto"/>
        </w:rPr>
        <w:t>Change of Address - Please print new address below</w:t>
      </w:r>
      <w:r>
        <w:rPr>
          <w:sz w:val="20"/>
          <w:szCs w:val="20"/>
          <w:color w:val="auto"/>
        </w:rPr>
        <w:tab/>
      </w:r>
      <w:r>
        <w:rPr>
          <w:rFonts w:ascii="Arial" w:cs="Arial" w:eastAsia="Arial" w:hAnsi="Arial"/>
          <w:sz w:val="13"/>
          <w:szCs w:val="13"/>
          <w:color w:val="auto"/>
        </w:rPr>
        <w:t>Comments -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20955</wp:posOffset>
            </wp:positionV>
            <wp:extent cx="586613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61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5" w:hanging="245"/>
        <w:spacing w:after="0"/>
        <w:tabs>
          <w:tab w:leader="none" w:pos="245" w:val="left"/>
        </w:tabs>
        <w:numPr>
          <w:ilvl w:val="0"/>
          <w:numId w:val="44"/>
        </w:numPr>
        <w:rPr>
          <w:rFonts w:ascii="Arial" w:cs="Arial" w:eastAsia="Arial" w:hAnsi="Arial"/>
          <w:sz w:val="29"/>
          <w:szCs w:val="29"/>
          <w:color w:val="FFFFFF"/>
          <w:vertAlign w:val="subscript"/>
        </w:rPr>
      </w:pPr>
      <w:r>
        <w:rPr>
          <w:rFonts w:ascii="Arial" w:cs="Arial" w:eastAsia="Arial" w:hAnsi="Arial"/>
          <w:sz w:val="18"/>
          <w:szCs w:val="18"/>
          <w:b w:val="1"/>
          <w:bCs w:val="1"/>
          <w:color w:val="auto"/>
        </w:rPr>
        <w:t>Authorized Signatures - This section must be completed for your vote to be counted - Data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-153670</wp:posOffset>
            </wp:positionV>
            <wp:extent cx="1543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5" w:lineRule="exact"/>
        <w:rPr>
          <w:sz w:val="20"/>
          <w:szCs w:val="20"/>
          <w:color w:val="auto"/>
        </w:rPr>
      </w:pPr>
    </w:p>
    <w:p>
      <w:pPr>
        <w:ind w:left="5" w:right="1119"/>
        <w:spacing w:after="0" w:line="253" w:lineRule="auto"/>
        <w:rPr>
          <w:sz w:val="20"/>
          <w:szCs w:val="20"/>
          <w:color w:val="auto"/>
        </w:rPr>
      </w:pPr>
      <w:r>
        <w:rPr>
          <w:rFonts w:ascii="Arial" w:cs="Arial" w:eastAsia="Arial" w:hAnsi="Arial"/>
          <w:sz w:val="14"/>
          <w:szCs w:val="14"/>
          <w:color w:val="auto"/>
        </w:rPr>
        <w:t>Please sign exactly as name(s) appears heron Joint owners should sign. When signing as attorney, executor, administrator, corporate officer, trustee, guardian, or custodian, please give full title.</w:t>
      </w:r>
    </w:p>
    <w:p>
      <w:pPr>
        <w:sectPr>
          <w:pgSz w:w="11900" w:h="16838" w:orient="portrait"/>
          <w:cols w:equalWidth="0" w:num="1">
            <w:col w:w="10184"/>
          </w:cols>
          <w:pgMar w:left="275" w:top="575" w:right="1440" w:bottom="1440" w:gutter="0" w:footer="0" w:header="0"/>
        </w:sectPr>
      </w:pPr>
    </w:p>
    <w:p>
      <w:pPr>
        <w:spacing w:after="0" w:line="160" w:lineRule="exact"/>
        <w:rPr>
          <w:sz w:val="20"/>
          <w:szCs w:val="20"/>
          <w:color w:val="auto"/>
        </w:rPr>
      </w:pPr>
    </w:p>
    <w:p>
      <w:pPr>
        <w:ind w:left="5"/>
        <w:spacing w:after="0"/>
        <w:rPr>
          <w:sz w:val="20"/>
          <w:szCs w:val="20"/>
          <w:color w:val="auto"/>
        </w:rPr>
      </w:pPr>
      <w:r>
        <w:rPr>
          <w:rFonts w:ascii="Arial" w:cs="Arial" w:eastAsia="Arial" w:hAnsi="Arial"/>
          <w:sz w:val="13"/>
          <w:szCs w:val="13"/>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28575</wp:posOffset>
            </wp:positionV>
            <wp:extent cx="184404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4040"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4"/>
          <w:szCs w:val="14"/>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1905</wp:posOffset>
            </wp:positionV>
            <wp:extent cx="186118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118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99"/>
        <w:spacing w:after="0" w:line="253" w:lineRule="auto"/>
        <w:rPr>
          <w:sz w:val="20"/>
          <w:szCs w:val="20"/>
          <w:color w:val="auto"/>
        </w:rPr>
      </w:pPr>
      <w:r>
        <w:rPr>
          <w:rFonts w:ascii="Arial" w:cs="Arial" w:eastAsia="Arial" w:hAnsi="Arial"/>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1905</wp:posOffset>
            </wp:positionV>
            <wp:extent cx="1895475"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5475" cy="506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625" w:space="480"/>
            <w:col w:w="2640" w:space="500"/>
            <w:col w:w="3939"/>
          </w:cols>
          <w:pgMar w:left="275" w:top="575" w:right="1440" w:bottom="1440" w:gutter="0" w:footer="0" w:header="0"/>
          <w:type w:val="continuous"/>
        </w:sectPr>
      </w:pPr>
    </w:p>
    <w:p>
      <w:pPr>
        <w:spacing w:after="0" w:line="148" w:lineRule="exact"/>
        <w:rPr>
          <w:sz w:val="20"/>
          <w:szCs w:val="20"/>
          <w:color w:val="auto"/>
        </w:rPr>
      </w:pPr>
    </w:p>
    <w:p>
      <w:pPr>
        <w:ind w:left="965"/>
        <w:spacing w:after="0"/>
        <w:tabs>
          <w:tab w:leader="none" w:pos="1985"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276225</wp:posOffset>
            </wp:positionV>
            <wp:extent cx="22288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 cy="325755"/>
                    </a:xfrm>
                    <a:prstGeom prst="rect">
                      <a:avLst/>
                    </a:prstGeom>
                    <a:noFill/>
                  </pic:spPr>
                </pic:pic>
              </a:graphicData>
            </a:graphic>
          </wp:anchor>
        </w:drawing>
        <w:drawing>
          <wp:anchor simplePos="0" relativeHeight="251657728" behindDoc="1" locked="0" layoutInCell="0" allowOverlap="1">
            <wp:simplePos x="0" y="0"/>
            <wp:positionH relativeFrom="column">
              <wp:posOffset>5591175</wp:posOffset>
            </wp:positionH>
            <wp:positionV relativeFrom="paragraph">
              <wp:posOffset>276225</wp:posOffset>
            </wp:positionV>
            <wp:extent cx="23177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775" cy="3257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ind w:right="5279"/>
        <w:spacing w:after="0"/>
        <w:rPr>
          <w:sz w:val="20"/>
          <w:szCs w:val="20"/>
          <w:color w:val="auto"/>
        </w:rPr>
      </w:pPr>
      <w:r>
        <w:rPr>
          <w:rFonts w:ascii="Arial" w:cs="Arial" w:eastAsia="Arial" w:hAnsi="Arial"/>
          <w:sz w:val="25"/>
          <w:szCs w:val="25"/>
          <w:b w:val="1"/>
          <w:bCs w:val="1"/>
          <w:color w:val="auto"/>
        </w:rPr>
        <w:t>71B V</w:t>
      </w:r>
    </w:p>
    <w:p>
      <w:pPr>
        <w:spacing w:after="0" w:line="307" w:lineRule="exact"/>
        <w:rPr>
          <w:sz w:val="20"/>
          <w:szCs w:val="20"/>
          <w:color w:val="auto"/>
        </w:rPr>
      </w:pPr>
    </w:p>
    <w:p>
      <w:pPr>
        <w:ind w:left="1265"/>
        <w:spacing w:after="0"/>
        <w:rPr>
          <w:sz w:val="20"/>
          <w:szCs w:val="20"/>
          <w:color w:val="auto"/>
        </w:rPr>
      </w:pPr>
      <w:r>
        <w:rPr>
          <w:rFonts w:ascii="Arial" w:cs="Arial" w:eastAsia="Arial" w:hAnsi="Arial"/>
          <w:sz w:val="14"/>
          <w:szCs w:val="14"/>
          <w:color w:val="auto"/>
        </w:rPr>
        <w:t>01W0A</w:t>
      </w:r>
    </w:p>
    <w:p>
      <w:pPr>
        <w:sectPr>
          <w:pgSz w:w="11900" w:h="16838" w:orient="portrait"/>
          <w:cols w:equalWidth="0" w:num="1">
            <w:col w:w="10184"/>
          </w:cols>
          <w:pgMar w:left="275" w:top="575" w:right="1440" w:bottom="1440" w:gutter="0" w:footer="0" w:header="0"/>
          <w:type w:val="continuous"/>
        </w:sectPr>
      </w:pPr>
    </w:p>
    <w:bookmarkStart w:id="35" w:name="page36"/>
    <w:bookmarkEnd w:id="35"/>
    <w:p>
      <w:pPr>
        <w:jc w:val="center"/>
        <w:ind w:right="2840"/>
        <w:spacing w:after="0" w:line="243"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972185</wp:posOffset>
            </wp:positionH>
            <wp:positionV relativeFrom="page">
              <wp:posOffset>466090</wp:posOffset>
            </wp:positionV>
            <wp:extent cx="3696335" cy="995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96335" cy="995045"/>
                    </a:xfrm>
                    <a:prstGeom prst="rect">
                      <a:avLst/>
                    </a:prstGeom>
                    <a:noFill/>
                  </pic:spPr>
                </pic:pic>
              </a:graphicData>
            </a:graphic>
          </wp:anchor>
        </w:drawing>
        <w:t>Important notice regarding the availability of Proxy materials for the Annual Meeting of Shareholders to be held on May 8, 2014.</w:t>
      </w:r>
    </w:p>
    <w:p>
      <w:pPr>
        <w:spacing w:after="0" w:line="204" w:lineRule="exact"/>
        <w:rPr>
          <w:sz w:val="20"/>
          <w:szCs w:val="20"/>
          <w:color w:val="auto"/>
        </w:rPr>
      </w:pPr>
    </w:p>
    <w:p>
      <w:pPr>
        <w:jc w:val="center"/>
        <w:ind w:right="2840"/>
        <w:spacing w:after="0"/>
        <w:rPr>
          <w:sz w:val="20"/>
          <w:szCs w:val="20"/>
          <w:color w:val="auto"/>
        </w:rPr>
      </w:pPr>
      <w:r>
        <w:rPr>
          <w:rFonts w:ascii="Arial" w:cs="Arial" w:eastAsia="Arial" w:hAnsi="Arial"/>
          <w:sz w:val="19"/>
          <w:szCs w:val="19"/>
          <w:b w:val="1"/>
          <w:bCs w:val="1"/>
          <w:color w:val="auto"/>
        </w:rPr>
        <w:t>The Proxy Statement and the Annual Report to Shareholders</w:t>
      </w:r>
    </w:p>
    <w:p>
      <w:pPr>
        <w:spacing w:after="0" w:line="49" w:lineRule="exact"/>
        <w:rPr>
          <w:sz w:val="20"/>
          <w:szCs w:val="20"/>
          <w:color w:val="auto"/>
        </w:rPr>
      </w:pPr>
    </w:p>
    <w:p>
      <w:pPr>
        <w:jc w:val="center"/>
        <w:ind w:right="2840"/>
        <w:spacing w:after="0"/>
        <w:rPr>
          <w:sz w:val="20"/>
          <w:szCs w:val="20"/>
          <w:color w:val="auto"/>
        </w:rPr>
      </w:pPr>
      <w:r>
        <w:rPr>
          <w:rFonts w:ascii="Arial" w:cs="Arial" w:eastAsia="Arial" w:hAnsi="Arial"/>
          <w:sz w:val="22"/>
          <w:szCs w:val="22"/>
          <w:b w:val="1"/>
          <w:bCs w:val="1"/>
          <w:color w:val="auto"/>
        </w:rPr>
        <w:t>are available on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6</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22"/>
          <w:szCs w:val="22"/>
          <w:b w:val="1"/>
          <w:bCs w:val="1"/>
          <w:color w:val="auto"/>
        </w:rPr>
        <w:t xml:space="preserve"> 6</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w:t>
      </w:r>
    </w:p>
    <w:p>
      <w:pPr>
        <w:spacing w:after="0" w:line="34" w:lineRule="exact"/>
        <w:rPr>
          <w:sz w:val="20"/>
          <w:szCs w:val="20"/>
          <w:color w:val="auto"/>
        </w:rPr>
      </w:pPr>
    </w:p>
    <w:p>
      <w:pPr>
        <w:spacing w:after="0"/>
        <w:rPr>
          <w:sz w:val="20"/>
          <w:szCs w:val="20"/>
          <w:color w:val="auto"/>
        </w:rPr>
      </w:pPr>
      <w:r>
        <w:rPr>
          <w:rFonts w:ascii="Arial" w:cs="Arial" w:eastAsia="Arial" w:hAnsi="Arial"/>
          <w:sz w:val="29"/>
          <w:szCs w:val="29"/>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318135</wp:posOffset>
            </wp:positionV>
            <wp:extent cx="58572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34290</wp:posOffset>
            </wp:positionV>
            <wp:extent cx="58572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Common Stock</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 of Stockholders - May 8, 2014</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Solicited on behalf of the Board of Directors</w:t>
      </w:r>
    </w:p>
    <w:p>
      <w:pPr>
        <w:spacing w:after="0" w:line="144" w:lineRule="exact"/>
        <w:rPr>
          <w:sz w:val="20"/>
          <w:szCs w:val="20"/>
          <w:color w:val="auto"/>
        </w:rPr>
      </w:pPr>
    </w:p>
    <w:p>
      <w:pPr>
        <w:ind w:right="320"/>
        <w:spacing w:after="0" w:line="286" w:lineRule="auto"/>
        <w:rPr>
          <w:sz w:val="20"/>
          <w:szCs w:val="20"/>
          <w:color w:val="auto"/>
        </w:rPr>
      </w:pPr>
      <w:r>
        <w:rPr>
          <w:rFonts w:ascii="Arial" w:cs="Arial" w:eastAsia="Arial" w:hAnsi="Arial"/>
          <w:sz w:val="13"/>
          <w:szCs w:val="13"/>
          <w:color w:val="auto"/>
        </w:rPr>
        <w:t>The undersigned hereby appoints Donald E. Graham, Hal S. Jones, Veronica Dillon and Gerald M. Rosberg, and each of them, his/her true and lawful agents and proxies, with full power of substitution in each, to vote as indicated on the reverse of the Proxy all shares of Class A Common Stock which the undersigned, is entitled to vote, at the Annual Meeting of Stockholders of GRAHAM HOLDINGS COMPANY to be held on May 8, 2014, and at any adjournment thereof, and to vote on all other matters properly coming before said meeting.</w:t>
      </w:r>
    </w:p>
    <w:p>
      <w:pPr>
        <w:spacing w:after="0" w:line="110" w:lineRule="exact"/>
        <w:rPr>
          <w:sz w:val="20"/>
          <w:szCs w:val="20"/>
          <w:color w:val="auto"/>
        </w:rPr>
      </w:pPr>
    </w:p>
    <w:p>
      <w:pPr>
        <w:spacing w:after="0" w:line="279" w:lineRule="auto"/>
        <w:rPr>
          <w:sz w:val="20"/>
          <w:szCs w:val="20"/>
          <w:color w:val="auto"/>
        </w:rPr>
      </w:pPr>
      <w:r>
        <w:rPr>
          <w:rFonts w:ascii="Arial" w:cs="Arial" w:eastAsia="Arial" w:hAnsi="Arial"/>
          <w:sz w:val="14"/>
          <w:szCs w:val="14"/>
          <w:b w:val="1"/>
          <w:bCs w:val="1"/>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vote, date and sign this proxy on the other side and return it promptly in the enclosed envelope.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(Continued and to be voted on reverse side.)</w:t>
      </w:r>
    </w:p>
    <w:p>
      <w:pPr>
        <w:sectPr>
          <w:pgSz w:w="11900" w:h="16838" w:orient="portrait"/>
          <w:cols w:equalWidth="0" w:num="1">
            <w:col w:w="11240"/>
          </w:cols>
          <w:pgMar w:left="240" w:top="760" w:right="419" w:bottom="1440" w:gutter="0" w:footer="0" w:header="0"/>
        </w:sectPr>
      </w:pPr>
    </w:p>
    <w:bookmarkStart w:id="36" w:name="page37"/>
    <w:bookmarkEnd w:id="36"/>
    <w:p>
      <w:pPr>
        <w:ind w:left="660"/>
        <w:spacing w:after="0"/>
        <w:rPr>
          <w:sz w:val="20"/>
          <w:szCs w:val="20"/>
          <w:color w:val="auto"/>
        </w:rPr>
      </w:pPr>
      <w:r>
        <w:rPr>
          <w:rFonts w:ascii="Arial" w:cs="Arial" w:eastAsia="Arial" w:hAnsi="Arial"/>
          <w:sz w:val="29"/>
          <w:szCs w:val="29"/>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240665</wp:posOffset>
            </wp:positionV>
            <wp:extent cx="174117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41170" cy="257175"/>
                    </a:xfrm>
                    <a:prstGeom prst="rect">
                      <a:avLst/>
                    </a:prstGeom>
                    <a:noFill/>
                  </pic:spPr>
                </pic:pic>
              </a:graphicData>
            </a:graphic>
          </wp:anchor>
        </w:drawing>
      </w:r>
    </w:p>
    <w:p>
      <w:pPr>
        <w:spacing w:after="0" w:line="394" w:lineRule="exact"/>
        <w:rPr>
          <w:sz w:val="20"/>
          <w:szCs w:val="20"/>
          <w:color w:val="auto"/>
        </w:rPr>
      </w:pPr>
    </w:p>
    <w:p>
      <w:pPr>
        <w:jc w:val="center"/>
        <w:ind w:right="7380"/>
        <w:spacing w:after="0"/>
        <w:rPr>
          <w:sz w:val="20"/>
          <w:szCs w:val="20"/>
          <w:color w:val="auto"/>
        </w:rPr>
      </w:pPr>
      <w:r>
        <w:rPr>
          <w:rFonts w:ascii="Arial" w:cs="Arial" w:eastAsia="Arial" w:hAnsi="Arial"/>
          <w:sz w:val="14"/>
          <w:szCs w:val="14"/>
          <w:i w:val="1"/>
          <w:iCs w:val="1"/>
          <w:color w:val="auto"/>
        </w:rPr>
        <w:t>IMPORTANT ANNUAL MEETING</w:t>
      </w:r>
    </w:p>
    <w:p>
      <w:pPr>
        <w:jc w:val="center"/>
        <w:ind w:right="7380"/>
        <w:spacing w:after="0"/>
        <w:rPr>
          <w:sz w:val="20"/>
          <w:szCs w:val="20"/>
          <w:color w:val="auto"/>
        </w:rPr>
      </w:pPr>
      <w:r>
        <w:rPr>
          <w:rFonts w:ascii="Arial" w:cs="Arial" w:eastAsia="Arial" w:hAnsi="Arial"/>
          <w:sz w:val="14"/>
          <w:szCs w:val="14"/>
          <w:i w:val="1"/>
          <w:iCs w:val="1"/>
          <w:color w:val="auto"/>
        </w:rPr>
        <w:t>INFORMATION</w:t>
      </w:r>
    </w:p>
    <w:p>
      <w:pPr>
        <w:spacing w:after="0" w:line="242" w:lineRule="exact"/>
        <w:rPr>
          <w:sz w:val="20"/>
          <w:szCs w:val="20"/>
          <w:color w:val="auto"/>
        </w:rPr>
      </w:pPr>
    </w:p>
    <w:p>
      <w:pPr>
        <w:jc w:val="right"/>
        <w:ind w:right="3020"/>
        <w:spacing w:after="0"/>
        <w:rPr>
          <w:sz w:val="20"/>
          <w:szCs w:val="20"/>
          <w:color w:val="auto"/>
        </w:rPr>
      </w:pPr>
      <w:r>
        <w:rPr>
          <w:rFonts w:ascii="Arial" w:cs="Arial" w:eastAsia="Arial" w:hAnsi="Arial"/>
          <w:sz w:val="20"/>
          <w:szCs w:val="20"/>
          <w:b w:val="1"/>
          <w:bCs w:val="1"/>
          <w:color w:val="auto"/>
        </w:rPr>
        <w:t>Electronic Voting Instructions</w:t>
      </w:r>
    </w:p>
    <w:p>
      <w:pPr>
        <w:sectPr>
          <w:pgSz w:w="11900" w:h="16838" w:orient="portrait"/>
          <w:cols w:equalWidth="0" w:num="1">
            <w:col w:w="11400"/>
          </w:cols>
          <w:pgMar w:left="240" w:top="57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u w:val="single" w:color="auto"/>
          <w:color w:val="auto"/>
        </w:rPr>
        <w:t>black ink</w:t>
      </w:r>
      <w:r>
        <w:rPr>
          <w:rFonts w:ascii="Arial" w:cs="Arial" w:eastAsia="Arial" w:hAnsi="Arial"/>
          <w:sz w:val="14"/>
          <w:szCs w:val="14"/>
          <w:color w:val="auto"/>
        </w:rPr>
        <w:t xml:space="preserve"> pen, mark your votes with an 'X'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-114935</wp:posOffset>
            </wp:positionV>
            <wp:extent cx="24003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 cy="428625"/>
                    </a:xfrm>
                    <a:prstGeom prst="rect">
                      <a:avLst/>
                    </a:prstGeom>
                    <a:noFill/>
                  </pic:spPr>
                </pic:pic>
              </a:graphicData>
            </a:graphic>
          </wp:anchor>
        </w:drawing>
      </w:r>
    </w:p>
    <w:p>
      <w:pPr>
        <w:ind w:left="80"/>
        <w:spacing w:after="0" w:line="221" w:lineRule="auto"/>
        <w:rPr>
          <w:sz w:val="20"/>
          <w:szCs w:val="20"/>
          <w:color w:val="auto"/>
        </w:rPr>
      </w:pPr>
      <w:r>
        <w:rPr>
          <w:rFonts w:ascii="Arial" w:cs="Arial" w:eastAsia="Arial" w:hAnsi="Arial"/>
          <w:sz w:val="14"/>
          <w:szCs w:val="14"/>
          <w:color w:val="auto"/>
        </w:rPr>
        <w:t>shown in</w:t>
      </w:r>
    </w:p>
    <w:p>
      <w:pPr>
        <w:ind w:left="80"/>
        <w:spacing w:after="0" w:line="206" w:lineRule="auto"/>
        <w:rPr>
          <w:sz w:val="20"/>
          <w:szCs w:val="20"/>
          <w:color w:val="auto"/>
        </w:rPr>
      </w:pPr>
      <w:r>
        <w:rPr>
          <w:rFonts w:ascii="Arial" w:cs="Arial" w:eastAsia="Arial" w:hAnsi="Arial"/>
          <w:sz w:val="13"/>
          <w:szCs w:val="13"/>
          <w:color w:val="auto"/>
        </w:rPr>
        <w:t>this example. Please do not write outside the designated</w:t>
      </w:r>
    </w:p>
    <w:p>
      <w:pPr>
        <w:ind w:left="80"/>
        <w:spacing w:after="0" w:line="218" w:lineRule="auto"/>
        <w:tabs>
          <w:tab w:leader="none" w:pos="3580" w:val="left"/>
        </w:tabs>
        <w:rPr>
          <w:sz w:val="20"/>
          <w:szCs w:val="20"/>
          <w:color w:val="auto"/>
        </w:rPr>
      </w:pPr>
      <w:r>
        <w:rPr>
          <w:rFonts w:ascii="Arial" w:cs="Arial" w:eastAsia="Arial" w:hAnsi="Arial"/>
          <w:sz w:val="13"/>
          <w:szCs w:val="13"/>
          <w:color w:val="auto"/>
        </w:rPr>
        <w:t>areas.</w:t>
      </w:r>
      <w:r>
        <w:rPr>
          <w:sz w:val="20"/>
          <w:szCs w:val="20"/>
          <w:color w:val="auto"/>
        </w:rPr>
        <w:tab/>
      </w:r>
      <w:r>
        <w:rPr>
          <w:rFonts w:ascii="Arial" w:cs="Arial" w:eastAsia="Arial" w:hAnsi="Arial"/>
          <w:sz w:val="31"/>
          <w:szCs w:val="31"/>
          <w:b w:val="1"/>
          <w:bCs w:val="1"/>
          <w:color w:val="auto"/>
          <w:vertAlign w:val="superscript"/>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8572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You can vote by Internet or telephone!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Instead of mailing your proxy, you may choose one of the two voting methods outlined below to</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vote your proxy.</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VALIDATION DETAILS ARE LOCATED BELOW IN THE TITLE BAR.</w:t>
      </w:r>
    </w:p>
    <w:p>
      <w:pPr>
        <w:spacing w:after="0"/>
        <w:rPr>
          <w:sz w:val="20"/>
          <w:szCs w:val="20"/>
          <w:color w:val="auto"/>
        </w:rPr>
      </w:pPr>
      <w:r>
        <w:rPr>
          <w:rFonts w:ascii="Arial" w:cs="Arial" w:eastAsia="Arial" w:hAnsi="Arial"/>
          <w:sz w:val="11"/>
          <w:szCs w:val="11"/>
          <w:b w:val="1"/>
          <w:bCs w:val="1"/>
          <w:color w:val="auto"/>
        </w:rPr>
        <w:t>Proxies submitted by the Internet or telephone must be received by 5:00pm, Eastern Daylight Savings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Time, on May 7, 2014.</w:t>
      </w:r>
    </w:p>
    <w:p>
      <w:pPr>
        <w:ind w:left="1140"/>
        <w:spacing w:after="0"/>
        <w:rPr>
          <w:sz w:val="20"/>
          <w:szCs w:val="20"/>
          <w:color w:val="auto"/>
        </w:rPr>
      </w:pPr>
      <w:r>
        <w:rPr>
          <w:rFonts w:ascii="Arial" w:cs="Arial" w:eastAsia="Arial" w:hAnsi="Arial"/>
          <w:sz w:val="14"/>
          <w:szCs w:val="14"/>
          <w:b w:val="1"/>
          <w:bCs w:val="1"/>
          <w:color w:val="auto"/>
        </w:rPr>
        <w:t>Vote by Internet</w:t>
      </w:r>
    </w:p>
    <w:p>
      <w:pPr>
        <w:spacing w:after="0" w:line="54" w:lineRule="exact"/>
        <w:rPr>
          <w:sz w:val="20"/>
          <w:szCs w:val="20"/>
          <w:color w:val="auto"/>
        </w:rPr>
      </w:pPr>
    </w:p>
    <w:p>
      <w:pPr>
        <w:ind w:left="1340" w:hanging="203"/>
        <w:spacing w:after="0"/>
        <w:tabs>
          <w:tab w:leader="none" w:pos="1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Go to </w:t>
      </w:r>
      <w:r>
        <w:rPr>
          <w:rFonts w:ascii="Arial" w:cs="Arial" w:eastAsia="Arial" w:hAnsi="Arial"/>
          <w:sz w:val="12"/>
          <w:szCs w:val="12"/>
          <w:b w:val="1"/>
          <w:bCs w:val="1"/>
          <w:color w:val="auto"/>
        </w:rPr>
        <w:t>www.investorvote.com</w:t>
      </w:r>
    </w:p>
    <w:p>
      <w:pPr>
        <w:spacing w:after="0" w:line="120" w:lineRule="exact"/>
        <w:rPr>
          <w:rFonts w:ascii="Arial" w:cs="Arial" w:eastAsia="Arial" w:hAnsi="Arial"/>
          <w:sz w:val="12"/>
          <w:szCs w:val="12"/>
          <w:color w:val="auto"/>
        </w:rPr>
      </w:pPr>
    </w:p>
    <w:p>
      <w:pPr>
        <w:ind w:left="1340" w:hanging="203"/>
        <w:spacing w:after="0"/>
        <w:tabs>
          <w:tab w:leader="none" w:pos="1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Or scan the QR code with your smartphone</w:t>
      </w:r>
    </w:p>
    <w:p>
      <w:pPr>
        <w:spacing w:after="0" w:line="118" w:lineRule="exact"/>
        <w:rPr>
          <w:rFonts w:ascii="Arial" w:cs="Arial" w:eastAsia="Arial" w:hAnsi="Arial"/>
          <w:sz w:val="12"/>
          <w:szCs w:val="12"/>
          <w:color w:val="auto"/>
        </w:rPr>
      </w:pPr>
    </w:p>
    <w:p>
      <w:pPr>
        <w:ind w:left="1340" w:hanging="203"/>
        <w:spacing w:after="0"/>
        <w:tabs>
          <w:tab w:leader="none" w:pos="1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Follow the steps outlined on the secure website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telephone</w:t>
      </w:r>
    </w:p>
    <w:p>
      <w:pPr>
        <w:spacing w:after="0" w:line="17" w:lineRule="exact"/>
        <w:rPr>
          <w:sz w:val="20"/>
          <w:szCs w:val="20"/>
          <w:color w:val="auto"/>
        </w:rPr>
      </w:pPr>
    </w:p>
    <w:p>
      <w:pPr>
        <w:ind w:left="160" w:right="140" w:hanging="158"/>
        <w:spacing w:after="0" w:line="241" w:lineRule="auto"/>
        <w:tabs>
          <w:tab w:leader="none" w:pos="1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&amp; Canada on a touch tone telephone</w:t>
      </w:r>
    </w:p>
    <w:p>
      <w:pPr>
        <w:ind w:left="160" w:hanging="158"/>
        <w:spacing w:after="0"/>
        <w:tabs>
          <w:tab w:leader="none" w:pos="1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988" w:lineRule="exact"/>
        <w:rPr>
          <w:sz w:val="20"/>
          <w:szCs w:val="20"/>
          <w:color w:val="auto"/>
        </w:rPr>
      </w:pPr>
    </w:p>
    <w:p>
      <w:pPr>
        <w:sectPr>
          <w:pgSz w:w="11900" w:h="16838" w:orient="portrait"/>
          <w:cols w:equalWidth="0" w:num="2">
            <w:col w:w="5120" w:space="720"/>
            <w:col w:w="5560"/>
          </w:cols>
          <w:pgMar w:left="240" w:top="575" w:right="25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Annual Meeting Proxy Card - Class B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572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6</w:t>
      </w:r>
      <w:r>
        <w:rPr>
          <w:rFonts w:ascii="Arial" w:cs="Arial" w:eastAsia="Arial" w:hAnsi="Arial"/>
          <w:sz w:val="12"/>
          <w:szCs w:val="12"/>
          <w:b w:val="1"/>
          <w:bCs w:val="1"/>
          <w:color w:val="auto"/>
        </w:rPr>
        <w:t>IF YOU HAVE NOT VOTED VIA THE INTERNET</w:t>
      </w:r>
      <w:r>
        <w:rPr>
          <w:rFonts w:ascii="Arial" w:cs="Arial" w:eastAsia="Arial" w:hAnsi="Arial"/>
          <w:sz w:val="16"/>
          <w:szCs w:val="16"/>
          <w:color w:val="auto"/>
        </w:rPr>
        <w:t xml:space="preserve"> </w:t>
      </w:r>
      <w:r>
        <w:rPr>
          <w:rFonts w:ascii="Arial" w:cs="Arial" w:eastAsia="Arial" w:hAnsi="Arial"/>
          <w:sz w:val="12"/>
          <w:szCs w:val="12"/>
          <w:b w:val="1"/>
          <w:bCs w:val="1"/>
          <w:u w:val="single" w:color="auto"/>
          <w:color w:val="auto"/>
        </w:rPr>
        <w:t>OR</w:t>
      </w:r>
      <w:r>
        <w:rPr>
          <w:rFonts w:ascii="Arial" w:cs="Arial" w:eastAsia="Arial" w:hAnsi="Arial"/>
          <w:sz w:val="16"/>
          <w:szCs w:val="16"/>
          <w:color w:val="auto"/>
        </w:rPr>
        <w:t xml:space="preserve"> </w:t>
      </w:r>
      <w:r>
        <w:rPr>
          <w:rFonts w:ascii="Arial" w:cs="Arial" w:eastAsia="Arial" w:hAnsi="Arial"/>
          <w:sz w:val="12"/>
          <w:szCs w:val="12"/>
          <w:b w:val="1"/>
          <w:bCs w:val="1"/>
          <w:color w:val="auto"/>
        </w:rPr>
        <w:t>TELEPHONE, FOLD ALONG THE PERFORATION, DETACH AND RETURN THE BOTTOM PORTION IN THE ENCLOSED ENVLEOPE.</w:t>
      </w:r>
      <w:r>
        <w:rPr>
          <w:rFonts w:ascii="Arial" w:cs="Arial" w:eastAsia="Arial" w:hAnsi="Arial"/>
          <w:sz w:val="16"/>
          <w:szCs w:val="16"/>
          <w:color w:val="auto"/>
        </w:rPr>
        <w:t xml:space="preserve"> 6</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FF0000"/>
        </w:rPr>
        <w:t>-------------------------------------------------------------------------------------------------------------------------------------------------------------------------------------------</w:t>
      </w:r>
    </w:p>
    <w:p>
      <w:pPr>
        <w:spacing w:after="0" w:line="60" w:lineRule="exact"/>
        <w:rPr>
          <w:sz w:val="20"/>
          <w:szCs w:val="20"/>
          <w:color w:val="auto"/>
        </w:rPr>
      </w:pPr>
    </w:p>
    <w:p>
      <w:pPr>
        <w:ind w:left="280" w:hanging="245"/>
        <w:spacing w:after="0"/>
        <w:tabs>
          <w:tab w:leader="none" w:pos="280" w:val="left"/>
        </w:tabs>
        <w:numPr>
          <w:ilvl w:val="0"/>
          <w:numId w:val="47"/>
        </w:numPr>
        <w:rPr>
          <w:rFonts w:ascii="Arial" w:cs="Arial" w:eastAsia="Arial" w:hAnsi="Arial"/>
          <w:sz w:val="29"/>
          <w:szCs w:val="29"/>
          <w:color w:val="FFFFFF"/>
          <w:vertAlign w:val="subscript"/>
        </w:rPr>
      </w:pPr>
      <w:r>
        <w:rPr>
          <w:rFonts w:ascii="Arial" w:cs="Arial" w:eastAsia="Arial" w:hAnsi="Arial"/>
          <w:sz w:val="18"/>
          <w:szCs w:val="18"/>
          <w:b w:val="1"/>
          <w:bCs w:val="1"/>
          <w:color w:val="auto"/>
        </w:rPr>
        <w:t xml:space="preserve">Election of Directors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430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17145</wp:posOffset>
            </wp:positionV>
            <wp:extent cx="222885"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885" cy="360045"/>
                    </a:xfrm>
                    <a:prstGeom prst="rect">
                      <a:avLst/>
                    </a:prstGeom>
                    <a:noFill/>
                  </pic:spPr>
                </pic:pic>
              </a:graphicData>
            </a:graphic>
          </wp:anchor>
        </w:drawing>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1620" w:type="dxa"/>
            <w:vAlign w:val="bottom"/>
            <w:gridSpan w:val="2"/>
          </w:tcPr>
          <w:p>
            <w:pPr>
              <w:spacing w:after="0"/>
              <w:rPr>
                <w:sz w:val="20"/>
                <w:szCs w:val="20"/>
                <w:color w:val="auto"/>
              </w:rPr>
            </w:pPr>
            <w:r>
              <w:rPr>
                <w:rFonts w:ascii="Arial" w:cs="Arial" w:eastAsia="Arial" w:hAnsi="Arial"/>
                <w:sz w:val="14"/>
                <w:szCs w:val="14"/>
                <w:color w:val="auto"/>
              </w:rPr>
              <w:t>1.  Nominees:</w:t>
            </w:r>
          </w:p>
        </w:tc>
        <w:tc>
          <w:tcPr>
            <w:tcW w:w="8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8"/>
              </w:rPr>
              <w:t>For Withhold</w:t>
            </w:r>
          </w:p>
        </w:tc>
        <w:tc>
          <w:tcPr>
            <w:tcW w:w="1640" w:type="dxa"/>
            <w:vAlign w:val="bottom"/>
          </w:tcPr>
          <w:p>
            <w:pPr>
              <w:spacing w:after="0"/>
              <w:rPr>
                <w:sz w:val="17"/>
                <w:szCs w:val="17"/>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8"/>
              </w:rPr>
              <w:t>For Withhold</w:t>
            </w:r>
          </w:p>
        </w:tc>
        <w:tc>
          <w:tcPr>
            <w:tcW w:w="1660" w:type="dxa"/>
            <w:vAlign w:val="bottom"/>
          </w:tcPr>
          <w:p>
            <w:pPr>
              <w:spacing w:after="0"/>
              <w:rPr>
                <w:sz w:val="17"/>
                <w:szCs w:val="17"/>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5"/>
              </w:rPr>
              <w:t>For Withhold</w:t>
            </w:r>
          </w:p>
        </w:tc>
        <w:tc>
          <w:tcPr>
            <w:tcW w:w="0" w:type="dxa"/>
            <w:vAlign w:val="bottom"/>
          </w:tcPr>
          <w:p>
            <w:pPr>
              <w:spacing w:after="0"/>
              <w:rPr>
                <w:sz w:val="1"/>
                <w:szCs w:val="1"/>
                <w:color w:val="auto"/>
              </w:rPr>
            </w:pPr>
          </w:p>
        </w:tc>
      </w:tr>
      <w:tr>
        <w:trPr>
          <w:trHeight w:val="305"/>
        </w:trPr>
        <w:tc>
          <w:tcPr>
            <w:tcW w:w="52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Arial" w:cs="Arial" w:eastAsia="Arial" w:hAnsi="Arial"/>
                <w:sz w:val="14"/>
                <w:szCs w:val="14"/>
                <w:color w:val="auto"/>
              </w:rPr>
              <w:t>Christopher C.</w:t>
            </w:r>
          </w:p>
        </w:tc>
        <w:tc>
          <w:tcPr>
            <w:tcW w:w="380" w:type="dxa"/>
            <w:vAlign w:val="bottom"/>
            <w:tcBorders>
              <w:left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20" w:type="dxa"/>
            <w:vAlign w:val="bottom"/>
          </w:tcPr>
          <w:p>
            <w:pPr>
              <w:jc w:val="right"/>
              <w:spacing w:after="0"/>
              <w:rPr>
                <w:sz w:val="20"/>
                <w:szCs w:val="20"/>
                <w:color w:val="auto"/>
              </w:rPr>
            </w:pPr>
            <w:r>
              <w:rPr>
                <w:rFonts w:ascii="Arial" w:cs="Arial" w:eastAsia="Arial" w:hAnsi="Arial"/>
                <w:sz w:val="14"/>
                <w:szCs w:val="14"/>
                <w:color w:val="auto"/>
              </w:rPr>
              <w:t>01 -</w:t>
            </w:r>
          </w:p>
        </w:tc>
        <w:tc>
          <w:tcPr>
            <w:tcW w:w="1100" w:type="dxa"/>
            <w:vAlign w:val="bottom"/>
          </w:tcPr>
          <w:p>
            <w:pPr>
              <w:ind w:left="40"/>
              <w:spacing w:after="0"/>
              <w:rPr>
                <w:sz w:val="20"/>
                <w:szCs w:val="20"/>
                <w:color w:val="auto"/>
              </w:rPr>
            </w:pPr>
            <w:r>
              <w:rPr>
                <w:rFonts w:ascii="Arial" w:cs="Arial" w:eastAsia="Arial" w:hAnsi="Arial"/>
                <w:sz w:val="14"/>
                <w:szCs w:val="14"/>
                <w:color w:val="auto"/>
              </w:rPr>
              <w:t>Davis</w:t>
            </w:r>
          </w:p>
        </w:tc>
        <w:tc>
          <w:tcPr>
            <w:tcW w:w="380" w:type="dxa"/>
            <w:vAlign w:val="bottom"/>
            <w:tcBorders>
              <w:left w:val="single" w:sz="8" w:color="auto"/>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w w:val="97"/>
              </w:rPr>
              <w:t>02 -  Thomas S. Gayner</w:t>
            </w:r>
          </w:p>
        </w:tc>
        <w:tc>
          <w:tcPr>
            <w:tcW w:w="360" w:type="dxa"/>
            <w:vAlign w:val="bottom"/>
            <w:tcBorders>
              <w:bottom w:val="single" w:sz="8" w:color="auto"/>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03 -  Anne M. Mulcahy</w:t>
            </w:r>
          </w:p>
        </w:tc>
        <w:tc>
          <w:tcPr>
            <w:tcW w:w="340" w:type="dxa"/>
            <w:vAlign w:val="bottom"/>
            <w:tcBorders>
              <w:bottom w:val="single" w:sz="8" w:color="auto"/>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20" w:type="dxa"/>
            <w:vAlign w:val="bottom"/>
          </w:tcPr>
          <w:p>
            <w:pPr>
              <w:spacing w:after="0"/>
              <w:rPr>
                <w:sz w:val="24"/>
                <w:szCs w:val="24"/>
                <w:color w:val="auto"/>
              </w:rPr>
            </w:pPr>
          </w:p>
        </w:tc>
        <w:tc>
          <w:tcPr>
            <w:tcW w:w="1100" w:type="dxa"/>
            <w:vAlign w:val="bottom"/>
            <w:vMerge w:val="restart"/>
          </w:tcPr>
          <w:p>
            <w:pPr>
              <w:ind w:left="40"/>
              <w:spacing w:after="0"/>
              <w:rPr>
                <w:sz w:val="20"/>
                <w:szCs w:val="20"/>
                <w:color w:val="auto"/>
              </w:rPr>
            </w:pPr>
            <w:r>
              <w:rPr>
                <w:rFonts w:ascii="Arial" w:cs="Arial" w:eastAsia="Arial" w:hAnsi="Arial"/>
                <w:sz w:val="14"/>
                <w:szCs w:val="14"/>
                <w:color w:val="auto"/>
              </w:rPr>
              <w:t>Larry D.</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8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20" w:type="dxa"/>
            <w:vAlign w:val="bottom"/>
          </w:tcPr>
          <w:p>
            <w:pPr>
              <w:jc w:val="right"/>
              <w:spacing w:after="0"/>
              <w:rPr>
                <w:sz w:val="20"/>
                <w:szCs w:val="20"/>
                <w:color w:val="auto"/>
              </w:rPr>
            </w:pPr>
            <w:r>
              <w:rPr>
                <w:rFonts w:ascii="Arial" w:cs="Arial" w:eastAsia="Arial" w:hAnsi="Arial"/>
                <w:sz w:val="14"/>
                <w:szCs w:val="14"/>
                <w:color w:val="auto"/>
              </w:rPr>
              <w:t>04 -</w:t>
            </w:r>
          </w:p>
        </w:tc>
        <w:tc>
          <w:tcPr>
            <w:tcW w:w="1100" w:type="dxa"/>
            <w:vAlign w:val="bottom"/>
          </w:tcPr>
          <w:p>
            <w:pPr>
              <w:ind w:left="40"/>
              <w:spacing w:after="0"/>
              <w:rPr>
                <w:sz w:val="20"/>
                <w:szCs w:val="20"/>
                <w:color w:val="auto"/>
              </w:rPr>
            </w:pPr>
            <w:r>
              <w:rPr>
                <w:rFonts w:ascii="Arial" w:cs="Arial" w:eastAsia="Arial" w:hAnsi="Arial"/>
                <w:sz w:val="14"/>
                <w:szCs w:val="14"/>
                <w:color w:val="auto"/>
              </w:rPr>
              <w:t>Thompson</w:t>
            </w:r>
          </w:p>
        </w:tc>
        <w:tc>
          <w:tcPr>
            <w:tcW w:w="380" w:type="dxa"/>
            <w:vAlign w:val="bottom"/>
            <w:tcBorders>
              <w:left w:val="single" w:sz="8" w:color="auto"/>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80" w:hanging="245"/>
        <w:spacing w:after="0"/>
        <w:tabs>
          <w:tab w:leader="none" w:pos="280" w:val="left"/>
        </w:tabs>
        <w:numPr>
          <w:ilvl w:val="0"/>
          <w:numId w:val="48"/>
        </w:numPr>
        <w:rPr>
          <w:rFonts w:ascii="Arial" w:cs="Arial" w:eastAsia="Arial" w:hAnsi="Arial"/>
          <w:sz w:val="29"/>
          <w:szCs w:val="29"/>
          <w:color w:val="FFFFFF"/>
          <w:vertAlign w:val="subscript"/>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430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83" w:lineRule="exact"/>
        <w:rPr>
          <w:sz w:val="20"/>
          <w:szCs w:val="20"/>
          <w:color w:val="auto"/>
        </w:rPr>
      </w:pPr>
    </w:p>
    <w:p>
      <w:pPr>
        <w:ind w:left="40"/>
        <w:spacing w:after="0"/>
        <w:tabs>
          <w:tab w:leader="none" w:pos="3880" w:val="left"/>
          <w:tab w:leader="none" w:pos="7480" w:val="left"/>
        </w:tabs>
        <w:rPr>
          <w:sz w:val="20"/>
          <w:szCs w:val="20"/>
          <w:color w:val="auto"/>
        </w:rPr>
      </w:pPr>
      <w:r>
        <w:rPr>
          <w:rFonts w:ascii="Arial" w:cs="Arial" w:eastAsia="Arial" w:hAnsi="Arial"/>
          <w:sz w:val="14"/>
          <w:szCs w:val="14"/>
          <w:color w:val="auto"/>
        </w:rPr>
        <w:t>Change of Address - Please print new address below</w:t>
      </w:r>
      <w:r>
        <w:rPr>
          <w:sz w:val="20"/>
          <w:szCs w:val="20"/>
          <w:color w:val="auto"/>
        </w:rPr>
        <w:tab/>
      </w:r>
      <w:r>
        <w:rPr>
          <w:rFonts w:ascii="Arial" w:cs="Arial" w:eastAsia="Arial" w:hAnsi="Arial"/>
          <w:sz w:val="14"/>
          <w:szCs w:val="14"/>
          <w:color w:val="auto"/>
        </w:rPr>
        <w:t>Comments - Please print your comments below</w:t>
      </w:r>
      <w:r>
        <w:rPr>
          <w:sz w:val="20"/>
          <w:szCs w:val="20"/>
          <w:color w:val="auto"/>
        </w:rPr>
        <w:tab/>
      </w:r>
      <w:r>
        <w:rPr>
          <w:rFonts w:ascii="Arial" w:cs="Arial" w:eastAsia="Arial" w:hAnsi="Arial"/>
          <w:sz w:val="13"/>
          <w:szCs w:val="13"/>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20955</wp:posOffset>
            </wp:positionV>
            <wp:extent cx="205740" cy="420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740" cy="4203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wp:posOffset>
            </wp:positionV>
            <wp:extent cx="4682490" cy="428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82490" cy="428625"/>
                    </a:xfrm>
                    <a:prstGeom prst="rect">
                      <a:avLst/>
                    </a:prstGeom>
                    <a:noFill/>
                  </pic:spPr>
                </pic:pic>
              </a:graphicData>
            </a:graphic>
          </wp:anchor>
        </w:drawing>
      </w:r>
    </w:p>
    <w:p>
      <w:pPr>
        <w:spacing w:after="0" w:line="35"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Mark the box to the</w:t>
      </w:r>
    </w:p>
    <w:p>
      <w:pPr>
        <w:ind w:left="7500"/>
        <w:spacing w:after="0" w:line="221" w:lineRule="auto"/>
        <w:rPr>
          <w:sz w:val="20"/>
          <w:szCs w:val="20"/>
          <w:color w:val="auto"/>
        </w:rPr>
      </w:pPr>
      <w:r>
        <w:rPr>
          <w:rFonts w:ascii="Arial" w:cs="Arial" w:eastAsia="Arial" w:hAnsi="Arial"/>
          <w:sz w:val="14"/>
          <w:szCs w:val="14"/>
          <w:color w:val="auto"/>
        </w:rPr>
        <w:t>right if you plan to</w:t>
      </w:r>
    </w:p>
    <w:p>
      <w:pPr>
        <w:ind w:left="7500"/>
        <w:spacing w:after="0" w:line="221" w:lineRule="auto"/>
        <w:rPr>
          <w:sz w:val="20"/>
          <w:szCs w:val="20"/>
          <w:color w:val="auto"/>
        </w:rPr>
      </w:pPr>
      <w:r>
        <w:rPr>
          <w:rFonts w:ascii="Arial" w:cs="Arial" w:eastAsia="Arial" w:hAnsi="Arial"/>
          <w:sz w:val="14"/>
          <w:szCs w:val="14"/>
          <w:color w:val="auto"/>
        </w:rPr>
        <w:t>attend the Annual</w:t>
      </w:r>
    </w:p>
    <w:p>
      <w:pPr>
        <w:spacing w:after="0" w:line="1"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Meeting.</w:t>
      </w:r>
    </w:p>
    <w:p>
      <w:pPr>
        <w:spacing w:after="0" w:line="79" w:lineRule="exact"/>
        <w:rPr>
          <w:sz w:val="20"/>
          <w:szCs w:val="20"/>
          <w:color w:val="auto"/>
        </w:rPr>
      </w:pPr>
    </w:p>
    <w:p>
      <w:pPr>
        <w:ind w:left="280" w:hanging="245"/>
        <w:spacing w:after="0"/>
        <w:tabs>
          <w:tab w:leader="none" w:pos="280" w:val="left"/>
        </w:tabs>
        <w:numPr>
          <w:ilvl w:val="0"/>
          <w:numId w:val="49"/>
        </w:numPr>
        <w:rPr>
          <w:rFonts w:ascii="Arial" w:cs="Arial" w:eastAsia="Arial" w:hAnsi="Arial"/>
          <w:sz w:val="29"/>
          <w:szCs w:val="29"/>
          <w:color w:val="FFFFFF"/>
          <w:vertAlign w:val="subscript"/>
        </w:rPr>
      </w:pPr>
      <w:r>
        <w:rPr>
          <w:rFonts w:ascii="Arial" w:cs="Arial" w:eastAsia="Arial" w:hAnsi="Arial"/>
          <w:sz w:val="18"/>
          <w:szCs w:val="18"/>
          <w:b w:val="1"/>
          <w:bCs w:val="1"/>
          <w:color w:val="auto"/>
        </w:rPr>
        <w:t>Authorized Signatures — This section must be completed for your vote to be counted - Data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43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5" w:lineRule="exact"/>
        <w:rPr>
          <w:sz w:val="20"/>
          <w:szCs w:val="20"/>
          <w:color w:val="auto"/>
        </w:rPr>
      </w:pPr>
    </w:p>
    <w:p>
      <w:pPr>
        <w:ind w:left="40" w:right="2300"/>
        <w:spacing w:after="0" w:line="253" w:lineRule="auto"/>
        <w:rPr>
          <w:sz w:val="20"/>
          <w:szCs w:val="20"/>
          <w:color w:val="auto"/>
        </w:rPr>
      </w:pPr>
      <w:r>
        <w:rPr>
          <w:rFonts w:ascii="Arial" w:cs="Arial" w:eastAsia="Arial" w:hAnsi="Arial"/>
          <w:sz w:val="14"/>
          <w:szCs w:val="14"/>
          <w:color w:val="auto"/>
        </w:rPr>
        <w:t>Please sign exactly as name(s) appears heron Joint owners should sign. When signing as attorney, executor, administrator, corporate officer, trustee, guardian, or custodian, please give full title.</w:t>
      </w:r>
    </w:p>
    <w:p>
      <w:pPr>
        <w:sectPr>
          <w:pgSz w:w="11900" w:h="16838" w:orient="portrait"/>
          <w:cols w:equalWidth="0" w:num="1">
            <w:col w:w="11400"/>
          </w:cols>
          <w:pgMar w:left="240" w:top="575" w:right="25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1844040" cy="506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44040"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4"/>
          <w:szCs w:val="14"/>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1905</wp:posOffset>
            </wp:positionV>
            <wp:extent cx="1861185" cy="506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6118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Signature 2 — Please keep signature within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13335</wp:posOffset>
            </wp:positionV>
            <wp:extent cx="1895475" cy="506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5475" cy="50609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3">
            <w:col w:w="2760" w:space="380"/>
            <w:col w:w="2740" w:space="400"/>
            <w:col w:w="5120"/>
          </w:cols>
          <w:pgMar w:left="240" w:top="575" w:right="259" w:bottom="1440" w:gutter="0" w:footer="0" w:header="0"/>
          <w:type w:val="continuous"/>
        </w:sectPr>
      </w:pPr>
    </w:p>
    <w:p>
      <w:pPr>
        <w:spacing w:after="0" w:line="148" w:lineRule="exact"/>
        <w:rPr>
          <w:sz w:val="20"/>
          <w:szCs w:val="20"/>
          <w:color w:val="auto"/>
        </w:rPr>
      </w:pPr>
    </w:p>
    <w:p>
      <w:pPr>
        <w:ind w:left="1000"/>
        <w:spacing w:after="0"/>
        <w:tabs>
          <w:tab w:leader="none" w:pos="178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222885" cy="334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885" cy="33464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276225</wp:posOffset>
            </wp:positionV>
            <wp:extent cx="231775"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775" cy="3346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ind w:right="6460"/>
        <w:spacing w:after="0"/>
        <w:rPr>
          <w:sz w:val="20"/>
          <w:szCs w:val="20"/>
          <w:color w:val="auto"/>
        </w:rPr>
      </w:pPr>
      <w:r>
        <w:rPr>
          <w:rFonts w:ascii="Arial" w:cs="Arial" w:eastAsia="Arial" w:hAnsi="Arial"/>
          <w:sz w:val="25"/>
          <w:szCs w:val="25"/>
          <w:b w:val="1"/>
          <w:bCs w:val="1"/>
          <w:color w:val="auto"/>
        </w:rPr>
        <w:t>40D V</w:t>
      </w:r>
    </w:p>
    <w:p>
      <w:pPr>
        <w:spacing w:after="0" w:line="29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Unreadable</w:t>
      </w:r>
    </w:p>
    <w:p>
      <w:pPr>
        <w:sectPr>
          <w:pgSz w:w="11900" w:h="16838" w:orient="portrait"/>
          <w:cols w:equalWidth="0" w:num="1">
            <w:col w:w="11400"/>
          </w:cols>
          <w:pgMar w:left="240" w:top="575" w:right="25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1975485</wp:posOffset>
            </wp:positionV>
            <wp:extent cx="3696335" cy="995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96335"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960"/>
        <w:spacing w:after="0" w:line="243" w:lineRule="auto"/>
        <w:rPr>
          <w:sz w:val="20"/>
          <w:szCs w:val="20"/>
          <w:color w:val="auto"/>
        </w:rPr>
      </w:pPr>
      <w:r>
        <w:rPr>
          <w:rFonts w:ascii="Arial" w:cs="Arial" w:eastAsia="Arial" w:hAnsi="Arial"/>
          <w:sz w:val="22"/>
          <w:szCs w:val="22"/>
          <w:b w:val="1"/>
          <w:bCs w:val="1"/>
          <w:color w:val="auto"/>
        </w:rPr>
        <w:t>Important notice regarding the availability of Proxy materials for the Annual Meeting of Stockholders to be held on May 8, 2014.</w:t>
      </w:r>
    </w:p>
    <w:p>
      <w:pPr>
        <w:spacing w:after="0" w:line="204" w:lineRule="exact"/>
        <w:rPr>
          <w:sz w:val="20"/>
          <w:szCs w:val="20"/>
          <w:color w:val="auto"/>
        </w:rPr>
      </w:pPr>
    </w:p>
    <w:p>
      <w:pPr>
        <w:jc w:val="center"/>
        <w:ind w:right="2960"/>
        <w:spacing w:after="0"/>
        <w:rPr>
          <w:sz w:val="20"/>
          <w:szCs w:val="20"/>
          <w:color w:val="auto"/>
        </w:rPr>
      </w:pPr>
      <w:r>
        <w:rPr>
          <w:rFonts w:ascii="Arial" w:cs="Arial" w:eastAsia="Arial" w:hAnsi="Arial"/>
          <w:sz w:val="19"/>
          <w:szCs w:val="19"/>
          <w:b w:val="1"/>
          <w:bCs w:val="1"/>
          <w:color w:val="auto"/>
        </w:rPr>
        <w:t>The Proxy Statement and the Annual Report to Stockholders</w:t>
      </w:r>
    </w:p>
    <w:p>
      <w:pPr>
        <w:spacing w:after="0" w:line="49" w:lineRule="exact"/>
        <w:rPr>
          <w:sz w:val="20"/>
          <w:szCs w:val="20"/>
          <w:color w:val="auto"/>
        </w:rPr>
      </w:pPr>
    </w:p>
    <w:p>
      <w:pPr>
        <w:jc w:val="center"/>
        <w:ind w:right="2960"/>
        <w:spacing w:after="0"/>
        <w:rPr>
          <w:sz w:val="20"/>
          <w:szCs w:val="20"/>
          <w:color w:val="auto"/>
        </w:rPr>
      </w:pPr>
      <w:r>
        <w:rPr>
          <w:rFonts w:ascii="Arial" w:cs="Arial" w:eastAsia="Arial" w:hAnsi="Arial"/>
          <w:sz w:val="22"/>
          <w:szCs w:val="22"/>
          <w:b w:val="1"/>
          <w:bCs w:val="1"/>
          <w:color w:val="auto"/>
        </w:rPr>
        <w:t>are available on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6PLEASE FOLD ALONG THE PERFORATION DETACH AND RETURN THE BOTTOM PORTION IN THE ENCLOSED ENVELOPE.6</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21"/>
          <w:szCs w:val="21"/>
          <w:color w:val="FF0000"/>
        </w:rPr>
        <w:t>------------------------------------------------------------------------------------------------------------------------------------------------------------</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294005</wp:posOffset>
            </wp:positionV>
            <wp:extent cx="58572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34290</wp:posOffset>
            </wp:positionV>
            <wp:extent cx="58572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Graham Holdings Company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B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of Stockholders - May 8, 2014</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Solicited on behalf of the Board of Directors</w:t>
      </w:r>
    </w:p>
    <w:p>
      <w:pPr>
        <w:spacing w:after="0" w:line="144" w:lineRule="exact"/>
        <w:rPr>
          <w:sz w:val="20"/>
          <w:szCs w:val="20"/>
          <w:color w:val="auto"/>
        </w:rPr>
      </w:pPr>
    </w:p>
    <w:p>
      <w:pPr>
        <w:jc w:val="both"/>
        <w:ind w:right="440"/>
        <w:spacing w:after="0" w:line="286" w:lineRule="auto"/>
        <w:rPr>
          <w:sz w:val="20"/>
          <w:szCs w:val="20"/>
          <w:color w:val="auto"/>
        </w:rPr>
      </w:pPr>
      <w:r>
        <w:rPr>
          <w:rFonts w:ascii="Arial" w:cs="Arial" w:eastAsia="Arial" w:hAnsi="Arial"/>
          <w:sz w:val="13"/>
          <w:szCs w:val="13"/>
          <w:color w:val="auto"/>
        </w:rPr>
        <w:t>The undersigned hereby appoints Donald E. Graham, Hal S. Jones, Veronica Dillon and Gerald M. Rosberg, and each of them, his/her true and lawful agents and proxies, with full power of substitution in each, to vote as indicated on the reverse of the Proxy all shares of Class B Common Stock which the undersigned, is entitled to vote, at the Annual Meeting of Stockholders of GRAHAM HOLDINGS COMPANY to be held on May 8, 2014, and at any adjournment thereof, and to vote on all other matters properly coming before said meeting.</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Please vote, date and sign this proxy on the other side and return it promptly in the enclosed envelope.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(Continued and to be voted on reverse side.)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CHANGE YOUR VOTE</w:t>
      </w:r>
    </w:p>
    <w:p>
      <w:pPr>
        <w:spacing w:after="0" w:line="17"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Any subsequent vote by any means will change your prior vote. For example, if you voted by telephone, a subsequent Internet vote will change your vote. The last vote received before 5:00 p.m., Eastern Daylight Saving Time on May 7, 2014 will be the one counted. You may also revoke your proxy by voting in person at the annual meeting.</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upperLetter"/>
      <w:start w:val="1"/>
    </w:lvl>
  </w:abstractNum>
  <w:abstractNum w:abstractNumId="6">
    <w:nsid w:val="2CA88611"/>
    <w:multiLevelType w:val="hybridMultilevel"/>
    <w:lvl w:ilvl="0">
      <w:lvlJc w:val="left"/>
      <w:lvlText w:val="%1:"/>
      <w:numFmt w:val="upperLetter"/>
      <w:start w:val="1"/>
    </w:lvl>
  </w:abstractNum>
  <w:abstractNum w:abstractNumId="7">
    <w:nsid w:val="836C40E"/>
    <w:multiLevelType w:val="hybridMultilevel"/>
    <w:lvl w:ilvl="0">
      <w:lvlJc w:val="left"/>
      <w:lvlText w:val="%1:"/>
      <w:numFmt w:val="upperLetter"/>
      <w:start w:val="1"/>
    </w:lvl>
  </w:abstractNum>
  <w:abstractNum w:abstractNumId="8">
    <w:nsid w:val="2901D82"/>
    <w:multiLevelType w:val="hybridMultilevel"/>
    <w:lvl w:ilvl="0">
      <w:lvlJc w:val="left"/>
      <w:lvlText w:val="%1:"/>
      <w:numFmt w:val="upperLetter"/>
      <w:start w:val="1"/>
    </w:lvl>
    <w:lvl w:ilvl="1">
      <w:lvlJc w:val="left"/>
      <w:lvlText w:val="•"/>
      <w:numFmt w:val="bullet"/>
      <w:start w:val="1"/>
    </w:lvl>
  </w:abstractNum>
  <w:abstractNum w:abstractNumId="9">
    <w:nsid w:val="3A95F874"/>
    <w:multiLevelType w:val="hybridMultilevel"/>
    <w:lvl w:ilvl="0">
      <w:lvlJc w:val="left"/>
      <w:lvlText w:val="%1:"/>
      <w:numFmt w:val="upperLetter"/>
      <w:start w:val="1"/>
    </w:lvl>
  </w:abstractNum>
  <w:abstractNum w:abstractNumId="10">
    <w:nsid w:val="8138641"/>
    <w:multiLevelType w:val="hybridMultilevel"/>
    <w:lvl w:ilvl="0">
      <w:lvlJc w:val="left"/>
      <w:lvlText w:val="%1:"/>
      <w:numFmt w:val="upperLetter"/>
      <w:start w:val="1"/>
    </w:lvl>
    <w:lvl w:ilvl="1">
      <w:lvlJc w:val="left"/>
      <w:lvlText w:val="•"/>
      <w:numFmt w:val="bullet"/>
      <w:start w:val="1"/>
    </w:lvl>
  </w:abstractNum>
  <w:abstractNum w:abstractNumId="11">
    <w:nsid w:val="1E7FF521"/>
    <w:multiLevelType w:val="hybridMultilevel"/>
    <w:lvl w:ilvl="0">
      <w:lvlJc w:val="left"/>
      <w:lvlText w:val="%1:"/>
      <w:numFmt w:val="upperLetter"/>
      <w:start w:val="1"/>
    </w:lvl>
  </w:abstractNum>
  <w:abstractNum w:abstractNumId="12">
    <w:nsid w:val="7C3DBD3D"/>
    <w:multiLevelType w:val="hybridMultilevel"/>
    <w:lvl w:ilvl="0">
      <w:lvlJc w:val="left"/>
      <w:lvlText w:val="%1:"/>
      <w:numFmt w:val="upperLetter"/>
      <w:start w:val="1"/>
    </w:lvl>
  </w:abstractNum>
  <w:abstractNum w:abstractNumId="13">
    <w:nsid w:val="737B8DDC"/>
    <w:multiLevelType w:val="hybridMultilevel"/>
    <w:lvl w:ilvl="0">
      <w:lvlJc w:val="left"/>
      <w:lvlText w:val="%1:"/>
      <w:numFmt w:val="upperLetter"/>
      <w:start w:val="1"/>
    </w:lvl>
    <w:lvl w:ilvl="1">
      <w:lvlJc w:val="left"/>
      <w:lvlText w:val="•"/>
      <w:numFmt w:val="bullet"/>
      <w:start w:val="1"/>
    </w:lvl>
  </w:abstractNum>
  <w:abstractNum w:abstractNumId="14">
    <w:nsid w:val="6CEAF087"/>
    <w:multiLevelType w:val="hybridMultilevel"/>
    <w:lvl w:ilvl="0">
      <w:lvlJc w:val="left"/>
      <w:lvlText w:val="%1:"/>
      <w:numFmt w:val="upperLetter"/>
      <w:start w:val="17"/>
    </w:lvl>
    <w:lvl w:ilvl="1">
      <w:lvlJc w:val="left"/>
      <w:lvlText w:val="%2:"/>
      <w:numFmt w:val="upperLetter"/>
      <w:start w:val="1"/>
    </w:lvl>
  </w:abstractNum>
  <w:abstractNum w:abstractNumId="15">
    <w:nsid w:val="22221A70"/>
    <w:multiLevelType w:val="hybridMultilevel"/>
    <w:lvl w:ilvl="0">
      <w:lvlJc w:val="left"/>
      <w:lvlText w:val="%1:"/>
      <w:numFmt w:val="upperLetter"/>
      <w:start w:val="1"/>
    </w:lvl>
  </w:abstractNum>
  <w:abstractNum w:abstractNumId="16">
    <w:nsid w:val="4516DDE9"/>
    <w:multiLevelType w:val="hybridMultilevel"/>
    <w:lvl w:ilvl="0">
      <w:lvlJc w:val="left"/>
      <w:lvlText w:val="%1:"/>
      <w:numFmt w:val="upperLetter"/>
      <w:start w:val="1"/>
    </w:lvl>
  </w:abstractNum>
  <w:abstractNum w:abstractNumId="17">
    <w:nsid w:val="3006C83E"/>
    <w:multiLevelType w:val="hybridMultilevel"/>
    <w:lvl w:ilvl="0">
      <w:lvlJc w:val="left"/>
      <w:lvlText w:val="%1:"/>
      <w:numFmt w:val="upperLetter"/>
      <w:start w:val="1"/>
    </w:lvl>
  </w:abstractNum>
  <w:abstractNum w:abstractNumId="18">
    <w:nsid w:val="614FD4A1"/>
    <w:multiLevelType w:val="hybridMultilevel"/>
    <w:lvl w:ilvl="0">
      <w:lvlJc w:val="left"/>
      <w:lvlText w:val="%1:"/>
      <w:numFmt w:val="upperLetter"/>
      <w:start w:val="1"/>
    </w:lvl>
    <w:lvl w:ilvl="1">
      <w:lvlJc w:val="left"/>
      <w:lvlText w:val="•"/>
      <w:numFmt w:val="bullet"/>
      <w:start w:val="1"/>
    </w:lvl>
  </w:abstractNum>
  <w:abstractNum w:abstractNumId="19">
    <w:nsid w:val="419AC241"/>
    <w:multiLevelType w:val="hybridMultilevel"/>
    <w:lvl w:ilvl="0">
      <w:lvlJc w:val="left"/>
      <w:lvlText w:val="%1:"/>
      <w:numFmt w:val="upperLetter"/>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7"/>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Letter"/>
      <w:start w:val="10"/>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upperLetter"/>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2"/>
    </w:lvl>
  </w:abstractNum>
  <w:abstractNum w:abstractNumId="34">
    <w:nsid w:val="70A64E2A"/>
    <w:multiLevelType w:val="hybridMultilevel"/>
    <w:lvl w:ilvl="0">
      <w:lvlJc w:val="left"/>
      <w:lvlText w:val="%1"/>
      <w:numFmt w:val="decimal"/>
      <w:start w:val="1"/>
    </w:lvl>
    <w:lvl w:ilvl="1">
      <w:lvlJc w:val="left"/>
      <w:lvlText w:val="%2"/>
      <w:numFmt w:val="decimal"/>
      <w:start w:val="800"/>
    </w:lvl>
  </w:abstractNum>
  <w:abstractNum w:abstractNumId="35">
    <w:nsid w:val="6A2342EC"/>
    <w:multiLevelType w:val="hybridMultilevel"/>
    <w:lvl w:ilvl="0">
      <w:lvlJc w:val="left"/>
      <w:lvlText w:val="%1."/>
      <w:numFmt w:val="decimal"/>
      <w:start w:val="3"/>
    </w:lvl>
    <w:lvl w:ilvl="1">
      <w:lvlJc w:val="left"/>
      <w:lvlText w:val="%2"/>
      <w:numFmt w:val="decimal"/>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upperLetter"/>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A"/>
      <w:numFmt w:val="bullet"/>
      <w:start w:val="1"/>
    </w:lvl>
  </w:abstractNum>
  <w:abstractNum w:abstractNumId="42">
    <w:nsid w:val="4B588F54"/>
    <w:multiLevelType w:val="hybridMultilevel"/>
    <w:lvl w:ilvl="0">
      <w:lvlJc w:val="left"/>
      <w:lvlText w:val="B"/>
      <w:numFmt w:val="bullet"/>
      <w:start w:val="1"/>
    </w:lvl>
  </w:abstractNum>
  <w:abstractNum w:abstractNumId="43">
    <w:nsid w:val="542289EC"/>
    <w:multiLevelType w:val="hybridMultilevel"/>
    <w:lvl w:ilvl="0">
      <w:lvlJc w:val="left"/>
      <w:lvlText w:val="C"/>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A"/>
      <w:numFmt w:val="bullet"/>
      <w:start w:val="1"/>
    </w:lvl>
  </w:abstractNum>
  <w:abstractNum w:abstractNumId="47">
    <w:nsid w:val="32FFF902"/>
    <w:multiLevelType w:val="hybridMultilevel"/>
    <w:lvl w:ilvl="0">
      <w:lvlJc w:val="left"/>
      <w:lvlText w:val="B"/>
      <w:numFmt w:val="bullet"/>
      <w:start w:val="1"/>
    </w:lvl>
  </w:abstractNum>
  <w:abstractNum w:abstractNumId="48">
    <w:nsid w:val="684A481A"/>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2019-12-05T15:45:31Z</dcterms:created>
  <dcterms:modified xsi:type="dcterms:W3CDTF">2019-12-05T15:45:31Z</dcterms:modified>
</cp:coreProperties>
</file>