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220" w:hanging="255"/>
        <w:spacing w:after="0" w:line="238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|12/6/9|M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|1,500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|$205.50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|12/6/9|F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|546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|$564.125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|12/10/|S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|447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|$575.00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|1,872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|$205.50 |M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|1,500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|/91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3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|$543.00 |12/20|J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|12/20|12/20|Class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|4,500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|/00* |/09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 in transaction exempt under old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5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Rule 16b-3. Option becomes exercisable in 25 percent increments on anniversary dates of the grant, starting December 20,2000. SIGNATURE OF REPORTING PERSON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2020-10-07T00:21:44Z</dcterms:created>
  <dcterms:modified xsi:type="dcterms:W3CDTF">2020-10-07T00:21:44Z</dcterms:modified>
</cp:coreProperties>
</file>