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spacing w:after="0" w:line="62" w:lineRule="exact"/>
        <w:rPr>
          <w:sz w:val="24"/>
          <w:szCs w:val="24"/>
          <w:color w:val="auto"/>
        </w:rPr>
      </w:pPr>
    </w:p>
    <w:p>
      <w:pPr>
        <w:ind w:left="4"/>
        <w:spacing w:after="0" w:line="184" w:lineRule="exact"/>
        <w:tabs>
          <w:tab w:leader="none" w:pos="270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2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52" w:lineRule="exact"/>
        <w:rPr>
          <w:sz w:val="24"/>
          <w:szCs w:val="24"/>
          <w:color w:val="auto"/>
        </w:rPr>
      </w:pPr>
    </w:p>
    <w:p>
      <w:pPr>
        <w:jc w:val="center"/>
        <w:ind w:right="-63"/>
        <w:spacing w:after="0"/>
        <w:rPr>
          <w:sz w:val="20"/>
          <w:szCs w:val="20"/>
          <w:color w:val="auto"/>
        </w:rPr>
      </w:pPr>
      <w:r>
        <w:rPr>
          <w:rFonts w:ascii="Arial" w:cs="Arial" w:eastAsia="Arial" w:hAnsi="Arial"/>
          <w:sz w:val="36"/>
          <w:szCs w:val="36"/>
          <w:b w:val="1"/>
          <w:bCs w:val="1"/>
          <w:color w:val="auto"/>
        </w:rPr>
        <w:t>GRAHAM HOLDINGS COMPANY</w:t>
      </w:r>
    </w:p>
    <w:p>
      <w:pPr>
        <w:spacing w:after="0" w:line="47"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94"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62"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194"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4"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4"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 N/A</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329" w:lineRule="exact"/>
        <w:rPr>
          <w:rFonts w:ascii="Arial" w:cs="Arial" w:eastAsia="Arial" w:hAnsi="Arial"/>
          <w:sz w:val="16"/>
          <w:szCs w:val="16"/>
          <w:color w:val="auto"/>
        </w:rPr>
      </w:pPr>
    </w:p>
    <w:p>
      <w:pPr>
        <w:ind w:left="1104" w:hanging="537"/>
        <w:spacing w:after="0" w:line="293" w:lineRule="auto"/>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 N/A</w:t>
      </w:r>
    </w:p>
    <w:p>
      <w:pPr>
        <w:spacing w:after="0" w:line="266"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 N/A</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 N/A</w:t>
      </w:r>
    </w:p>
    <w:p>
      <w:pPr>
        <w:spacing w:after="0" w:line="329"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564" w:right="160" w:hanging="564"/>
        <w:spacing w:after="0" w:line="293"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1"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944"/>
          </w:cols>
          <w:pgMar w:left="436" w:top="206"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108835" cy="471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71170"/>
                    </a:xfrm>
                    <a:prstGeom prst="rect">
                      <a:avLst/>
                    </a:prstGeom>
                    <a:noFill/>
                  </pic:spPr>
                </pic:pic>
              </a:graphicData>
            </a:graphic>
          </wp:anchor>
        </w:drawing>
        <w:t>1300 NORTH 17TH STREET | ARLINGTON, VA 22209 |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O</w:t>
      </w:r>
      <w:r>
        <w:rPr>
          <w:rFonts w:ascii="Arial" w:cs="Arial" w:eastAsia="Arial" w:hAnsi="Arial"/>
          <w:sz w:val="14"/>
          <w:szCs w:val="14"/>
          <w:color w:val="auto"/>
        </w:rPr>
        <w:t>UR</w:t>
      </w:r>
      <w:r>
        <w:rPr>
          <w:rFonts w:ascii="Arial" w:cs="Arial" w:eastAsia="Arial" w:hAnsi="Arial"/>
          <w:sz w:val="18"/>
          <w:szCs w:val="18"/>
          <w:color w:val="auto"/>
        </w:rPr>
        <w:t xml:space="preserve"> S</w:t>
      </w:r>
      <w:r>
        <w:rPr>
          <w:rFonts w:ascii="Arial" w:cs="Arial" w:eastAsia="Arial" w:hAnsi="Arial"/>
          <w:sz w:val="14"/>
          <w:szCs w:val="14"/>
          <w:color w:val="auto"/>
        </w:rPr>
        <w:t>HAREHOLDERS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You are cordially invited to the 2020 Annual Meeting of Shareholders of Graham Holdings Company (the “Company”), which will be held at the Convene Conference Center, 1201 Wilson Boulevard, 29th Floor, Arlington, VA 22209, on Thursday, May 7, 2020, at 8:30 a.m., Eastern Daylight Saving Time.</w:t>
      </w:r>
    </w:p>
    <w:p>
      <w:pPr>
        <w:spacing w:after="0" w:line="184"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At the Company’s 2020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2019.</w:t>
      </w:r>
    </w:p>
    <w:p>
      <w:pPr>
        <w:spacing w:after="0" w:line="184"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It is important that your shares are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Important Information About the Location of the Meeting</w:t>
      </w:r>
    </w:p>
    <w:p>
      <w:pPr>
        <w:spacing w:after="0" w:line="229"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 xml:space="preserve">As a precaution due to the outbreak of Coronavirus Disease 2019 (COVID-19), we are planning for the possibility that we will conduct a virtual annual meeting. If we decide to take this step, we will announce it in advance as promptly as practicable. Details on how to participate will be issued by press release, posted on our website at </w:t>
      </w:r>
      <w:r>
        <w:rPr>
          <w:rFonts w:ascii="Arial" w:cs="Arial" w:eastAsia="Arial" w:hAnsi="Arial"/>
          <w:sz w:val="16"/>
          <w:szCs w:val="16"/>
          <w:u w:val="single" w:color="auto"/>
          <w:color w:val="auto"/>
        </w:rPr>
        <w:t>www.ghco.com</w:t>
      </w:r>
      <w:r>
        <w:rPr>
          <w:rFonts w:ascii="Arial" w:cs="Arial" w:eastAsia="Arial" w:hAnsi="Arial"/>
          <w:sz w:val="16"/>
          <w:szCs w:val="16"/>
          <w:color w:val="auto"/>
        </w:rPr>
        <w:t xml:space="preserve"> and filed with the U.S. Securities and Exchange Commission. Please monitor our website for updated information concerning the location of the meeting and be sure to check the website prior to attending the meeting. In the event the meeting is held virtually, it will be important to retain the control numbers set forth on your proxy card or voting instruction form in order to verify your identity when accessing the virtual meeting. As always, we encourage you to vote your shares prior to the annual meeting.</w:t>
      </w:r>
    </w:p>
    <w:p>
      <w:pPr>
        <w:spacing w:after="0" w:line="16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168910</wp:posOffset>
            </wp:positionV>
            <wp:extent cx="183451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020"/>
          </w:cols>
          <w:pgMar w:left="440" w:top="1228" w:right="4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Annual Meeting of Shareholders — May 7, 2020</w:t>
      </w:r>
    </w:p>
    <w:p>
      <w:pPr>
        <w:spacing w:after="0" w:line="200" w:lineRule="exact"/>
        <w:rPr>
          <w:sz w:val="20"/>
          <w:szCs w:val="20"/>
          <w:color w:val="auto"/>
        </w:rPr>
      </w:pPr>
    </w:p>
    <w:p>
      <w:pPr>
        <w:spacing w:after="0" w:line="235"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The 2020 Annual Meeting of Shareholders of Graham Holdings Company will be held at the Convene Conference Center, 1201 Wilson Boulevard, 29th Floor, Arlington, VA 22209, on Thursday, May 7, 2020, at 8:30 a.m., Eastern Daylight Saving Time, for the following purposes:</w:t>
      </w:r>
    </w:p>
    <w:p>
      <w:pPr>
        <w:spacing w:after="0" w:line="151" w:lineRule="exact"/>
        <w:rPr>
          <w:sz w:val="20"/>
          <w:szCs w:val="20"/>
          <w:color w:val="auto"/>
        </w:rPr>
      </w:pPr>
    </w:p>
    <w:p>
      <w:pPr>
        <w:ind w:left="2500" w:hanging="6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252" w:lineRule="exact"/>
        <w:rPr>
          <w:rFonts w:ascii="Arial" w:cs="Arial" w:eastAsia="Arial" w:hAnsi="Arial"/>
          <w:sz w:val="18"/>
          <w:szCs w:val="18"/>
          <w:color w:val="auto"/>
        </w:rPr>
      </w:pPr>
    </w:p>
    <w:p>
      <w:pPr>
        <w:ind w:left="2500" w:right="420" w:hanging="641"/>
        <w:spacing w:after="0" w:line="277" w:lineRule="auto"/>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Class A Shareholders, on an advisory basis, to vote on whether to approve the compensation paid to the named executive officers of the Company for 2019.</w:t>
      </w:r>
    </w:p>
    <w:p>
      <w:pPr>
        <w:spacing w:after="0" w:line="197" w:lineRule="exact"/>
        <w:rPr>
          <w:rFonts w:ascii="Arial" w:cs="Arial" w:eastAsia="Arial" w:hAnsi="Arial"/>
          <w:sz w:val="18"/>
          <w:szCs w:val="18"/>
          <w:color w:val="auto"/>
        </w:rPr>
      </w:pPr>
    </w:p>
    <w:p>
      <w:pPr>
        <w:ind w:left="2500" w:hanging="6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The Board of Directors of the Company (the “Board”) has fixed the close of business on March 18, 2020, as the record date for the determination of shareholders entitled to notice of and to vote at the Meeting.</w:t>
      </w:r>
    </w:p>
    <w:p>
      <w:pPr>
        <w:spacing w:after="0" w:line="170"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It is important that your shares are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Important Information About the Location of the Meeting</w:t>
      </w:r>
    </w:p>
    <w:p>
      <w:pPr>
        <w:spacing w:after="0" w:line="229"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As a precaution due to the outbreak of Coronavirus Disease 2019 (COVID-19), we are planning for the possibility that we will conduct a virtual annual meeting. If we decide to take this step, we will announce it in advance as promptly as practicable. Details on how to participate will be issued by press release, posted on our website at </w:t>
      </w:r>
      <w:r>
        <w:rPr>
          <w:rFonts w:ascii="Arial" w:cs="Arial" w:eastAsia="Arial" w:hAnsi="Arial"/>
          <w:sz w:val="16"/>
          <w:szCs w:val="16"/>
          <w:u w:val="single" w:color="auto"/>
          <w:color w:val="auto"/>
        </w:rPr>
        <w:t>www.ghco.com</w:t>
      </w:r>
      <w:r>
        <w:rPr>
          <w:rFonts w:ascii="Arial" w:cs="Arial" w:eastAsia="Arial" w:hAnsi="Arial"/>
          <w:sz w:val="16"/>
          <w:szCs w:val="16"/>
          <w:color w:val="auto"/>
        </w:rPr>
        <w:t xml:space="preserve"> and filed with the U.S. Securities and Exchange Commission. Please monitor our website for updated information concerning the location of the meeting and be sure to check the website prior to attending the meeting. In the event the meeting is held virtually, it will be important to retain the control numbers set forth on your proxy card or voting instruction form in order to verify your identity when accessing the virtual meeting. As always, we encourage you to vote your shares prior to the annual meeting.</w:t>
      </w:r>
    </w:p>
    <w:p>
      <w:pPr>
        <w:spacing w:after="0" w:line="16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NICOLE M. MADDREY,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Arlington, VA</w:t>
      </w:r>
    </w:p>
    <w:p>
      <w:pPr>
        <w:sectPr>
          <w:pgSz w:w="11900" w:h="16838" w:orient="portrait"/>
          <w:cols w:equalWidth="0" w:num="1">
            <w:col w:w="10940"/>
          </w:cols>
          <w:pgMar w:left="440" w:top="265" w:right="51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GRAHAM HOLDINGS COMPANY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1300 North 17th Street, Suite 1700, Arlington, VA 22209</w:t>
      </w:r>
    </w:p>
    <w:p>
      <w:pPr>
        <w:spacing w:after="0" w:line="211" w:lineRule="exact"/>
        <w:rPr>
          <w:sz w:val="20"/>
          <w:szCs w:val="20"/>
          <w:color w:val="auto"/>
        </w:rPr>
      </w:pPr>
    </w:p>
    <w:p>
      <w:pPr>
        <w:ind w:left="9864"/>
        <w:spacing w:after="0"/>
        <w:rPr>
          <w:sz w:val="20"/>
          <w:szCs w:val="20"/>
          <w:color w:val="auto"/>
        </w:rPr>
      </w:pPr>
      <w:r>
        <w:rPr>
          <w:rFonts w:ascii="Arial" w:cs="Arial" w:eastAsia="Arial" w:hAnsi="Arial"/>
          <w:sz w:val="16"/>
          <w:szCs w:val="16"/>
          <w:color w:val="auto"/>
        </w:rPr>
        <w:t>March 26, 2020</w:t>
      </w:r>
    </w:p>
    <w:p>
      <w:pPr>
        <w:spacing w:after="0" w:line="248" w:lineRule="exact"/>
        <w:rPr>
          <w:sz w:val="20"/>
          <w:szCs w:val="20"/>
          <w:color w:val="auto"/>
        </w:rPr>
      </w:pPr>
    </w:p>
    <w:p>
      <w:pPr>
        <w:ind w:left="4" w:right="360"/>
        <w:spacing w:after="0" w:line="257" w:lineRule="auto"/>
        <w:rPr>
          <w:sz w:val="20"/>
          <w:szCs w:val="20"/>
          <w:color w:val="auto"/>
        </w:rPr>
      </w:pPr>
      <w:r>
        <w:rPr>
          <w:rFonts w:ascii="Arial" w:cs="Arial" w:eastAsia="Arial" w:hAnsi="Arial"/>
          <w:sz w:val="18"/>
          <w:szCs w:val="18"/>
          <w:color w:val="auto"/>
        </w:rPr>
        <w:t>This Proxy Statement contains information relating to the 2020 Annual Meeting of Shareholders of Graham Holdings Company to be held at the Convene Conference Center, 1201 Wilson Boulevard, 29th Floor, Arlington, VA 22209, on Thursday, May 7, 2020, at 8:30 a.m., Eastern Daylight Saving Time, or any adjournments thereof, for the purposes set forth in the accompanying Notice of the 2020 Annual Meeting of Shareholders. This Proxy Statement and the accompanying forms of Proxy and voting instructions are being delivered to shareholders on or about March 26, 2020. The Board of Directors of the Company is making this Proxy solicitation.</w:t>
      </w:r>
    </w:p>
    <w:p>
      <w:pPr>
        <w:spacing w:after="0" w:line="184"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7, 2020. This Proxy Statement and the Annual Report to Shareholders are available at www.ghco.com.</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a change to the location of the Annual Meeting is necessary due to exigent circumstances?</w:t>
      </w:r>
    </w:p>
    <w:p>
      <w:pPr>
        <w:spacing w:after="0" w:line="229" w:lineRule="exact"/>
        <w:rPr>
          <w:sz w:val="20"/>
          <w:szCs w:val="20"/>
          <w:color w:val="auto"/>
        </w:rPr>
      </w:pPr>
    </w:p>
    <w:p>
      <w:pPr>
        <w:ind w:left="4" w:right="140" w:hanging="4"/>
        <w:spacing w:after="0" w:line="291" w:lineRule="auto"/>
        <w:tabs>
          <w:tab w:leader="none" w:pos="35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As part of our precautions regarding the coronavirus or COVID-19, we are planning for the possibility that we will conduct a virtual annual meeting. If we take this step, we will announce the decision to do so in advance as promptly as practicable. Details on how to participate will be issued by press release, posted on our website at </w:t>
      </w:r>
      <w:r>
        <w:rPr>
          <w:rFonts w:ascii="Arial" w:cs="Arial" w:eastAsia="Arial" w:hAnsi="Arial"/>
          <w:sz w:val="16"/>
          <w:szCs w:val="16"/>
          <w:u w:val="single" w:color="auto"/>
          <w:color w:val="auto"/>
        </w:rPr>
        <w:t>www.ghco.com</w:t>
      </w:r>
      <w:r>
        <w:rPr>
          <w:rFonts w:ascii="Arial" w:cs="Arial" w:eastAsia="Arial" w:hAnsi="Arial"/>
          <w:sz w:val="16"/>
          <w:szCs w:val="16"/>
          <w:color w:val="auto"/>
        </w:rPr>
        <w:t xml:space="preserve"> and filed with the U.S. Securities and Exchange Commission. Please monitor our website for updated information concerning the location of the meeting and be sure to check the website prior to attending the meeting. In the event the meeting is held virtually, it will be important to retain the control numbers set forth on your proxy card or voting instruction form in order to verify your identity when accessing the virtual meeting. In the event the meeting is held virtually, the proxy card included with the proxy materials previously distributed will not be updated to reflect the change in location and may continue to be used to vote your shares in connection with the meeting.</w:t>
      </w:r>
    </w:p>
    <w:p>
      <w:pPr>
        <w:spacing w:after="0" w:line="162"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w:t>
      </w:r>
    </w:p>
    <w:p>
      <w:pPr>
        <w:spacing w:after="0" w:line="229" w:lineRule="exact"/>
        <w:rPr>
          <w:sz w:val="20"/>
          <w:szCs w:val="20"/>
          <w:color w:val="auto"/>
        </w:rPr>
      </w:pPr>
    </w:p>
    <w:p>
      <w:pPr>
        <w:ind w:left="4" w:right="140" w:hanging="4"/>
        <w:spacing w:after="0" w:line="259" w:lineRule="auto"/>
        <w:tabs>
          <w:tab w:leader="none" w:pos="357"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voting on the election of Directors for a term of one year. A Board of ten Directors is to be elected, seven by the holders of Class A 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of Directors may nominate.</w:t>
      </w:r>
    </w:p>
    <w:p>
      <w:pPr>
        <w:spacing w:after="0" w:line="18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In addition, if you are a holder of Class A Common Stock, you are voting on whether to approve the compensation paid to the Company’s named executive officers for 2019. In accordance with rules of the U.S. Securities and Exchange Commission (the “SEC”), this vote is advisory in nature and non-binding.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2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voting recommendations of the Board?</w:t>
      </w:r>
    </w:p>
    <w:p>
      <w:pPr>
        <w:spacing w:after="0" w:line="229" w:lineRule="exact"/>
        <w:rPr>
          <w:sz w:val="20"/>
          <w:szCs w:val="20"/>
          <w:color w:val="auto"/>
        </w:rPr>
      </w:pPr>
    </w:p>
    <w:p>
      <w:pPr>
        <w:ind w:left="4" w:right="200" w:hanging="4"/>
        <w:spacing w:after="0" w:line="277" w:lineRule="auto"/>
        <w:tabs>
          <w:tab w:leader="none" w:pos="3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also recommends voting for the approval of the compensation paid to the Company’s named executive officers for 2019.</w:t>
      </w:r>
    </w:p>
    <w:p>
      <w:pPr>
        <w:spacing w:after="0" w:line="2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any other matters be voted on?</w:t>
      </w:r>
    </w:p>
    <w:p>
      <w:pPr>
        <w:spacing w:after="0" w:line="229" w:lineRule="exact"/>
        <w:rPr>
          <w:sz w:val="20"/>
          <w:szCs w:val="20"/>
          <w:color w:val="auto"/>
        </w:rPr>
      </w:pPr>
    </w:p>
    <w:p>
      <w:pPr>
        <w:ind w:left="4" w:right="340" w:hanging="4"/>
        <w:spacing w:after="0" w:line="277" w:lineRule="auto"/>
        <w:tabs>
          <w:tab w:leader="none" w:pos="3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not aware of any matters to be voted on other than the election of Directors and the Class A Shareholder advisory vote on compensation paid to the Company’s named executive officers for 2019. If any other matter is properly brought before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Meeting and you have submitted a Proxy, Timothy J. O’Shaughnessy, Wallace R. Cooney, Jacob M. Maas and Nicole M. Maddrey, acting as your proxies, will vote for you at their discretion.</w:t>
      </w:r>
    </w:p>
    <w:p>
      <w:pPr>
        <w:spacing w:after="0" w:line="166" w:lineRule="exact"/>
        <w:rPr>
          <w:sz w:val="20"/>
          <w:szCs w:val="20"/>
          <w:color w:val="auto"/>
        </w:rPr>
      </w:pPr>
    </w:p>
    <w:p>
      <w:pPr>
        <w:ind w:left="384" w:hanging="384"/>
        <w:spacing w:after="0"/>
        <w:tabs>
          <w:tab w:leader="none" w:pos="38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completing and mailing your Proxy card; or</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211"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 xml:space="preserve">If you vote by Internet or telephone, your vote must be received by 5:00 p.m., Eastern Daylight Saving Time, on the day before the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 acting as your proxies, will vote your shares in favor of the applicable nominated Directors. If you are a participant in one of the Company’s 401(k) plans with Graham Holdings Company Class B Common Stock allocated to your account, please see the Question below “How do I vote if I participate in one of the Company’s 401(k) plans?” Please note that for participants in these plans, </w:t>
      </w:r>
      <w:r>
        <w:rPr>
          <w:rFonts w:ascii="Arial" w:cs="Arial" w:eastAsia="Arial" w:hAnsi="Arial"/>
          <w:sz w:val="17"/>
          <w:szCs w:val="17"/>
          <w:b w:val="1"/>
          <w:bCs w:val="1"/>
          <w:i w:val="1"/>
          <w:iCs w:val="1"/>
          <w:color w:val="auto"/>
        </w:rPr>
        <w:t>your voting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direction must be received no later than 11:00 p.m., Eastern Daylight Saving Time, on May 4, 2020, which is earlier than the time at which votes must be received for shares held outside of these plans.</w:t>
      </w:r>
    </w:p>
    <w:p>
      <w:pPr>
        <w:spacing w:after="0" w:line="178"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paid to the Company’s named executive officers for 2019.</w:t>
      </w:r>
    </w:p>
    <w:p>
      <w:pPr>
        <w:spacing w:after="0" w:line="180"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if I participate in one of the Company</w:t>
      </w:r>
      <w:r>
        <w:rPr>
          <w:rFonts w:ascii="Arial" w:cs="Arial" w:eastAsia="Arial" w:hAnsi="Arial"/>
          <w:sz w:val="16"/>
          <w:szCs w:val="16"/>
          <w:color w:val="auto"/>
        </w:rPr>
        <w:t>’</w:t>
      </w:r>
      <w:r>
        <w:rPr>
          <w:rFonts w:ascii="Arial" w:cs="Arial" w:eastAsia="Arial" w:hAnsi="Arial"/>
          <w:sz w:val="16"/>
          <w:szCs w:val="16"/>
          <w:b w:val="1"/>
          <w:bCs w:val="1"/>
          <w:color w:val="auto"/>
        </w:rPr>
        <w:t>s 401(k) plans?</w:t>
      </w:r>
    </w:p>
    <w:p>
      <w:pPr>
        <w:spacing w:after="0" w:line="229" w:lineRule="exact"/>
        <w:rPr>
          <w:sz w:val="20"/>
          <w:szCs w:val="20"/>
          <w:color w:val="auto"/>
        </w:rPr>
      </w:pPr>
    </w:p>
    <w:p>
      <w:pPr>
        <w:ind w:left="4" w:right="20" w:hanging="4"/>
        <w:spacing w:after="0" w:line="288" w:lineRule="auto"/>
        <w:tabs>
          <w:tab w:leader="none" w:pos="3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As a participant in one of the Company’s 401(k) plans with Graham Holdings Company Class B Common Stock allocated to your account, you can direct the plan trustee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Kaplan, Inc. Tax Deferred Savings Plan for Hourly Employees (the “Plan(s)”). Vanguard Fiduciary Trust Company serves as the trustee (the “Plan Trustee”) with respect to the Class B Common Stock allocated to accounts in the Plans. If you do not provide timely direction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 was received, unless contrary to the Employee Retirement Income Security Act of 1974, as amended (“ERISA”). Plan participants may attend the Annual Meeting, but may not vote Plan shares at the Annual Meeting. If you wish to vote, whether you plan to attend the Annual Meeting or not, you should direct the Plan Trustee how you wish to vote your Plan shares </w:t>
      </w:r>
      <w:r>
        <w:rPr>
          <w:rFonts w:ascii="Arial" w:cs="Arial" w:eastAsia="Arial" w:hAnsi="Arial"/>
          <w:sz w:val="16"/>
          <w:szCs w:val="16"/>
          <w:b w:val="1"/>
          <w:bCs w:val="1"/>
          <w:i w:val="1"/>
          <w:iCs w:val="1"/>
          <w:color w:val="auto"/>
        </w:rPr>
        <w:t>no later than 11:00 p.m., Eastern Daylight Saving Time, on May 4, 2020.</w:t>
      </w:r>
    </w:p>
    <w:p>
      <w:pPr>
        <w:spacing w:after="0" w:line="164"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vote?</w:t>
      </w:r>
    </w:p>
    <w:p>
      <w:pPr>
        <w:spacing w:after="0" w:line="229" w:lineRule="exact"/>
        <w:rPr>
          <w:sz w:val="20"/>
          <w:szCs w:val="20"/>
          <w:color w:val="auto"/>
        </w:rPr>
      </w:pPr>
    </w:p>
    <w:p>
      <w:pPr>
        <w:ind w:left="4" w:right="260" w:hanging="4"/>
        <w:spacing w:after="0" w:line="259" w:lineRule="auto"/>
        <w:tabs>
          <w:tab w:leader="none" w:pos="3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18, 2020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Both Class A Shareholders and Class B Shareholders are entitled to vote on Proposal 1: Election of Directors. In accordance with the Company’s constitutive documents and under Delaware corporate law, only Class A Shareholders are entitled to vote on Proposal 2: Advisory Vote to Approve 2019 Compensation Awarded to Named Executive Officers.</w:t>
      </w:r>
    </w:p>
    <w:p>
      <w:pPr>
        <w:spacing w:after="0" w:line="18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5" w:name="page6"/>
    <w:bookmarkEnd w:id="5"/>
    <w:p>
      <w:pPr>
        <w:ind w:left="384" w:hanging="384"/>
        <w:spacing w:after="0"/>
        <w:tabs>
          <w:tab w:leader="none" w:pos="38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Can I change my vote?</w:t>
      </w:r>
    </w:p>
    <w:p>
      <w:pPr>
        <w:spacing w:after="0" w:line="229" w:lineRule="exact"/>
        <w:rPr>
          <w:sz w:val="20"/>
          <w:szCs w:val="20"/>
          <w:color w:val="auto"/>
        </w:rPr>
      </w:pPr>
    </w:p>
    <w:p>
      <w:pPr>
        <w:ind w:left="344" w:hanging="344"/>
        <w:spacing w:after="0"/>
        <w:tabs>
          <w:tab w:leader="none" w:pos="3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entering a new vote by Internet or telephone;</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returning a later-dated Proxy card; or</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voting in person at the Meeting, provided you first revoke your previously voted Proxy.</w:t>
      </w:r>
    </w:p>
    <w:p>
      <w:pPr>
        <w:spacing w:after="0" w:line="211"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 xml:space="preserve">If you are a participant in one of the Company’s 401(k) plans with Graham Holdings Company Class B Common Stock and wish to change your vote or revoke your Proxy, you must do so </w:t>
      </w:r>
      <w:r>
        <w:rPr>
          <w:rFonts w:ascii="Arial" w:cs="Arial" w:eastAsia="Arial" w:hAnsi="Arial"/>
          <w:sz w:val="17"/>
          <w:szCs w:val="17"/>
          <w:b w:val="1"/>
          <w:bCs w:val="1"/>
          <w:i w:val="1"/>
          <w:iCs w:val="1"/>
          <w:color w:val="auto"/>
        </w:rPr>
        <w:t>no later than 11:00 p.m., Eastern Daylight Saving Time, on May 4, 2020,</w:t>
      </w:r>
      <w:r>
        <w:rPr>
          <w:rFonts w:ascii="Arial" w:cs="Arial" w:eastAsia="Arial" w:hAnsi="Arial"/>
          <w:sz w:val="17"/>
          <w:szCs w:val="17"/>
          <w:color w:val="auto"/>
        </w:rPr>
        <w:t xml:space="preserve"> by instructing the Plan Trustee in a manner described in the Question above “How do I vote if I participate in one of the Company’s 401(k) plans?” above</w:t>
      </w:r>
      <w:r>
        <w:rPr>
          <w:rFonts w:ascii="Arial" w:cs="Arial" w:eastAsia="Arial" w:hAnsi="Arial"/>
          <w:sz w:val="17"/>
          <w:szCs w:val="17"/>
          <w:b w:val="1"/>
          <w:bCs w:val="1"/>
          <w:i w:val="1"/>
          <w:iCs w:val="1"/>
          <w:color w:val="auto"/>
        </w:rPr>
        <w:t>.</w:t>
      </w:r>
    </w:p>
    <w:p>
      <w:pPr>
        <w:spacing w:after="0" w:line="269"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a proposal?</w:t>
      </w:r>
    </w:p>
    <w:p>
      <w:pPr>
        <w:spacing w:after="0" w:line="121" w:lineRule="exact"/>
        <w:rPr>
          <w:sz w:val="20"/>
          <w:szCs w:val="20"/>
          <w:color w:val="auto"/>
        </w:rPr>
      </w:pPr>
    </w:p>
    <w:p>
      <w:pPr>
        <w:ind w:left="4" w:hanging="4"/>
        <w:spacing w:after="0" w:line="257" w:lineRule="auto"/>
        <w:tabs>
          <w:tab w:leader="none" w:pos="3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at the Meeting. This means that the seven Class A Shareholder nominees receiving the highest number of votes cast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8"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While Proposal 2 to approve the 2019 compensation awarded to the Company’s named executive officers is non-binding and advisory in nature, it will be approved only on the favorable vote of a majority of the Class A Shareholders present or represented at the Meeting.</w:t>
      </w:r>
    </w:p>
    <w:p>
      <w:pPr>
        <w:spacing w:after="0" w:line="170"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Broker non-votes will have no impact on the voting results for any of the proposals presented at the Meeting, and abstentions will have the effect of a vote against Proposal 2 to approve the 2019 compensation awarded to the Company’s named executive officers. Abstentions will be counted for purposes of determining whether a quorum is present. For participants in one of the Company’s 401(k) plans with Graham Holdings Company Class B Common Stock allocated to your account, if no timely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 was received, unless contrary to ERISA.</w:t>
      </w:r>
    </w:p>
    <w:p>
      <w:pPr>
        <w:spacing w:after="0" w:line="160"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count the vote?</w:t>
      </w:r>
    </w:p>
    <w:p>
      <w:pPr>
        <w:spacing w:after="0" w:line="229" w:lineRule="exact"/>
        <w:rPr>
          <w:sz w:val="20"/>
          <w:szCs w:val="20"/>
          <w:color w:val="auto"/>
        </w:rPr>
      </w:pPr>
    </w:p>
    <w:p>
      <w:pPr>
        <w:ind w:left="4" w:right="420" w:hanging="4"/>
        <w:spacing w:after="0" w:line="277" w:lineRule="auto"/>
        <w:tabs>
          <w:tab w:leader="none" w:pos="3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166"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attend the Meeting?</w:t>
      </w:r>
    </w:p>
    <w:p>
      <w:pPr>
        <w:spacing w:after="0" w:line="229"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All shareholders of record as of the close of business on March 18, 2020 can attend.</w:t>
      </w:r>
    </w:p>
    <w:p>
      <w:pPr>
        <w:spacing w:after="0" w:line="2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to attend the Meeting?</w:t>
      </w:r>
    </w:p>
    <w:p>
      <w:pPr>
        <w:spacing w:after="0" w:line="229" w:lineRule="exact"/>
        <w:rPr>
          <w:sz w:val="20"/>
          <w:szCs w:val="20"/>
          <w:color w:val="auto"/>
        </w:rPr>
      </w:pPr>
    </w:p>
    <w:p>
      <w:pPr>
        <w:ind w:left="364" w:hanging="364"/>
        <w:spacing w:after="0"/>
        <w:tabs>
          <w:tab w:leader="none" w:pos="3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211" w:lineRule="exact"/>
        <w:rPr>
          <w:sz w:val="20"/>
          <w:szCs w:val="20"/>
          <w:color w:val="auto"/>
        </w:rPr>
      </w:pPr>
    </w:p>
    <w:p>
      <w:pPr>
        <w:ind w:left="4" w:right="180"/>
        <w:spacing w:after="0" w:line="311" w:lineRule="auto"/>
        <w:rPr>
          <w:sz w:val="20"/>
          <w:szCs w:val="20"/>
          <w:color w:val="auto"/>
        </w:rPr>
      </w:pPr>
      <w:r>
        <w:rPr>
          <w:rFonts w:ascii="Arial" w:cs="Arial" w:eastAsia="Arial" w:hAnsi="Arial"/>
          <w:sz w:val="16"/>
          <w:szCs w:val="16"/>
          <w:color w:val="auto"/>
        </w:rPr>
        <w:t>Seating at the Meeting will be on a first-come, first-served basis upon arrival at the Meeting. Participants in the Company’s 401(k) plans with Graham Holdings Company Class B Common Stock may attend the Annual Meeting, but may not vote Plan shares at the Annual Meeting and should instead rely on the procedures described in the Question above “How do I vote if I participate in one of the Company’s 401(k) plans?” above.</w:t>
      </w:r>
    </w:p>
    <w:p>
      <w:pPr>
        <w:spacing w:after="0" w:line="145" w:lineRule="exact"/>
        <w:rPr>
          <w:sz w:val="20"/>
          <w:szCs w:val="20"/>
          <w:color w:val="auto"/>
        </w:rPr>
      </w:pPr>
    </w:p>
    <w:p>
      <w:pPr>
        <w:ind w:left="384" w:hanging="384"/>
        <w:spacing w:after="0"/>
        <w:tabs>
          <w:tab w:leader="none" w:pos="38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Can I bring a guest?</w:t>
      </w:r>
    </w:p>
    <w:p>
      <w:pPr>
        <w:spacing w:after="0" w:line="229" w:lineRule="exact"/>
        <w:rPr>
          <w:sz w:val="20"/>
          <w:szCs w:val="20"/>
          <w:color w:val="auto"/>
        </w:rPr>
      </w:pPr>
    </w:p>
    <w:p>
      <w:pPr>
        <w:ind w:left="4"/>
        <w:spacing w:after="0"/>
        <w:tabs>
          <w:tab w:leader="none" w:pos="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The Meeting is for shareholders only.</w:t>
      </w:r>
    </w:p>
    <w:p>
      <w:pPr>
        <w:spacing w:after="0" w:line="329"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quorum requirement of the Meeting?</w:t>
      </w:r>
    </w:p>
    <w:p>
      <w:pPr>
        <w:spacing w:after="0" w:line="121" w:lineRule="exact"/>
        <w:rPr>
          <w:sz w:val="20"/>
          <w:szCs w:val="20"/>
          <w:color w:val="auto"/>
        </w:rPr>
      </w:pPr>
    </w:p>
    <w:p>
      <w:pPr>
        <w:ind w:left="4" w:right="100" w:hanging="4"/>
        <w:spacing w:after="0" w:line="277" w:lineRule="auto"/>
        <w:tabs>
          <w:tab w:leader="none" w:pos="3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of the outstanding shares on March 18, 2020, constitutes a quorum for voting at the Annual Meeting, except that (i) for purposes of the election of seven Directors by the holders of Class A Common Stock (Proposal 1) and the advisory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6" w:name="page7"/>
    <w:bookmarkEnd w:id="6"/>
    <w:p>
      <w:pPr>
        <w:ind w:left="4"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vote on whether to approve the compensation paid to the named executive officers of the Company in 2019 (Proposal 2), a quorum requires a majority of the outstanding shares of Class A Common Stock on March 18, 2020, and (ii) for purposes of the election of three Directors by the holders of Class B Common Stock (Proposal 1), a quorum requires a majority of the outstanding shares of Class B Common Stock on March 18, 2020. If you vote, your shares will be part of the quorum. All Class B Common Stock allocated to the accounts of participants in one of the Company’s 401(k) plans will be voted and will be counted in determining a quorum. Abstentions will be counted in determining the quorum. On March 18, 2020, there were 964,001 shares of Class A Common Stock and 4,284,294 shares of Class B Common Stock, in each case, outstanding and entitled to vote.</w:t>
      </w:r>
    </w:p>
    <w:p>
      <w:pPr>
        <w:spacing w:after="0" w:line="160"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soliciting Proxies?</w:t>
      </w:r>
    </w:p>
    <w:p>
      <w:pPr>
        <w:spacing w:after="0" w:line="229" w:lineRule="exact"/>
        <w:rPr>
          <w:sz w:val="20"/>
          <w:szCs w:val="20"/>
          <w:color w:val="auto"/>
        </w:rPr>
      </w:pPr>
    </w:p>
    <w:p>
      <w:pPr>
        <w:ind w:left="4" w:right="320" w:hanging="4"/>
        <w:spacing w:after="0" w:line="259" w:lineRule="auto"/>
        <w:tabs>
          <w:tab w:leader="none" w:pos="3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Solicitation of Proxies is being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w:t>
      </w:r>
    </w:p>
    <w:p>
      <w:pPr>
        <w:spacing w:after="0" w:line="183"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are the shareholder proposals due for the Company’s 2021 Annual Meeting of Shareholders?</w:t>
      </w:r>
    </w:p>
    <w:p>
      <w:pPr>
        <w:spacing w:after="0" w:line="229" w:lineRule="exact"/>
        <w:rPr>
          <w:sz w:val="20"/>
          <w:szCs w:val="20"/>
          <w:color w:val="auto"/>
        </w:rPr>
      </w:pPr>
    </w:p>
    <w:p>
      <w:pPr>
        <w:jc w:val="both"/>
        <w:ind w:left="4" w:right="40" w:hanging="4"/>
        <w:spacing w:after="0" w:line="279" w:lineRule="auto"/>
        <w:tabs>
          <w:tab w:leader="none" w:pos="364"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Shareholder proposals submitted by shareholders entitled to vote on such matters, meeting the requirements of the SEC’s proxy rules, must be in writing, received by November 26, 2020, and addressed to the Secretary of the Company at 1300 North 17th Street, Suite 1700, Arlington, VA 22209. Shareholder proposals submitted by shareholders entitled to vote in such matters and submitted outside the processes of Rule 14a-8 of the Exchange Act must be submitted no later than February 9, 2021, to be considered a timely submission.</w:t>
      </w:r>
    </w:p>
    <w:p>
      <w:pPr>
        <w:spacing w:after="0" w:line="171"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Holders of Class B Common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2021 Annual Meeting of Shareholders.</w:t>
      </w:r>
    </w:p>
    <w:p>
      <w:pPr>
        <w:spacing w:after="0" w:line="153"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other information about Graham Holdings Company is available?</w:t>
      </w:r>
    </w:p>
    <w:p>
      <w:pPr>
        <w:spacing w:after="0" w:line="229" w:lineRule="exact"/>
        <w:rPr>
          <w:sz w:val="20"/>
          <w:szCs w:val="20"/>
          <w:color w:val="auto"/>
        </w:rPr>
      </w:pPr>
    </w:p>
    <w:p>
      <w:pPr>
        <w:ind w:left="364" w:hanging="364"/>
        <w:spacing w:after="0"/>
        <w:tabs>
          <w:tab w:leader="none" w:pos="3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76" w:lineRule="exact"/>
        <w:rPr>
          <w:rFonts w:ascii="Arial" w:cs="Arial" w:eastAsia="Arial" w:hAnsi="Arial"/>
          <w:sz w:val="18"/>
          <w:szCs w:val="18"/>
          <w:color w:val="auto"/>
        </w:rPr>
      </w:pPr>
    </w:p>
    <w:p>
      <w:pPr>
        <w:jc w:val="both"/>
        <w:ind w:left="964" w:right="180" w:hanging="424"/>
        <w:spacing w:after="0" w:line="263"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35" w:lineRule="exact"/>
        <w:rPr>
          <w:rFonts w:ascii="Arial" w:cs="Arial" w:eastAsia="Arial" w:hAnsi="Arial"/>
          <w:sz w:val="18"/>
          <w:szCs w:val="18"/>
          <w:color w:val="auto"/>
        </w:rPr>
      </w:pPr>
    </w:p>
    <w:p>
      <w:pPr>
        <w:ind w:left="964" w:right="100" w:hanging="424"/>
        <w:spacing w:after="0" w:line="279" w:lineRule="auto"/>
        <w:tabs>
          <w:tab w:leader="none" w:pos="964" w:val="left"/>
        </w:tabs>
        <w:numPr>
          <w:ilvl w:val="1"/>
          <w:numId w:val="24"/>
        </w:numPr>
        <w:rPr>
          <w:rFonts w:ascii="Arial" w:cs="Arial" w:eastAsia="Arial" w:hAnsi="Arial"/>
          <w:sz w:val="17"/>
          <w:szCs w:val="17"/>
          <w:color w:val="auto"/>
        </w:rPr>
      </w:pPr>
      <w:r>
        <w:rPr>
          <w:rFonts w:ascii="Arial" w:cs="Arial" w:eastAsia="Arial" w:hAnsi="Arial"/>
          <w:sz w:val="17"/>
          <w:szCs w:val="17"/>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67" w:lineRule="exact"/>
        <w:rPr>
          <w:sz w:val="20"/>
          <w:szCs w:val="20"/>
          <w:color w:val="auto"/>
        </w:rPr>
      </w:pPr>
    </w:p>
    <w:p>
      <w:pPr>
        <w:ind w:left="384" w:hanging="384"/>
        <w:spacing w:after="0"/>
        <w:tabs>
          <w:tab w:leader="none" w:pos="38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Can I receive materials relating to the Meeting electronically?</w:t>
      </w:r>
    </w:p>
    <w:p>
      <w:pPr>
        <w:spacing w:after="0" w:line="229" w:lineRule="exact"/>
        <w:rPr>
          <w:sz w:val="20"/>
          <w:szCs w:val="20"/>
          <w:color w:val="auto"/>
        </w:rPr>
      </w:pPr>
    </w:p>
    <w:p>
      <w:pPr>
        <w:ind w:left="4" w:hanging="4"/>
        <w:spacing w:after="0" w:line="296" w:lineRule="auto"/>
        <w:tabs>
          <w:tab w:leader="none" w:pos="3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7" w:name="page8"/>
    <w:bookmarkEnd w:id="7"/>
    <w:p>
      <w:pPr>
        <w:ind w:left="4"/>
        <w:spacing w:after="0"/>
        <w:tabs>
          <w:tab w:leader="none" w:pos="3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w:t>
      </w:r>
      <w:r>
        <w:rPr>
          <w:sz w:val="20"/>
          <w:szCs w:val="20"/>
          <w:color w:val="auto"/>
        </w:rPr>
        <w:tab/>
      </w:r>
      <w:r>
        <w:rPr>
          <w:rFonts w:ascii="Arial" w:cs="Arial" w:eastAsia="Arial" w:hAnsi="Arial"/>
          <w:sz w:val="15"/>
          <w:szCs w:val="15"/>
          <w:b w:val="1"/>
          <w:bCs w:val="1"/>
          <w:color w:val="auto"/>
        </w:rPr>
        <w:t>What is householding?</w:t>
      </w:r>
    </w:p>
    <w:p>
      <w:pPr>
        <w:spacing w:after="0" w:line="229" w:lineRule="exact"/>
        <w:rPr>
          <w:sz w:val="20"/>
          <w:szCs w:val="20"/>
          <w:color w:val="auto"/>
        </w:rPr>
      </w:pPr>
    </w:p>
    <w:p>
      <w:pPr>
        <w:ind w:left="4" w:hanging="4"/>
        <w:spacing w:after="0" w:line="273" w:lineRule="auto"/>
        <w:tabs>
          <w:tab w:leader="none" w:pos="36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Treasurer of the Company at 1300 North 17th Street, Suite 1700, Arlington, VA 22209.</w:t>
      </w:r>
    </w:p>
    <w:p>
      <w:pPr>
        <w:spacing w:after="0" w:line="110"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4"/>
          </w:cols>
          <w:pgMar w:left="436" w:top="270" w:right="5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BOARD OF DIRECTORS</w:t>
      </w:r>
    </w:p>
    <w:p>
      <w:pPr>
        <w:spacing w:after="0" w:line="229"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66"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Company is a diversified education and media company whose operations include educational services; television broadcasting; online, print and local TV news; social-media advertising services; home health and hospice care; and manufacturing. The Company serves customers in a rapidly evolving, highly regulated, competitive and technologically advanced environment. The Directors’ expertise and experience encompass the areas of education, media, technology, marketing, international business and finance, journalism, law, government and public policy. All of the Directors have held senior positions as leaders of government or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C. Bollinger</w:t>
      </w:r>
    </w:p>
    <w:p>
      <w:pPr>
        <w:spacing w:after="0" w:line="229" w:lineRule="exact"/>
        <w:rPr>
          <w:sz w:val="20"/>
          <w:szCs w:val="20"/>
          <w:color w:val="auto"/>
        </w:rPr>
      </w:pPr>
    </w:p>
    <w:p>
      <w:pPr>
        <w:ind w:left="760"/>
        <w:spacing w:after="0" w:line="269" w:lineRule="auto"/>
        <w:rPr>
          <w:sz w:val="20"/>
          <w:szCs w:val="20"/>
          <w:color w:val="auto"/>
        </w:rPr>
      </w:pPr>
      <w:r>
        <w:rPr>
          <w:rFonts w:ascii="Arial" w:cs="Arial" w:eastAsia="Arial" w:hAnsi="Arial"/>
          <w:sz w:val="17"/>
          <w:szCs w:val="17"/>
          <w:color w:val="auto"/>
        </w:rPr>
        <w:t>Mr. Bollinger, age 73,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Mr. Bollinger is a member of the Board of Columbia University and certain of its affiliates. He is a Trustee of the Institute of International Education and was Chairman of the Board of the Federal Reserve Bank of New York until December 2012. Mr. Bollinger serves as a member of the Pulitzer Prize Board. Mr. Bollinger is the recipient of numerous honorary degrees and awards, most notably for his national leadership in defending affirmative action, for his service in higher education and for his scholarship and leadership in defense of freedom of speech and the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and other education-related initiatives, but also reflects his commitment to principles. In his former role as a Director of the Federal Reserve Bank of New York, Mr. Bollinger gained experience in financial matters, particularly those affecting national economies and financial and market systems.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229" w:lineRule="exact"/>
        <w:rPr>
          <w:sz w:val="20"/>
          <w:szCs w:val="20"/>
          <w:color w:val="auto"/>
        </w:rPr>
      </w:pPr>
    </w:p>
    <w:p>
      <w:pPr>
        <w:ind w:left="760" w:right="480"/>
        <w:spacing w:after="0" w:line="257" w:lineRule="auto"/>
        <w:rPr>
          <w:sz w:val="20"/>
          <w:szCs w:val="20"/>
          <w:color w:val="auto"/>
        </w:rPr>
      </w:pPr>
      <w:r>
        <w:rPr>
          <w:rFonts w:ascii="Arial" w:cs="Arial" w:eastAsia="Arial" w:hAnsi="Arial"/>
          <w:sz w:val="18"/>
          <w:szCs w:val="18"/>
          <w:color w:val="auto"/>
        </w:rPr>
        <w:t>Mr. Gayner, age 58, has served as Co-Chief Executive Officer of Markel Corporation, a publicly traded financial holding company headquartered in Glen Allen, VA, since January 2016. Prior to that, he served as President and Chief Investment Officer of Markel Corporation since May 2010. Mr. Gayner has served as a Director of the Company since January 2007. He is Chairman of the Audit Committee and a member of the Finance Committee. Since 1990, he served as President of Markel Gayner Asset Management and as a Director of Markel Corporation from 1998 to 2003.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9" w:name="page10"/>
    <w:bookmarkEnd w:id="9"/>
    <w:p>
      <w:pPr>
        <w:ind w:left="76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Previously, he was a certified public accountant at PricewaterhouseCoopers LLP and a Vice President of Davenport &amp; Company of Virginia. Mr. Gayner serves on the Board of Directors of Colfax Corporation, Cable ONE, Inc., the Davis Series Mutual Funds, and the Community Foundation of Richmond. He also serves as a member of the Investment Advisory Committee of the Virginia Retirement System.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29" w:lineRule="exact"/>
        <w:rPr>
          <w:sz w:val="20"/>
          <w:szCs w:val="20"/>
          <w:color w:val="auto"/>
        </w:rPr>
      </w:pPr>
    </w:p>
    <w:p>
      <w:pPr>
        <w:ind w:left="760" w:right="40"/>
        <w:spacing w:after="0" w:line="283" w:lineRule="auto"/>
        <w:rPr>
          <w:sz w:val="20"/>
          <w:szCs w:val="20"/>
          <w:color w:val="auto"/>
        </w:rPr>
      </w:pPr>
      <w:r>
        <w:rPr>
          <w:rFonts w:ascii="Arial" w:cs="Arial" w:eastAsia="Arial" w:hAnsi="Arial"/>
          <w:sz w:val="16"/>
          <w:szCs w:val="16"/>
          <w:color w:val="auto"/>
        </w:rPr>
        <w:t>Mr. Graham, age 74, has served as Chairman of the Board of the Company since September 1993 and served as Chief Executive Officer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55.9% of the outstanding Class A Stock of the Company and additional voting rights as a trustee of a family trust, Mr. Graham effectively votes a total of 56.7% of the Class A shares. Mr. Graham was a Director of Facebook, Inc. from December 2008 until June 2015. Mr. Graham is a Trustee of the Federal City Council and KIPP-DC. He also serves as a Director of the Gates Policy Initiative and of the DC College Access Program, where he stepped down as Chairman of the Board in January 2015, and he is a co-founder of TheDream.US. As a result of his substantial and long-standing shareholdings in the Company and his tenure in various executive roles at the Company,</w:t>
      </w:r>
    </w:p>
    <w:p>
      <w:pPr>
        <w:spacing w:after="0" w:line="6" w:lineRule="exact"/>
        <w:rPr>
          <w:sz w:val="20"/>
          <w:szCs w:val="20"/>
          <w:color w:val="auto"/>
        </w:rPr>
      </w:pPr>
    </w:p>
    <w:p>
      <w:pPr>
        <w:ind w:left="760" w:right="160"/>
        <w:spacing w:after="0" w:line="277" w:lineRule="auto"/>
        <w:rPr>
          <w:sz w:val="20"/>
          <w:szCs w:val="20"/>
          <w:color w:val="auto"/>
        </w:rPr>
      </w:pPr>
      <w:r>
        <w:rPr>
          <w:rFonts w:ascii="Arial" w:cs="Arial" w:eastAsia="Arial" w:hAnsi="Arial"/>
          <w:sz w:val="17"/>
          <w:szCs w:val="17"/>
          <w:color w:val="auto"/>
        </w:rPr>
        <w:t>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serve as members of the Board.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A. Markell</w:t>
      </w:r>
    </w:p>
    <w:p>
      <w:pPr>
        <w:spacing w:after="0" w:line="229" w:lineRule="exact"/>
        <w:rPr>
          <w:sz w:val="20"/>
          <w:szCs w:val="20"/>
          <w:color w:val="auto"/>
        </w:rPr>
      </w:pPr>
    </w:p>
    <w:p>
      <w:pPr>
        <w:ind w:left="760"/>
        <w:spacing w:after="0" w:line="272" w:lineRule="auto"/>
        <w:rPr>
          <w:sz w:val="20"/>
          <w:szCs w:val="20"/>
          <w:color w:val="auto"/>
        </w:rPr>
      </w:pPr>
      <w:r>
        <w:rPr>
          <w:rFonts w:ascii="Arial" w:cs="Arial" w:eastAsia="Arial" w:hAnsi="Arial"/>
          <w:sz w:val="17"/>
          <w:szCs w:val="17"/>
          <w:color w:val="auto"/>
        </w:rPr>
        <w:t>Mr. Markell, age 59, served from 2009 to 2017 as Governor of Delaware. Before he was elected Governor, Mr. Markell served 10 years as Delaware’s State Treasurer. Mr. Markell has served as a Director of the Company since 2017 and is a member of the Audit Committee. Prior to his public service, Mr. Markell held several executive leadership roles in corporate development, investor relations, strategic management and consulting with First Chicago Corporation, McKinsey &amp; Company, Comcast Corporation and Nextel. Mr. Markell serves on the boards of Upstream USA, Symbiont.io, FS Credit Real Estate Income Trust, Scientific Games Corporation, Vemo Education, Generation USA, High Resolves and on the National Board of Directors of Jobs for America’s Graduates. He also serves as a Trustee of the Annie E. Casey Foundation, Strada Education Network and Delaware State University.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O’Shaughnessy</w:t>
      </w:r>
    </w:p>
    <w:p>
      <w:pPr>
        <w:spacing w:after="0" w:line="229" w:lineRule="exact"/>
        <w:rPr>
          <w:sz w:val="20"/>
          <w:szCs w:val="20"/>
          <w:color w:val="auto"/>
        </w:rPr>
      </w:pPr>
    </w:p>
    <w:p>
      <w:pPr>
        <w:ind w:left="760" w:right="100"/>
        <w:spacing w:after="0" w:line="272" w:lineRule="auto"/>
        <w:rPr>
          <w:sz w:val="20"/>
          <w:szCs w:val="20"/>
          <w:color w:val="auto"/>
        </w:rPr>
      </w:pPr>
      <w:r>
        <w:rPr>
          <w:rFonts w:ascii="Arial" w:cs="Arial" w:eastAsia="Arial" w:hAnsi="Arial"/>
          <w:sz w:val="17"/>
          <w:szCs w:val="17"/>
          <w:color w:val="auto"/>
        </w:rPr>
        <w:t>Mr. O’Shaughnessy, age 38,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Mr. O’Shaughnessy also worked at several media and technology companies, including AOL and Revolution Health. He is a graduate of Georgetown University, an officer of the Federal City Council and a Director of Framebridge, Inc. He is married to Laura Graham O’Shaughnessy, a daughter of Donald E. Graham. She is the Chief Executive Officer of SocialCode, a social-media marketing technology and services company, wholly owned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Richard Wagoner, Jr.</w:t>
      </w:r>
    </w:p>
    <w:p>
      <w:pPr>
        <w:spacing w:after="0" w:line="229" w:lineRule="exact"/>
        <w:rPr>
          <w:sz w:val="20"/>
          <w:szCs w:val="20"/>
          <w:color w:val="auto"/>
        </w:rPr>
      </w:pPr>
    </w:p>
    <w:p>
      <w:pPr>
        <w:ind w:left="760"/>
        <w:spacing w:after="0" w:line="291" w:lineRule="auto"/>
        <w:rPr>
          <w:sz w:val="20"/>
          <w:szCs w:val="20"/>
          <w:color w:val="auto"/>
        </w:rPr>
      </w:pPr>
      <w:r>
        <w:rPr>
          <w:rFonts w:ascii="Arial" w:cs="Arial" w:eastAsia="Arial" w:hAnsi="Arial"/>
          <w:sz w:val="16"/>
          <w:szCs w:val="16"/>
          <w:color w:val="auto"/>
        </w:rPr>
        <w:t>Mr. Wagoner, age 67,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Mr. Wagoner is a member of the Board of Directors of Invesco, Aleris International and several privately held companies. In addition, he advises several finance firms, start-ups and early stage ventures. Mr. Wagoner is a member of the Virginia Commonwealth University Board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0" w:name="page11"/>
    <w:bookmarkEnd w:id="10"/>
    <w:p>
      <w:pPr>
        <w:ind w:left="7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Visitors, the Duke University Health Systems Board of Directors and the Duke Kunshan University Global Advisory Board. He is a Trustee Emeritus of Duke University and a former Board Chair. He is an honorary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Katharine Weymouth</w:t>
      </w:r>
    </w:p>
    <w:p>
      <w:pPr>
        <w:spacing w:after="0" w:line="229" w:lineRule="exact"/>
        <w:rPr>
          <w:sz w:val="20"/>
          <w:szCs w:val="20"/>
          <w:color w:val="auto"/>
        </w:rPr>
      </w:pPr>
    </w:p>
    <w:p>
      <w:pPr>
        <w:ind w:left="760" w:right="100"/>
        <w:spacing w:after="0" w:line="270" w:lineRule="auto"/>
        <w:rPr>
          <w:sz w:val="20"/>
          <w:szCs w:val="20"/>
          <w:color w:val="auto"/>
        </w:rPr>
      </w:pPr>
      <w:r>
        <w:rPr>
          <w:rFonts w:ascii="Arial" w:cs="Arial" w:eastAsia="Arial" w:hAnsi="Arial"/>
          <w:sz w:val="17"/>
          <w:szCs w:val="17"/>
          <w:color w:val="auto"/>
        </w:rPr>
        <w:t>Ms. Weymouth, age 53, is the Chief Operating Officer of dineXpert, a group buying organization working with independent restaurants. Ms. Weymouth has been a Director of the Company since 2010 and currently serves on the Finance Committee and the Compensation Committee of the Board. Ms. Weymouth is a niece of the Chairman of the Board of the Company. Ms. Weymouth served as Publisher and Chief Executive Officer of The Washington Post, the newspaper division of The Washington Post Company, from 2008 through the end of 2014. Prior to becoming Publisher and Chief Executive Officer, Ms. Weymouth worked in various roles in the Post’s advertising department, including serving as vice president of the advertising department. She began her career as an attorney, working for four years in the legal office of The Washington Post in both print and digital after having worked for three years as a litigator at the law firm of Williams &amp; Connolly LLP. Ms. Weymouth serves on the Board of Republic Services and Cable ONE. She serves as a Trustee of the Philip L. Graham Fund and is the Chair of the Board for the Greater Washington Community Foundation.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29" w:lineRule="exact"/>
        <w:rPr>
          <w:sz w:val="20"/>
          <w:szCs w:val="20"/>
          <w:color w:val="auto"/>
        </w:rPr>
      </w:pPr>
    </w:p>
    <w:p>
      <w:pPr>
        <w:ind w:left="760"/>
        <w:spacing w:after="0" w:line="269" w:lineRule="auto"/>
        <w:rPr>
          <w:sz w:val="20"/>
          <w:szCs w:val="20"/>
          <w:color w:val="auto"/>
        </w:rPr>
      </w:pPr>
      <w:r>
        <w:rPr>
          <w:rFonts w:ascii="Arial" w:cs="Arial" w:eastAsia="Arial" w:hAnsi="Arial"/>
          <w:sz w:val="17"/>
          <w:szCs w:val="17"/>
          <w:color w:val="auto"/>
        </w:rPr>
        <w:t>Mr. Davis, age 54, serves as Chairman of Davis Selected Advisers, NY, Inc., an investment counseling firm that oversees more than $26 billion in assets as of December 31, 2019, including mutual funds and institutional separate accounts. The firm employs a research-driven, long-term approach to investing. He has served as a Director of the Company since January 2006 and is a member of the Audit and Executive Committees of the Board and Chairman of the Finance Committee. Mr. Davis became lead independent Director in May 2011. Mr. Davis is also a Director and officer of a number of mutual funds advised by Davis Selected Advisers, LP, as well as other entities controlled by Davis Selected Advisers, LP., and a Director of The Coca-Cola Company. Mr. Davis is a Director of the Hudson Highland Land Trust and a Trustee of the American Museum of Natural History, the Shelby Cullom Davis Charitable Fund and the Christopher and Elizabeth Davis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229" w:lineRule="exact"/>
        <w:rPr>
          <w:sz w:val="20"/>
          <w:szCs w:val="20"/>
          <w:color w:val="auto"/>
        </w:rPr>
      </w:pPr>
    </w:p>
    <w:p>
      <w:pPr>
        <w:ind w:left="760" w:right="20"/>
        <w:spacing w:after="0" w:line="287" w:lineRule="auto"/>
        <w:rPr>
          <w:sz w:val="20"/>
          <w:szCs w:val="20"/>
          <w:color w:val="auto"/>
        </w:rPr>
      </w:pPr>
      <w:r>
        <w:rPr>
          <w:rFonts w:ascii="Arial" w:cs="Arial" w:eastAsia="Arial" w:hAnsi="Arial"/>
          <w:sz w:val="16"/>
          <w:szCs w:val="16"/>
          <w:color w:val="auto"/>
        </w:rPr>
        <w:t>Mrs. Mulcahy, age 67,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LPL Financial and Williams Sonoma.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Larry D. Thompson</w:t>
      </w:r>
    </w:p>
    <w:p>
      <w:pPr>
        <w:spacing w:after="0" w:line="229" w:lineRule="exact"/>
        <w:rPr>
          <w:sz w:val="20"/>
          <w:szCs w:val="20"/>
          <w:color w:val="auto"/>
        </w:rPr>
      </w:pPr>
    </w:p>
    <w:p>
      <w:pPr>
        <w:ind w:left="760" w:right="80"/>
        <w:spacing w:after="0" w:line="277" w:lineRule="auto"/>
        <w:rPr>
          <w:sz w:val="20"/>
          <w:szCs w:val="20"/>
          <w:color w:val="auto"/>
        </w:rPr>
      </w:pPr>
      <w:r>
        <w:rPr>
          <w:rFonts w:ascii="Arial" w:cs="Arial" w:eastAsia="Arial" w:hAnsi="Arial"/>
          <w:sz w:val="18"/>
          <w:szCs w:val="18"/>
          <w:color w:val="auto"/>
        </w:rPr>
        <w:t>Mr. Thompson, age 74, is retired from PepsiCo, Inc. where he served as Executive Vice President–Government Affairs, General Counsel and Corporate Secretary from June 2012 to November 2014. From October 2004 to May 2011, when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 w:name="page12"/>
    <w:bookmarkEnd w:id="11"/>
    <w:p>
      <w:pPr>
        <w:ind w:left="76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 initially retired, Mr. Thompson served as a Senior Vice President–Government Affairs, General Counsel and Corporate Secretary of PepsiCo, Inc. Mr. Thompson has served as a Director of the Company since June 2011 and is a member of the Compensation Committee. Mr. Thompson is a Senior Trustee of The Brookings Institution and a Director of the George W. Bush Foundation, the Ethics Resource Center (Chair) and the Southern Company, as well as various Franklin Templeton Mutual Series Funds. Mr. Thompson is also a Trustee of the Chautauqua Institution. His government career included serving in the U.S. Department of Justice as Deputy Attorney General and leading the Department’s National Security Coordination Council. In 2002, President George W. Bush named Mr. Thompson to head the Corporate Fraud Task Force. Previously, Mr. Thompson had been a partner in the Atlanta law firm of King &amp; 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He is an elected Fellow of the American Board of Criminal Lawyers. Mr. Thompson is a recipient of the Edmund Jennings Randolph Award for outstanding contributions to the accomplishment of the Department of Justice’s mission, the Outstanding Litigator Award by the Federal Bar Association and the A. T. Walden Award for outstanding accomplishments in the legal profession by the Gate City Bar Association in Atlanta. Mr. Thompson currently serves as the Independent Compliance Monitor and Auditor for Volkswagen, AG. Through his previous roles at the U.S. Department of Justice and at PepsiCo, Mr. Thompson brings to the Board extensive legal experience in both governmental and corporate settings. As a Director of other public companies, he also has significant experience with corporate governance matters and reporting obligations.</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standing committees of the Board are the Audit Committee, Compensation Committee, Finance Committee and Executive Committee.</w:t>
      </w:r>
    </w:p>
    <w:p>
      <w:pPr>
        <w:spacing w:after="0" w:line="248"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7"/>
          <w:szCs w:val="17"/>
          <w:color w:val="auto"/>
        </w:rPr>
        <w:t>Given the ownership structure of the Company and its status as a “controlled company” (see page 13),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w:t>
      </w:r>
    </w:p>
    <w:p>
      <w:pPr>
        <w:spacing w:after="0" w:line="1" w:lineRule="exact"/>
        <w:rPr>
          <w:sz w:val="20"/>
          <w:szCs w:val="20"/>
          <w:color w:val="auto"/>
        </w:rPr>
      </w:pPr>
    </w:p>
    <w:p>
      <w:pPr>
        <w:ind w:left="4" w:right="60" w:hanging="4"/>
        <w:spacing w:after="0" w:line="255" w:lineRule="auto"/>
        <w:tabs>
          <w:tab w:leader="none" w:pos="3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90"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Christopher C. Davis, Thomas S. Gayner (Chairman), G. Richard Wagoner, Jr. and Jack A. Markell served on the Audit Committee in 2019.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8"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2" w:name="page13"/>
    <w:bookmarkEnd w:id="12"/>
    <w:p>
      <w:pPr>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Audit Committee held seven meetings in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4" w:right="160" w:firstLine="991"/>
        <w:spacing w:after="0" w:line="286" w:lineRule="auto"/>
        <w:rPr>
          <w:sz w:val="20"/>
          <w:szCs w:val="20"/>
          <w:color w:val="auto"/>
        </w:rPr>
      </w:pPr>
      <w:r>
        <w:rPr>
          <w:rFonts w:ascii="Arial" w:cs="Arial" w:eastAsia="Arial" w:hAnsi="Arial"/>
          <w:sz w:val="16"/>
          <w:szCs w:val="16"/>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(iii) preparing any report on executive compensation required by the rules and regulations of the SEC; and</w:t>
      </w:r>
    </w:p>
    <w:p>
      <w:pPr>
        <w:spacing w:after="0" w:line="1" w:lineRule="exact"/>
        <w:rPr>
          <w:sz w:val="20"/>
          <w:szCs w:val="20"/>
          <w:color w:val="auto"/>
        </w:rPr>
      </w:pPr>
    </w:p>
    <w:p>
      <w:pPr>
        <w:jc w:val="both"/>
        <w:ind w:left="4" w:right="160" w:hanging="4"/>
        <w:spacing w:after="0" w:line="255" w:lineRule="auto"/>
        <w:tabs>
          <w:tab w:leader="none" w:pos="3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performing a risk assessment of the Company’s compensation plans.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90" w:lineRule="exact"/>
        <w:rPr>
          <w:sz w:val="20"/>
          <w:szCs w:val="20"/>
          <w:color w:val="auto"/>
        </w:rPr>
      </w:pPr>
    </w:p>
    <w:p>
      <w:pPr>
        <w:jc w:val="both"/>
        <w:ind w:left="4" w:right="140" w:firstLine="991"/>
        <w:spacing w:after="0" w:line="286" w:lineRule="auto"/>
        <w:rPr>
          <w:sz w:val="20"/>
          <w:szCs w:val="20"/>
          <w:color w:val="auto"/>
        </w:rPr>
      </w:pPr>
      <w:r>
        <w:rPr>
          <w:rFonts w:ascii="Arial" w:cs="Arial" w:eastAsia="Arial" w:hAnsi="Arial"/>
          <w:sz w:val="17"/>
          <w:szCs w:val="17"/>
          <w:color w:val="auto"/>
        </w:rPr>
        <w:t>Lee C. Bollinger, Anne M. Mulcahy (Chairman), Larry D. Thompson, and Katharine Weymouth served on the Compensation Committee in 2019. All members of the Compensation Committee are non-employee Directors and have been determined to be “independent” within the meaning of the listing requirements of the New York Stock Exchange applicable to service on compensation committees.</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Compensation Committee held six meetings in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65"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Christopher C. Davis (Chairman), Thomas S. Gayner, Donald E. Graham, Timothy J. O’Shaughnessy and Katharine Weymouth served on the Finance Committee in 2019.</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Finance Committee held one meeting in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left="4" w:right="320" w:firstLine="991"/>
        <w:spacing w:after="0" w:line="277"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70" w:lineRule="exact"/>
        <w:rPr>
          <w:sz w:val="20"/>
          <w:szCs w:val="20"/>
          <w:color w:val="auto"/>
        </w:rPr>
      </w:pPr>
    </w:p>
    <w:p>
      <w:pPr>
        <w:ind w:left="4" w:right="680" w:firstLine="991"/>
        <w:spacing w:after="0" w:line="277" w:lineRule="auto"/>
        <w:rPr>
          <w:sz w:val="20"/>
          <w:szCs w:val="20"/>
          <w:color w:val="auto"/>
        </w:rPr>
      </w:pPr>
      <w:r>
        <w:rPr>
          <w:rFonts w:ascii="Arial" w:cs="Arial" w:eastAsia="Arial" w:hAnsi="Arial"/>
          <w:sz w:val="18"/>
          <w:szCs w:val="18"/>
          <w:color w:val="auto"/>
        </w:rPr>
        <w:t>Christopher C. Davis, Donald E. Graham (Chairman), Anne M. Mulcahy and Timothy J. O’Shaughnessy served on the Executive Committee in 2019.</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Executive Committee held no meetings in 2019.</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The Board held a total of five meetings in 2019. Each Director attended at least 75% of the meetings of the Board and the Committees of the Board on which the Director served.</w:t>
      </w:r>
    </w:p>
    <w:p>
      <w:pPr>
        <w:spacing w:after="0" w:line="170" w:lineRule="exact"/>
        <w:rPr>
          <w:sz w:val="20"/>
          <w:szCs w:val="20"/>
          <w:color w:val="auto"/>
        </w:rPr>
      </w:pPr>
    </w:p>
    <w:p>
      <w:pPr>
        <w:ind w:left="4" w:right="40" w:firstLine="991"/>
        <w:spacing w:after="0" w:line="342" w:lineRule="auto"/>
        <w:rPr>
          <w:sz w:val="20"/>
          <w:szCs w:val="20"/>
          <w:color w:val="auto"/>
        </w:rPr>
      </w:pPr>
      <w:r>
        <w:rPr>
          <w:rFonts w:ascii="Arial" w:cs="Arial" w:eastAsia="Arial" w:hAnsi="Arial"/>
          <w:sz w:val="16"/>
          <w:szCs w:val="16"/>
          <w:color w:val="auto"/>
        </w:rPr>
        <w:t>The Board does not have a policy of requiring Directors to attend annual meetings of shareholders and leaves it at the discretion of each Director as to whether he or she will attend the meeting. In addition to the Chairman, nine Directors attended the 2019 Annual Meeting of Shareholders.</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During 2019, non-employee Directors received the following annual payments:</w:t>
      </w:r>
    </w:p>
    <w:p>
      <w:pPr>
        <w:spacing w:after="0" w:line="50" w:lineRule="exact"/>
        <w:rPr>
          <w:sz w:val="20"/>
          <w:szCs w:val="20"/>
          <w:color w:val="auto"/>
        </w:rPr>
      </w:pPr>
    </w:p>
    <w:p>
      <w:pPr>
        <w:ind w:left="2184" w:hanging="429"/>
        <w:spacing w:after="0"/>
        <w:tabs>
          <w:tab w:leader="none" w:pos="21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$150,000 as a cash retainer</w:t>
      </w:r>
    </w:p>
    <w:p>
      <w:pPr>
        <w:spacing w:after="0" w:line="49" w:lineRule="exact"/>
        <w:rPr>
          <w:rFonts w:ascii="Arial" w:cs="Arial" w:eastAsia="Arial" w:hAnsi="Arial"/>
          <w:sz w:val="18"/>
          <w:szCs w:val="18"/>
          <w:color w:val="auto"/>
        </w:rPr>
      </w:pPr>
    </w:p>
    <w:p>
      <w:pPr>
        <w:ind w:left="2184" w:hanging="429"/>
        <w:spacing w:after="0"/>
        <w:tabs>
          <w:tab w:leader="none" w:pos="21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attended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3" w:name="page14"/>
    <w:bookmarkEnd w:id="13"/>
    <w:p>
      <w:pPr>
        <w:ind w:right="38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non-employee Chair of a Committee of the Board received an additional $20,000. Members of the Audit Committee received an additional $20,000 annually for their service on that committee. Employee Directors received no compensation for serving on the Board.</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total 2019 compensation of non-employee Directors is shown on the following table: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5060" w:type="dxa"/>
            <w:vAlign w:val="bottom"/>
            <w:tcBorders>
              <w:top w:val="single" w:sz="8" w:color="auto"/>
              <w:left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vMerge w:val="restart"/>
          </w:tcPr>
          <w:p>
            <w:pPr>
              <w:jc w:val="center"/>
              <w:ind w:left="308"/>
              <w:spacing w:after="0"/>
              <w:rPr>
                <w:sz w:val="20"/>
                <w:szCs w:val="20"/>
                <w:color w:val="auto"/>
              </w:rPr>
            </w:pPr>
            <w:r>
              <w:rPr>
                <w:rFonts w:ascii="Arial" w:cs="Arial" w:eastAsia="Arial" w:hAnsi="Arial"/>
                <w:sz w:val="14"/>
                <w:szCs w:val="14"/>
                <w:b w:val="1"/>
                <w:bCs w:val="1"/>
                <w:color w:val="auto"/>
                <w:w w:val="92"/>
              </w:rPr>
              <w:t>Fees Earned or</w:t>
            </w:r>
          </w:p>
        </w:tc>
        <w:tc>
          <w:tcPr>
            <w:tcW w:w="2100" w:type="dxa"/>
            <w:vAlign w:val="bottom"/>
            <w:tcBorders>
              <w:top w:val="single" w:sz="8" w:color="auto"/>
              <w:right w:val="single" w:sz="8" w:color="auto"/>
            </w:tcBorders>
          </w:tcPr>
          <w:p>
            <w:pPr>
              <w:jc w:val="center"/>
              <w:ind w:left="308"/>
              <w:spacing w:after="0" w:line="139" w:lineRule="exact"/>
              <w:rPr>
                <w:sz w:val="20"/>
                <w:szCs w:val="20"/>
                <w:color w:val="auto"/>
              </w:rPr>
            </w:pPr>
            <w:r>
              <w:rPr>
                <w:rFonts w:ascii="Arial" w:cs="Arial" w:eastAsia="Arial" w:hAnsi="Arial"/>
                <w:sz w:val="14"/>
                <w:szCs w:val="14"/>
                <w:b w:val="1"/>
                <w:bCs w:val="1"/>
                <w:color w:val="auto"/>
                <w:w w:val="90"/>
              </w:rPr>
              <w:t>Change in Pension Value</w:t>
            </w:r>
          </w:p>
        </w:tc>
        <w:tc>
          <w:tcPr>
            <w:tcW w:w="1500" w:type="dxa"/>
            <w:vAlign w:val="bottom"/>
            <w:tcBorders>
              <w:top w:val="single" w:sz="8" w:color="auto"/>
              <w:right w:val="single" w:sz="8" w:color="auto"/>
            </w:tcBorders>
            <w:vMerge w:val="restart"/>
          </w:tcPr>
          <w:p>
            <w:pPr>
              <w:jc w:val="center"/>
              <w:ind w:left="288"/>
              <w:spacing w:after="0"/>
              <w:rPr>
                <w:sz w:val="20"/>
                <w:szCs w:val="20"/>
                <w:color w:val="auto"/>
              </w:rPr>
            </w:pPr>
            <w:r>
              <w:rPr>
                <w:rFonts w:ascii="Arial" w:cs="Arial" w:eastAsia="Arial" w:hAnsi="Arial"/>
                <w:sz w:val="14"/>
                <w:szCs w:val="14"/>
                <w:b w:val="1"/>
                <w:bCs w:val="1"/>
                <w:color w:val="auto"/>
                <w:w w:val="98"/>
              </w:rPr>
              <w:t>All Other</w:t>
            </w: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Borders>
              <w:left w:val="single" w:sz="8" w:color="auto"/>
              <w:right w:val="single" w:sz="8" w:color="auto"/>
            </w:tcBorders>
            <w:vMerge w:val="restart"/>
          </w:tcPr>
          <w:p>
            <w:pPr>
              <w:ind w:left="242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and Nonqualified Deferred</w:t>
            </w:r>
          </w:p>
        </w:tc>
        <w:tc>
          <w:tcPr>
            <w:tcW w:w="150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71"/>
        </w:trPr>
        <w:tc>
          <w:tcPr>
            <w:tcW w:w="50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right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3"/>
              </w:rPr>
              <w:t>Paid in Cash ($)</w:t>
            </w:r>
          </w:p>
        </w:tc>
        <w:tc>
          <w:tcPr>
            <w:tcW w:w="2100" w:type="dxa"/>
            <w:vAlign w:val="bottom"/>
            <w:tcBorders>
              <w:bottom w:val="single" w:sz="8" w:color="auto"/>
              <w:right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2"/>
              </w:rPr>
              <w:t>Compensation Earnings ($)</w:t>
            </w:r>
          </w:p>
        </w:tc>
        <w:tc>
          <w:tcPr>
            <w:tcW w:w="150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Compensation ($)</w:t>
            </w:r>
          </w:p>
        </w:tc>
        <w:tc>
          <w:tcPr>
            <w:tcW w:w="9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Lee C. Bollinger</w:t>
            </w:r>
          </w:p>
        </w:tc>
        <w:tc>
          <w:tcPr>
            <w:tcW w:w="14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2"/>
              </w:rPr>
              <w:t>$150,000</w:t>
            </w:r>
          </w:p>
        </w:tc>
        <w:tc>
          <w:tcPr>
            <w:tcW w:w="21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2"/>
              </w:rPr>
              <w:t>$150,000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Christopher C. Davis</w:t>
            </w:r>
          </w:p>
        </w:tc>
        <w:tc>
          <w:tcPr>
            <w:tcW w:w="14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0"/>
              </w:rPr>
              <w:t>190,000</w:t>
            </w:r>
          </w:p>
        </w:tc>
        <w:tc>
          <w:tcPr>
            <w:tcW w:w="21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0"/>
              </w:rPr>
              <w:t>190,000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Thomas S. Gayner</w:t>
            </w:r>
          </w:p>
        </w:tc>
        <w:tc>
          <w:tcPr>
            <w:tcW w:w="14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0"/>
              </w:rPr>
              <w:t>190,000</w:t>
            </w:r>
          </w:p>
        </w:tc>
        <w:tc>
          <w:tcPr>
            <w:tcW w:w="21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0"/>
              </w:rPr>
              <w:t>190,000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Jack A. Markell</w:t>
            </w:r>
          </w:p>
        </w:tc>
        <w:tc>
          <w:tcPr>
            <w:tcW w:w="14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0"/>
              </w:rPr>
              <w:t>170,000</w:t>
            </w:r>
          </w:p>
        </w:tc>
        <w:tc>
          <w:tcPr>
            <w:tcW w:w="21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0"/>
              </w:rPr>
              <w:t>170,000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Anne M. Mulcahy</w:t>
            </w:r>
          </w:p>
        </w:tc>
        <w:tc>
          <w:tcPr>
            <w:tcW w:w="14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0"/>
              </w:rPr>
              <w:t>170,000</w:t>
            </w:r>
          </w:p>
        </w:tc>
        <w:tc>
          <w:tcPr>
            <w:tcW w:w="21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0"/>
              </w:rPr>
              <w:t>170,000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Larry D. Thompson</w:t>
            </w:r>
          </w:p>
        </w:tc>
        <w:tc>
          <w:tcPr>
            <w:tcW w:w="14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0"/>
              </w:rPr>
              <w:t>150,000</w:t>
            </w:r>
          </w:p>
        </w:tc>
        <w:tc>
          <w:tcPr>
            <w:tcW w:w="21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0"/>
              </w:rPr>
              <w:t>150,000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G. Richard Wagoner, Jr.</w:t>
            </w:r>
          </w:p>
        </w:tc>
        <w:tc>
          <w:tcPr>
            <w:tcW w:w="140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0"/>
              </w:rPr>
              <w:t>170,000</w:t>
            </w:r>
          </w:p>
        </w:tc>
        <w:tc>
          <w:tcPr>
            <w:tcW w:w="21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6"/>
              </w:rPr>
              <w:t>4,000 (1)</w:t>
            </w:r>
          </w:p>
        </w:tc>
        <w:tc>
          <w:tcPr>
            <w:tcW w:w="98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0"/>
              </w:rPr>
              <w:t>174,000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Katharine Weymouth</w:t>
            </w:r>
          </w:p>
        </w:tc>
        <w:tc>
          <w:tcPr>
            <w:tcW w:w="1400" w:type="dxa"/>
            <w:vAlign w:val="bottom"/>
            <w:tcBorders>
              <w:bottom w:val="single" w:sz="8" w:color="auto"/>
              <w:right w:val="single" w:sz="8" w:color="auto"/>
            </w:tcBorders>
          </w:tcPr>
          <w:p>
            <w:pPr>
              <w:jc w:val="center"/>
              <w:ind w:left="308"/>
              <w:spacing w:after="0" w:line="142" w:lineRule="exact"/>
              <w:rPr>
                <w:sz w:val="20"/>
                <w:szCs w:val="20"/>
                <w:color w:val="auto"/>
              </w:rPr>
            </w:pPr>
            <w:r>
              <w:rPr>
                <w:rFonts w:ascii="Arial" w:cs="Arial" w:eastAsia="Arial" w:hAnsi="Arial"/>
                <w:sz w:val="14"/>
                <w:szCs w:val="14"/>
                <w:color w:val="auto"/>
                <w:w w:val="90"/>
              </w:rPr>
              <w:t>150,000</w:t>
            </w:r>
          </w:p>
        </w:tc>
        <w:tc>
          <w:tcPr>
            <w:tcW w:w="21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0"/>
              </w:rPr>
              <w:t>150,000</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 Charitable contribution made pursuant to the Company’s matching gift program.</w:t>
      </w:r>
    </w:p>
    <w:p>
      <w:pPr>
        <w:spacing w:after="0" w:line="208"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The Company has in place a voluntary Deferred Compensation Plan for Directors of the Company. The Company closed the Deferred Compensation Plan to new participants and new deferrals for existing participants as of December 2015. This plan provided an opportunity for participants to elect to defer the receipt of either all or a portion of the fees received for service as a Director. Elections to defer had to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does not provide stock awards, option awards or other equity or non-equity incentive compensation to non-employee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29"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Lee C. Bollinger, Christopher C. Davis, Thomas S. Gayner, Anne M. Mulcahy, Jack A. Markell, Larry D. Thompson,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2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three times in 2019 and expect to meet in executive session in 2020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Lee C. Bollinger, Anne M. Mulcahy, Larry D. Thompson and Katharine Weymouth served as members of the Compensation Committee in 2019. Ms. Mulcahy and Messrs. Bollinger and Thompson have never been employees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4" w:name="page15"/>
    <w:bookmarkEnd w:id="1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Katharine Weymouth, was employed at The 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President and Chief Executive Officer. The Board also appoints a Lead Independent Director and Christopher C. Davis serves in this capacity. The Lead Independent Director typically chairs executive sessions of Board meetings and consults with Messrs. Graham and O’Shaughnessy and senior management regarding issues to be included in Board meeting agendas. The Lead Independent Director is also expected to collaborate with</w:t>
      </w:r>
    </w:p>
    <w:p>
      <w:pPr>
        <w:spacing w:after="0" w:line="2"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Mr. O’Shaughnessy in reviewing key operational and other matters and to act as a liaison between Messrs. Graham and O’Shaughnessy and the independent Directors.</w:t>
      </w:r>
    </w:p>
    <w:p>
      <w:pPr>
        <w:spacing w:after="0" w:line="185" w:lineRule="exact"/>
        <w:rPr>
          <w:sz w:val="20"/>
          <w:szCs w:val="20"/>
          <w:color w:val="auto"/>
        </w:rPr>
      </w:pPr>
    </w:p>
    <w:p>
      <w:pPr>
        <w:ind w:right="220" w:firstLine="991"/>
        <w:spacing w:after="0" w:line="272" w:lineRule="auto"/>
        <w:rPr>
          <w:sz w:val="20"/>
          <w:szCs w:val="20"/>
          <w:color w:val="auto"/>
        </w:rPr>
      </w:pPr>
      <w:r>
        <w:rPr>
          <w:rFonts w:ascii="Arial" w:cs="Arial" w:eastAsia="Arial" w:hAnsi="Arial"/>
          <w:sz w:val="17"/>
          <w:szCs w:val="17"/>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77"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229"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Interested parties may communicate concerns to the Lead Independent Director or to the other Directors of the Company through Navex Global, the Company’s third-party-managed hotline, via telephone at 1-866-687-8972 or online at https://ghco.alertline.com.</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229"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The information in the following two tables relates to each person who, on February 1, 2020,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substantial duplication in the numbers of shares and percentages shown in the following table.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Principal Holders of Stock</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57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971"/>
              <w:spacing w:after="0"/>
              <w:rPr>
                <w:sz w:val="20"/>
                <w:szCs w:val="20"/>
                <w:color w:val="auto"/>
              </w:rPr>
            </w:pPr>
            <w:r>
              <w:rPr>
                <w:rFonts w:ascii="Arial" w:cs="Arial" w:eastAsia="Arial" w:hAnsi="Arial"/>
                <w:sz w:val="14"/>
                <w:szCs w:val="14"/>
                <w:b w:val="1"/>
                <w:bCs w:val="1"/>
                <w:color w:val="auto"/>
                <w:w w:val="93"/>
              </w:rPr>
              <w:t>Shares (%)</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vMerge w:val="continue"/>
          </w:tcPr>
          <w:p>
            <w:pPr>
              <w:spacing w:after="0"/>
              <w:rPr>
                <w:sz w:val="14"/>
                <w:szCs w:val="14"/>
                <w:color w:val="auto"/>
              </w:rPr>
            </w:pPr>
          </w:p>
        </w:tc>
        <w:tc>
          <w:tcPr>
            <w:tcW w:w="5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w w:val="96"/>
              </w:rPr>
              <w:t>Class A Stock</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Class B Stock</w:t>
            </w:r>
          </w:p>
        </w:tc>
        <w:tc>
          <w:tcPr>
            <w:tcW w:w="0" w:type="dxa"/>
            <w:vAlign w:val="bottom"/>
          </w:tcPr>
          <w:p>
            <w:pPr>
              <w:spacing w:after="0"/>
              <w:rPr>
                <w:sz w:val="1"/>
                <w:szCs w:val="1"/>
                <w:color w:val="auto"/>
              </w:rPr>
            </w:pPr>
          </w:p>
        </w:tc>
      </w:tr>
      <w:tr>
        <w:trPr>
          <w:trHeight w:val="117"/>
        </w:trPr>
        <w:tc>
          <w:tcPr>
            <w:tcW w:w="814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Donald E. Graham (a)</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546,311 (56.7%)</w:t>
            </w:r>
          </w:p>
        </w:tc>
        <w:tc>
          <w:tcPr>
            <w:tcW w:w="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jc w:val="right"/>
              <w:ind w:right="91"/>
              <w:spacing w:after="0" w:line="117" w:lineRule="exact"/>
              <w:rPr>
                <w:sz w:val="20"/>
                <w:szCs w:val="20"/>
                <w:color w:val="auto"/>
              </w:rPr>
            </w:pPr>
            <w:r>
              <w:rPr>
                <w:rFonts w:ascii="Arial" w:cs="Arial" w:eastAsia="Arial" w:hAnsi="Arial"/>
                <w:sz w:val="13"/>
                <w:szCs w:val="13"/>
                <w:color w:val="auto"/>
              </w:rPr>
              <w:t>561,102 (11.4%)*</w:t>
            </w:r>
          </w:p>
        </w:tc>
        <w:tc>
          <w:tcPr>
            <w:tcW w:w="0" w:type="dxa"/>
            <w:vAlign w:val="bottom"/>
          </w:tcPr>
          <w:p>
            <w:pPr>
              <w:spacing w:after="0"/>
              <w:rPr>
                <w:sz w:val="1"/>
                <w:szCs w:val="1"/>
                <w:color w:val="auto"/>
              </w:rPr>
            </w:pPr>
          </w:p>
        </w:tc>
      </w:tr>
      <w:tr>
        <w:trPr>
          <w:trHeight w:val="149"/>
        </w:trPr>
        <w:tc>
          <w:tcPr>
            <w:tcW w:w="81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140" w:type="dxa"/>
            <w:vAlign w:val="bottom"/>
            <w:gridSpan w:val="2"/>
          </w:tcPr>
          <w:p>
            <w:pPr>
              <w:spacing w:after="0" w:line="130" w:lineRule="exact"/>
              <w:rPr>
                <w:sz w:val="20"/>
                <w:szCs w:val="20"/>
                <w:color w:val="auto"/>
              </w:rPr>
            </w:pPr>
            <w:r>
              <w:rPr>
                <w:rFonts w:ascii="Arial" w:cs="Arial" w:eastAsia="Arial" w:hAnsi="Arial"/>
                <w:sz w:val="14"/>
                <w:szCs w:val="14"/>
                <w:color w:val="auto"/>
              </w:rPr>
              <w:t>Elizabeth G. Weymouth (b)</w:t>
            </w:r>
          </w:p>
        </w:tc>
        <w:tc>
          <w:tcPr>
            <w:tcW w:w="10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w w:val="94"/>
              </w:rPr>
              <w:t>237,625 (24.6%)</w:t>
            </w:r>
          </w:p>
        </w:tc>
        <w:tc>
          <w:tcPr>
            <w:tcW w:w="1740" w:type="dxa"/>
            <w:vAlign w:val="bottom"/>
            <w:gridSpan w:val="3"/>
          </w:tcPr>
          <w:p>
            <w:pPr>
              <w:jc w:val="right"/>
              <w:ind w:right="191"/>
              <w:spacing w:after="0" w:line="130" w:lineRule="exact"/>
              <w:rPr>
                <w:sz w:val="20"/>
                <w:szCs w:val="20"/>
                <w:color w:val="auto"/>
              </w:rPr>
            </w:pPr>
            <w:r>
              <w:rPr>
                <w:rFonts w:ascii="Arial" w:cs="Arial" w:eastAsia="Arial" w:hAnsi="Arial"/>
                <w:sz w:val="14"/>
                <w:szCs w:val="14"/>
                <w:color w:val="auto"/>
              </w:rPr>
              <w:t>284,263 (6.2%)</w:t>
            </w:r>
          </w:p>
        </w:tc>
        <w:tc>
          <w:tcPr>
            <w:tcW w:w="0" w:type="dxa"/>
            <w:vAlign w:val="bottom"/>
          </w:tcPr>
          <w:p>
            <w:pPr>
              <w:spacing w:after="0"/>
              <w:rPr>
                <w:sz w:val="1"/>
                <w:szCs w:val="1"/>
                <w:color w:val="auto"/>
              </w:rPr>
            </w:pPr>
          </w:p>
        </w:tc>
      </w:tr>
      <w:tr>
        <w:trPr>
          <w:trHeight w:val="148"/>
        </w:trPr>
        <w:tc>
          <w:tcPr>
            <w:tcW w:w="81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40" w:type="dxa"/>
            <w:vAlign w:val="bottom"/>
            <w:gridSpan w:val="2"/>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Daniel L. Mosley (c)</w:t>
            </w:r>
          </w:p>
        </w:tc>
        <w:tc>
          <w:tcPr>
            <w:tcW w:w="114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w w:val="94"/>
              </w:rPr>
              <w:t>950,501 (98.6%)</w:t>
            </w:r>
          </w:p>
        </w:tc>
        <w:tc>
          <w:tcPr>
            <w:tcW w:w="1740" w:type="dxa"/>
            <w:vAlign w:val="bottom"/>
            <w:gridSpan w:val="3"/>
            <w:shd w:val="clear" w:color="auto" w:fill="CCEEFF"/>
          </w:tcPr>
          <w:p>
            <w:pPr>
              <w:jc w:val="right"/>
              <w:ind w:right="91"/>
              <w:spacing w:after="0" w:line="130" w:lineRule="exact"/>
              <w:rPr>
                <w:sz w:val="20"/>
                <w:szCs w:val="20"/>
                <w:color w:val="auto"/>
              </w:rPr>
            </w:pPr>
            <w:r>
              <w:rPr>
                <w:rFonts w:ascii="Arial" w:cs="Arial" w:eastAsia="Arial" w:hAnsi="Arial"/>
                <w:sz w:val="14"/>
                <w:szCs w:val="14"/>
                <w:color w:val="auto"/>
              </w:rPr>
              <w:t>1,006,270 (19.0%)*</w:t>
            </w:r>
          </w:p>
        </w:tc>
        <w:tc>
          <w:tcPr>
            <w:tcW w:w="0" w:type="dxa"/>
            <w:vAlign w:val="bottom"/>
          </w:tcPr>
          <w:p>
            <w:pPr>
              <w:spacing w:after="0"/>
              <w:rPr>
                <w:sz w:val="1"/>
                <w:szCs w:val="1"/>
                <w:color w:val="auto"/>
              </w:rPr>
            </w:pPr>
          </w:p>
        </w:tc>
      </w:tr>
      <w:tr>
        <w:trPr>
          <w:trHeight w:val="148"/>
        </w:trPr>
        <w:tc>
          <w:tcPr>
            <w:tcW w:w="81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825 Eighth Avenue</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140" w:type="dxa"/>
            <w:vAlign w:val="bottom"/>
            <w:gridSpan w:val="2"/>
          </w:tcPr>
          <w:p>
            <w:pPr>
              <w:spacing w:after="0" w:line="130" w:lineRule="exact"/>
              <w:rPr>
                <w:sz w:val="20"/>
                <w:szCs w:val="20"/>
                <w:color w:val="auto"/>
              </w:rPr>
            </w:pPr>
            <w:r>
              <w:rPr>
                <w:rFonts w:ascii="Arial" w:cs="Arial" w:eastAsia="Arial" w:hAnsi="Arial"/>
                <w:sz w:val="14"/>
                <w:szCs w:val="14"/>
                <w:color w:val="auto"/>
              </w:rPr>
              <w:t>Southeastern Asset Management (d)</w:t>
            </w:r>
          </w:p>
        </w:tc>
        <w:tc>
          <w:tcPr>
            <w:tcW w:w="10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1740" w:type="dxa"/>
            <w:vAlign w:val="bottom"/>
            <w:gridSpan w:val="3"/>
          </w:tcPr>
          <w:p>
            <w:pPr>
              <w:jc w:val="right"/>
              <w:ind w:right="191"/>
              <w:spacing w:after="0" w:line="130" w:lineRule="exact"/>
              <w:rPr>
                <w:sz w:val="20"/>
                <w:szCs w:val="20"/>
                <w:color w:val="auto"/>
              </w:rPr>
            </w:pPr>
            <w:r>
              <w:rPr>
                <w:rFonts w:ascii="Arial" w:cs="Arial" w:eastAsia="Arial" w:hAnsi="Arial"/>
                <w:sz w:val="14"/>
                <w:szCs w:val="14"/>
                <w:color w:val="auto"/>
              </w:rPr>
              <w:t>459,626 (10.6%)</w:t>
            </w:r>
          </w:p>
        </w:tc>
        <w:tc>
          <w:tcPr>
            <w:tcW w:w="0" w:type="dxa"/>
            <w:vAlign w:val="bottom"/>
          </w:tcPr>
          <w:p>
            <w:pPr>
              <w:spacing w:after="0"/>
              <w:rPr>
                <w:sz w:val="1"/>
                <w:szCs w:val="1"/>
                <w:color w:val="auto"/>
              </w:rPr>
            </w:pPr>
          </w:p>
        </w:tc>
      </w:tr>
      <w:tr>
        <w:trPr>
          <w:trHeight w:val="148"/>
        </w:trPr>
        <w:tc>
          <w:tcPr>
            <w:tcW w:w="81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6410 Poplar Avenue, Suite 900</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40" w:type="dxa"/>
            <w:vAlign w:val="bottom"/>
            <w:gridSpan w:val="2"/>
          </w:tcPr>
          <w:p>
            <w:pPr>
              <w:ind w:left="220"/>
              <w:spacing w:after="0"/>
              <w:rPr>
                <w:sz w:val="20"/>
                <w:szCs w:val="20"/>
                <w:color w:val="auto"/>
              </w:rPr>
            </w:pPr>
            <w:r>
              <w:rPr>
                <w:rFonts w:ascii="Arial" w:cs="Arial" w:eastAsia="Arial" w:hAnsi="Arial"/>
                <w:sz w:val="14"/>
                <w:szCs w:val="14"/>
                <w:color w:val="auto"/>
              </w:rPr>
              <w:t>Memphis, TN</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BlackRock, Inc. (e)</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1740" w:type="dxa"/>
            <w:vAlign w:val="bottom"/>
            <w:gridSpan w:val="3"/>
            <w:shd w:val="clear" w:color="auto" w:fill="CCEEFF"/>
          </w:tcPr>
          <w:p>
            <w:pPr>
              <w:jc w:val="right"/>
              <w:ind w:right="211"/>
              <w:spacing w:after="0" w:line="130" w:lineRule="exact"/>
              <w:rPr>
                <w:sz w:val="20"/>
                <w:szCs w:val="20"/>
                <w:color w:val="auto"/>
              </w:rPr>
            </w:pPr>
            <w:r>
              <w:rPr>
                <w:rFonts w:ascii="Arial" w:cs="Arial" w:eastAsia="Arial" w:hAnsi="Arial"/>
                <w:sz w:val="14"/>
                <w:szCs w:val="14"/>
                <w:color w:val="auto"/>
              </w:rPr>
              <w:t>418,251 (9.6%)</w:t>
            </w:r>
          </w:p>
        </w:tc>
        <w:tc>
          <w:tcPr>
            <w:tcW w:w="0" w:type="dxa"/>
            <w:vAlign w:val="bottom"/>
          </w:tcPr>
          <w:p>
            <w:pPr>
              <w:spacing w:after="0"/>
              <w:rPr>
                <w:sz w:val="1"/>
                <w:szCs w:val="1"/>
                <w:color w:val="auto"/>
              </w:rPr>
            </w:pPr>
          </w:p>
        </w:tc>
      </w:tr>
      <w:tr>
        <w:trPr>
          <w:trHeight w:val="148"/>
        </w:trPr>
        <w:tc>
          <w:tcPr>
            <w:tcW w:w="81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55 East 52nd Street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140" w:type="dxa"/>
            <w:vAlign w:val="bottom"/>
            <w:gridSpan w:val="2"/>
          </w:tcPr>
          <w:p>
            <w:pPr>
              <w:spacing w:after="0" w:line="130" w:lineRule="exact"/>
              <w:rPr>
                <w:sz w:val="20"/>
                <w:szCs w:val="20"/>
                <w:color w:val="auto"/>
              </w:rPr>
            </w:pPr>
            <w:r>
              <w:rPr>
                <w:rFonts w:ascii="Arial" w:cs="Arial" w:eastAsia="Arial" w:hAnsi="Arial"/>
                <w:sz w:val="14"/>
                <w:szCs w:val="14"/>
                <w:color w:val="auto"/>
              </w:rPr>
              <w:t>The Vanguard Group (f)</w:t>
            </w:r>
          </w:p>
        </w:tc>
        <w:tc>
          <w:tcPr>
            <w:tcW w:w="10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1740" w:type="dxa"/>
            <w:vAlign w:val="bottom"/>
            <w:gridSpan w:val="3"/>
          </w:tcPr>
          <w:p>
            <w:pPr>
              <w:jc w:val="right"/>
              <w:ind w:right="191"/>
              <w:spacing w:after="0" w:line="130" w:lineRule="exact"/>
              <w:rPr>
                <w:sz w:val="20"/>
                <w:szCs w:val="20"/>
                <w:color w:val="auto"/>
              </w:rPr>
            </w:pPr>
            <w:r>
              <w:rPr>
                <w:rFonts w:ascii="Arial" w:cs="Arial" w:eastAsia="Arial" w:hAnsi="Arial"/>
                <w:sz w:val="14"/>
                <w:szCs w:val="14"/>
                <w:color w:val="auto"/>
              </w:rPr>
              <w:t>395,542 (9.1%)</w:t>
            </w:r>
          </w:p>
        </w:tc>
        <w:tc>
          <w:tcPr>
            <w:tcW w:w="0" w:type="dxa"/>
            <w:vAlign w:val="bottom"/>
          </w:tcPr>
          <w:p>
            <w:pPr>
              <w:spacing w:after="0"/>
              <w:rPr>
                <w:sz w:val="1"/>
                <w:szCs w:val="1"/>
                <w:color w:val="auto"/>
              </w:rPr>
            </w:pPr>
          </w:p>
        </w:tc>
      </w:tr>
      <w:tr>
        <w:trPr>
          <w:trHeight w:val="148"/>
        </w:trPr>
        <w:tc>
          <w:tcPr>
            <w:tcW w:w="81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100 Vanguard Boulevard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40" w:type="dxa"/>
            <w:vAlign w:val="bottom"/>
            <w:gridSpan w:val="2"/>
          </w:tcPr>
          <w:p>
            <w:pPr>
              <w:ind w:left="220"/>
              <w:spacing w:after="0"/>
              <w:rPr>
                <w:sz w:val="20"/>
                <w:szCs w:val="20"/>
                <w:color w:val="auto"/>
              </w:rPr>
            </w:pPr>
            <w:r>
              <w:rPr>
                <w:rFonts w:ascii="Arial" w:cs="Arial" w:eastAsia="Arial" w:hAnsi="Arial"/>
                <w:sz w:val="14"/>
                <w:szCs w:val="14"/>
                <w:color w:val="auto"/>
              </w:rPr>
              <w:t>Malvern, PA</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Dimensional Fund Advisors LP (g)</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1740" w:type="dxa"/>
            <w:vAlign w:val="bottom"/>
            <w:gridSpan w:val="3"/>
            <w:shd w:val="clear" w:color="auto" w:fill="CCEEFF"/>
          </w:tcPr>
          <w:p>
            <w:pPr>
              <w:jc w:val="right"/>
              <w:ind w:right="191"/>
              <w:spacing w:after="0" w:line="130" w:lineRule="exact"/>
              <w:rPr>
                <w:sz w:val="20"/>
                <w:szCs w:val="20"/>
                <w:color w:val="auto"/>
              </w:rPr>
            </w:pPr>
            <w:r>
              <w:rPr>
                <w:rFonts w:ascii="Arial" w:cs="Arial" w:eastAsia="Arial" w:hAnsi="Arial"/>
                <w:sz w:val="14"/>
                <w:szCs w:val="14"/>
                <w:color w:val="auto"/>
              </w:rPr>
              <w:t>330,083 (7.6%)</w:t>
            </w:r>
          </w:p>
        </w:tc>
        <w:tc>
          <w:tcPr>
            <w:tcW w:w="0" w:type="dxa"/>
            <w:vAlign w:val="bottom"/>
          </w:tcPr>
          <w:p>
            <w:pPr>
              <w:spacing w:after="0"/>
              <w:rPr>
                <w:sz w:val="1"/>
                <w:szCs w:val="1"/>
                <w:color w:val="auto"/>
              </w:rPr>
            </w:pPr>
          </w:p>
        </w:tc>
      </w:tr>
      <w:tr>
        <w:trPr>
          <w:trHeight w:val="148"/>
        </w:trPr>
        <w:tc>
          <w:tcPr>
            <w:tcW w:w="81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6300 Bee Cave Road, Building One</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Austin, TX</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-1996440</wp:posOffset>
            </wp:positionV>
            <wp:extent cx="25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4" w:right="300" w:hanging="4"/>
        <w:spacing w:after="0" w:line="253" w:lineRule="auto"/>
        <w:tabs>
          <w:tab w:leader="none" w:pos="181"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calculations set forth in this table relating to percentage ownership of Class B Stock for Messrs. Graham and Mosley and Mrs. Weymouth include shares of Class B Stock issuable upon conversion of shares of Class A Common Stock.</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4"/>
          <w:szCs w:val="14"/>
          <w:color w:val="auto"/>
        </w:rPr>
        <w:t>**  Less than 5%.</w:t>
      </w:r>
    </w:p>
    <w:p>
      <w:pPr>
        <w:spacing w:after="0" w:line="55" w:lineRule="exact"/>
        <w:rPr>
          <w:sz w:val="20"/>
          <w:szCs w:val="20"/>
          <w:color w:val="auto"/>
        </w:rPr>
      </w:pPr>
    </w:p>
    <w:p>
      <w:pPr>
        <w:ind w:left="424" w:right="140" w:hanging="424"/>
        <w:spacing w:after="0" w:line="231" w:lineRule="auto"/>
        <w:tabs>
          <w:tab w:leader="none" w:pos="4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According to information as of February 1, 2020, and available to the Company, Mr. Donald Graham has voting and investment power with respect to shares of Class A Stock as follows: sole voting and investment power, 333,481 (34.6%) shares, which includes 150,469 shares in a trust that Mr. Donald Graham has the power to amend or revoke and 183,012 shares in certain trusts for which Mr. Donald Graham is a co-trustee and can exercise a casting vote; sole voting and shared investment power, 116,830 (12.1%) shares; and shared voting and investment power, 96,000 (10.0%) shares, each of which excludes the previously referenced 183,012 shares, in certain trusts for which Mr. Donald Graham is a co-trustee and can exercise a casting vote.</w:t>
      </w:r>
    </w:p>
    <w:p>
      <w:pPr>
        <w:spacing w:after="0" w:line="35" w:lineRule="exact"/>
        <w:rPr>
          <w:rFonts w:ascii="Arial" w:cs="Arial" w:eastAsia="Arial" w:hAnsi="Arial"/>
          <w:sz w:val="14"/>
          <w:szCs w:val="14"/>
          <w:color w:val="auto"/>
        </w:rPr>
      </w:pPr>
    </w:p>
    <w:p>
      <w:pPr>
        <w:ind w:left="424" w:right="100"/>
        <w:spacing w:after="0" w:line="231" w:lineRule="auto"/>
        <w:rPr>
          <w:rFonts w:ascii="Arial" w:cs="Arial" w:eastAsia="Arial" w:hAnsi="Arial"/>
          <w:sz w:val="14"/>
          <w:szCs w:val="14"/>
          <w:color w:val="auto"/>
        </w:rPr>
      </w:pPr>
      <w:r>
        <w:rPr>
          <w:rFonts w:ascii="Arial" w:cs="Arial" w:eastAsia="Arial" w:hAnsi="Arial"/>
          <w:sz w:val="14"/>
          <w:szCs w:val="14"/>
          <w:color w:val="auto"/>
        </w:rPr>
        <w:t>Mr. Graham also has voting and investment power with respect to shares of Class B Stock as follows: sole voting and investment power, 4,131 (less than 1%) shares which includes 3,087 shares in a trust that Mr. Donald Graham has the power to amend or revoke and 1,044 shares in certain trusts for which Mr. Donald Graham is a co-trustee and can exercise a casting vote; shared voting and investment power, 10,660 (less than 1%) shares, which excludes the previously referenced 1,044 shares in certain trusts for which Mr. Donald Graham is a co-trustee and can exercise a casting vote; and 546,311 (11.2%) shares issuable upon conversion of shares of Class A Stock deemed to be beneficially owned by Mr. Graham. Includes 60 shares held by Mr. Graham’s spouse.</w:t>
      </w:r>
    </w:p>
    <w:p>
      <w:pPr>
        <w:spacing w:after="0" w:line="35" w:lineRule="exact"/>
        <w:rPr>
          <w:rFonts w:ascii="Arial" w:cs="Arial" w:eastAsia="Arial" w:hAnsi="Arial"/>
          <w:sz w:val="14"/>
          <w:szCs w:val="14"/>
          <w:color w:val="auto"/>
        </w:rPr>
      </w:pPr>
    </w:p>
    <w:p>
      <w:pPr>
        <w:ind w:left="424" w:right="60" w:hanging="424"/>
        <w:spacing w:after="0" w:line="231" w:lineRule="auto"/>
        <w:tabs>
          <w:tab w:leader="none" w:pos="4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According to information as of February 1, 2020,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In addition, Mrs. Elizabeth Weymouth has shared voting and investment power with respect to 43,363 (less than 1%) shares of Class B stock. In addition, Mrs. Weymouth, as the beneficiary of a trust (even though she has no voting or investment power with respect thereto), is deemed to be the beneficial owner of 3,275 (less than 1%) shares of Class B Stock.</w:t>
      </w:r>
    </w:p>
    <w:p>
      <w:pPr>
        <w:spacing w:after="0" w:line="35" w:lineRule="exact"/>
        <w:rPr>
          <w:rFonts w:ascii="Arial" w:cs="Arial" w:eastAsia="Arial" w:hAnsi="Arial"/>
          <w:sz w:val="14"/>
          <w:szCs w:val="14"/>
          <w:color w:val="auto"/>
        </w:rPr>
      </w:pPr>
    </w:p>
    <w:p>
      <w:pPr>
        <w:ind w:left="424" w:right="40" w:hanging="424"/>
        <w:spacing w:after="0" w:line="244" w:lineRule="auto"/>
        <w:tabs>
          <w:tab w:leader="none" w:pos="424" w:val="left"/>
        </w:tabs>
        <w:numPr>
          <w:ilvl w:val="0"/>
          <w:numId w:val="32"/>
        </w:numPr>
        <w:rPr>
          <w:rFonts w:ascii="Arial" w:cs="Arial" w:eastAsia="Arial" w:hAnsi="Arial"/>
          <w:sz w:val="13"/>
          <w:szCs w:val="13"/>
          <w:color w:val="auto"/>
        </w:rPr>
      </w:pPr>
      <w:r>
        <w:rPr>
          <w:rFonts w:ascii="Arial" w:cs="Arial" w:eastAsia="Arial" w:hAnsi="Arial"/>
          <w:sz w:val="13"/>
          <w:szCs w:val="13"/>
          <w:color w:val="auto"/>
        </w:rPr>
        <w:t>According to information as of February 1, 2020, and available to the Company, Mr. Daniel Mosley, as a trustee of various trusts, has voting and investment power with respect to shares of Class A Stock as follows: sole voting and investment power, 26,250 (2.7%) shares; shared voting and sole investment power, 194,505 (20.2%) shares; shared voting and investment power 516,916 (53.6%) shares, which includes 150,469 shares in a trust for which Mr. Daniel Mosley is a co-trustee with Mr. Donald Graham and Mr. Donald Graham has the power to amend or revoke and 183,012 shares in certain trusts for which Mr. Daniel Mosley is a co-trustee with Mr. Donald Graham and Mr. Donald Graham can exercise a casting vote; and sole voting and shared investment power, 212,830 (22.1%) shares. In addition, Mr. Mosley has voting and investment power, with respect to shares of Class B Stock as follows: shared voting and investment power 55,769 (1.3%) shares, which includes 3,087 shares in a trust for which Mr. Daniel Mosley is a co-trustee with Mr. Donald Graham and Mr. Donald Graham has the power to amend or revoke and 1,044 shares in certain trusts for which Mr. Daniel Mosley is a co-trustee with Mr. Donald Graham and Mr. Donald Graham can exercise a casting vote. The holdings of Class B Stock recorded for Mr. Mosley include 950,501 (17.9%) shares issuable upon conversion of shares of Class A Stock deemed to be beneficially owned by Mr. Mosley as a Trustee of various trusts.</w:t>
      </w:r>
    </w:p>
    <w:p>
      <w:pPr>
        <w:spacing w:after="0" w:line="36" w:lineRule="exact"/>
        <w:rPr>
          <w:rFonts w:ascii="Arial" w:cs="Arial" w:eastAsia="Arial" w:hAnsi="Arial"/>
          <w:sz w:val="13"/>
          <w:szCs w:val="13"/>
          <w:color w:val="auto"/>
        </w:rPr>
      </w:pPr>
    </w:p>
    <w:p>
      <w:pPr>
        <w:ind w:left="424" w:right="20" w:hanging="424"/>
        <w:spacing w:after="0" w:line="229" w:lineRule="auto"/>
        <w:tabs>
          <w:tab w:leader="none" w:pos="4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According to a Schedule 13G/A filed on February 14, 2020, Southeastern Asset Management, Inc. (“Southeastern Asset”), an investment adviser, was deemed to be the beneficial owner of 459,626 (10.6%) shares of Class B Stock. According to the Schedule 13G/A, Southeastern Asset has sole voting power over 64,732 shares; shared voting power over 389,308 shares; no voting power over 5,586 shares; sole dispositive power over 123,690 shares; and shared dispositive power over 335,936 shares. The Schedule 13G/A was filed jointly with Longleaf Partners Small-Cap Fund (an investment company), which has shared voting and dispositive power over 335,936 (7.7%) shares, according to the Schedule 13G/A. The Schedule 13G/A was also filed jointly with Mr. O. Mason Hawkins, Chairman of the Board of Southeastern Asset in the event he could be deemed to be a controlling person of that firm as the result of his official positions with, or ownership of, its voting securities.</w:t>
      </w:r>
    </w:p>
    <w:p>
      <w:pPr>
        <w:spacing w:after="0" w:line="36" w:lineRule="exact"/>
        <w:rPr>
          <w:rFonts w:ascii="Arial" w:cs="Arial" w:eastAsia="Arial" w:hAnsi="Arial"/>
          <w:sz w:val="14"/>
          <w:szCs w:val="14"/>
          <w:color w:val="auto"/>
        </w:rPr>
      </w:pPr>
    </w:p>
    <w:p>
      <w:pPr>
        <w:jc w:val="both"/>
        <w:ind w:left="424" w:right="280" w:hanging="424"/>
        <w:spacing w:after="0" w:line="290" w:lineRule="auto"/>
        <w:tabs>
          <w:tab w:leader="none" w:pos="424" w:val="left"/>
        </w:tabs>
        <w:numPr>
          <w:ilvl w:val="0"/>
          <w:numId w:val="32"/>
        </w:numPr>
        <w:rPr>
          <w:rFonts w:ascii="Arial" w:cs="Arial" w:eastAsia="Arial" w:hAnsi="Arial"/>
          <w:sz w:val="13"/>
          <w:szCs w:val="13"/>
          <w:color w:val="auto"/>
        </w:rPr>
      </w:pPr>
      <w:r>
        <w:rPr>
          <w:rFonts w:ascii="Arial" w:cs="Arial" w:eastAsia="Arial" w:hAnsi="Arial"/>
          <w:sz w:val="13"/>
          <w:szCs w:val="13"/>
          <w:color w:val="auto"/>
        </w:rPr>
        <w:t>According to a Schedule 13G/A filed on February 5, 2020, BlackRock, Inc. (“BlackRock”), a parent holding company or control person, was deemed to be the beneficial owner of 418,251 (9.6%) shares of Class B Stock. According to the Schedule 13G/A, BlackRock has sole voting power over 401,130 shares and sole dispositive power over 418,251 shares.</w:t>
      </w:r>
    </w:p>
    <w:p>
      <w:pPr>
        <w:spacing w:after="0" w:line="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0" w:right="439" w:bottom="1440" w:gutter="0" w:footer="0" w:header="0"/>
        </w:sectPr>
      </w:pPr>
    </w:p>
    <w:bookmarkStart w:id="16" w:name="page17"/>
    <w:bookmarkEnd w:id="16"/>
    <w:p>
      <w:pPr>
        <w:ind w:left="424" w:right="260" w:hanging="424"/>
        <w:spacing w:after="0" w:line="238" w:lineRule="auto"/>
        <w:tabs>
          <w:tab w:leader="none" w:pos="424" w:val="left"/>
        </w:tabs>
        <w:numPr>
          <w:ilvl w:val="0"/>
          <w:numId w:val="3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According to a Schedule 13G/A filed on February 12, 2020, The Vanguard Group (“Vanguard”), an investment adviser, was deemed to be the beneficial owner of 395,542 (9.1%) shares of Class B Stock. According to the Schedule 13G/A, Vanguard has sole voting power over 2,313 shares, shared voting power over 695 shares, shared dispositive power over 2,326 shares, and sole dispositive power over 393,216 shares.</w:t>
      </w:r>
    </w:p>
    <w:p>
      <w:pPr>
        <w:spacing w:after="0" w:line="34" w:lineRule="exact"/>
        <w:rPr>
          <w:rFonts w:ascii="Arial" w:cs="Arial" w:eastAsia="Arial" w:hAnsi="Arial"/>
          <w:sz w:val="14"/>
          <w:szCs w:val="14"/>
          <w:color w:val="auto"/>
        </w:rPr>
      </w:pPr>
    </w:p>
    <w:p>
      <w:pPr>
        <w:ind w:left="424" w:right="160" w:hanging="424"/>
        <w:spacing w:after="0" w:line="238" w:lineRule="auto"/>
        <w:tabs>
          <w:tab w:leader="none" w:pos="424"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According to a Schedule 13G/A filed on February 12, 2020, Dimensional Fund Advisors LP (“Dimensional Fund”), an investment adviser, was deemed to be the beneficial owner of 330,083 (7.6%) shares of Class B Stock. According to the Schedule 13G/A, Dimensional Fund has sole voting power over 325,061 shares and sole dispositive power over 330,083 shares.</w:t>
      </w:r>
    </w:p>
    <w:p>
      <w:pPr>
        <w:spacing w:after="0" w:line="187"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The table below, which is based on information furnished to the Company by its Directors and officers, shows as of February 1, 2020, for each person nominated for election as a Director, each named executive officer and for all Directors and executive officers of the Company as a group, the number of shares of each class of Common Stock “beneficially owned” (as defined in the Securities and Exchange Commission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Holdings of Directors and Officers*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Shares (%)</w:t>
            </w:r>
          </w:p>
        </w:tc>
        <w:tc>
          <w:tcPr>
            <w:tcW w:w="6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19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Class A</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Class B(a)</w:t>
            </w:r>
          </w:p>
        </w:tc>
        <w:tc>
          <w:tcPr>
            <w:tcW w:w="840" w:type="dxa"/>
            <w:vAlign w:val="bottom"/>
          </w:tcPr>
          <w:p>
            <w:pPr>
              <w:spacing w:after="0"/>
              <w:rPr>
                <w:sz w:val="13"/>
                <w:szCs w:val="13"/>
                <w:color w:val="auto"/>
              </w:rPr>
            </w:pPr>
          </w:p>
        </w:tc>
      </w:tr>
      <w:tr>
        <w:trPr>
          <w:trHeight w:val="142"/>
        </w:trPr>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Lee C. Bollinger^</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85"/>
              </w:rPr>
              <w:t>—</w:t>
            </w:r>
          </w:p>
        </w:tc>
        <w:tc>
          <w:tcPr>
            <w:tcW w:w="13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shd w:val="clear" w:color="auto" w:fill="CCEEFF"/>
          </w:tcPr>
          <w:p>
            <w:pPr>
              <w:spacing w:after="0"/>
              <w:rPr>
                <w:sz w:val="12"/>
                <w:szCs w:val="12"/>
                <w:color w:val="auto"/>
              </w:rPr>
            </w:pP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Wallace R. Cooney+</w:t>
            </w:r>
            <w:r>
              <w:rPr>
                <w:rFonts w:ascii="Arial" w:cs="Arial" w:eastAsia="Arial" w:hAnsi="Arial"/>
                <w:sz w:val="12"/>
                <w:szCs w:val="12"/>
                <w:color w:val="auto"/>
              </w:rPr>
              <w:t>(c)</w:t>
            </w:r>
          </w:p>
        </w:tc>
        <w:tc>
          <w:tcPr>
            <w:tcW w:w="1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2,666</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C. Davis^</w:t>
            </w:r>
          </w:p>
        </w:tc>
        <w:tc>
          <w:tcPr>
            <w:tcW w:w="1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7600" w:type="dxa"/>
            <w:vAlign w:val="bottom"/>
          </w:tcPr>
          <w:p>
            <w:pPr>
              <w:spacing w:after="0" w:line="149" w:lineRule="exact"/>
              <w:rPr>
                <w:sz w:val="20"/>
                <w:szCs w:val="20"/>
                <w:color w:val="auto"/>
              </w:rPr>
            </w:pPr>
            <w:r>
              <w:rPr>
                <w:rFonts w:ascii="Arial" w:cs="Arial" w:eastAsia="Arial" w:hAnsi="Arial"/>
                <w:sz w:val="14"/>
                <w:szCs w:val="14"/>
                <w:color w:val="auto"/>
              </w:rPr>
              <w:t>Denise M. Demeter+</w:t>
            </w:r>
            <w:r>
              <w:rPr>
                <w:rFonts w:ascii="Arial" w:cs="Arial" w:eastAsia="Arial" w:hAnsi="Arial"/>
                <w:sz w:val="12"/>
                <w:szCs w:val="12"/>
                <w:color w:val="auto"/>
              </w:rPr>
              <w:t>(b)</w:t>
            </w:r>
          </w:p>
        </w:tc>
        <w:tc>
          <w:tcPr>
            <w:tcW w:w="1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1,650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Thomas S. Gayner^</w:t>
            </w:r>
            <w:r>
              <w:rPr>
                <w:rFonts w:ascii="Arial" w:cs="Arial" w:eastAsia="Arial" w:hAnsi="Arial"/>
                <w:sz w:val="12"/>
                <w:szCs w:val="12"/>
                <w:color w:val="auto"/>
              </w:rPr>
              <w:t>(d)</w:t>
            </w:r>
          </w:p>
        </w:tc>
        <w:tc>
          <w:tcPr>
            <w:tcW w:w="1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Donald E. Graham^</w:t>
            </w:r>
            <w:r>
              <w:rPr>
                <w:rFonts w:ascii="Arial" w:cs="Arial" w:eastAsia="Arial" w:hAnsi="Arial"/>
                <w:sz w:val="12"/>
                <w:szCs w:val="12"/>
                <w:color w:val="auto"/>
              </w:rPr>
              <w:t>(e)</w:t>
            </w:r>
          </w:p>
        </w:tc>
        <w:tc>
          <w:tcPr>
            <w:tcW w:w="1940" w:type="dxa"/>
            <w:vAlign w:val="bottom"/>
            <w:gridSpan w:val="2"/>
          </w:tcPr>
          <w:p>
            <w:pPr>
              <w:jc w:val="center"/>
              <w:ind w:right="768"/>
              <w:spacing w:after="0" w:line="149" w:lineRule="exact"/>
              <w:rPr>
                <w:sz w:val="20"/>
                <w:szCs w:val="20"/>
                <w:color w:val="auto"/>
              </w:rPr>
            </w:pPr>
            <w:r>
              <w:rPr>
                <w:rFonts w:ascii="Arial" w:cs="Arial" w:eastAsia="Arial" w:hAnsi="Arial"/>
                <w:sz w:val="14"/>
                <w:szCs w:val="14"/>
                <w:color w:val="auto"/>
                <w:w w:val="94"/>
              </w:rPr>
              <w:t>546,311 (56.7%)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561,102</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(11.4%)</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1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Jack A. Markell^</w:t>
            </w:r>
          </w:p>
        </w:tc>
        <w:tc>
          <w:tcPr>
            <w:tcW w:w="1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r>
      <w:tr>
        <w:trPr>
          <w:trHeight w:val="149"/>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Anne M. Mulcahy^</w:t>
            </w:r>
          </w:p>
        </w:tc>
        <w:tc>
          <w:tcPr>
            <w:tcW w:w="1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Timothy J. O’Shaughnessy^+</w:t>
            </w:r>
            <w:r>
              <w:rPr>
                <w:rFonts w:ascii="Arial" w:cs="Arial" w:eastAsia="Arial" w:hAnsi="Arial"/>
                <w:sz w:val="12"/>
                <w:szCs w:val="12"/>
                <w:color w:val="auto"/>
              </w:rPr>
              <w:t>(f)</w:t>
            </w:r>
          </w:p>
        </w:tc>
        <w:tc>
          <w:tcPr>
            <w:tcW w:w="1940" w:type="dxa"/>
            <w:vAlign w:val="bottom"/>
            <w:gridSpan w:val="2"/>
          </w:tcPr>
          <w:p>
            <w:pPr>
              <w:jc w:val="center"/>
              <w:ind w:right="768"/>
              <w:spacing w:after="0" w:line="149" w:lineRule="exact"/>
              <w:rPr>
                <w:sz w:val="20"/>
                <w:szCs w:val="20"/>
                <w:color w:val="auto"/>
              </w:rPr>
            </w:pPr>
            <w:r>
              <w:rPr>
                <w:rFonts w:ascii="Arial" w:cs="Arial" w:eastAsia="Arial" w:hAnsi="Arial"/>
                <w:sz w:val="14"/>
                <w:szCs w:val="14"/>
                <w:color w:val="auto"/>
                <w:w w:val="93"/>
              </w:rPr>
              <w:t>51,326 (5.3%)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153,508</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(3.5%)</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r>
              <w:rPr>
                <w:rFonts w:ascii="Arial" w:cs="Arial" w:eastAsia="Arial" w:hAnsi="Arial"/>
                <w:sz w:val="12"/>
                <w:szCs w:val="12"/>
                <w:color w:val="auto"/>
              </w:rPr>
              <w:t>(g)</w:t>
            </w:r>
          </w:p>
        </w:tc>
        <w:tc>
          <w:tcPr>
            <w:tcW w:w="1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86,253</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Larry D. Thompson^</w:t>
            </w:r>
          </w:p>
        </w:tc>
        <w:tc>
          <w:tcPr>
            <w:tcW w:w="1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 Richard Wagoner, Jr.^</w:t>
            </w:r>
            <w:r>
              <w:rPr>
                <w:rFonts w:ascii="Arial" w:cs="Arial" w:eastAsia="Arial" w:hAnsi="Arial"/>
                <w:sz w:val="12"/>
                <w:szCs w:val="12"/>
                <w:color w:val="auto"/>
              </w:rPr>
              <w:t>(h)</w:t>
            </w:r>
          </w:p>
        </w:tc>
        <w:tc>
          <w:tcPr>
            <w:tcW w:w="1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Katharine Weymouth^</w:t>
            </w:r>
          </w:p>
        </w:tc>
        <w:tc>
          <w:tcPr>
            <w:tcW w:w="1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3,649</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(b)</w:t>
            </w:r>
          </w:p>
        </w:tc>
      </w:tr>
      <w:tr>
        <w:trPr>
          <w:trHeight w:val="130"/>
        </w:trPr>
        <w:tc>
          <w:tcPr>
            <w:tcW w:w="7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All Directors, named executive officers and remaining executive officers as a group, eliminating duplications (16</w:t>
            </w:r>
          </w:p>
        </w:tc>
        <w:tc>
          <w:tcPr>
            <w:tcW w:w="5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individuals)</w:t>
            </w:r>
            <w:r>
              <w:rPr>
                <w:rFonts w:ascii="Arial" w:cs="Arial" w:eastAsia="Arial" w:hAnsi="Arial"/>
                <w:sz w:val="12"/>
                <w:szCs w:val="12"/>
                <w:color w:val="auto"/>
              </w:rPr>
              <w:t>(i)</w:t>
            </w:r>
          </w:p>
        </w:tc>
        <w:tc>
          <w:tcPr>
            <w:tcW w:w="1940" w:type="dxa"/>
            <w:vAlign w:val="bottom"/>
            <w:gridSpan w:val="2"/>
            <w:shd w:val="clear" w:color="auto" w:fill="CCEEFF"/>
          </w:tcPr>
          <w:p>
            <w:pPr>
              <w:jc w:val="center"/>
              <w:ind w:right="768"/>
              <w:spacing w:after="0"/>
              <w:rPr>
                <w:sz w:val="20"/>
                <w:szCs w:val="20"/>
                <w:color w:val="auto"/>
              </w:rPr>
            </w:pPr>
            <w:r>
              <w:rPr>
                <w:rFonts w:ascii="Arial" w:cs="Arial" w:eastAsia="Arial" w:hAnsi="Arial"/>
                <w:sz w:val="14"/>
                <w:szCs w:val="14"/>
                <w:color w:val="auto"/>
                <w:w w:val="94"/>
              </w:rPr>
              <w:t>597,637 (62.0%)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825,612</w:t>
            </w: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-1525270</wp:posOffset>
            </wp:positionV>
            <wp:extent cx="26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 w:right="340" w:hanging="4"/>
        <w:spacing w:after="0" w:line="322" w:lineRule="auto"/>
        <w:tabs>
          <w:tab w:leader="none" w:pos="184"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Unless otherwise indicated, the Directors and officers listed have sole voting and investment power with respect to such securities. None of the securities has been pledged as security. ^ Director</w:t>
      </w:r>
    </w:p>
    <w:p>
      <w:pPr>
        <w:ind w:left="4"/>
        <w:spacing w:after="0"/>
        <w:rPr>
          <w:rFonts w:ascii="Arial" w:cs="Arial" w:eastAsia="Arial" w:hAnsi="Arial"/>
          <w:sz w:val="14"/>
          <w:szCs w:val="14"/>
          <w:color w:val="auto"/>
        </w:rPr>
      </w:pPr>
      <w:r>
        <w:rPr>
          <w:rFonts w:ascii="Arial" w:cs="Arial" w:eastAsia="Arial" w:hAnsi="Arial"/>
          <w:sz w:val="14"/>
          <w:szCs w:val="14"/>
          <w:color w:val="auto"/>
        </w:rPr>
        <w:t>+  NamedExecutive Officer</w:t>
      </w:r>
    </w:p>
    <w:p>
      <w:pPr>
        <w:spacing w:after="0" w:line="55" w:lineRule="exact"/>
        <w:rPr>
          <w:sz w:val="20"/>
          <w:szCs w:val="20"/>
          <w:color w:val="auto"/>
        </w:rPr>
      </w:pPr>
    </w:p>
    <w:p>
      <w:pPr>
        <w:ind w:left="324" w:hanging="324"/>
        <w:spacing w:after="0"/>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964,001 shares of Class B Stock issuable upon conversion of shares of Class A Stock.</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666 shares Mr. Cooney has the right to purchase, pursuant to stock options.</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Table of “Principal Holders of Stock” on page 15.</w:t>
      </w:r>
    </w:p>
    <w:p>
      <w:pPr>
        <w:spacing w:after="0" w:line="55" w:lineRule="exact"/>
        <w:rPr>
          <w:rFonts w:ascii="Arial" w:cs="Arial" w:eastAsia="Arial" w:hAnsi="Arial"/>
          <w:sz w:val="14"/>
          <w:szCs w:val="14"/>
          <w:color w:val="auto"/>
        </w:rPr>
      </w:pPr>
    </w:p>
    <w:p>
      <w:pPr>
        <w:jc w:val="both"/>
        <w:ind w:left="324" w:right="40" w:hanging="324"/>
        <w:spacing w:after="0" w:line="238"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Class A Stock includes 2,700 shares held by Mr. O’Shaughnessy’s spouse and 48,626 shares held in a trust for Mr. O’Shaughnessy’s spouse. Class B Stock includes 4,399 shares held by Mr. O’Shaughnessy’s spouse and 5,600 shares held in trusts for the benefit of Mr. O’Shaughnessy’s spouse and children. He is a trustee but not a beneficiary of such trusts and disclaims beneficial ownership. Includes 79,541 shares Mr. O’Shaughnessy has the right to purchase, pursuant to stock options.</w:t>
      </w:r>
    </w:p>
    <w:p>
      <w:pPr>
        <w:spacing w:after="0" w:line="34" w:lineRule="exact"/>
        <w:rPr>
          <w:rFonts w:ascii="Arial" w:cs="Arial" w:eastAsia="Arial" w:hAnsi="Arial"/>
          <w:sz w:val="14"/>
          <w:szCs w:val="14"/>
          <w:color w:val="auto"/>
        </w:rPr>
      </w:pPr>
    </w:p>
    <w:p>
      <w:pPr>
        <w:ind w:left="324" w:right="360" w:hanging="324"/>
        <w:spacing w:after="0" w:line="253"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77,258 shares Mr. Rosen has the right to purchase, pursuant to stock options. In addition to the stock set forth above, Mr. Rosen holds 7,206 shares of Kaplan stock, which represents less than 1% of the total outstanding stock of Kaplan, Inc.</w:t>
      </w:r>
    </w:p>
    <w:p>
      <w:pPr>
        <w:spacing w:after="0" w:line="25" w:lineRule="exact"/>
        <w:rPr>
          <w:rFonts w:ascii="Arial" w:cs="Arial" w:eastAsia="Arial" w:hAnsi="Arial"/>
          <w:sz w:val="14"/>
          <w:szCs w:val="14"/>
          <w:color w:val="auto"/>
        </w:rPr>
      </w:pPr>
    </w:p>
    <w:p>
      <w:pPr>
        <w:ind w:left="324" w:hanging="324"/>
        <w:spacing w:after="0"/>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Shares are held in a revocable trust.</w:t>
      </w:r>
    </w:p>
    <w:p>
      <w:pPr>
        <w:spacing w:after="0" w:line="55" w:lineRule="exact"/>
        <w:rPr>
          <w:rFonts w:ascii="Arial" w:cs="Arial" w:eastAsia="Arial" w:hAnsi="Arial"/>
          <w:sz w:val="14"/>
          <w:szCs w:val="14"/>
          <w:color w:val="auto"/>
        </w:rPr>
      </w:pPr>
    </w:p>
    <w:p>
      <w:pPr>
        <w:ind w:left="324" w:right="560" w:hanging="324"/>
        <w:spacing w:after="0" w:line="253"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165,017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4" w:right="20" w:firstLine="991"/>
        <w:spacing w:after="0" w:line="273" w:lineRule="auto"/>
        <w:rPr>
          <w:sz w:val="20"/>
          <w:szCs w:val="20"/>
          <w:color w:val="auto"/>
        </w:rPr>
      </w:pPr>
      <w:r>
        <w:rPr>
          <w:rFonts w:ascii="Arial" w:cs="Arial" w:eastAsia="Arial" w:hAnsi="Arial"/>
          <w:sz w:val="17"/>
          <w:szCs w:val="17"/>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2019 were made in a timely manner, except for one Form 4 on behalf of Mr. O’Shaughnessy that was not filed on a timely basis to report shares held by Mr. O’Shaughnessy’s spouse, which transaction has been reported on a Form 5. Such Form 5 also reports four dividend reinvestment plan acquisitions and one private exchange that were due on Form 5 and Form 4, respectively, in 2018, in each case in respect of shares held by Mr. O’Shaughnessy’s spouse.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69"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2: ADVISORY VOTE TO APPROVE 2019 COMPENSATION AWARDED TO NAMED EXECUTIVE OFFICERS</w:t>
      </w:r>
    </w:p>
    <w:p>
      <w:pPr>
        <w:spacing w:after="0" w:line="22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2019. On May 4, 2017,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81"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b w:val="1"/>
          <w:bCs w:val="1"/>
          <w:color w:val="auto"/>
        </w:rPr>
        <w:t>Resolved, that the compensation paid to the Company’s named executive officers for 2019, as disclosed pursuant to the compensation disclosure rules of the SEC, including the Compensation Discussion and Analysis, the compensation tables, narrative discussion and related material included in this Proxy Statement, is hereby APPROVED.</w:t>
      </w:r>
    </w:p>
    <w:p>
      <w:pPr>
        <w:spacing w:after="0" w:line="176"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THE BOARD OF DIRECTORS RECOMMENDS THAT CLASS A SHAREHOLDERS VOTE “FOR” THE APPROVAL OF THE FOREGOING RESOLUTION.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18" w:name="page19"/>
    <w:bookmarkEnd w:id="1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COMPENSATION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1" w:lineRule="exact"/>
        <w:rPr>
          <w:sz w:val="20"/>
          <w:szCs w:val="20"/>
          <w:color w:val="auto"/>
        </w:rPr>
      </w:pPr>
    </w:p>
    <w:p>
      <w:pPr>
        <w:ind w:left="4" w:right="200" w:firstLine="991"/>
        <w:spacing w:after="0" w:line="263" w:lineRule="auto"/>
        <w:rPr>
          <w:sz w:val="20"/>
          <w:szCs w:val="20"/>
          <w:color w:val="auto"/>
        </w:rPr>
      </w:pPr>
      <w:r>
        <w:rPr>
          <w:rFonts w:ascii="Arial" w:cs="Arial" w:eastAsia="Arial" w:hAnsi="Arial"/>
          <w:sz w:val="18"/>
          <w:szCs w:val="18"/>
          <w:color w:val="auto"/>
        </w:rPr>
        <w:t>This Compensation Discussion and Analysis describes the Company’s executive compensation principles and programs, with a focus on the decisions of the Compensation Committee of the Board of Directors (the “Committee”) regarding 2019 compensation for the Company’s named executive officers. The named executive officers for 2019 were as follows:</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Name</w:t>
            </w:r>
          </w:p>
        </w:tc>
        <w:tc>
          <w:tcPr>
            <w:tcW w:w="6600" w:type="dxa"/>
            <w:vAlign w:val="bottom"/>
            <w:gridSpan w:val="3"/>
          </w:tcPr>
          <w:p>
            <w:pPr>
              <w:ind w:left="64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60" w:type="dxa"/>
            <w:vAlign w:val="bottom"/>
            <w:gridSpan w:val="2"/>
          </w:tcPr>
          <w:p>
            <w:pPr>
              <w:spacing w:after="0" w:line="195" w:lineRule="exact"/>
              <w:rPr>
                <w:sz w:val="20"/>
                <w:szCs w:val="20"/>
                <w:color w:val="auto"/>
              </w:rPr>
            </w:pPr>
            <w:r>
              <w:rPr>
                <w:rFonts w:ascii="Arial" w:cs="Arial" w:eastAsia="Arial" w:hAnsi="Arial"/>
                <w:sz w:val="18"/>
                <w:szCs w:val="18"/>
                <w:color w:val="auto"/>
              </w:rPr>
              <w:t>Timothy J. O’Shaughnessy</w:t>
            </w:r>
          </w:p>
        </w:tc>
        <w:tc>
          <w:tcPr>
            <w:tcW w:w="640" w:type="dxa"/>
            <w:vAlign w:val="bottom"/>
            <w:vMerge w:val="continue"/>
          </w:tcPr>
          <w:p>
            <w:pPr>
              <w:spacing w:after="0"/>
              <w:rPr>
                <w:sz w:val="16"/>
                <w:szCs w:val="16"/>
                <w:color w:val="auto"/>
              </w:rPr>
            </w:pPr>
          </w:p>
        </w:tc>
        <w:tc>
          <w:tcPr>
            <w:tcW w:w="5960" w:type="dxa"/>
            <w:vAlign w:val="bottom"/>
            <w:gridSpan w:val="2"/>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Wallace R. Cooney</w:t>
            </w:r>
          </w:p>
        </w:tc>
        <w:tc>
          <w:tcPr>
            <w:tcW w:w="6600" w:type="dxa"/>
            <w:vAlign w:val="bottom"/>
            <w:gridSpan w:val="3"/>
          </w:tcPr>
          <w:p>
            <w:pPr>
              <w:ind w:left="640"/>
              <w:spacing w:after="0"/>
              <w:rPr>
                <w:sz w:val="20"/>
                <w:szCs w:val="20"/>
                <w:color w:val="auto"/>
              </w:rPr>
            </w:pPr>
            <w:r>
              <w:rPr>
                <w:rFonts w:ascii="Arial" w:cs="Arial" w:eastAsia="Arial" w:hAnsi="Arial"/>
                <w:sz w:val="18"/>
                <w:szCs w:val="18"/>
                <w:color w:val="auto"/>
              </w:rPr>
              <w:t>Senior Vice President–Finance and Chief Financial Officer</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Andrew S. Rosen</w:t>
            </w:r>
          </w:p>
        </w:tc>
        <w:tc>
          <w:tcPr>
            <w:tcW w:w="6600" w:type="dxa"/>
            <w:vAlign w:val="bottom"/>
            <w:gridSpan w:val="3"/>
          </w:tcPr>
          <w:p>
            <w:pPr>
              <w:ind w:left="640"/>
              <w:spacing w:after="0"/>
              <w:rPr>
                <w:sz w:val="20"/>
                <w:szCs w:val="20"/>
                <w:color w:val="auto"/>
              </w:rPr>
            </w:pPr>
            <w:r>
              <w:rPr>
                <w:rFonts w:ascii="Arial" w:cs="Arial" w:eastAsia="Arial" w:hAnsi="Arial"/>
                <w:sz w:val="18"/>
                <w:szCs w:val="18"/>
                <w:color w:val="auto"/>
                <w:w w:val="90"/>
              </w:rPr>
              <w:t>Chairman–Kaplan, Inc. and Executive Vice President–Graham Holdings Company</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Nicole M. Maddrey</w:t>
            </w:r>
          </w:p>
        </w:tc>
        <w:tc>
          <w:tcPr>
            <w:tcW w:w="6600" w:type="dxa"/>
            <w:vAlign w:val="bottom"/>
            <w:gridSpan w:val="3"/>
          </w:tcPr>
          <w:p>
            <w:pPr>
              <w:ind w:left="6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Denise M. Demeter</w:t>
            </w:r>
          </w:p>
        </w:tc>
        <w:tc>
          <w:tcPr>
            <w:tcW w:w="6600" w:type="dxa"/>
            <w:vAlign w:val="bottom"/>
            <w:gridSpan w:val="3"/>
          </w:tcPr>
          <w:p>
            <w:pPr>
              <w:ind w:left="640"/>
              <w:spacing w:after="0"/>
              <w:rPr>
                <w:sz w:val="20"/>
                <w:szCs w:val="20"/>
                <w:color w:val="auto"/>
              </w:rPr>
            </w:pPr>
            <w:r>
              <w:rPr>
                <w:rFonts w:ascii="Arial" w:cs="Arial" w:eastAsia="Arial" w:hAnsi="Arial"/>
                <w:sz w:val="18"/>
                <w:szCs w:val="18"/>
                <w:color w:val="auto"/>
              </w:rPr>
              <w:t>Vice President–Chief Human Resources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The Committee has responsibility for establishing and continually monitoring adherence to the Company’s compensation philosophy–a philosophy designed to attract, retain and motivate qualified and talented employees who are enthusiastic about the Company’s mission and culture. The Committee, which is composed entirely of independent Directors, chaired by Anne M. Mulcahy and including Lee C. Bollinger, Larry D. Thompson and Katharine Weymouth,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is fair, reasonable and based on performance goals established to increase value for shareholders by facilitating the long-term growth of the Company. The Committee considers both the Company’s short-term and long-term plans in determining compensation. Annual plans are used to motivate and reward management for achieving specific yearly goals. Long-term plans, typically three or more years in duration, are designed to reward cumulative long-term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short-and long-term compensation. Instead, management and the Committee select the method of compensation thought most likely to lead to achievement of the particular goal.</w:t>
      </w:r>
    </w:p>
    <w:p>
      <w:pPr>
        <w:spacing w:after="0" w:line="182" w:lineRule="exact"/>
        <w:rPr>
          <w:sz w:val="20"/>
          <w:szCs w:val="20"/>
          <w:color w:val="auto"/>
        </w:rPr>
      </w:pPr>
    </w:p>
    <w:p>
      <w:pPr>
        <w:ind w:left="4" w:right="40" w:firstLine="991"/>
        <w:spacing w:after="0" w:line="301" w:lineRule="auto"/>
        <w:rPr>
          <w:sz w:val="20"/>
          <w:szCs w:val="20"/>
          <w:color w:val="auto"/>
        </w:rPr>
      </w:pPr>
      <w:r>
        <w:rPr>
          <w:rFonts w:ascii="Arial" w:cs="Arial" w:eastAsia="Arial" w:hAnsi="Arial"/>
          <w:sz w:val="16"/>
          <w:szCs w:val="16"/>
          <w:color w:val="auto"/>
        </w:rPr>
        <w:t>The named executive officers receive an annual salary and participate in performance-based annual bonus plans and three- or four-year cash-based Long-Term Incentive Plans (“LTIPs”) (including the Performance Unit Plan and/or the Kaplan LTIP in the case of Mr. Rosen) and, in certain circumstances, have received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Committee Role and Responsibility</w:t>
      </w:r>
    </w:p>
    <w:p>
      <w:pPr>
        <w:spacing w:after="0" w:line="229"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w:t>
      </w:r>
    </w:p>
    <w:p>
      <w:pPr>
        <w:spacing w:after="0" w:line="4" w:lineRule="exact"/>
        <w:rPr>
          <w:sz w:val="20"/>
          <w:szCs w:val="20"/>
          <w:color w:val="auto"/>
        </w:rPr>
      </w:pPr>
    </w:p>
    <w:p>
      <w:pPr>
        <w:ind w:left="4" w:right="340" w:hanging="4"/>
        <w:spacing w:after="0" w:line="260" w:lineRule="auto"/>
        <w:tabs>
          <w:tab w:leader="none" w:pos="2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President and Chief Executive Officer’s recommendations as to a successor, should he become disabled or unable to perform his duties for an extended period of time, and, annually, (ii) the Company’s efforts at management development.</w:t>
      </w:r>
    </w:p>
    <w:p>
      <w:pPr>
        <w:spacing w:after="0" w:line="18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President and Chief Executive Officer or senior management compensation and has sole authority to approve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19" w:name="page20"/>
    <w:bookmarkEnd w:id="19"/>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consultant’s fees and other retention terms. The Committee also has authority to obtain advice and assistance from internal or external legal, accounting or other advisors. In 2019, the Committee retained Semler Brossy to review the compensation package of Mr. O’Shaughnessy and Laura O’Shaughnessy, a daughter of Donald E. Graham and the wife of Mr. O’Shaughnessy, who serves as Chief Executive Officer of SocialCode, a social-media marketing technology and services company, wholly owned by the Company. The Committee reviews the performance, independence and conflict of interests of its compensation consultant in accordance with applicable standards, and no independence or conflict of interest issues were identified in connection with Semler Brossy.</w:t>
      </w:r>
    </w:p>
    <w:p>
      <w:pPr>
        <w:spacing w:after="0" w:line="192"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During 2019, the Committee met six times. A copy of the Company’s Compensation Committee Charter is available under the “Investor Relations–Corporate Governance” tab at www.ghco.com.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Mr. O’Shaughnessy, President and Chief Executive Officer, and Ms. Denise Demeter, Vice President–Chief Human Resources Officer and secretary of the Committee, attended all six Committee meetings.</w:t>
      </w:r>
    </w:p>
    <w:p>
      <w:pPr>
        <w:spacing w:after="0" w:line="170"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Mr. O’Shaughnessy and Ms. Demeter recommend to the Committee the size of each component of compensation for each of the executive officers (other than their own) and for all employees earning annual salaries of $400,000 or more or bonuses of $250,000 or more. Recommendations may be based on a discussion with the employee’s division head, a review of his or her performance and a comparison of any available compensation survey data for that position and geographic area. The Committee examines each of the suggested compensation actions and, in its sole discretion, modifies the awards when appropriate to better reflect the goals of the Company. The Committee makes all compensation decisions for the executive officers of the Company and relevant employees, except with respect to any perquisites under $200,000 per named executive officer that may be approved by Mr. O’Shaughnessy.</w:t>
      </w:r>
    </w:p>
    <w:p>
      <w:pPr>
        <w:spacing w:after="0" w:line="19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Mr. O’Shaughnessy was not present during the portion of the Committee meetings when his compensation or that of his wife, Laura O’Shaughnessy, was discussed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To meet the Committee’s objectives, at its request, the President and Chief Executive Officer and the secretary of the Committee draft annual and long-term incentive-based cash and non-cash executive compensation plans. The Committee discusses,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87"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The Company adopts a holistic view on executive compensation. The Company compares its named executive officer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The Committee separately reviews the named executive officers’ compensation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2019, the Committee reviewed data from the Equilar Executive Compensation Survey. Where public data for comparable roles were available, the Committee also considered the compensation of its named executive officers in relation to the following peer companies: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80" w:type="dxa"/>
            <w:vAlign w:val="bottom"/>
            <w:tcBorders>
              <w:top w:val="single" w:sz="8" w:color="auto"/>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3"/>
              </w:rPr>
              <w:t>Adtalem Global Education Inc.</w:t>
            </w:r>
          </w:p>
        </w:tc>
        <w:tc>
          <w:tcPr>
            <w:tcW w:w="760" w:type="dxa"/>
            <w:vAlign w:val="bottom"/>
            <w:tcBorders>
              <w:top w:val="single" w:sz="8" w:color="auto"/>
              <w:bottom w:val="single" w:sz="8" w:color="auto"/>
              <w:right w:val="single" w:sz="8" w:color="auto"/>
            </w:tcBorders>
          </w:tcPr>
          <w:p>
            <w:pPr>
              <w:spacing w:after="0"/>
              <w:rPr>
                <w:sz w:val="19"/>
                <w:szCs w:val="19"/>
                <w:color w:val="auto"/>
              </w:rPr>
            </w:pP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Nexstar Media Group, Inc.</w:t>
            </w:r>
          </w:p>
        </w:tc>
      </w:tr>
      <w:tr>
        <w:trPr>
          <w:trHeight w:val="209"/>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4"/>
              </w:rPr>
              <w:t>AMC Networks Inc.</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Scholastic Corporation</w:t>
            </w:r>
          </w:p>
        </w:tc>
      </w:tr>
      <w:tr>
        <w:trPr>
          <w:trHeight w:val="210"/>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3"/>
              </w:rPr>
              <w:t>Cinemark Holdings, Inc.</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Shaw Communications, Inc.</w:t>
            </w:r>
          </w:p>
        </w:tc>
      </w:tr>
      <w:tr>
        <w:trPr>
          <w:trHeight w:val="210"/>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2"/>
              </w:rPr>
              <w:t>Entercom Communications Corporation</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Sinclair Broadcast Group, Inc.</w:t>
            </w:r>
          </w:p>
        </w:tc>
      </w:tr>
      <w:tr>
        <w:trPr>
          <w:trHeight w:val="210"/>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1"/>
              </w:rPr>
              <w:t>Entertainment One Ltd.</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Spectrum Brands Holdings Inc.</w:t>
            </w:r>
          </w:p>
        </w:tc>
      </w:tr>
      <w:tr>
        <w:trPr>
          <w:trHeight w:val="210"/>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5"/>
              </w:rPr>
              <w:t>Houghton Mifflin Harcourt Co.</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Tegna Inc.</w:t>
            </w:r>
          </w:p>
        </w:tc>
      </w:tr>
      <w:tr>
        <w:trPr>
          <w:trHeight w:val="209"/>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1"/>
              </w:rPr>
              <w:t>Laureate Education, Inc.</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New York Times Company</w:t>
            </w:r>
          </w:p>
        </w:tc>
      </w:tr>
      <w:tr>
        <w:trPr>
          <w:trHeight w:val="210"/>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89"/>
              </w:rPr>
              <w:t>Madison Square Garden Company</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Tribune Media Company</w:t>
            </w:r>
          </w:p>
        </w:tc>
      </w:tr>
      <w:tr>
        <w:trPr>
          <w:trHeight w:val="210"/>
        </w:trPr>
        <w:tc>
          <w:tcPr>
            <w:tcW w:w="4880" w:type="dxa"/>
            <w:vAlign w:val="bottom"/>
            <w:tcBorders>
              <w:left w:val="single" w:sz="8" w:color="auto"/>
              <w:bottom w:val="single" w:sz="8" w:color="auto"/>
            </w:tcBorders>
          </w:tcPr>
          <w:p>
            <w:pPr>
              <w:jc w:val="center"/>
              <w:ind w:left="810"/>
              <w:spacing w:after="0"/>
              <w:rPr>
                <w:sz w:val="20"/>
                <w:szCs w:val="20"/>
                <w:color w:val="auto"/>
              </w:rPr>
            </w:pPr>
            <w:r>
              <w:rPr>
                <w:rFonts w:ascii="Arial" w:cs="Arial" w:eastAsia="Arial" w:hAnsi="Arial"/>
                <w:sz w:val="18"/>
                <w:szCs w:val="18"/>
                <w:color w:val="auto"/>
                <w:w w:val="93"/>
              </w:rPr>
              <w:t>Meredith Corporation</w:t>
            </w:r>
          </w:p>
        </w:tc>
        <w:tc>
          <w:tcPr>
            <w:tcW w:w="76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Wiley John &amp; Sons Inc.</w:t>
            </w:r>
          </w:p>
        </w:tc>
      </w:tr>
      <w:tr>
        <w:trPr>
          <w:trHeight w:val="358"/>
        </w:trPr>
        <w:tc>
          <w:tcPr>
            <w:tcW w:w="48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540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0" w:name="page21"/>
    <w:bookmarkEnd w:id="20"/>
    <w:p>
      <w:pPr>
        <w:ind w:right="8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described below, a significant portion of the Company’s executive compensation is linked directly to business unit and corporate performance and stock appreciation. Section 162(m) of the Internal Revenue Code, as was in effect prior to 2018, provided that compensation in excess of $1 million per year paid to the Company’s chief executive officer and the three other highest paid executive officers (other than the chief financial officer) would not be deductible unless it qualified as “performance-based” compensation. The Tax Cuts and Jobs Act, which was signed into law in December 2017, eliminated the exception for “performance-based” compensation and expanded the scope of executives considered to be “covered employees” subject to Section 162(m) with respect to 2018 and future years. As a result, except to the extent that compensation is eligible for limited transition relief applicable to binding contracts in effect on November 2, 2017, in general, compensation over $1 million per year paid to any named executive officer (and anyone who was otherwise a “covered employee” for purposes of Section 162(m) for any year, beginning with 2017) is nondeductible under Section 162(m).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Program</w:t>
      </w:r>
    </w:p>
    <w:p>
      <w:pPr>
        <w:spacing w:after="0" w:line="229"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During 2019, the Compensation Committee met with Mr. O’Shaughnessy and Ms. Demeter to review and discuss the impact of executive compensation programs on organizational risk. The Compensation Committee determined that 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 In addition, the Company’s insider trading policy, which prohibits directors and executive officers from engaging in hedging transactions with respect to the Company’s securities in order to hedge the economic risk of owning the Company’s securities, is intended to enhance the Company’s efforts at risk mitigation.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compensation package offered by the Company to its executive officers comprises the following components:</w:t>
      </w:r>
    </w:p>
    <w:p>
      <w:pPr>
        <w:spacing w:after="0" w:line="50" w:lineRule="exact"/>
        <w:rPr>
          <w:sz w:val="20"/>
          <w:szCs w:val="20"/>
          <w:color w:val="auto"/>
        </w:rPr>
      </w:pPr>
    </w:p>
    <w:p>
      <w:pPr>
        <w:ind w:left="2180" w:hanging="429"/>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Short-term cash incentive compensation in the form of performance-based annual bonuses;</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cash incentive compensation, typically based on performance over three or more years;</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and/or stock options; and</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Company pays the named executive officers base salaries to compensate them for services rendered during the fiscal year. Salaries for the named executive officers are based on their responsibilities, their prior experience and their recent performance and are evaluated against market data provided by outside surveys or publicly available information (such as the proxy filings of peer companies). For additional details on the use of outside surveys and other publicly available information, see “Setting Executive Compensation” above. Salaries are typically reviewed on a 12-month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9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With respect to the base salary paid to Mr. O’Shaughnessy in 2019, the Committee considered the base salaries paid to president and chief executive officers of peer companies and the Company’s results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22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To supplement base salaries and to reward management (including the named executive officers and other employees key to the long-term success of the Company) for meeting specific individual and financial goals, the Class A and Class B Shareholders of the Company adopted the 2012 ICP in May 2012. Prior to the adoption of the 2012 ICP, performance-based incentive compensation was awarded under the Incentive Compensation Plan (adopted in 2001) or the Stock Option Plan (reauthorized in 2003).</w:t>
      </w:r>
    </w:p>
    <w:p>
      <w:pPr>
        <w:spacing w:after="0" w:line="187"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The purpose of these plans was and is to provide greater incentives to those employees who have been or will be responsible for the Company’s future growth, profitability and continued success and to strengthen the ability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1" w:name="page22"/>
    <w:bookmarkEnd w:id="21"/>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attract, motivate and retain such employees. There are at present approximately 129 employees of the Company who are participants in the 2012 ICP and receive annual bonus awards and/or hold restricted stock, stock options, Performance Units or LTIP units granted under the 2012 ICP. The named executive officers participate in certain of these programs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The 2012 ICP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2019 target annual bonus award for each of the named executive officers, as a percentage of base salary, was as follows: Mr. O’Shaughnessy, 100%; Mr. Rosen, 100%; Mr. Cooney, 50%; Ms. Maddrey, 40%; and Ms. Demeter, 40%. None of the target bonuses for the named executive officers changed in 2019.</w:t>
      </w:r>
    </w:p>
    <w:p>
      <w:pPr>
        <w:spacing w:after="0" w:line="16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In 2019,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For details regarding Mr. Rosen’s annual bonus, see below.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2019 annual bonus for the applicable named executive officers (which would be paid at a threshold level of 50% of target bonus), and the maximum potential payout available in the event 140% of the diluted earnings per share target for the Company is attained (which would be paid at a maximum level of 200% of the target bonus). Management and the Committee believe that they have designed the targets to be challenging, but achievable. The Company has achieved its financial goals and paid out at or above target in the annual bonus portion of the 2012 ICP in three of the past five years; in 2019 and 2017, the Company achieved less than 100% of its earnings per share goal, as adjusted to exclude certain items.</w:t>
      </w:r>
    </w:p>
    <w:p>
      <w:pPr>
        <w:spacing w:after="0" w:line="18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The diluted earnings per share goal for 2019 was $39.02. In setting the goal for annual bonuses, the Committee established a formula that included adjustments for certain items, to the extent that actual amounts varied from those in the 2019 annual budget. Specifically, these adjustments included an addition for foreign exchange losses. This addition was offset by a pension budget variance, gains on unbudgeted new acquisitions, investments and dispositions, and a Kaplan stock compensation expense variance.</w:t>
      </w:r>
    </w:p>
    <w:p>
      <w:pPr>
        <w:spacing w:after="0" w:line="18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In calculating the Company’s achievement of 2019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additions for an unbudgeted provision recorded at Kaplan related to a VAT receivable; unbudgeted intangible and long-lived asset impairment charges; budgeted gains related to spectrum repack credits not realized at the television broadcasting division; the unbudgeted unfavorable impact of new network agreements at the television broadcasting division; LTIP expense variance from budget at SocialCode, Graham Healthcare Group, CyberVista, Megaphone and Dekko; and unbudgeted costs at CyberVista, Forney and Slate. These additions were offset by deductions for unbudgeted net gains on marketable and other equity securities, and favorable income tax adjustments related to stock compensation and an unbudgeted benefit related to a favorable tax rate. The Committee adjusted for these items as they do not relate to the regular operating results that are customarily considered by the Committee in determining bonus amounts. Page 42 of the Company’s 2019 Annual Report on Form 10-K, filed with the SEC on February 26, 2020, detailed $11.16 in diluted earnings per share net deductions, which comprise most of these discretionary items.</w:t>
      </w:r>
    </w:p>
    <w:p>
      <w:pPr>
        <w:spacing w:after="0" w:line="182"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Taking into account these adjustments, the Company’s 2019 diluted earnings per share, as adjusted for purposes of the bonus determination, was $38.00 (compared to reported diluted earnings per share of $61.21), resulting in the Company’s achievement of 97.4% of its revised earnings per share goal for 2019. As a result, the annual bonus payout was approximately 93.5% of target, based on the established annual formula.</w:t>
      </w:r>
    </w:p>
    <w:p>
      <w:pPr>
        <w:spacing w:after="0" w:line="149"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For Mr. Rosen, 25% of his bonus was based on Mr. Rosen’s performance of his responsibilities relating to Graham Holdings Company, with a potential payout of 0% to 200% of target, as described above with respect to the other named executive officers, and the remaining 75% was tied to Kaplan’s enterprise operating income target of $120.5 million (this target excludes budgeted restructuring and other costs related to business closures and was adjusted for acquisitions) weighted at 80% and Kaplan’s enterprise revenue target of $1,481.8 million weighted at 20%. The potential payouts for the Kaplan component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2" w:name="page23"/>
    <w:bookmarkEnd w:id="22"/>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Rosen’s bonus amount range from 0% to 190% of target, with a threshold achievement of 80% for the operating income target and 90% for the enterprise revenue target, and the maximum potential payout available in the event 161% of the operating income target is attained and 113% of the enterprise revenue target is met. When aggregating the potential payouts for all components of Mr. Rosen’s annual bonus, the potential payouts range from 0% to 193% of target. In calculating Kaplan’s enterprise operating income, on this basis, Kaplan achieved adjusted enterprise operating income of $102.2 million versus a target of $120.5 million, or 85% achievement, which resulted in payout of the portion of Mr. Rosen’s bonus attributable to Kaplan’s enterprise operating income of 62% of target. Kaplan enterprise revenue totaled $1,467.5 million (adjusted for unbudgeted foreign exchange impact) versus a target of $1,481.8 million, or 99% achievement, which resulted in payout of the portion of Mr. Rosen’s bonus attributable to Kaplan’s enterprise revenue of 86% of target. Thus, the total percentage achievement of the Kaplan portion of Mr. Rosen’s bonus totaled 67% of target, or $815,829.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20" w:firstLine="991"/>
        <w:spacing w:after="0" w:line="290" w:lineRule="auto"/>
        <w:rPr>
          <w:sz w:val="20"/>
          <w:szCs w:val="20"/>
          <w:color w:val="auto"/>
        </w:rPr>
      </w:pPr>
      <w:r>
        <w:rPr>
          <w:rFonts w:ascii="Arial" w:cs="Arial" w:eastAsia="Arial" w:hAnsi="Arial"/>
          <w:sz w:val="16"/>
          <w:szCs w:val="16"/>
          <w:color w:val="auto"/>
        </w:rPr>
        <w:t>To align the interests of the Company’s shareholders and management and to ensure that the full potential of an executive’s compensation package cannot be realized unless stock appreciation occurs over a number of years, the 2012 ICP also provides for grants of restricted stock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The shares generally cliff vest at the conclusion of a four-year vesting period and accelerate vesting only at the discretion of the Committee. The named executive officers, excluding Mr. O’Shaughnessy, generally receive grants of restricted stock every other year. Restricted stock grants were made in January 2017 and January 2019. The 2017 grants will vest in January 2021 and the 2019 grants will vest in January 2023. For additional information regarding the restricted stock awards, see the Outstanding Equity Awards at Fiscal Year-End table.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To highlight specific long-term financial goals, the 2012 ICP provides for the grant of performance-based compensation, which the Company grants pursuant to its Performance Unit Plan, and, in the case of Mr. Rosen, the Kaplan LTIPs, described below. The named executive officers participate in these plans, in which performance-based goals are determined at the beginning of each three- or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the past four award cycles, the Company achieved or exceeded its goals and paid out at or above target. Each Performance Unit has a target value of $100 and a maximum potential payout of $200. The payment of a total award to any individual at the end of an award cycle may not exceed $5 million.</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92"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Awards under the 2017–2020 cycle are based on a three-pronged formula consisting of (1) the value of Kaplan’s cumulative operating income for 2017–2020, excluding amortization of intangibles, Kaplan stock compensation and restructuring charges (up to 30% of a $200 per-unit maximum); plus (2) the value of a Performance Unit under the Graham Media Group valuation as set forth below (up to 30% of a $200 per-unit maximum); plus (3) an amount based on cumulative operating income, excluding amortization of intangibles, during the four-year period for SocialCode (excluding LTIP costs), Slate, Megaphone (formerly known as Panoply), Foreign Policy, Graham Healthcare Group (including equity in earnings of affiliates), Group Dekko, Forney Corporation, Joyce/Dayton Corporation and Hoover Treated Wood Products (up to 40% of a $200 per-unit maximum). In September 2017, the Committee approved an amendment to the 2017–2020 Corporate Performance Unit Plan to include cumulative operating income goals for Hoover Treated Wood Products (acquired by the Company in the second quarter of 2017) and to include two new GMG stations, WSLS and WCWJ (acquired by Graham Media Group in the first quarter of 2017).</w:t>
      </w:r>
    </w:p>
    <w:p>
      <w:pPr>
        <w:spacing w:after="0" w:line="181"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Awards under the 2019–2022 cycle are based on a five-pronged formula consisting of (1) the value of Kaplan Higher Education’s cumulative operating income during the four-year period excluding amortization of intangibles and restructuring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charges (up to 10% of the total $200 maximum payout per unit); plus (2) the value of Other Kaplan Businesses’ (Total Kaplan excluding Kaplan Higher Education) cumulative operating income during the four-year period excluding amortization of intangibles, Kaplan stock compensation and restructuring charges (up to 20% of the total $200 maximum payout per unit); plus (3) the value of a Performance Unit under the Graham Media Group valuation during the four-year period, as set forth below (up to 30% of the total $200 maximum payout per unit); plus (4) the value of cumulative operating income excluding amortization of intangibles during the four-year period for Hoover, Dekko and Joyce (up to 20% of the total $200 maximum payout per unit); plus (5) the value of the cumulative operating income excluding amortization of intangibles during the four-year period for Graham Healthcare Group (including equity in earnings of affiliates), Graham Automotive, SocialCode (excluding LTIP costs), Slate, Megaphone (excluding LTIP costs), Foreign Policy, and CyberVista (excluding LTIP costs) (up to 20% of the total $200 maximum payout per unit).</w:t>
      </w:r>
    </w:p>
    <w:p>
      <w:pPr>
        <w:spacing w:after="0" w:line="178"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Committee selected these targets because they reflected the key priorities for the Company on the grant date (or the amendment date, as applicable) for the applicable time periods. The values of Performance Units in the 2017–2020 and the 2019–2022 cycles are determined at the conclusion of those cycles based on the performance criteria described below.</w:t>
      </w:r>
    </w:p>
    <w:p>
      <w:pPr>
        <w:spacing w:after="0" w:line="184"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For the 2017–2020 cycle, the performance measure used for Kaplan is the cumulative operating income over the four-year period of $500 million, adjusted to exclude amortization of intangibles, Kaplan stock compensation and restructuring charges.</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For the 2019–2022 cycle, the performance measure used for Kaplan is a two-pronged formula consisting of (1) Kaplan Higher Education’s cumulative operating income of $65 million during the four-year period excluding amortization of intangibles and restructuring charges; and (2) the value of Kaplan Other Businesses’ (Total Kaplan excluding Kaplan Higher Education) cumulative operating income of $431 million, excluding amortization of intangibles, Kaplan stock compensation and restructuring charges.</w:t>
      </w:r>
    </w:p>
    <w:p>
      <w:pPr>
        <w:spacing w:after="0" w:line="187"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performance measure used for GMG for both the 2017–2020 and 2019–2022 cycles is GMG’s cumulative cash flow margin ranking over the applicable four-year period compared to the cash flow margins of selected peer companies at the end of the award cycle. Cash flow margin is computed based on operating income before corporate allocation and before charges for interest, depreciation and amortization.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16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2017–2020 and</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2019–</w:t>
            </w:r>
          </w:p>
        </w:tc>
        <w:tc>
          <w:tcPr>
            <w:tcW w:w="0" w:type="dxa"/>
            <w:vAlign w:val="bottom"/>
          </w:tcPr>
          <w:p>
            <w:pPr>
              <w:spacing w:after="0"/>
              <w:rPr>
                <w:sz w:val="1"/>
                <w:szCs w:val="1"/>
                <w:color w:val="auto"/>
              </w:rPr>
            </w:pPr>
          </w:p>
        </w:tc>
      </w:tr>
      <w:tr>
        <w:trPr>
          <w:trHeight w:val="17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8"/>
              </w:rPr>
              <w:t>GMG Cash Flow Margin Rank</w:t>
            </w: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2022 Cycles:</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vMerge w:val="continue"/>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Unit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4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#2</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Below #3</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GMG formula for both the 2017–2020 and 2019–2022 award cycles provides that the payout value will be increased by $6.25 for each of the four years during the award cycle in which GMG’s actual cash flow margin is not only number one among peer companies, but is also 2% higher than that of the nearest competitor among the peer companies.</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In both the 2017–2020 and 2019–2022 award cycles, the formula also provides that the payout value will be reduced by 50% if GMG does not produce operating income (excluding amortization of intangible assets and impairments of long-lived assets) in one of the four years during the award cycle. Also, if GMG does not produce operating income for at least two years in the cycle, then there will be no payout with respect to the portion of performance attributable to GMG.</w:t>
      </w:r>
    </w:p>
    <w:p>
      <w:pPr>
        <w:spacing w:after="0" w:line="18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For the 2017–2020 award cycle, the performance measure during the four-year period for SocialCode, Slate, Megaphone, Foreign Policy, Graham Healthcare Group, Group Dekko, Forney Corporation, Joyce/Dayton Corp. and Hoover Treated Wood Products is based on cumulative operating income of $281 million, excluding amortization of intangibles.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For the 2019–2022 award cycle, the performance measure for the Manufacturing Businesses is cumulative operating income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$245 million, excluding amortization of intangibles. The Manufacturing Businesses include Hoover, Dekko and Joyce. In addition, the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 for the following other businesses is cumulative operating income of $87 million excluding amortization of intangibles, for Graham Healthcare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(including equity in earnings of affiliates), Graham Automotive, SocialCode (excluding LTIP costs), Slate, Megaphone (excluding LTIP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Policy and CyberVista (excluding LTIP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4" w:name="page25"/>
    <w:bookmarkEnd w:id="24"/>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Because the performance measures that compose the valuation formula for Performance Units in both the 2017–2020 and 2019–2022 cycles includes cumulative measures applicable to Kaplan, GMG and the other applicable business units, it is not possible to calculate with certainty any interim Performance Unit values mid-cycle, and no named executive officer is entitled to any payout until the Performance Units vest and the Committee approves the valuation at the conclusion of the cycle. Mr. O’Shaughnessy currently holds 10,000 units in the 2017–2020 cycle and 12,000 units in the 2019–2022 cycle; Mr. Cooney currently holds 6,500 units in both the 2017–2020 and 2019–2022 cycles; Ms. Maddrey currently holds 5,000 units in both the 2017–2020 and 2019–2022 cycles; Ms. Demeter currently holds 4,000 units in both the 2017–2020 and 2019–2022 cycles; and Mr. Rosen has no units in either cycle.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Long-Term Incentive Plans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portion of Mr. Rosen’s performance-based compensation includes the 2016–2019 Kaplan LTIP and the 2018–2020 Kaplan LTIP.</w:t>
      </w:r>
    </w:p>
    <w:p>
      <w:pPr>
        <w:spacing w:after="0" w:line="3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Mr. Rosen participated in the Kaplan Corporate component of the 2016–2019 Kaplan LTIP and was awarded 250 units with a target value of $100 per unit, which was 25% of the Kaplan Corporate pool. Under the 2016–2019 Kaplan LTIP, the Kaplan Corporate pool was based on achievement above a baseline four-year cumulative operating income target for Kaplan. Achievement above the baseline operating income target would result in the creation of a Kaplan Corporate bonus pool equal to 8% of the overachievement. Kaplan’s baseline operating income target for the cumulative four-year period was established at $652.6 million, as adjusted for acquisitions or unexpected changes in capital expenditures. Service conditions in respect of a third of the units awarded were satisfied at the end of 2017, in respect of an additional third of the units awarded at the end of 2018 and in respect of the final third of the units awarded at the end of 2019 with payout being subject to the four-year cumulative operating income surpassing the established target. Kaplan’s cumulative operating income for 2016–2019 did not surpass the $652.6 million, four-year cumulative operating income target and therefore there was no payout for the 2016–2019 LTIP.</w:t>
      </w:r>
    </w:p>
    <w:p>
      <w:pPr>
        <w:spacing w:after="0" w:line="181"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Mr. Rosen also participates in the 2018–2020 Kaplan LTIP and was awarded 20% of the Kaplan Corporate Pool. The Kaplan Corporate pool is based on enterprise and business unit performance components. For the enterprise component (which measures performance by Kaplan on a consolidated basis), achievement above a baseline three-year cumulative operating income target of $309.3 million, as adjusted for acquisitions and unexpected changes in capital expenditures, and excluding restructuring costs, amortization of intangible assets and impairments of long-lived assets, results in the creation of a Kaplan Corporate pool equal to 2% of overachievement. For the business unit component (which measures performance of Kaplan business units, excluding Kaplan Higher Education), baseline three-year cumulative operating income targets for each of the Kaplan business units was established based on 2017 results and will be adjusted for acquisitions or unexpected changes in capital expenditures and restructuring costs. Achievement above the baseline operating income targets for each of the Kaplan business units would result in the creation of a Kaplan Corporate bonus pool equal to 8% of the overachievement. The 8% award pool percentage increases by the number of basis points that a business unit’s operating margin exceeds a base level operating margin. Service conditions in respect of seventy-five percent of the award will be satisfied at the end of 2020 and in respect of the remaining twenty-five percent will be satisfied at the end of 2021, the year following the end of the plan. For the business unit component tied to Kaplan Higher Education, the Compensation Committee amended the plan period to 2019-2021. The baseline three-year cumulative target was established based on 2018 results. Achievement above the baseline operating income target for Kaplan Higher Education would result in the creation of a Kaplan Corporate bonus pool equal to 8% of the overachievement. Service conditions in respect of seventy-five percent of the award will be satisfied at the end of 2021 and in respect of the remaining twenty-five percent will be satisfied at the end of 2022, the year following the end of the plan. In the event that applicable service and performance conditions are satisfied, payouts will occur the following March.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Pursuant to the terms of the 2012 ICP,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over six years, and expire 10 years from the grant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Contribution and Defined Benefit Plan</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Most employees of the Company, including certain named executive officers, are eligible to participate in the Company’s qualified defined contribution 401(k) savings plan that provides matching Company contributions and a defined benefit retirement plan. Benefits under these plans are determined on the basis of base salary only, exclusive of all bonuses, deferred compensation and other forms of remuneration.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5" w:name="page26"/>
    <w:bookmarkEnd w:id="2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Eligible Corporate employees hired or rehired by the Company on or after September 1, 2009, participate in the Cash Balance Retirement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Program (“CBRP”). Eligible Corporate employees who were actively employed on or after August 1, 2012, also participate in the Secure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(“SRA”). Both the CBRP and the SRA are non-contributory defined benefit programs expressed in the form of hypothetical account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grow through quarterly pay-based credits and quarterly interest credits. Corporate employees hired prior to September 1, 2009, including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officers who are vested and who begin to take their pension benefit at age 65 or whose age and years of service when added together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equal 90 (the “Rule of 90”), receive an annual pension equal to 1.75% of their highest average 60-month base salary annualized up to the limits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by the Code, minus Social Security-covered compensation multiplied by the appropriate Social Security offset percentage and early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 multiplied by the number of years of credited service under the Graham Holdings Retirement Benefits Schedule (“Graham Schedule”).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pension supplements are also provided to assist in payment of retiree medical coverage. The annual cash pension supplement is equal to $200 multiplied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number of years of credited service under the Graham Schedule. An additional temporary Pre-Age 65 pension supplement of $250 per 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($2,075 per month for those participants who have attained age 50 with five years of vesting service as of September 1, 2018) is provided to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Graham Schedule who retire and commence benefit payment at or after age 55, but prior to age 65, and who had 10 years of vesting service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retirement. The temporary Pre-Age 65 supplement is discontinued when the retiree qualifies for Medicare (the month prior to the 65th birthday).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Supplemental Executive Retirement Plans</w:t>
      </w:r>
    </w:p>
    <w:p>
      <w:pPr>
        <w:spacing w:after="0" w:line="225"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The Company maintains an unfunded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49"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To offset limitations placed on the income that can be considered in the formulas of retirement plans and benefits that can be payable from the plans, the SERP provides a “supplemental retirement benefit.” This benefit is calculated under the rules of the qualified defined benefit retirement plan, but without reference to such income and benefit limitations, and includes in the calculation compensation from annual bonuses in the case of Mr. Rosen. In any instance in which a retiring executive’s supplemental retirement benefit exceeds the benefit payable by the qualified defined benefit plan or plans, the Company will pay the excess to him or her as a supplemental retirement benefit. Benefits provided under the SRA of the qualified retirement plan are not covered by the SERP.</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SERP also provides key executives, including Mr. Rosen, with tax deferred accruals of amounts proportionate to the benefits available to non-highly compensated participants in the Company’s 401(k) savings plan, to the extent that benefits exceed those under the Company’s basic plans because of the tax law limitations (currently $57,000). The executive is required to defer compensation to the SERP savings plan in order to receive the applicable matching Company contribution each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The Company also maintains a Deferred Compensation Plan, which has been closed to new participants and new deferrals for existing participants since December 2015. Mr. Rosen participates in this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2012 ICP.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O’Shaughnessy’s Agreement</w:t>
      </w:r>
    </w:p>
    <w:p>
      <w:pPr>
        <w:spacing w:after="0" w:line="225"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The Company entered into a letter agreement with Mr. O’Shaughnessy in October 2014 to incentivize him to accept the position of President of the Company. Pursuant to his employment agreement, Mr. O’Shaughnessy was entitled to a grant of 5,000 Performance Units in the 2013– 2016 performance cycle and a grant of 7,500 Performance Units in the 2015–2018 cycle and was granted a new-hire option award of 77,258 (post Cable ONE spin-off) stock options. In addition, pursuant to Mr. O’Shaughnessy’s employment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6" w:name="page27"/>
    <w:bookmarkEnd w:id="2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terms of Mr. O’Shaughnessy’s letter agreement, and as consideration for the benefits provided in the agreement,</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Rosen’s Agreement</w:t>
      </w:r>
    </w:p>
    <w:p>
      <w:pPr>
        <w:spacing w:after="0" w:line="225" w:lineRule="exact"/>
        <w:rPr>
          <w:sz w:val="20"/>
          <w:szCs w:val="20"/>
          <w:color w:val="auto"/>
        </w:rPr>
      </w:pPr>
    </w:p>
    <w:p>
      <w:pPr>
        <w:ind w:right="520" w:firstLine="991"/>
        <w:spacing w:after="0" w:line="311" w:lineRule="auto"/>
        <w:rPr>
          <w:sz w:val="20"/>
          <w:szCs w:val="20"/>
          <w:color w:val="auto"/>
        </w:rPr>
      </w:pPr>
      <w:r>
        <w:rPr>
          <w:rFonts w:ascii="Arial" w:cs="Arial" w:eastAsia="Arial" w:hAnsi="Arial"/>
          <w:sz w:val="16"/>
          <w:szCs w:val="16"/>
          <w:color w:val="auto"/>
        </w:rPr>
        <w:t>The Company entered into a letter agreement with Mr. Rosen in April 2014 to incentivize him to accept the position of Chairman of Kaplan and Executive Vice President of the Company. In addition, pursuant to his employment agreement, he was entitled to a grant of 3,000 Performance Units in the 2013–2016 performance cycle and 7,000 Performance Units in the 2015–2018 performance cycle.</w:t>
      </w:r>
    </w:p>
    <w:p>
      <w:pPr>
        <w:spacing w:after="0" w:line="149"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165" w:lineRule="exact"/>
        <w:rPr>
          <w:sz w:val="20"/>
          <w:szCs w:val="20"/>
          <w:color w:val="auto"/>
        </w:rPr>
      </w:pPr>
    </w:p>
    <w:p>
      <w:pPr>
        <w:ind w:right="360" w:firstLine="991"/>
        <w:spacing w:after="0" w:line="286" w:lineRule="auto"/>
        <w:rPr>
          <w:sz w:val="20"/>
          <w:szCs w:val="20"/>
          <w:color w:val="auto"/>
        </w:rPr>
      </w:pPr>
      <w:r>
        <w:rPr>
          <w:rFonts w:ascii="Arial" w:cs="Arial" w:eastAsia="Arial" w:hAnsi="Arial"/>
          <w:sz w:val="17"/>
          <w:szCs w:val="17"/>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Shareholder Advisory Votes on Executive Compensation</w:t>
      </w:r>
    </w:p>
    <w:p>
      <w:pPr>
        <w:spacing w:after="0" w:line="229"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At the 2019 Annual Meeting of Shareholders, the Company’s Class A Shareholders unanimously approved the overall 2018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Committee generally continued to apply the same principles in determining the amounts and types of executive compensation for 2019 as outlined in its compensation philosophy and framework. The Committee values the shareholder feedback provided through the vote and will consider the results of the vote, as well as future votes, in refining the development of the Company</w:t>
      </w:r>
      <w:r>
        <w:rPr>
          <w:rFonts w:ascii="Arial" w:cs="Arial" w:eastAsia="Arial" w:hAnsi="Arial"/>
          <w:sz w:val="16"/>
          <w:szCs w:val="16"/>
          <w:b w:val="1"/>
          <w:bCs w:val="1"/>
          <w:color w:val="auto"/>
        </w:rPr>
        <w:t>’</w:t>
      </w:r>
      <w:r>
        <w:rPr>
          <w:rFonts w:ascii="Arial" w:cs="Arial" w:eastAsia="Arial" w:hAnsi="Arial"/>
          <w:sz w:val="16"/>
          <w:szCs w:val="16"/>
          <w:color w:val="auto"/>
        </w:rPr>
        <w:t>s compensation program and goal setting in the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84"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Anne M. Mulcahy, Chairman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Larry D. Thompson</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Katharine Weymouth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7" w:name="page28"/>
    <w:bookmarkEnd w:id="27"/>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shows the compensation paid by the Company during the most recent three years to our named executive officers.</w:t>
      </w:r>
    </w:p>
    <w:p>
      <w:pPr>
        <w:spacing w:after="0" w:line="136" w:lineRule="exact"/>
        <w:rPr>
          <w:sz w:val="20"/>
          <w:szCs w:val="20"/>
          <w:color w:val="auto"/>
        </w:rPr>
      </w:pPr>
    </w:p>
    <w:p>
      <w:pPr>
        <w:ind w:left="3944"/>
        <w:spacing w:after="0"/>
        <w:rPr>
          <w:sz w:val="20"/>
          <w:szCs w:val="20"/>
          <w:color w:val="auto"/>
        </w:rPr>
      </w:pPr>
      <w:r>
        <w:rPr>
          <w:rFonts w:ascii="Arial" w:cs="Arial" w:eastAsia="Arial" w:hAnsi="Arial"/>
          <w:sz w:val="18"/>
          <w:szCs w:val="18"/>
          <w:b w:val="1"/>
          <w:bCs w:val="1"/>
          <w:color w:val="auto"/>
        </w:rPr>
        <w:t>SUMMARY COMPENSATION TABLE</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3600" w:type="dxa"/>
            <w:vAlign w:val="bottom"/>
            <w:tcBorders>
              <w:top w:val="single" w:sz="8" w:color="auto"/>
              <w:left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Change in</w:t>
            </w:r>
          </w:p>
        </w:tc>
        <w:tc>
          <w:tcPr>
            <w:tcW w:w="7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Non-</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and Non-</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7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0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Incentive</w:t>
            </w:r>
          </w:p>
        </w:tc>
        <w:tc>
          <w:tcPr>
            <w:tcW w:w="10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Deferred</w:t>
            </w:r>
          </w:p>
        </w:tc>
        <w:tc>
          <w:tcPr>
            <w:tcW w:w="7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All</w:t>
            </w: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Compen-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vMerge w:val="restart"/>
          </w:tcPr>
          <w:p>
            <w:pPr>
              <w:ind w:left="98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4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Salary ($)</w:t>
            </w:r>
          </w:p>
        </w:tc>
        <w:tc>
          <w:tcPr>
            <w:tcW w:w="78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w w:val="99"/>
              </w:rPr>
              <w:t>Bonus ($)</w:t>
            </w:r>
          </w:p>
        </w:tc>
        <w:tc>
          <w:tcPr>
            <w:tcW w:w="8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Compen-</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sation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Compen-</w:t>
            </w:r>
          </w:p>
        </w:tc>
        <w:tc>
          <w:tcPr>
            <w:tcW w:w="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Awards ($)</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Awards ($)</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sation ($)</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Earnings ($)</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sation ($)</w:t>
            </w: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0" w:type="dxa"/>
            <w:vAlign w:val="bottom"/>
            <w:tcBorders>
              <w:left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(b)</w:t>
            </w:r>
          </w:p>
        </w:tc>
        <w:tc>
          <w:tcPr>
            <w:tcW w:w="84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2"/>
                <w:szCs w:val="12"/>
                <w:b w:val="1"/>
                <w:bCs w:val="1"/>
                <w:color w:val="auto"/>
              </w:rPr>
              <w:t>1</w:t>
            </w:r>
          </w:p>
        </w:tc>
        <w:tc>
          <w:tcPr>
            <w:tcW w:w="7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w:t>
            </w:r>
          </w:p>
        </w:tc>
        <w:tc>
          <w:tcPr>
            <w:tcW w:w="88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2"/>
                <w:szCs w:val="12"/>
                <w:b w:val="1"/>
                <w:bCs w:val="1"/>
                <w:color w:val="auto"/>
              </w:rPr>
              <w:t>2</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2"/>
                <w:szCs w:val="12"/>
                <w:b w:val="1"/>
                <w:bCs w:val="1"/>
                <w:color w:val="auto"/>
              </w:rPr>
              <w:t>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w:t>
            </w:r>
            <w:r>
              <w:rPr>
                <w:rFonts w:ascii="Arial" w:cs="Arial" w:eastAsia="Arial" w:hAnsi="Arial"/>
                <w:sz w:val="12"/>
                <w:szCs w:val="12"/>
                <w:b w:val="1"/>
                <w:bCs w:val="1"/>
                <w:color w:val="auto"/>
                <w:w w:val="97"/>
              </w:rPr>
              <w:t>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r>
              <w:rPr>
                <w:rFonts w:ascii="Arial" w:cs="Arial" w:eastAsia="Arial" w:hAnsi="Arial"/>
                <w:sz w:val="12"/>
                <w:szCs w:val="12"/>
                <w:b w:val="1"/>
                <w:bCs w:val="1"/>
                <w:color w:val="auto"/>
                <w:w w:val="90"/>
              </w:rPr>
              <w:t>5</w:t>
            </w:r>
          </w:p>
        </w:tc>
        <w:tc>
          <w:tcPr>
            <w:tcW w:w="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540" w:type="dxa"/>
            <w:vAlign w:val="bottom"/>
            <w:tcBorders>
              <w:right w:val="single" w:sz="8" w:color="auto"/>
            </w:tcBorders>
            <w:gridSpan w:val="2"/>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750,000</w:t>
            </w:r>
          </w:p>
        </w:tc>
        <w:tc>
          <w:tcPr>
            <w:tcW w:w="78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288"/>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380"/>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700,962</w:t>
            </w:r>
          </w:p>
        </w:tc>
        <w:tc>
          <w:tcPr>
            <w:tcW w:w="10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17,098</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2,800</w:t>
            </w:r>
          </w:p>
        </w:tc>
        <w:tc>
          <w:tcPr>
            <w:tcW w:w="840" w:type="dxa"/>
            <w:vAlign w:val="bottom"/>
            <w:tcBorders>
              <w:right w:val="single" w:sz="8" w:color="auto"/>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1,470,860</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President and Chief Executive Officer</w:t>
            </w:r>
          </w:p>
        </w:tc>
        <w:tc>
          <w:tcPr>
            <w:tcW w:w="10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2018</w:t>
            </w:r>
          </w:p>
        </w:tc>
        <w:tc>
          <w:tcPr>
            <w:tcW w:w="84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750,000</w:t>
            </w:r>
          </w:p>
        </w:tc>
        <w:tc>
          <w:tcPr>
            <w:tcW w:w="78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2,205,807</w:t>
            </w:r>
          </w:p>
        </w:tc>
        <w:tc>
          <w:tcPr>
            <w:tcW w:w="10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24,652</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2,750</w:t>
            </w:r>
          </w:p>
        </w:tc>
        <w:tc>
          <w:tcPr>
            <w:tcW w:w="84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2,983,209</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750,000</w:t>
            </w:r>
          </w:p>
        </w:tc>
        <w:tc>
          <w:tcPr>
            <w:tcW w:w="7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682,366</w:t>
            </w: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13,496</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2,700</w:t>
            </w:r>
          </w:p>
        </w:tc>
        <w:tc>
          <w:tcPr>
            <w:tcW w:w="8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1,448,562</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100" w:type="dxa"/>
            <w:vAlign w:val="bottom"/>
          </w:tcPr>
          <w:p>
            <w:pPr>
              <w:spacing w:after="0"/>
              <w:rPr>
                <w:sz w:val="10"/>
                <w:szCs w:val="10"/>
                <w:color w:val="auto"/>
              </w:rPr>
            </w:pPr>
          </w:p>
        </w:tc>
        <w:tc>
          <w:tcPr>
            <w:tcW w:w="44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580,000</w:t>
            </w:r>
          </w:p>
        </w:tc>
        <w:tc>
          <w:tcPr>
            <w:tcW w:w="78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383,586</w:t>
            </w:r>
          </w:p>
        </w:tc>
        <w:tc>
          <w:tcPr>
            <w:tcW w:w="880" w:type="dxa"/>
            <w:vAlign w:val="bottom"/>
            <w:tcBorders>
              <w:right w:val="single" w:sz="8" w:color="auto"/>
            </w:tcBorders>
          </w:tcPr>
          <w:p>
            <w:pPr>
              <w:ind w:left="380"/>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271,038</w:t>
            </w:r>
          </w:p>
        </w:tc>
        <w:tc>
          <w:tcPr>
            <w:tcW w:w="10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263,337</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9,472</w:t>
            </w:r>
          </w:p>
        </w:tc>
        <w:tc>
          <w:tcPr>
            <w:tcW w:w="840" w:type="dxa"/>
            <w:vAlign w:val="bottom"/>
            <w:tcBorders>
              <w:right w:val="single" w:sz="8" w:color="auto"/>
            </w:tcBorders>
          </w:tcPr>
          <w:p>
            <w:pPr>
              <w:ind w:left="120"/>
              <w:spacing w:after="0" w:line="123" w:lineRule="exact"/>
              <w:rPr>
                <w:sz w:val="20"/>
                <w:szCs w:val="20"/>
                <w:color w:val="auto"/>
              </w:rPr>
            </w:pPr>
            <w:r>
              <w:rPr>
                <w:rFonts w:ascii="Arial" w:cs="Arial" w:eastAsia="Arial" w:hAnsi="Arial"/>
                <w:sz w:val="14"/>
                <w:szCs w:val="14"/>
                <w:color w:val="auto"/>
              </w:rPr>
              <w:t>1,507,433</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w w:val="94"/>
              </w:rPr>
              <w:t>Senior Vice President–Finance and Chief Financial Officer</w:t>
            </w:r>
          </w:p>
        </w:tc>
        <w:tc>
          <w:tcPr>
            <w:tcW w:w="540" w:type="dxa"/>
            <w:vAlign w:val="bottom"/>
            <w:tcBorders>
              <w:right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color w:val="auto"/>
              </w:rPr>
              <w:t>2018</w:t>
            </w:r>
          </w:p>
        </w:tc>
        <w:tc>
          <w:tcPr>
            <w:tcW w:w="8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580,000</w:t>
            </w:r>
          </w:p>
        </w:tc>
        <w:tc>
          <w:tcPr>
            <w:tcW w:w="78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1,119,612</w:t>
            </w:r>
          </w:p>
        </w:tc>
        <w:tc>
          <w:tcPr>
            <w:tcW w:w="10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44,099</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11,070</w:t>
            </w:r>
          </w:p>
        </w:tc>
        <w:tc>
          <w:tcPr>
            <w:tcW w:w="84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1,754,781</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555,000</w:t>
            </w:r>
          </w:p>
        </w:tc>
        <w:tc>
          <w:tcPr>
            <w:tcW w:w="7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314,336</w:t>
            </w:r>
          </w:p>
        </w:tc>
        <w:tc>
          <w:tcPr>
            <w:tcW w:w="8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240,932</w:t>
            </w:r>
          </w:p>
        </w:tc>
        <w:tc>
          <w:tcPr>
            <w:tcW w:w="8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252,475</w:t>
            </w:r>
          </w:p>
        </w:tc>
        <w:tc>
          <w:tcPr>
            <w:tcW w:w="10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153,265</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10,330</w:t>
            </w:r>
          </w:p>
        </w:tc>
        <w:tc>
          <w:tcPr>
            <w:tcW w:w="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1,526,338</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540" w:type="dxa"/>
            <w:vAlign w:val="bottom"/>
            <w:tcBorders>
              <w:right w:val="single" w:sz="8" w:color="auto"/>
            </w:tcBorders>
            <w:gridSpan w:val="2"/>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1,625,000</w:t>
            </w:r>
          </w:p>
        </w:tc>
        <w:tc>
          <w:tcPr>
            <w:tcW w:w="78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524,234</w:t>
            </w:r>
          </w:p>
        </w:tc>
        <w:tc>
          <w:tcPr>
            <w:tcW w:w="880" w:type="dxa"/>
            <w:vAlign w:val="bottom"/>
            <w:tcBorders>
              <w:right w:val="single" w:sz="8" w:color="auto"/>
            </w:tcBorders>
            <w:shd w:val="clear" w:color="auto" w:fill="CCEEFF"/>
          </w:tcPr>
          <w:p>
            <w:pPr>
              <w:ind w:left="380"/>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1,195,517</w:t>
            </w:r>
          </w:p>
        </w:tc>
        <w:tc>
          <w:tcPr>
            <w:tcW w:w="10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4,786,053</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53,269</w:t>
            </w:r>
          </w:p>
        </w:tc>
        <w:tc>
          <w:tcPr>
            <w:tcW w:w="840" w:type="dxa"/>
            <w:vAlign w:val="bottom"/>
            <w:tcBorders>
              <w:right w:val="single" w:sz="8" w:color="auto"/>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8,184,073</w:t>
            </w:r>
          </w:p>
        </w:tc>
        <w:tc>
          <w:tcPr>
            <w:tcW w:w="0" w:type="dxa"/>
            <w:vAlign w:val="bottom"/>
          </w:tcPr>
          <w:p>
            <w:pPr>
              <w:spacing w:after="0"/>
              <w:rPr>
                <w:sz w:val="1"/>
                <w:szCs w:val="1"/>
                <w:color w:val="auto"/>
              </w:rPr>
            </w:pPr>
          </w:p>
        </w:tc>
      </w:tr>
      <w:tr>
        <w:trPr>
          <w:trHeight w:val="149"/>
        </w:trPr>
        <w:tc>
          <w:tcPr>
            <w:tcW w:w="36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Chairman–Kaplan Inc. and Executive Vice President–</w:t>
            </w:r>
          </w:p>
        </w:tc>
        <w:tc>
          <w:tcPr>
            <w:tcW w:w="10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2018</w:t>
            </w:r>
          </w:p>
        </w:tc>
        <w:tc>
          <w:tcPr>
            <w:tcW w:w="84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1,625,000</w:t>
            </w:r>
          </w:p>
        </w:tc>
        <w:tc>
          <w:tcPr>
            <w:tcW w:w="78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2,693,500</w:t>
            </w:r>
          </w:p>
        </w:tc>
        <w:tc>
          <w:tcPr>
            <w:tcW w:w="10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25,965</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61,390</w:t>
            </w:r>
          </w:p>
        </w:tc>
        <w:tc>
          <w:tcPr>
            <w:tcW w:w="84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4,405,855</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Graham Holdings Co.</w:t>
            </w: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1,625,000</w:t>
            </w:r>
          </w:p>
        </w:tc>
        <w:tc>
          <w:tcPr>
            <w:tcW w:w="7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518,975</w:t>
            </w:r>
          </w:p>
        </w:tc>
        <w:tc>
          <w:tcPr>
            <w:tcW w:w="8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1,119,141</w:t>
            </w: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3,173,794</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60,010</w:t>
            </w:r>
          </w:p>
        </w:tc>
        <w:tc>
          <w:tcPr>
            <w:tcW w:w="8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6,496,920</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100" w:type="dxa"/>
            <w:vAlign w:val="bottom"/>
          </w:tcPr>
          <w:p>
            <w:pPr>
              <w:spacing w:after="0"/>
              <w:rPr>
                <w:sz w:val="10"/>
                <w:szCs w:val="10"/>
                <w:color w:val="auto"/>
              </w:rPr>
            </w:pPr>
          </w:p>
        </w:tc>
        <w:tc>
          <w:tcPr>
            <w:tcW w:w="44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575,000</w:t>
            </w:r>
          </w:p>
        </w:tc>
        <w:tc>
          <w:tcPr>
            <w:tcW w:w="78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319,655</w:t>
            </w:r>
          </w:p>
        </w:tc>
        <w:tc>
          <w:tcPr>
            <w:tcW w:w="880" w:type="dxa"/>
            <w:vAlign w:val="bottom"/>
            <w:tcBorders>
              <w:right w:val="single" w:sz="8" w:color="auto"/>
            </w:tcBorders>
          </w:tcPr>
          <w:p>
            <w:pPr>
              <w:ind w:left="380"/>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214,962</w:t>
            </w:r>
          </w:p>
        </w:tc>
        <w:tc>
          <w:tcPr>
            <w:tcW w:w="10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197,603</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8,360</w:t>
            </w:r>
          </w:p>
        </w:tc>
        <w:tc>
          <w:tcPr>
            <w:tcW w:w="840" w:type="dxa"/>
            <w:vAlign w:val="bottom"/>
            <w:tcBorders>
              <w:right w:val="single" w:sz="8" w:color="auto"/>
            </w:tcBorders>
          </w:tcPr>
          <w:p>
            <w:pPr>
              <w:ind w:left="120"/>
              <w:spacing w:after="0" w:line="123" w:lineRule="exact"/>
              <w:rPr>
                <w:sz w:val="20"/>
                <w:szCs w:val="20"/>
                <w:color w:val="auto"/>
              </w:rPr>
            </w:pPr>
            <w:r>
              <w:rPr>
                <w:rFonts w:ascii="Arial" w:cs="Arial" w:eastAsia="Arial" w:hAnsi="Arial"/>
                <w:sz w:val="14"/>
                <w:szCs w:val="14"/>
                <w:color w:val="auto"/>
              </w:rPr>
              <w:t>1,315,580</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Senior Vice President, General Counsel and Secretary</w:t>
            </w:r>
          </w:p>
        </w:tc>
        <w:tc>
          <w:tcPr>
            <w:tcW w:w="540" w:type="dxa"/>
            <w:vAlign w:val="bottom"/>
            <w:tcBorders>
              <w:right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color w:val="auto"/>
              </w:rPr>
              <w:t>2018</w:t>
            </w:r>
          </w:p>
        </w:tc>
        <w:tc>
          <w:tcPr>
            <w:tcW w:w="8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575,000</w:t>
            </w:r>
          </w:p>
        </w:tc>
        <w:tc>
          <w:tcPr>
            <w:tcW w:w="78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1,019,347</w:t>
            </w:r>
          </w:p>
        </w:tc>
        <w:tc>
          <w:tcPr>
            <w:tcW w:w="10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20,831</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11,820</w:t>
            </w:r>
          </w:p>
        </w:tc>
        <w:tc>
          <w:tcPr>
            <w:tcW w:w="84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1,626,998</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525,000</w:t>
            </w:r>
          </w:p>
        </w:tc>
        <w:tc>
          <w:tcPr>
            <w:tcW w:w="7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259,488</w:t>
            </w:r>
          </w:p>
        </w:tc>
        <w:tc>
          <w:tcPr>
            <w:tcW w:w="8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191,063</w:t>
            </w:r>
          </w:p>
        </w:tc>
        <w:tc>
          <w:tcPr>
            <w:tcW w:w="10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119,034</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12,415</w:t>
            </w:r>
          </w:p>
        </w:tc>
        <w:tc>
          <w:tcPr>
            <w:tcW w:w="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1,107,000</w:t>
            </w:r>
          </w:p>
        </w:tc>
        <w:tc>
          <w:tcPr>
            <w:tcW w:w="0" w:type="dxa"/>
            <w:vAlign w:val="bottom"/>
          </w:tcPr>
          <w:p>
            <w:pPr>
              <w:spacing w:after="0"/>
              <w:rPr>
                <w:sz w:val="1"/>
                <w:szCs w:val="1"/>
                <w:color w:val="auto"/>
              </w:rPr>
            </w:pPr>
          </w:p>
        </w:tc>
      </w:tr>
      <w:tr>
        <w:trPr>
          <w:trHeight w:val="123"/>
        </w:trPr>
        <w:tc>
          <w:tcPr>
            <w:tcW w:w="36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Denise M. Demeter</w:t>
            </w:r>
          </w:p>
        </w:tc>
        <w:tc>
          <w:tcPr>
            <w:tcW w:w="540" w:type="dxa"/>
            <w:vAlign w:val="bottom"/>
            <w:tcBorders>
              <w:right w:val="single" w:sz="8" w:color="auto"/>
            </w:tcBorders>
            <w:gridSpan w:val="2"/>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2019</w:t>
            </w:r>
          </w:p>
        </w:tc>
        <w:tc>
          <w:tcPr>
            <w:tcW w:w="8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450,000</w:t>
            </w:r>
          </w:p>
        </w:tc>
        <w:tc>
          <w:tcPr>
            <w:tcW w:w="78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255,724</w:t>
            </w:r>
          </w:p>
        </w:tc>
        <w:tc>
          <w:tcPr>
            <w:tcW w:w="880" w:type="dxa"/>
            <w:vAlign w:val="bottom"/>
            <w:tcBorders>
              <w:right w:val="single" w:sz="8" w:color="auto"/>
            </w:tcBorders>
            <w:shd w:val="clear" w:color="auto" w:fill="CCEEFF"/>
          </w:tcPr>
          <w:p>
            <w:pPr>
              <w:ind w:left="380"/>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168,231</w:t>
            </w:r>
          </w:p>
        </w:tc>
        <w:tc>
          <w:tcPr>
            <w:tcW w:w="10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344,188</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7,248</w:t>
            </w:r>
          </w:p>
        </w:tc>
        <w:tc>
          <w:tcPr>
            <w:tcW w:w="840" w:type="dxa"/>
            <w:vAlign w:val="bottom"/>
            <w:tcBorders>
              <w:right w:val="single" w:sz="8" w:color="auto"/>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1,225,391</w:t>
            </w:r>
          </w:p>
        </w:tc>
        <w:tc>
          <w:tcPr>
            <w:tcW w:w="0" w:type="dxa"/>
            <w:vAlign w:val="bottom"/>
          </w:tcPr>
          <w:p>
            <w:pPr>
              <w:spacing w:after="0"/>
              <w:rPr>
                <w:sz w:val="1"/>
                <w:szCs w:val="1"/>
                <w:color w:val="auto"/>
              </w:rPr>
            </w:pPr>
          </w:p>
        </w:tc>
      </w:tr>
      <w:tr>
        <w:trPr>
          <w:trHeight w:val="148"/>
        </w:trPr>
        <w:tc>
          <w:tcPr>
            <w:tcW w:w="36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Vice President–Chief Human Resources Officer</w:t>
            </w:r>
          </w:p>
        </w:tc>
        <w:tc>
          <w:tcPr>
            <w:tcW w:w="10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2018</w:t>
            </w:r>
          </w:p>
        </w:tc>
        <w:tc>
          <w:tcPr>
            <w:tcW w:w="84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450,000</w:t>
            </w:r>
          </w:p>
        </w:tc>
        <w:tc>
          <w:tcPr>
            <w:tcW w:w="78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808,794</w:t>
            </w:r>
          </w:p>
        </w:tc>
        <w:tc>
          <w:tcPr>
            <w:tcW w:w="10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80,068</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10,006</w:t>
            </w:r>
          </w:p>
        </w:tc>
        <w:tc>
          <w:tcPr>
            <w:tcW w:w="840" w:type="dxa"/>
            <w:vAlign w:val="bottom"/>
            <w:tcBorders>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1,348,868</w:t>
            </w:r>
          </w:p>
        </w:tc>
        <w:tc>
          <w:tcPr>
            <w:tcW w:w="0" w:type="dxa"/>
            <w:vAlign w:val="bottom"/>
          </w:tcPr>
          <w:p>
            <w:pPr>
              <w:spacing w:after="0"/>
              <w:rPr>
                <w:sz w:val="1"/>
                <w:szCs w:val="1"/>
                <w:color w:val="auto"/>
              </w:rPr>
            </w:pPr>
          </w:p>
        </w:tc>
      </w:tr>
      <w:tr>
        <w:trPr>
          <w:trHeight w:val="167"/>
        </w:trPr>
        <w:tc>
          <w:tcPr>
            <w:tcW w:w="36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410,000</w:t>
            </w:r>
          </w:p>
        </w:tc>
        <w:tc>
          <w:tcPr>
            <w:tcW w:w="7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207,590</w:t>
            </w:r>
          </w:p>
        </w:tc>
        <w:tc>
          <w:tcPr>
            <w:tcW w:w="8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149,211</w:t>
            </w:r>
          </w:p>
        </w:tc>
        <w:tc>
          <w:tcPr>
            <w:tcW w:w="10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365,473</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9,364</w:t>
            </w:r>
          </w:p>
        </w:tc>
        <w:tc>
          <w:tcPr>
            <w:tcW w:w="8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1,141,638</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in this column represent base salary earned for each of the named executive officers in 2019.</w:t>
      </w:r>
    </w:p>
    <w:p>
      <w:pPr>
        <w:spacing w:after="0" w:line="55" w:lineRule="exact"/>
        <w:rPr>
          <w:rFonts w:ascii="Arial" w:cs="Arial" w:eastAsia="Arial" w:hAnsi="Arial"/>
          <w:sz w:val="14"/>
          <w:szCs w:val="14"/>
          <w:color w:val="auto"/>
        </w:rPr>
      </w:pPr>
    </w:p>
    <w:p>
      <w:pPr>
        <w:ind w:left="424" w:right="60" w:hanging="424"/>
        <w:spacing w:after="0" w:line="255" w:lineRule="auto"/>
        <w:tabs>
          <w:tab w:leader="none" w:pos="4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shown in this column represent the grant date fair value of stock and option awards computed in accordance with FASB ASC TOPIC 718 and reflect the grant date fair value of stock and option grants made through the close of the 2019 fiscal year, rather than amounts paid to or realized by the named executive officers. There can be no assurance that the amounts calculated will be realized, and amounts realized could ultimately exceed the amounts calculated. See Note 14 of Notes to the Consolidated Financial Statements contained in the Company’s Annual Report on Form 10-K, filed on February 26, 2020, for a discussion of the assumptions used in valuation of the stock and option awards.</w:t>
      </w:r>
    </w:p>
    <w:p>
      <w:pPr>
        <w:spacing w:after="0" w:line="26" w:lineRule="exact"/>
        <w:rPr>
          <w:rFonts w:ascii="Arial" w:cs="Arial" w:eastAsia="Arial" w:hAnsi="Arial"/>
          <w:sz w:val="13"/>
          <w:szCs w:val="13"/>
          <w:color w:val="auto"/>
        </w:rPr>
      </w:pPr>
    </w:p>
    <w:p>
      <w:pPr>
        <w:ind w:left="424" w:right="80" w:hanging="424"/>
        <w:spacing w:after="0" w:line="244" w:lineRule="auto"/>
        <w:tabs>
          <w:tab w:leader="none" w:pos="4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Amounts in this column for 2019 represent payments under the 2019 annual bonus plan. Amounts in this column for 2018 represent payments under the 2018 annual bonus plan and the 2015–2018 Performance Unit Plan as follows: Mr. O’Shaughnessy, $1,253,307 in annual bonus, $952,500 in Performance Units; Mr. Cooney, $484,612 in annual bonus, $635,000 in Performance Units; Mr. Rosen, $1,804,500 in annual bonus, $889,000 in Performance Units; Ms. Maddrey, $384,347 in annual bonus, $635,000 in Performance Units;</w:t>
      </w:r>
    </w:p>
    <w:p>
      <w:pPr>
        <w:spacing w:after="0" w:line="1" w:lineRule="exact"/>
        <w:rPr>
          <w:rFonts w:ascii="Arial" w:cs="Arial" w:eastAsia="Arial" w:hAnsi="Arial"/>
          <w:sz w:val="13"/>
          <w:szCs w:val="13"/>
          <w:color w:val="auto"/>
        </w:rPr>
      </w:pPr>
    </w:p>
    <w:p>
      <w:pPr>
        <w:ind w:left="424"/>
        <w:spacing w:after="0"/>
        <w:rPr>
          <w:rFonts w:ascii="Arial" w:cs="Arial" w:eastAsia="Arial" w:hAnsi="Arial"/>
          <w:sz w:val="13"/>
          <w:szCs w:val="13"/>
          <w:color w:val="auto"/>
        </w:rPr>
      </w:pPr>
      <w:r>
        <w:rPr>
          <w:rFonts w:ascii="Arial" w:cs="Arial" w:eastAsia="Arial" w:hAnsi="Arial"/>
          <w:sz w:val="14"/>
          <w:szCs w:val="14"/>
          <w:color w:val="auto"/>
        </w:rPr>
        <w:t>Ms. Demeter, $300,794 in annual bonus, $508,000 in Performance Units. Amounts in this column for 2017 represent payments under the 2017 annual bonus plan.</w:t>
      </w:r>
    </w:p>
    <w:p>
      <w:pPr>
        <w:spacing w:after="0" w:line="43" w:lineRule="exact"/>
        <w:rPr>
          <w:rFonts w:ascii="Arial" w:cs="Arial" w:eastAsia="Arial" w:hAnsi="Arial"/>
          <w:sz w:val="13"/>
          <w:szCs w:val="13"/>
          <w:color w:val="auto"/>
        </w:rPr>
      </w:pPr>
    </w:p>
    <w:p>
      <w:pPr>
        <w:ind w:left="424" w:right="80" w:hanging="424"/>
        <w:spacing w:after="0" w:line="253"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were no above-market or preferential earnings on compensation deferred on a non-tax-qualified basis, and therefore, no such earnings are reflected in the amounts shown in this column.</w:t>
      </w:r>
    </w:p>
    <w:p>
      <w:pPr>
        <w:spacing w:after="0" w:line="25" w:lineRule="exact"/>
        <w:rPr>
          <w:sz w:val="20"/>
          <w:szCs w:val="20"/>
          <w:color w:val="auto"/>
        </w:rPr>
      </w:pPr>
    </w:p>
    <w:p>
      <w:pPr>
        <w:ind w:left="424" w:right="40"/>
        <w:spacing w:after="0" w:line="238" w:lineRule="auto"/>
        <w:rPr>
          <w:sz w:val="20"/>
          <w:szCs w:val="20"/>
          <w:color w:val="auto"/>
        </w:rPr>
      </w:pPr>
      <w:r>
        <w:rPr>
          <w:rFonts w:ascii="Arial" w:cs="Arial" w:eastAsia="Arial" w:hAnsi="Arial"/>
          <w:sz w:val="14"/>
          <w:szCs w:val="14"/>
          <w:color w:val="auto"/>
        </w:rPr>
        <w:t>Benefits were assumed to commence at the age when benefits under the SERP are first unreduced, or the age when benefits under The Retirement Plan for Graham Holdings Company (“Retirement Plan”) are first unreduced if the named executive officer does not have a SERP benefit, and were discounted to the date as of which they were determined (either 12/31/2019, 12/31/2018 or 12/31/2017). Assumed benefit commencement ages are shown below, rounded to the nearest age:</w:t>
      </w:r>
    </w:p>
    <w:p>
      <w:pPr>
        <w:sectPr>
          <w:pgSz w:w="11900" w:h="16838" w:orient="portrait"/>
          <w:cols w:equalWidth="0" w:num="1">
            <w:col w:w="11024"/>
          </w:cols>
          <w:pgMar w:left="436" w:top="274" w:right="439" w:bottom="1440" w:gutter="0" w:footer="0" w:header="0"/>
        </w:sectPr>
      </w:pPr>
    </w:p>
    <w:p>
      <w:pPr>
        <w:spacing w:after="0" w:line="34" w:lineRule="exact"/>
        <w:rPr>
          <w:sz w:val="20"/>
          <w:szCs w:val="20"/>
          <w:color w:val="auto"/>
        </w:rPr>
      </w:pPr>
    </w:p>
    <w:p>
      <w:pPr>
        <w:ind w:left="4"/>
        <w:spacing w:after="0"/>
        <w:rPr>
          <w:sz w:val="20"/>
          <w:szCs w:val="20"/>
          <w:color w:val="auto"/>
        </w:rPr>
      </w:pPr>
      <w:r>
        <w:rPr>
          <w:rFonts w:ascii="Arial" w:cs="Arial" w:eastAsia="Arial" w:hAnsi="Arial"/>
          <w:sz w:val="12"/>
          <w:szCs w:val="12"/>
          <w:color w:val="auto"/>
        </w:rPr>
        <w:t>O’Shaughnessy:</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4"/>
          <w:szCs w:val="14"/>
          <w:color w:val="auto"/>
        </w:rPr>
        <w:t>Cooney:</w:t>
      </w:r>
    </w:p>
    <w:p>
      <w:pPr>
        <w:ind w:left="4"/>
        <w:spacing w:after="0" w:line="221" w:lineRule="auto"/>
        <w:rPr>
          <w:sz w:val="20"/>
          <w:szCs w:val="20"/>
          <w:color w:val="auto"/>
        </w:rPr>
      </w:pPr>
      <w:r>
        <w:rPr>
          <w:rFonts w:ascii="Arial" w:cs="Arial" w:eastAsia="Arial" w:hAnsi="Arial"/>
          <w:sz w:val="14"/>
          <w:szCs w:val="14"/>
          <w:color w:val="auto"/>
        </w:rPr>
        <w:t>Rosen:</w:t>
      </w:r>
    </w:p>
    <w:p>
      <w:pPr>
        <w:ind w:left="4"/>
        <w:spacing w:after="0" w:line="221" w:lineRule="auto"/>
        <w:rPr>
          <w:sz w:val="20"/>
          <w:szCs w:val="20"/>
          <w:color w:val="auto"/>
        </w:rPr>
      </w:pPr>
      <w:r>
        <w:rPr>
          <w:rFonts w:ascii="Arial" w:cs="Arial" w:eastAsia="Arial" w:hAnsi="Arial"/>
          <w:sz w:val="14"/>
          <w:szCs w:val="14"/>
          <w:color w:val="auto"/>
        </w:rPr>
        <w:t>Maddrey:</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Demeter: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age 65</w:t>
      </w:r>
    </w:p>
    <w:p>
      <w:pPr>
        <w:spacing w:after="0" w:line="221" w:lineRule="auto"/>
        <w:rPr>
          <w:sz w:val="20"/>
          <w:szCs w:val="20"/>
          <w:color w:val="auto"/>
        </w:rPr>
      </w:pPr>
      <w:r>
        <w:rPr>
          <w:rFonts w:ascii="Arial" w:cs="Arial" w:eastAsia="Arial" w:hAnsi="Arial"/>
          <w:sz w:val="14"/>
          <w:szCs w:val="14"/>
          <w:color w:val="auto"/>
        </w:rPr>
        <w:t>age 64 (will be eligible for unreduced benefits under the Rule 90*)</w:t>
      </w:r>
    </w:p>
    <w:p>
      <w:pPr>
        <w:spacing w:after="0"/>
        <w:rPr>
          <w:sz w:val="20"/>
          <w:szCs w:val="20"/>
          <w:color w:val="auto"/>
        </w:rPr>
      </w:pPr>
      <w:r>
        <w:rPr>
          <w:rFonts w:ascii="Arial" w:cs="Arial" w:eastAsia="Arial" w:hAnsi="Arial"/>
          <w:sz w:val="13"/>
          <w:szCs w:val="13"/>
          <w:color w:val="auto"/>
        </w:rPr>
        <w:t>age 59 (is currently eligible for unreduced benefits under the Rule of 90*)</w:t>
      </w:r>
    </w:p>
    <w:p>
      <w:pPr>
        <w:spacing w:after="0" w:line="221" w:lineRule="auto"/>
        <w:rPr>
          <w:sz w:val="20"/>
          <w:szCs w:val="20"/>
          <w:color w:val="auto"/>
        </w:rPr>
      </w:pPr>
      <w:r>
        <w:rPr>
          <w:rFonts w:ascii="Arial" w:cs="Arial" w:eastAsia="Arial" w:hAnsi="Arial"/>
          <w:sz w:val="14"/>
          <w:szCs w:val="14"/>
          <w:color w:val="auto"/>
        </w:rPr>
        <w:t>age 65</w:t>
      </w:r>
    </w:p>
    <w:p>
      <w:pPr>
        <w:spacing w:after="0"/>
        <w:rPr>
          <w:sz w:val="20"/>
          <w:szCs w:val="20"/>
          <w:color w:val="auto"/>
        </w:rPr>
      </w:pPr>
      <w:r>
        <w:rPr>
          <w:rFonts w:ascii="Arial" w:cs="Arial" w:eastAsia="Arial" w:hAnsi="Arial"/>
          <w:sz w:val="13"/>
          <w:szCs w:val="13"/>
          <w:color w:val="auto"/>
        </w:rPr>
        <w:t>age 59 (is currently eligible for unreduced benefits under the Rule of 90*)</w:t>
      </w:r>
    </w:p>
    <w:p>
      <w:pPr>
        <w:spacing w:after="0" w:line="54" w:lineRule="exact"/>
        <w:rPr>
          <w:sz w:val="20"/>
          <w:szCs w:val="20"/>
          <w:color w:val="auto"/>
        </w:rPr>
      </w:pPr>
    </w:p>
    <w:p>
      <w:pPr>
        <w:sectPr>
          <w:pgSz w:w="11900" w:h="16838" w:orient="portrait"/>
          <w:cols w:equalWidth="0" w:num="2">
            <w:col w:w="944" w:space="600"/>
            <w:col w:w="9480"/>
          </w:cols>
          <w:pgMar w:left="436" w:top="274" w:right="439" w:bottom="1440" w:gutter="0" w:footer="0" w:header="0"/>
          <w:type w:val="continuous"/>
        </w:sectPr>
      </w:pPr>
    </w:p>
    <w:p>
      <w:pPr>
        <w:ind w:left="764" w:hanging="332"/>
        <w:spacing w:after="0"/>
        <w:tabs>
          <w:tab w:leader="none" w:pos="764" w:val="left"/>
        </w:tabs>
        <w:numPr>
          <w:ilvl w:val="0"/>
          <w:numId w:val="39"/>
        </w:numPr>
        <w:rPr>
          <w:rFonts w:ascii="Arial" w:cs="Arial" w:eastAsia="Arial" w:hAnsi="Arial"/>
          <w:sz w:val="14"/>
          <w:szCs w:val="14"/>
          <w:color w:val="auto"/>
        </w:rPr>
      </w:pPr>
      <w:r>
        <w:rPr>
          <w:rFonts w:ascii="Arial" w:cs="Arial" w:eastAsia="Arial" w:hAnsi="Arial"/>
          <w:sz w:val="14"/>
          <w:szCs w:val="14"/>
          <w:color w:val="auto"/>
        </w:rPr>
        <w:t>Age plus service is greater than 90, with age at least 55</w:t>
      </w:r>
    </w:p>
    <w:p>
      <w:pPr>
        <w:spacing w:after="0" w:line="109" w:lineRule="exact"/>
        <w:rPr>
          <w:sz w:val="20"/>
          <w:szCs w:val="20"/>
          <w:color w:val="auto"/>
        </w:rPr>
      </w:pPr>
    </w:p>
    <w:p>
      <w:pPr>
        <w:ind w:left="424" w:right="40"/>
        <w:spacing w:after="0" w:line="243" w:lineRule="auto"/>
        <w:rPr>
          <w:sz w:val="20"/>
          <w:szCs w:val="20"/>
          <w:color w:val="auto"/>
        </w:rPr>
      </w:pPr>
      <w:r>
        <w:rPr>
          <w:rFonts w:ascii="Arial" w:cs="Arial" w:eastAsia="Arial" w:hAnsi="Arial"/>
          <w:sz w:val="13"/>
          <w:szCs w:val="13"/>
          <w:color w:val="auto"/>
        </w:rPr>
        <w:t>Changes in the present value of benefits in 2019 are attributable to the Retirement Plan and the corresponding benefit under the SERP are as follows: Mr. O’Shaughnessy–$17,098 Retirement Plan; Mr. Cooney–$263,337 Retirement Plan; Mr. Rosen–$69,386 Retirement Plan, $4,716,667 SERP; Ms. Maddrey–$197,603 Retirement Plan; and Ms. Demeter– $344,188 Retirement Plan. The values of accumulated plan benefits were determined using a discount rate of 3.30% at 12/31/2019, 4.30% at 12/31/2018, and 3.60% at 12/31/2017 and using Pri-2012 fully generational mortality table for males and females (White-Collar specific for nonqualified benefits) using Scale MP-2019 at 12/31/2019 and RP-2018 fully generational mortality table for males and females using Scale MP-2018 mortality improvement at 12/31/2018 and RP-2017 fully generational mortality table for males and females using Scale MP-2017 mortality improvement at 12/31/2017. In addition, as of 12/31/2019 and 12/31/2018, 50% of the benefit accumulated under the qualified Graham Schedule is valued as a lump-sum, and 50% valued as an annuity payable for life and as of 12/31/2017, valued as annuities payable for life. Cash Balance and Secure Retirement Account benefits are assumed to be taken as a lump sum with a 90% probability and an annuity with a 10% probability as of 12/31/2019, 12/31/2018 and 12/31/2017. At 12/31/2019, the annuity was converted into a lump-sum value using the 2020 PPA combined unisex mortality for single-sum payments and interest rates of 2.09% for payments in the first 5 years, 3.00% for payments in years 5 through 20 and 3.61% for years thereafter. At 12/31/2018, the annuity was converted into a lump-sum value using the 2019 PPA combined unisex mortality for single sum payments and interest rates of 3.10% for payments in the first 5 years, 4.15% for payments in years 5 through 20 and 4.46% for years thereafter.</w:t>
      </w:r>
    </w:p>
    <w:p>
      <w:pPr>
        <w:spacing w:after="0" w:line="121"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type w:val="continuous"/>
        </w:sectPr>
      </w:pPr>
    </w:p>
    <w:bookmarkStart w:id="28" w:name="page29"/>
    <w:bookmarkEnd w:id="28"/>
    <w:p>
      <w:pPr>
        <w:ind w:left="424" w:hanging="424"/>
        <w:spacing w:after="0"/>
        <w:tabs>
          <w:tab w:leader="none" w:pos="424" w:val="left"/>
        </w:tabs>
        <w:numPr>
          <w:ilvl w:val="0"/>
          <w:numId w:val="4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2019, the amounts shown include the information detailed in the following table:</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ALL OTHER COMPENSATION</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2900" w:type="dxa"/>
            <w:vAlign w:val="bottom"/>
            <w:tcBorders>
              <w:top w:val="single" w:sz="8" w:color="auto"/>
              <w:left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20" w:type="dxa"/>
            <w:vAlign w:val="bottom"/>
            <w:tcBorders>
              <w:top w:val="single" w:sz="8" w:color="auto"/>
              <w:right w:val="single" w:sz="8" w:color="auto"/>
            </w:tcBorders>
          </w:tcPr>
          <w:p>
            <w:pPr>
              <w:jc w:val="center"/>
              <w:ind w:left="228"/>
              <w:spacing w:after="0" w:line="139" w:lineRule="exact"/>
              <w:rPr>
                <w:sz w:val="20"/>
                <w:szCs w:val="20"/>
                <w:color w:val="auto"/>
              </w:rPr>
            </w:pPr>
            <w:r>
              <w:rPr>
                <w:rFonts w:ascii="Arial" w:cs="Arial" w:eastAsia="Arial" w:hAnsi="Arial"/>
                <w:sz w:val="14"/>
                <w:szCs w:val="14"/>
                <w:b w:val="1"/>
                <w:bCs w:val="1"/>
                <w:color w:val="auto"/>
                <w:w w:val="97"/>
              </w:rPr>
              <w:t>Individual</w:t>
            </w:r>
          </w:p>
        </w:tc>
        <w:tc>
          <w:tcPr>
            <w:tcW w:w="11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401(k) Company</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SERP Company</w:t>
            </w:r>
          </w:p>
        </w:tc>
        <w:tc>
          <w:tcPr>
            <w:tcW w:w="138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jc w:val="center"/>
              <w:ind w:left="228"/>
              <w:spacing w:after="0" w:line="144" w:lineRule="exact"/>
              <w:rPr>
                <w:sz w:val="20"/>
                <w:szCs w:val="20"/>
                <w:color w:val="auto"/>
              </w:rPr>
            </w:pPr>
            <w:r>
              <w:rPr>
                <w:rFonts w:ascii="Arial" w:cs="Arial" w:eastAsia="Arial" w:hAnsi="Arial"/>
                <w:sz w:val="14"/>
                <w:szCs w:val="14"/>
                <w:b w:val="1"/>
                <w:bCs w:val="1"/>
                <w:color w:val="auto"/>
                <w:w w:val="97"/>
              </w:rPr>
              <w:t>Deferred</w:t>
            </w: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vMerge w:val="restart"/>
          </w:tcPr>
          <w:p>
            <w:pPr>
              <w:jc w:val="center"/>
              <w:ind w:left="148"/>
              <w:spacing w:after="0"/>
              <w:rPr>
                <w:sz w:val="20"/>
                <w:szCs w:val="20"/>
                <w:color w:val="auto"/>
              </w:rPr>
            </w:pPr>
            <w:r>
              <w:rPr>
                <w:rFonts w:ascii="Arial" w:cs="Arial" w:eastAsia="Arial" w:hAnsi="Arial"/>
                <w:sz w:val="14"/>
                <w:szCs w:val="14"/>
                <w:b w:val="1"/>
                <w:bCs w:val="1"/>
                <w:color w:val="auto"/>
                <w:w w:val="91"/>
              </w:rPr>
              <w:t>Perquisites ($)</w:t>
            </w:r>
          </w:p>
        </w:tc>
        <w:tc>
          <w:tcPr>
            <w:tcW w:w="16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2900" w:type="dxa"/>
            <w:vAlign w:val="bottom"/>
            <w:tcBorders>
              <w:left w:val="single" w:sz="8" w:color="auto"/>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Contributions ($)</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 ($)</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Dividends ($)</w:t>
            </w:r>
          </w:p>
        </w:tc>
        <w:tc>
          <w:tcPr>
            <w:tcW w:w="122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6"/>
              </w:rPr>
              <w:t>Arrangement</w:t>
            </w: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tcBorders>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right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(b)</w:t>
            </w:r>
          </w:p>
        </w:tc>
        <w:tc>
          <w:tcPr>
            <w:tcW w:w="164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(c)</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1</w:t>
            </w:r>
          </w:p>
        </w:tc>
        <w:tc>
          <w:tcPr>
            <w:tcW w:w="122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(f)</w:t>
            </w:r>
          </w:p>
        </w:tc>
        <w:tc>
          <w:tcPr>
            <w:tcW w:w="112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2,800</w:t>
            </w:r>
          </w:p>
        </w:tc>
        <w:tc>
          <w:tcPr>
            <w:tcW w:w="1640" w:type="dxa"/>
            <w:vAlign w:val="bottom"/>
            <w:tcBorders>
              <w:bottom w:val="single" w:sz="8" w:color="auto"/>
              <w:right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140" w:type="dxa"/>
            <w:vAlign w:val="bottom"/>
            <w:tcBorders>
              <w:bottom w:val="single" w:sz="8" w:color="auto"/>
              <w:right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2,800</w:t>
            </w:r>
          </w:p>
        </w:tc>
        <w:tc>
          <w:tcPr>
            <w:tcW w:w="164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6,672</w:t>
            </w:r>
          </w:p>
        </w:tc>
        <w:tc>
          <w:tcPr>
            <w:tcW w:w="1220" w:type="dxa"/>
            <w:vAlign w:val="bottom"/>
            <w:tcBorders>
              <w:bottom w:val="single" w:sz="8" w:color="auto"/>
              <w:right w:val="single" w:sz="8" w:color="auto"/>
            </w:tcBorders>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9,472</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2,800</w:t>
            </w:r>
          </w:p>
        </w:tc>
        <w:tc>
          <w:tcPr>
            <w:tcW w:w="1640" w:type="dxa"/>
            <w:vAlign w:val="bottom"/>
            <w:tcBorders>
              <w:bottom w:val="single" w:sz="8" w:color="auto"/>
              <w:right w:val="single" w:sz="8" w:color="auto"/>
            </w:tcBorders>
            <w:shd w:val="clear" w:color="auto" w:fill="CCEEFF"/>
          </w:tcPr>
          <w:p>
            <w:pPr>
              <w:ind w:left="980"/>
              <w:spacing w:after="0" w:line="142" w:lineRule="exact"/>
              <w:rPr>
                <w:sz w:val="20"/>
                <w:szCs w:val="20"/>
                <w:color w:val="auto"/>
              </w:rPr>
            </w:pPr>
            <w:r>
              <w:rPr>
                <w:rFonts w:ascii="Arial" w:cs="Arial" w:eastAsia="Arial" w:hAnsi="Arial"/>
                <w:sz w:val="14"/>
                <w:szCs w:val="14"/>
                <w:color w:val="auto"/>
              </w:rPr>
              <w:t>40,350</w:t>
            </w:r>
          </w:p>
        </w:tc>
        <w:tc>
          <w:tcPr>
            <w:tcW w:w="138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10,119</w:t>
            </w:r>
          </w:p>
        </w:tc>
        <w:tc>
          <w:tcPr>
            <w:tcW w:w="1220" w:type="dxa"/>
            <w:vAlign w:val="bottom"/>
            <w:tcBorders>
              <w:bottom w:val="single" w:sz="8" w:color="auto"/>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53,269</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140" w:type="dxa"/>
            <w:vAlign w:val="bottom"/>
            <w:tcBorders>
              <w:bottom w:val="single" w:sz="8" w:color="auto"/>
              <w:right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2,800</w:t>
            </w:r>
          </w:p>
        </w:tc>
        <w:tc>
          <w:tcPr>
            <w:tcW w:w="164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5,560</w:t>
            </w:r>
          </w:p>
        </w:tc>
        <w:tc>
          <w:tcPr>
            <w:tcW w:w="1220" w:type="dxa"/>
            <w:vAlign w:val="bottom"/>
            <w:tcBorders>
              <w:bottom w:val="single" w:sz="8" w:color="auto"/>
              <w:right w:val="single" w:sz="8" w:color="auto"/>
            </w:tcBorders>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8,360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Denise M. Demeter</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2,800</w:t>
            </w:r>
          </w:p>
        </w:tc>
        <w:tc>
          <w:tcPr>
            <w:tcW w:w="1640" w:type="dxa"/>
            <w:vAlign w:val="bottom"/>
            <w:tcBorders>
              <w:bottom w:val="single" w:sz="8" w:color="auto"/>
              <w:right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4,448</w:t>
            </w:r>
          </w:p>
        </w:tc>
        <w:tc>
          <w:tcPr>
            <w:tcW w:w="1220" w:type="dxa"/>
            <w:vAlign w:val="bottom"/>
            <w:tcBorders>
              <w:bottom w:val="single" w:sz="8" w:color="auto"/>
              <w:right w:val="single" w:sz="8" w:color="auto"/>
            </w:tcBorders>
            <w:shd w:val="clear" w:color="auto" w:fill="CCEEFF"/>
          </w:tcPr>
          <w:p>
            <w:pPr>
              <w:jc w:val="center"/>
              <w:ind w:left="228"/>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20" w:hanging="424"/>
        <w:spacing w:after="0" w:line="253" w:lineRule="auto"/>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represent dividends attributable to Company stock granted under the Company’s 2012 ICP that are not included in the grant date fair value of such restricted stock awards reported in column (e) of the Summary Compensation Table.</w:t>
      </w:r>
    </w:p>
    <w:p>
      <w:pPr>
        <w:spacing w:after="0" w:line="178" w:lineRule="exact"/>
        <w:rPr>
          <w:sz w:val="20"/>
          <w:szCs w:val="20"/>
          <w:color w:val="auto"/>
        </w:rPr>
      </w:pPr>
    </w:p>
    <w:p>
      <w:pPr>
        <w:jc w:val="both"/>
        <w:ind w:left="4" w:right="300" w:firstLine="991"/>
        <w:spacing w:after="0" w:line="342" w:lineRule="auto"/>
        <w:rPr>
          <w:sz w:val="20"/>
          <w:szCs w:val="20"/>
          <w:color w:val="auto"/>
        </w:rPr>
      </w:pPr>
      <w:r>
        <w:rPr>
          <w:rFonts w:ascii="Arial" w:cs="Arial" w:eastAsia="Arial" w:hAnsi="Arial"/>
          <w:sz w:val="16"/>
          <w:szCs w:val="16"/>
          <w:color w:val="auto"/>
        </w:rPr>
        <w:t>The following table provides information on awards made under the 2012 ICP to each of the named executive officers in 2019. Awards granted to the named executive officers under the 2012 ICP in 2019 include annual incentive awards, performance units and restricted stock awards.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GRANTS OF PLAN-BASED AWARDS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520" w:type="dxa"/>
            <w:vAlign w:val="bottom"/>
            <w:tcBorders>
              <w:top w:val="single" w:sz="8" w:color="auto"/>
              <w:left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gridSpan w:val="3"/>
          </w:tcPr>
          <w:p>
            <w:pPr>
              <w:jc w:val="right"/>
              <w:ind w:right="288"/>
              <w:spacing w:after="0" w:line="139" w:lineRule="exact"/>
              <w:rPr>
                <w:sz w:val="20"/>
                <w:szCs w:val="20"/>
                <w:color w:val="auto"/>
              </w:rPr>
            </w:pPr>
            <w:r>
              <w:rPr>
                <w:rFonts w:ascii="Arial" w:cs="Arial" w:eastAsia="Arial" w:hAnsi="Arial"/>
                <w:sz w:val="14"/>
                <w:szCs w:val="14"/>
                <w:b w:val="1"/>
                <w:bCs w:val="1"/>
                <w:color w:val="auto"/>
              </w:rPr>
              <w:t>Estimated Future Payouts</w:t>
            </w:r>
          </w:p>
        </w:tc>
        <w:tc>
          <w:tcPr>
            <w:tcW w:w="1780" w:type="dxa"/>
            <w:vAlign w:val="bottom"/>
            <w:tcBorders>
              <w:top w:val="single" w:sz="8" w:color="auto"/>
              <w:right w:val="single" w:sz="8" w:color="auto"/>
            </w:tcBorders>
            <w:gridSpan w:val="3"/>
          </w:tcPr>
          <w:p>
            <w:pPr>
              <w:jc w:val="center"/>
              <w:spacing w:after="0" w:line="139" w:lineRule="exact"/>
              <w:rPr>
                <w:sz w:val="20"/>
                <w:szCs w:val="20"/>
                <w:color w:val="auto"/>
              </w:rPr>
            </w:pPr>
            <w:r>
              <w:rPr>
                <w:rFonts w:ascii="Arial" w:cs="Arial" w:eastAsia="Arial" w:hAnsi="Arial"/>
                <w:sz w:val="14"/>
                <w:szCs w:val="14"/>
                <w:b w:val="1"/>
                <w:bCs w:val="1"/>
                <w:color w:val="auto"/>
                <w:w w:val="94"/>
              </w:rPr>
              <w:t>Estimated Future</w:t>
            </w:r>
          </w:p>
        </w:tc>
        <w:tc>
          <w:tcPr>
            <w:tcW w:w="7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178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Payouts Under Equity</w:t>
            </w: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2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Plan Awards</w:t>
            </w:r>
          </w:p>
        </w:tc>
        <w:tc>
          <w:tcPr>
            <w:tcW w:w="76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Incentive Plan Awards</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Closing</w:t>
            </w: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2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Price on</w:t>
            </w:r>
          </w:p>
        </w:tc>
        <w:tc>
          <w:tcPr>
            <w:tcW w:w="8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Date of</w:t>
            </w: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Grant for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 Units</w:t>
            </w: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Grant</w:t>
            </w:r>
          </w:p>
        </w:tc>
        <w:tc>
          <w:tcPr>
            <w:tcW w:w="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or Other</w:t>
            </w:r>
          </w:p>
        </w:tc>
        <w:tc>
          <w:tcPr>
            <w:tcW w:w="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Threshold</w:t>
            </w:r>
          </w:p>
        </w:tc>
        <w:tc>
          <w:tcPr>
            <w:tcW w:w="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Target</w:t>
            </w:r>
          </w:p>
        </w:tc>
        <w:tc>
          <w:tcPr>
            <w:tcW w:w="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Max</w:t>
            </w:r>
          </w:p>
        </w:tc>
        <w:tc>
          <w:tcPr>
            <w:tcW w:w="78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b w:val="1"/>
                <w:bCs w:val="1"/>
                <w:color w:val="auto"/>
              </w:rPr>
              <w:t>Threshold</w:t>
            </w:r>
          </w:p>
        </w:tc>
        <w:tc>
          <w:tcPr>
            <w:tcW w:w="560" w:type="dxa"/>
            <w:vAlign w:val="bottom"/>
            <w:tcBorders>
              <w:right w:val="single" w:sz="8" w:color="auto"/>
            </w:tcBorders>
          </w:tcPr>
          <w:p>
            <w:pPr>
              <w:jc w:val="right"/>
              <w:ind w:right="28"/>
              <w:spacing w:after="0" w:line="158" w:lineRule="exact"/>
              <w:rPr>
                <w:sz w:val="20"/>
                <w:szCs w:val="20"/>
                <w:color w:val="auto"/>
              </w:rPr>
            </w:pPr>
            <w:r>
              <w:rPr>
                <w:rFonts w:ascii="Arial" w:cs="Arial" w:eastAsia="Arial" w:hAnsi="Arial"/>
                <w:sz w:val="14"/>
                <w:szCs w:val="14"/>
                <w:b w:val="1"/>
                <w:bCs w:val="1"/>
                <w:color w:val="auto"/>
              </w:rPr>
              <w:t>Target</w:t>
            </w:r>
          </w:p>
        </w:tc>
        <w:tc>
          <w:tcPr>
            <w:tcW w:w="4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Max</w:t>
            </w:r>
          </w:p>
        </w:tc>
        <w:tc>
          <w:tcPr>
            <w:tcW w:w="7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or Units</w:t>
            </w: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w:t>
            </w: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if Different</w:t>
            </w:r>
          </w:p>
        </w:tc>
        <w:tc>
          <w:tcPr>
            <w:tcW w:w="8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Name (a)</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Date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Rights (#)</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8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40" w:type="dxa"/>
            <w:vAlign w:val="bottom"/>
            <w:tcBorders>
              <w:right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share)</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6"/>
        </w:trPr>
        <w:tc>
          <w:tcPr>
            <w:tcW w:w="15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7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(g)</w:t>
            </w:r>
          </w:p>
        </w:tc>
        <w:tc>
          <w:tcPr>
            <w:tcW w:w="5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(h)</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(k)</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w:t>
            </w:r>
          </w:p>
        </w:tc>
        <w:tc>
          <w:tcPr>
            <w:tcW w:w="0" w:type="dxa"/>
            <w:vAlign w:val="bottom"/>
          </w:tcPr>
          <w:p>
            <w:pPr>
              <w:spacing w:after="0"/>
              <w:rPr>
                <w:sz w:val="1"/>
                <w:szCs w:val="1"/>
                <w:color w:val="auto"/>
              </w:rPr>
            </w:pPr>
          </w:p>
        </w:tc>
      </w:tr>
      <w:tr>
        <w:trPr>
          <w:trHeight w:val="123"/>
        </w:trPr>
        <w:tc>
          <w:tcPr>
            <w:tcW w:w="152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w:t>
            </w:r>
          </w:p>
        </w:tc>
        <w:tc>
          <w:tcPr>
            <w:tcW w:w="70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O’Shaughnessy</w:t>
            </w:r>
          </w:p>
        </w:tc>
        <w:tc>
          <w:tcPr>
            <w:tcW w:w="700" w:type="dxa"/>
            <w:vAlign w:val="bottom"/>
            <w:tcBorders>
              <w:right w:val="single" w:sz="8" w:color="auto"/>
            </w:tcBorders>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1,500,000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12,000</w:t>
            </w:r>
          </w:p>
        </w:tc>
        <w:tc>
          <w:tcPr>
            <w:tcW w:w="7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60,000</w:t>
            </w:r>
          </w:p>
        </w:tc>
        <w:tc>
          <w:tcPr>
            <w:tcW w:w="7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1,200,000</w:t>
            </w:r>
          </w:p>
        </w:tc>
        <w:tc>
          <w:tcPr>
            <w:tcW w:w="7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2,400,000</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52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7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145,000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290,000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580,000</w:t>
            </w:r>
          </w:p>
        </w:tc>
        <w:tc>
          <w:tcPr>
            <w:tcW w:w="78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7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6,500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32,500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650,000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1,300,000</w:t>
            </w:r>
          </w:p>
        </w:tc>
        <w:tc>
          <w:tcPr>
            <w:tcW w:w="78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1/2/2019</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600</w:t>
            </w:r>
          </w:p>
        </w:tc>
        <w:tc>
          <w:tcPr>
            <w:tcW w:w="8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383,586</w:t>
            </w:r>
          </w:p>
        </w:tc>
        <w:tc>
          <w:tcPr>
            <w:tcW w:w="0" w:type="dxa"/>
            <w:vAlign w:val="bottom"/>
          </w:tcPr>
          <w:p>
            <w:pPr>
              <w:spacing w:after="0"/>
              <w:rPr>
                <w:sz w:val="1"/>
                <w:szCs w:val="1"/>
                <w:color w:val="auto"/>
              </w:rPr>
            </w:pPr>
          </w:p>
        </w:tc>
      </w:tr>
      <w:tr>
        <w:trPr>
          <w:trHeight w:val="123"/>
        </w:trPr>
        <w:tc>
          <w:tcPr>
            <w:tcW w:w="152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70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747,500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1,625,000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3,136,250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1/2/2019</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820</w:t>
            </w:r>
          </w:p>
        </w:tc>
        <w:tc>
          <w:tcPr>
            <w:tcW w:w="84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524,234</w:t>
            </w:r>
          </w:p>
        </w:tc>
        <w:tc>
          <w:tcPr>
            <w:tcW w:w="0" w:type="dxa"/>
            <w:vAlign w:val="bottom"/>
          </w:tcPr>
          <w:p>
            <w:pPr>
              <w:spacing w:after="0"/>
              <w:rPr>
                <w:sz w:val="1"/>
                <w:szCs w:val="1"/>
                <w:color w:val="auto"/>
              </w:rPr>
            </w:pPr>
          </w:p>
        </w:tc>
      </w:tr>
      <w:tr>
        <w:trPr>
          <w:trHeight w:val="123"/>
        </w:trPr>
        <w:tc>
          <w:tcPr>
            <w:tcW w:w="152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7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115,000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230,000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460,000</w:t>
            </w:r>
          </w:p>
        </w:tc>
        <w:tc>
          <w:tcPr>
            <w:tcW w:w="78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25,000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500,000</w:t>
            </w:r>
          </w:p>
        </w:tc>
        <w:tc>
          <w:tcPr>
            <w:tcW w:w="76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1,000,000</w:t>
            </w:r>
          </w:p>
        </w:tc>
        <w:tc>
          <w:tcPr>
            <w:tcW w:w="78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1/2/2019</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500</w:t>
            </w:r>
          </w:p>
        </w:tc>
        <w:tc>
          <w:tcPr>
            <w:tcW w:w="8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319,655</w:t>
            </w:r>
          </w:p>
        </w:tc>
        <w:tc>
          <w:tcPr>
            <w:tcW w:w="0" w:type="dxa"/>
            <w:vAlign w:val="bottom"/>
          </w:tcPr>
          <w:p>
            <w:pPr>
              <w:spacing w:after="0"/>
              <w:rPr>
                <w:sz w:val="1"/>
                <w:szCs w:val="1"/>
                <w:color w:val="auto"/>
              </w:rPr>
            </w:pPr>
          </w:p>
        </w:tc>
      </w:tr>
      <w:tr>
        <w:trPr>
          <w:trHeight w:val="123"/>
        </w:trPr>
        <w:tc>
          <w:tcPr>
            <w:tcW w:w="152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Denise M. Demeter</w:t>
            </w:r>
          </w:p>
        </w:tc>
        <w:tc>
          <w:tcPr>
            <w:tcW w:w="70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4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90,000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180,000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360,000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400,000</w:t>
            </w:r>
          </w:p>
        </w:tc>
        <w:tc>
          <w:tcPr>
            <w:tcW w:w="76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800,000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1/2/2019</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84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255,724</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60" w:hanging="424"/>
        <w:spacing w:after="0" w:line="251" w:lineRule="auto"/>
        <w:tabs>
          <w:tab w:leader="none" w:pos="424"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shown are the threshold, target and maximum payouts under the annual bonus component of the 2012 ICP. The Committee sets the performance-based goals for purposes of the annual incentive awards to be paid for fiscal year 2019. The amount in column (d) represents the minimum payment level, which is 50% of the target; in the case for Mr. Rosen, it is 46%. The amount shown in column (f) represents the maximum payout level, which is 200% of the target; in the case for Mr. Rosen, it is 193% of the target. In the event that the threshold performance level with respect to the performance goals set by the Committee (i.e., 80% of the target performance goal; in the case of Mr. Rosen, for the Kaplan component, 80% of operating income target performance goal and 90% of enterprise revenue target performance goal) is not attained, no amount would be paid.</w:t>
      </w:r>
    </w:p>
    <w:p>
      <w:pPr>
        <w:spacing w:after="0" w:line="28" w:lineRule="exact"/>
        <w:rPr>
          <w:rFonts w:ascii="Arial" w:cs="Arial" w:eastAsia="Arial" w:hAnsi="Arial"/>
          <w:sz w:val="13"/>
          <w:szCs w:val="13"/>
          <w:color w:val="auto"/>
        </w:rPr>
      </w:pPr>
    </w:p>
    <w:p>
      <w:pPr>
        <w:ind w:left="424" w:right="160" w:hanging="424"/>
        <w:spacing w:after="0" w:line="233" w:lineRule="auto"/>
        <w:tabs>
          <w:tab w:leader="none" w:pos="4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grants represent Performance Units granted as part of a four-year award cycle. The Committee has set the performance-based goals for these grants, which are to be paid in fiscal year 2023. The amount in column (d) represents the minimum level, which is $5.00 per unit. The amount shown in column (e) represents the target value of each unit, which is $100 per unit, and the amount in column (f) represents the maximum payout per unit, which is $200 per unit. In the event that the goals set by the Committee for these grants are not attained, no amount will be paid.</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69" w:right="439" w:bottom="1440" w:gutter="0" w:footer="0" w:header="0"/>
        </w:sectPr>
      </w:pPr>
    </w:p>
    <w:bookmarkStart w:id="29" w:name="page30"/>
    <w:bookmarkEnd w:id="29"/>
    <w:p>
      <w:pPr>
        <w:ind w:left="424" w:right="120" w:hanging="424"/>
        <w:spacing w:after="0" w:line="253" w:lineRule="auto"/>
        <w:tabs>
          <w:tab w:leader="none" w:pos="424" w:val="left"/>
        </w:tabs>
        <w:numPr>
          <w:ilvl w:val="0"/>
          <w:numId w:val="4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These grants represent shares of restricted stock. These awards will vest on January 3, 2023. Grant date fair value calculated using the average of high and low prices of a share of the Company’s Class B Common stock as of January 2, 2019 ($639.31)</w:t>
      </w:r>
    </w:p>
    <w:p>
      <w:pPr>
        <w:spacing w:after="0" w:line="17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NARRATIVE DISCLOSURE TO SUMMARY COMPENSATION TABLE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GRANTS OF PLAN-BASED AWARDS TABLE</w:t>
      </w:r>
    </w:p>
    <w:p>
      <w:pPr>
        <w:spacing w:after="0" w:line="211"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The following describes material features of the compensation disclosed in the Summary Compensation Table and the Grants of Plan-Based Awards table.</w:t>
      </w:r>
    </w:p>
    <w:p>
      <w:pPr>
        <w:spacing w:after="0" w:line="166"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7"/>
          <w:szCs w:val="17"/>
          <w:b w:val="1"/>
          <w:bCs w:val="1"/>
          <w:color w:val="auto"/>
        </w:rPr>
        <w:t xml:space="preserve">Employment Agreements. </w:t>
      </w:r>
      <w:r>
        <w:rPr>
          <w:rFonts w:ascii="Arial" w:cs="Arial" w:eastAsia="Arial" w:hAnsi="Arial"/>
          <w:sz w:val="17"/>
          <w:szCs w:val="17"/>
          <w:color w:val="auto"/>
        </w:rPr>
        <w:t>As described in “Compensation Discussion and Analysis: Employment Agreements and Severance Packages,”</w:t>
      </w:r>
      <w:r>
        <w:rPr>
          <w:rFonts w:ascii="Arial" w:cs="Arial" w:eastAsia="Arial" w:hAnsi="Arial"/>
          <w:sz w:val="17"/>
          <w:szCs w:val="17"/>
          <w:b w:val="1"/>
          <w:bCs w:val="1"/>
          <w:color w:val="auto"/>
        </w:rPr>
        <w:t xml:space="preserve"> </w:t>
      </w:r>
      <w:r>
        <w:rPr>
          <w:rFonts w:ascii="Arial" w:cs="Arial" w:eastAsia="Arial" w:hAnsi="Arial"/>
          <w:sz w:val="17"/>
          <w:szCs w:val="17"/>
          <w:color w:val="auto"/>
        </w:rPr>
        <w:t>Messrs. O’Shaughnessy and Rosen entered into employment agreements with the Company in 2014 that provide for annual base salaries of $750,000 and $1,625,000, respectively, and a discretionary annual cash incentive bonus target of 100% of base salary.</w:t>
      </w:r>
    </w:p>
    <w:p>
      <w:pPr>
        <w:spacing w:after="0" w:line="158" w:lineRule="exact"/>
        <w:rPr>
          <w:sz w:val="20"/>
          <w:szCs w:val="20"/>
          <w:color w:val="auto"/>
        </w:rPr>
      </w:pPr>
    </w:p>
    <w:p>
      <w:pPr>
        <w:ind w:left="4" w:right="540" w:firstLine="991"/>
        <w:spacing w:after="0" w:line="314" w:lineRule="auto"/>
        <w:rPr>
          <w:sz w:val="20"/>
          <w:szCs w:val="20"/>
          <w:color w:val="auto"/>
        </w:rPr>
      </w:pPr>
      <w:r>
        <w:rPr>
          <w:rFonts w:ascii="Arial" w:cs="Arial" w:eastAsia="Arial" w:hAnsi="Arial"/>
          <w:sz w:val="16"/>
          <w:szCs w:val="16"/>
          <w:b w:val="1"/>
          <w:bCs w:val="1"/>
          <w:color w:val="auto"/>
        </w:rPr>
        <w:t xml:space="preserve">Annual Bonus/Incentive Awards. </w:t>
      </w:r>
      <w:r>
        <w:rPr>
          <w:rFonts w:ascii="Arial" w:cs="Arial" w:eastAsia="Arial" w:hAnsi="Arial"/>
          <w:sz w:val="16"/>
          <w:szCs w:val="16"/>
          <w:color w:val="auto"/>
        </w:rPr>
        <w:t>The Summary Compensation Table and Grants of Plan-Based Awards table provide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the annual bonus or incentive awards granted to the named executive officers in 2019. See “Compensation Discussion and Analysis: Performance-Based Incentive Compensation–Annual Bonuses” for additional information regarding the terms of these awards.</w:t>
      </w:r>
    </w:p>
    <w:p>
      <w:pPr>
        <w:spacing w:after="0" w:line="142" w:lineRule="exact"/>
        <w:rPr>
          <w:sz w:val="20"/>
          <w:szCs w:val="20"/>
          <w:color w:val="auto"/>
        </w:rPr>
      </w:pPr>
    </w:p>
    <w:p>
      <w:pPr>
        <w:ind w:left="4" w:right="180" w:firstLine="991"/>
        <w:spacing w:after="0" w:line="282"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Summary Compensation Table reflects the fair value of the restricted stock awards made in 2017 and 2019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Restricted stock generally vests four years from the date of grant, subject to continued employment.</w:t>
      </w:r>
    </w:p>
    <w:p>
      <w:pPr>
        <w:spacing w:after="0" w:line="162" w:lineRule="exact"/>
        <w:rPr>
          <w:sz w:val="20"/>
          <w:szCs w:val="20"/>
          <w:color w:val="auto"/>
        </w:rPr>
      </w:pPr>
    </w:p>
    <w:p>
      <w:pPr>
        <w:ind w:left="4" w:right="120" w:firstLine="991"/>
        <w:spacing w:after="0" w:line="314" w:lineRule="auto"/>
        <w:rPr>
          <w:sz w:val="20"/>
          <w:szCs w:val="20"/>
          <w:color w:val="auto"/>
        </w:rPr>
      </w:pPr>
      <w:r>
        <w:rPr>
          <w:rFonts w:ascii="Arial" w:cs="Arial" w:eastAsia="Arial" w:hAnsi="Arial"/>
          <w:sz w:val="16"/>
          <w:szCs w:val="16"/>
          <w:b w:val="1"/>
          <w:bCs w:val="1"/>
          <w:color w:val="auto"/>
        </w:rPr>
        <w:t xml:space="preserve">Performance Units. </w:t>
      </w:r>
      <w:r>
        <w:rPr>
          <w:rFonts w:ascii="Arial" w:cs="Arial" w:eastAsia="Arial" w:hAnsi="Arial"/>
          <w:sz w:val="16"/>
          <w:szCs w:val="16"/>
          <w:color w:val="auto"/>
        </w:rPr>
        <w:t>The Summary Compensation Table includes amounts earned for Performance Units granted under the 2015–2018</w:t>
      </w:r>
      <w:r>
        <w:rPr>
          <w:rFonts w:ascii="Arial" w:cs="Arial" w:eastAsia="Arial" w:hAnsi="Arial"/>
          <w:sz w:val="16"/>
          <w:szCs w:val="16"/>
          <w:b w:val="1"/>
          <w:bCs w:val="1"/>
          <w:color w:val="auto"/>
        </w:rPr>
        <w:t xml:space="preserve"> </w:t>
      </w:r>
      <w:r>
        <w:rPr>
          <w:rFonts w:ascii="Arial" w:cs="Arial" w:eastAsia="Arial" w:hAnsi="Arial"/>
          <w:sz w:val="16"/>
          <w:szCs w:val="16"/>
          <w:color w:val="auto"/>
        </w:rPr>
        <w:t>award cycle. The Committee sets the performance-based goals for the grants at the beginning of each four-year award cycle. For additional information regarding the Performance Units, see “Compensation Discussion and Analysis: Performance-Based Incentive Compensation–Performance Units.”</w:t>
      </w:r>
    </w:p>
    <w:p>
      <w:pPr>
        <w:spacing w:after="0" w:line="142" w:lineRule="exact"/>
        <w:rPr>
          <w:sz w:val="20"/>
          <w:szCs w:val="20"/>
          <w:color w:val="auto"/>
        </w:rPr>
      </w:pPr>
    </w:p>
    <w:p>
      <w:pPr>
        <w:ind w:left="4" w:right="160" w:firstLine="991"/>
        <w:spacing w:after="0" w:line="26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value of stock option awards shown in the Summary Compensation Table represents the grant date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granted to Mr. Cooney in 2017 under the 2012 ICP. The options generally vest over a six-year period from the date of grant and are exercisable for 10 years from the date of grant.</w:t>
      </w:r>
    </w:p>
    <w:p>
      <w:pPr>
        <w:spacing w:after="0" w:line="180"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held by the Company’s named executive officers on December 31, 2019.</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2440" w:type="dxa"/>
            <w:vAlign w:val="bottom"/>
            <w:tcBorders>
              <w:top w:val="single" w:sz="8" w:color="auto"/>
              <w:left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206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8"/>
              </w:rPr>
              <w:t xml:space="preserve">Option Awards </w:t>
            </w:r>
            <w:r>
              <w:rPr>
                <w:rFonts w:ascii="Arial" w:cs="Arial" w:eastAsia="Arial" w:hAnsi="Arial"/>
                <w:sz w:val="12"/>
                <w:szCs w:val="12"/>
                <w:b w:val="1"/>
                <w:bCs w:val="1"/>
                <w:color w:val="auto"/>
                <w:w w:val="98"/>
              </w:rPr>
              <w:t>1</w:t>
            </w:r>
          </w:p>
        </w:tc>
        <w:tc>
          <w:tcPr>
            <w:tcW w:w="7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right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6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2"/>
                <w:szCs w:val="12"/>
                <w:b w:val="1"/>
                <w:bCs w:val="1"/>
                <w:color w:val="auto"/>
              </w:rPr>
              <w:t>2</w:t>
            </w: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4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ind w:left="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Incentive</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Plan</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Incentive</w:t>
            </w: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58"/>
        </w:trPr>
        <w:tc>
          <w:tcPr>
            <w:tcW w:w="244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right w:val="single" w:sz="8" w:color="auto"/>
            </w:tcBorders>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tcBorders>
              <w:right w:val="single" w:sz="8" w:color="auto"/>
            </w:tcBorders>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Borders>
              <w:right w:val="single" w:sz="8" w:color="auto"/>
            </w:tcBorders>
          </w:tcPr>
          <w:p>
            <w:pPr>
              <w:jc w:val="center"/>
              <w:ind w:left="28"/>
              <w:spacing w:after="0" w:line="158" w:lineRule="exact"/>
              <w:rPr>
                <w:sz w:val="20"/>
                <w:szCs w:val="20"/>
                <w:color w:val="auto"/>
              </w:rPr>
            </w:pPr>
            <w:r>
              <w:rPr>
                <w:rFonts w:ascii="Arial" w:cs="Arial" w:eastAsia="Arial" w:hAnsi="Arial"/>
                <w:sz w:val="14"/>
                <w:szCs w:val="14"/>
                <w:b w:val="1"/>
                <w:bCs w:val="1"/>
                <w:color w:val="auto"/>
              </w:rPr>
              <w:t>Market</w:t>
            </w:r>
          </w:p>
        </w:tc>
        <w:tc>
          <w:tcPr>
            <w:tcW w:w="1100" w:type="dxa"/>
            <w:vAlign w:val="bottom"/>
            <w:tcBorders>
              <w:right w:val="single" w:sz="8" w:color="auto"/>
            </w:tcBorders>
          </w:tcPr>
          <w:p>
            <w:pPr>
              <w:jc w:val="center"/>
              <w:ind w:left="48"/>
              <w:spacing w:after="0" w:line="158" w:lineRule="exact"/>
              <w:rPr>
                <w:sz w:val="20"/>
                <w:szCs w:val="20"/>
                <w:color w:val="auto"/>
              </w:rPr>
            </w:pPr>
            <w:r>
              <w:rPr>
                <w:rFonts w:ascii="Arial" w:cs="Arial" w:eastAsia="Arial" w:hAnsi="Arial"/>
                <w:sz w:val="14"/>
                <w:szCs w:val="14"/>
                <w:b w:val="1"/>
                <w:bCs w:val="1"/>
                <w:color w:val="auto"/>
                <w:w w:val="95"/>
              </w:rPr>
              <w:t>Unearned</w:t>
            </w:r>
          </w:p>
        </w:tc>
        <w:tc>
          <w:tcPr>
            <w:tcW w:w="94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8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Number of</w:t>
            </w: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Value of</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Shares,</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Shares or</w:t>
            </w:r>
          </w:p>
        </w:tc>
        <w:tc>
          <w:tcPr>
            <w:tcW w:w="9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Shares or</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Units or</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Units of</w:t>
            </w:r>
          </w:p>
        </w:tc>
        <w:tc>
          <w:tcPr>
            <w:tcW w:w="96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Units of</w:t>
            </w:r>
          </w:p>
        </w:tc>
        <w:tc>
          <w:tcPr>
            <w:tcW w:w="11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Options:</w:t>
            </w:r>
          </w:p>
        </w:tc>
        <w:tc>
          <w:tcPr>
            <w:tcW w:w="98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w w:val="92"/>
              </w:rPr>
              <w:t>Stock That</w:t>
            </w:r>
          </w:p>
        </w:tc>
        <w:tc>
          <w:tcPr>
            <w:tcW w:w="96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8"/>
              </w:rPr>
              <w:t>That Have</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vMerge w:val="restart"/>
          </w:tcPr>
          <w:p>
            <w:pPr>
              <w:ind w:left="110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Unearned</w:t>
            </w:r>
          </w:p>
        </w:tc>
        <w:tc>
          <w:tcPr>
            <w:tcW w:w="7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Expiration</w:t>
            </w:r>
          </w:p>
        </w:tc>
        <w:tc>
          <w:tcPr>
            <w:tcW w:w="9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5"/>
              </w:rPr>
              <w:t>Have Not</w:t>
            </w:r>
          </w:p>
        </w:tc>
        <w:tc>
          <w:tcPr>
            <w:tcW w:w="9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 Not</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Not Vested</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8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Options (#)</w:t>
            </w:r>
          </w:p>
        </w:tc>
        <w:tc>
          <w:tcPr>
            <w:tcW w:w="7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Price ($)</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Date</w:t>
            </w:r>
          </w:p>
        </w:tc>
        <w:tc>
          <w:tcPr>
            <w:tcW w:w="9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Vested (#)</w:t>
            </w:r>
          </w:p>
        </w:tc>
        <w:tc>
          <w:tcPr>
            <w:tcW w:w="96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Vested ($)</w:t>
            </w:r>
          </w:p>
        </w:tc>
        <w:tc>
          <w:tcPr>
            <w:tcW w:w="11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Vested ($)</w:t>
            </w:r>
          </w:p>
        </w:tc>
        <w:tc>
          <w:tcPr>
            <w:tcW w:w="0" w:type="dxa"/>
            <w:vAlign w:val="bottom"/>
          </w:tcPr>
          <w:p>
            <w:pPr>
              <w:spacing w:after="0"/>
              <w:rPr>
                <w:sz w:val="1"/>
                <w:szCs w:val="1"/>
                <w:color w:val="auto"/>
              </w:rPr>
            </w:pPr>
          </w:p>
        </w:tc>
      </w:tr>
      <w:tr>
        <w:trPr>
          <w:trHeight w:val="175"/>
        </w:trPr>
        <w:tc>
          <w:tcPr>
            <w:tcW w:w="2440" w:type="dxa"/>
            <w:vAlign w:val="bottom"/>
            <w:tcBorders>
              <w:left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4"/>
                <w:szCs w:val="14"/>
                <w:b w:val="1"/>
                <w:bCs w:val="1"/>
                <w:color w:val="auto"/>
              </w:rPr>
              <w:t>(a)</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8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3"/>
              </w:rPr>
              <w:t>(c)</w:t>
            </w:r>
          </w:p>
        </w:tc>
        <w:tc>
          <w:tcPr>
            <w:tcW w:w="98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(d)</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(e)</w:t>
            </w:r>
          </w:p>
        </w:tc>
        <w:tc>
          <w:tcPr>
            <w:tcW w:w="96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9"/>
              </w:rPr>
              <w:t>(f)</w:t>
            </w:r>
          </w:p>
        </w:tc>
        <w:tc>
          <w:tcPr>
            <w:tcW w:w="9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7"/>
              </w:rPr>
              <w:t>(g)</w:t>
            </w:r>
            <w:r>
              <w:rPr>
                <w:rFonts w:ascii="Arial" w:cs="Arial" w:eastAsia="Arial" w:hAnsi="Arial"/>
                <w:sz w:val="12"/>
                <w:szCs w:val="12"/>
                <w:b w:val="1"/>
                <w:bCs w:val="1"/>
                <w:color w:val="auto"/>
                <w:w w:val="97"/>
              </w:rPr>
              <w:t>2</w:t>
            </w:r>
          </w:p>
        </w:tc>
        <w:tc>
          <w:tcPr>
            <w:tcW w:w="96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3</w:t>
            </w:r>
          </w:p>
        </w:tc>
        <w:tc>
          <w:tcPr>
            <w:tcW w:w="110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(i)</w:t>
            </w:r>
          </w:p>
        </w:tc>
        <w:tc>
          <w:tcPr>
            <w:tcW w:w="9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24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92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64,381</w:t>
            </w:r>
          </w:p>
        </w:tc>
        <w:tc>
          <w:tcPr>
            <w:tcW w:w="1080" w:type="dxa"/>
            <w:vAlign w:val="bottom"/>
            <w:tcBorders>
              <w:right w:val="single" w:sz="8" w:color="auto"/>
            </w:tcBorders>
            <w:shd w:val="clear" w:color="auto" w:fill="CCEEFF"/>
          </w:tcPr>
          <w:p>
            <w:pPr>
              <w:jc w:val="center"/>
              <w:ind w:left="28"/>
              <w:spacing w:after="0" w:line="123" w:lineRule="exact"/>
              <w:rPr>
                <w:sz w:val="20"/>
                <w:szCs w:val="20"/>
                <w:color w:val="auto"/>
              </w:rPr>
            </w:pPr>
            <w:r>
              <w:rPr>
                <w:rFonts w:ascii="Arial" w:cs="Arial" w:eastAsia="Arial" w:hAnsi="Arial"/>
                <w:sz w:val="14"/>
                <w:szCs w:val="14"/>
                <w:color w:val="auto"/>
                <w:w w:val="88"/>
              </w:rPr>
              <w:t>12,877</w:t>
            </w:r>
          </w:p>
        </w:tc>
        <w:tc>
          <w:tcPr>
            <w:tcW w:w="98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ind w:left="28"/>
              <w:spacing w:after="0" w:line="123" w:lineRule="exact"/>
              <w:rPr>
                <w:sz w:val="20"/>
                <w:szCs w:val="20"/>
                <w:color w:val="auto"/>
              </w:rPr>
            </w:pPr>
            <w:r>
              <w:rPr>
                <w:rFonts w:ascii="Arial" w:cs="Arial" w:eastAsia="Arial" w:hAnsi="Arial"/>
                <w:sz w:val="14"/>
                <w:szCs w:val="14"/>
                <w:color w:val="auto"/>
                <w:w w:val="88"/>
              </w:rPr>
              <w:t>719.15</w:t>
            </w:r>
          </w:p>
        </w:tc>
        <w:tc>
          <w:tcPr>
            <w:tcW w:w="960" w:type="dxa"/>
            <w:vAlign w:val="bottom"/>
            <w:tcBorders>
              <w:right w:val="single" w:sz="8" w:color="auto"/>
            </w:tcBorders>
            <w:shd w:val="clear" w:color="auto" w:fill="CCEEFF"/>
          </w:tcPr>
          <w:p>
            <w:pPr>
              <w:jc w:val="center"/>
              <w:ind w:left="28"/>
              <w:spacing w:after="0" w:line="123" w:lineRule="exact"/>
              <w:rPr>
                <w:sz w:val="20"/>
                <w:szCs w:val="20"/>
                <w:color w:val="auto"/>
              </w:rPr>
            </w:pPr>
            <w:r>
              <w:rPr>
                <w:rFonts w:ascii="Arial" w:cs="Arial" w:eastAsia="Arial" w:hAnsi="Arial"/>
                <w:sz w:val="14"/>
                <w:szCs w:val="14"/>
                <w:color w:val="auto"/>
                <w:w w:val="93"/>
              </w:rPr>
              <w:t>11/3/2024</w:t>
            </w:r>
          </w:p>
        </w:tc>
        <w:tc>
          <w:tcPr>
            <w:tcW w:w="900" w:type="dxa"/>
            <w:vAlign w:val="bottom"/>
            <w:tcBorders>
              <w:right w:val="single" w:sz="8" w:color="auto"/>
            </w:tcBorders>
            <w:shd w:val="clear" w:color="auto" w:fill="CCEEFF"/>
          </w:tcPr>
          <w:p>
            <w:pPr>
              <w:jc w:val="center"/>
              <w:ind w:left="8"/>
              <w:spacing w:after="0" w:line="123" w:lineRule="exact"/>
              <w:rPr>
                <w:sz w:val="20"/>
                <w:szCs w:val="20"/>
                <w:color w:val="auto"/>
              </w:rPr>
            </w:pPr>
            <w:r>
              <w:rPr>
                <w:rFonts w:ascii="Arial" w:cs="Arial" w:eastAsia="Arial" w:hAnsi="Arial"/>
                <w:sz w:val="14"/>
                <w:szCs w:val="14"/>
                <w:color w:val="auto"/>
                <w:w w:val="99"/>
              </w:rPr>
              <w:t>—</w:t>
            </w:r>
          </w:p>
        </w:tc>
        <w:tc>
          <w:tcPr>
            <w:tcW w:w="960" w:type="dxa"/>
            <w:vAlign w:val="bottom"/>
            <w:tcBorders>
              <w:right w:val="single" w:sz="8" w:color="auto"/>
            </w:tcBorders>
            <w:shd w:val="clear" w:color="auto" w:fill="CCEEFF"/>
          </w:tcPr>
          <w:p>
            <w:pPr>
              <w:jc w:val="center"/>
              <w:ind w:left="28"/>
              <w:spacing w:after="0" w:line="123" w:lineRule="exact"/>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4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15,160</w:t>
            </w:r>
          </w:p>
        </w:tc>
        <w:tc>
          <w:tcPr>
            <w:tcW w:w="108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6"/>
              </w:rPr>
              <w:t>7,582</w:t>
            </w:r>
          </w:p>
        </w:tc>
        <w:tc>
          <w:tcPr>
            <w:tcW w:w="98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88"/>
              </w:rPr>
              <w:t>872.01</w:t>
            </w:r>
          </w:p>
        </w:tc>
        <w:tc>
          <w:tcPr>
            <w:tcW w:w="96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4"/>
              </w:rPr>
              <w:t>11/12/2025</w:t>
            </w:r>
          </w:p>
        </w:tc>
        <w:tc>
          <w:tcPr>
            <w:tcW w:w="90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1100" w:type="dxa"/>
            <w:vAlign w:val="bottom"/>
            <w:tcBorders>
              <w:bottom w:val="single" w:sz="8" w:color="auto"/>
              <w:right w:val="single" w:sz="8" w:color="auto"/>
            </w:tcBorders>
            <w:shd w:val="clear" w:color="auto" w:fill="CCEEFF"/>
          </w:tcPr>
          <w:p>
            <w:pPr>
              <w:spacing w:after="0"/>
              <w:rPr>
                <w:sz w:val="14"/>
                <w:szCs w:val="14"/>
                <w:color w:val="auto"/>
              </w:rPr>
            </w:pPr>
          </w:p>
        </w:tc>
        <w:tc>
          <w:tcPr>
            <w:tcW w:w="9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9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666</w:t>
            </w:r>
          </w:p>
        </w:tc>
        <w:tc>
          <w:tcPr>
            <w:tcW w:w="108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6"/>
              </w:rPr>
              <w:t>1,334</w:t>
            </w:r>
          </w:p>
        </w:tc>
        <w:tc>
          <w:tcPr>
            <w:tcW w:w="98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88"/>
              </w:rPr>
              <w:t>845.72</w:t>
            </w:r>
          </w:p>
        </w:tc>
        <w:tc>
          <w:tcPr>
            <w:tcW w:w="96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5"/>
              </w:rPr>
              <w:t>4/1/2027</w:t>
            </w:r>
          </w:p>
        </w:tc>
        <w:tc>
          <w:tcPr>
            <w:tcW w:w="90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1"/>
              </w:rPr>
              <w:t>1,200</w:t>
            </w:r>
          </w:p>
        </w:tc>
        <w:tc>
          <w:tcPr>
            <w:tcW w:w="96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0"/>
              </w:rPr>
              <w:t>766,788</w:t>
            </w:r>
          </w:p>
        </w:tc>
        <w:tc>
          <w:tcPr>
            <w:tcW w:w="110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9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77,258</w:t>
            </w:r>
          </w:p>
        </w:tc>
        <w:tc>
          <w:tcPr>
            <w:tcW w:w="108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88"/>
              </w:rPr>
              <w:t>325.26</w:t>
            </w:r>
          </w:p>
        </w:tc>
        <w:tc>
          <w:tcPr>
            <w:tcW w:w="96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3"/>
              </w:rPr>
              <w:t>2/22/2021</w:t>
            </w:r>
          </w:p>
        </w:tc>
        <w:tc>
          <w:tcPr>
            <w:tcW w:w="90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1"/>
              </w:rPr>
              <w:t>1,820</w:t>
            </w:r>
          </w:p>
        </w:tc>
        <w:tc>
          <w:tcPr>
            <w:tcW w:w="96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3"/>
              </w:rPr>
              <w:t>1,162,962</w:t>
            </w:r>
          </w:p>
        </w:tc>
        <w:tc>
          <w:tcPr>
            <w:tcW w:w="11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9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1"/>
              </w:rPr>
              <w:t>1,000</w:t>
            </w:r>
          </w:p>
        </w:tc>
        <w:tc>
          <w:tcPr>
            <w:tcW w:w="960" w:type="dxa"/>
            <w:vAlign w:val="bottom"/>
            <w:tcBorders>
              <w:bottom w:val="single" w:sz="8" w:color="auto"/>
              <w:right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0"/>
              </w:rPr>
              <w:t>638,990</w:t>
            </w:r>
          </w:p>
        </w:tc>
        <w:tc>
          <w:tcPr>
            <w:tcW w:w="110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Denise M. Demeter</w:t>
            </w:r>
          </w:p>
        </w:tc>
        <w:tc>
          <w:tcPr>
            <w:tcW w:w="9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4"/>
              </w:rPr>
              <w:t>800</w:t>
            </w:r>
          </w:p>
        </w:tc>
        <w:tc>
          <w:tcPr>
            <w:tcW w:w="960" w:type="dxa"/>
            <w:vAlign w:val="bottom"/>
            <w:tcBorders>
              <w:bottom w:val="single" w:sz="8" w:color="auto"/>
              <w:right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0"/>
              </w:rPr>
              <w:t>511,192</w:t>
            </w:r>
          </w:p>
        </w:tc>
        <w:tc>
          <w:tcPr>
            <w:tcW w:w="110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auto"/>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69" w:right="439" w:bottom="1440" w:gutter="0" w:footer="0" w:header="0"/>
        </w:sectPr>
      </w:pPr>
    </w:p>
    <w:bookmarkStart w:id="30" w:name="page31"/>
    <w:bookmarkEnd w:id="30"/>
    <w:p>
      <w:pPr>
        <w:ind w:left="424" w:right="80" w:hanging="424"/>
        <w:spacing w:after="0" w:line="233" w:lineRule="auto"/>
        <w:tabs>
          <w:tab w:leader="none" w:pos="424" w:val="left"/>
        </w:tabs>
        <w:numPr>
          <w:ilvl w:val="0"/>
          <w:numId w:val="4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O’Shaughnessy received a special new-hire option grant and an option grant in connection with his promotion to Chief Executive Officer that vest ratably over a six-year period. Mr. Cooney received an option grant in connection with his promotion to Chief Financial Officer that vests ratably over a six-year period. The number of securities underlying options and the exercise price of each option granted prior to the Cable ONE spin-off were adjusted in connection with the Cable ONE spin-off in order to preserve the intrinsic value of the award. The following are the vesting dates of outstanding options granted to the named executive officers:</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Year 1</w:t>
            </w:r>
          </w:p>
        </w:tc>
        <w:tc>
          <w:tcPr>
            <w:tcW w:w="5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Year 4</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 6</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Vested at</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5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Vest Date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Vest 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12/31/19</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Timothy J. O’Shaughnessy</w:t>
            </w: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77,258</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11/3/2015</w:t>
            </w:r>
          </w:p>
        </w:tc>
        <w:tc>
          <w:tcPr>
            <w:tcW w:w="520" w:type="dxa"/>
            <w:vAlign w:val="bottom"/>
            <w:tcBorders>
              <w:top w:val="single" w:sz="8" w:color="CCEEFF"/>
            </w:tcBorders>
            <w:shd w:val="clear" w:color="auto" w:fill="CCEEFF"/>
          </w:tcPr>
          <w:p>
            <w:pPr>
              <w:ind w:left="260"/>
              <w:spacing w:after="0" w:line="123" w:lineRule="exact"/>
              <w:rPr>
                <w:sz w:val="20"/>
                <w:szCs w:val="20"/>
                <w:color w:val="auto"/>
              </w:rPr>
            </w:pPr>
            <w:r>
              <w:rPr>
                <w:rFonts w:ascii="Arial" w:cs="Arial" w:eastAsia="Arial" w:hAnsi="Arial"/>
                <w:sz w:val="14"/>
                <w:szCs w:val="14"/>
                <w:color w:val="auto"/>
              </w:rPr>
              <w:t>to</w:t>
            </w: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11/3/2020</w:t>
            </w: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64,381</w:t>
            </w: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12,877</w:t>
            </w: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22,742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11/12/2016</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11/12/2021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15,160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7,582</w:t>
            </w:r>
          </w:p>
        </w:tc>
        <w:tc>
          <w:tcPr>
            <w:tcW w:w="0" w:type="dxa"/>
            <w:vAlign w:val="bottom"/>
          </w:tcPr>
          <w:p>
            <w:pPr>
              <w:spacing w:after="0"/>
              <w:rPr>
                <w:sz w:val="1"/>
                <w:szCs w:val="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Wallace R. Cooney</w:t>
            </w:r>
          </w:p>
        </w:tc>
        <w:tc>
          <w:tcPr>
            <w:tcW w:w="116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2,000</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4/1/2018</w:t>
            </w:r>
          </w:p>
        </w:tc>
        <w:tc>
          <w:tcPr>
            <w:tcW w:w="520" w:type="dxa"/>
            <w:vAlign w:val="bottom"/>
          </w:tcPr>
          <w:p>
            <w:pPr>
              <w:ind w:left="260"/>
              <w:spacing w:after="0" w:line="149" w:lineRule="exact"/>
              <w:rPr>
                <w:sz w:val="20"/>
                <w:szCs w:val="20"/>
                <w:color w:val="auto"/>
              </w:rPr>
            </w:pPr>
            <w:r>
              <w:rPr>
                <w:rFonts w:ascii="Arial" w:cs="Arial" w:eastAsia="Arial" w:hAnsi="Arial"/>
                <w:sz w:val="14"/>
                <w:szCs w:val="14"/>
                <w:color w:val="auto"/>
              </w:rPr>
              <w:t>to</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4/1/2023</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5"/>
              </w:rPr>
              <w:t>666</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1"/>
              </w:rPr>
              <w:t>1,334</w:t>
            </w: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p>
        </w:tc>
        <w:tc>
          <w:tcPr>
            <w:tcW w:w="116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3"/>
              </w:rPr>
              <w:t>77,258</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2/22/2012</w:t>
            </w:r>
          </w:p>
        </w:tc>
        <w:tc>
          <w:tcPr>
            <w:tcW w:w="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2/22/2015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77,258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240" w:hanging="424"/>
        <w:spacing w:after="0" w:line="253" w:lineRule="auto"/>
        <w:tabs>
          <w:tab w:leader="none" w:pos="424"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Stock Awards have been granted in the form of restricted stock under the Company’s 2012 ICP as of December 31, 2019. All of the awards listed below vest 100% at the end of the relevant award cycle. The following are the vesting dates of the grants to the named executive officers: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Stock</w:t>
            </w:r>
          </w:p>
        </w:tc>
        <w:tc>
          <w:tcPr>
            <w:tcW w:w="2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Number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Vest</w:t>
            </w:r>
          </w:p>
        </w:tc>
      </w:tr>
      <w:tr>
        <w:trPr>
          <w:trHeight w:val="171"/>
        </w:trPr>
        <w:tc>
          <w:tcPr>
            <w:tcW w:w="4820" w:type="dxa"/>
            <w:vAlign w:val="bottom"/>
          </w:tcPr>
          <w:p>
            <w:pPr>
              <w:spacing w:after="0"/>
              <w:rPr>
                <w:sz w:val="14"/>
                <w:szCs w:val="14"/>
                <w:color w:val="auto"/>
              </w:rPr>
            </w:pPr>
          </w:p>
        </w:tc>
        <w:tc>
          <w:tcPr>
            <w:tcW w:w="20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Ticker</w:t>
            </w:r>
          </w:p>
        </w:tc>
        <w:tc>
          <w:tcPr>
            <w:tcW w:w="2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of Shares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Wallace R. Cooney</w:t>
            </w:r>
          </w:p>
        </w:tc>
        <w:tc>
          <w:tcPr>
            <w:tcW w:w="12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GHC</w:t>
            </w:r>
          </w:p>
        </w:tc>
        <w:tc>
          <w:tcPr>
            <w:tcW w:w="76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600</w:t>
            </w:r>
          </w:p>
        </w:tc>
        <w:tc>
          <w:tcPr>
            <w:tcW w:w="76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1/3/2023</w:t>
            </w:r>
          </w:p>
        </w:tc>
      </w:tr>
      <w:tr>
        <w:trPr>
          <w:trHeight w:val="148"/>
        </w:trPr>
        <w:tc>
          <w:tcPr>
            <w:tcW w:w="482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GHC</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5"/>
              </w:rPr>
              <w:t>600</w:t>
            </w:r>
          </w:p>
        </w:tc>
        <w:tc>
          <w:tcPr>
            <w:tcW w:w="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1"/>
              </w:rPr>
              <w:t>1/5/2021</w:t>
            </w: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p>
        </w:tc>
        <w:tc>
          <w:tcPr>
            <w:tcW w:w="2020" w:type="dxa"/>
            <w:vAlign w:val="bottom"/>
            <w:gridSpan w:val="2"/>
            <w:shd w:val="clear" w:color="auto" w:fill="CCEEFF"/>
          </w:tcPr>
          <w:p>
            <w:pPr>
              <w:jc w:val="center"/>
              <w:ind w:right="760"/>
              <w:spacing w:after="0" w:line="149" w:lineRule="exact"/>
              <w:rPr>
                <w:sz w:val="20"/>
                <w:szCs w:val="20"/>
                <w:color w:val="auto"/>
              </w:rPr>
            </w:pPr>
            <w:r>
              <w:rPr>
                <w:rFonts w:ascii="Arial" w:cs="Arial" w:eastAsia="Arial" w:hAnsi="Arial"/>
                <w:sz w:val="14"/>
                <w:szCs w:val="14"/>
                <w:color w:val="auto"/>
                <w:w w:val="96"/>
              </w:rPr>
              <w:t>GHC</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820</w:t>
            </w:r>
          </w:p>
        </w:tc>
        <w:tc>
          <w:tcPr>
            <w:tcW w:w="7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1/3/2023</w:t>
            </w:r>
          </w:p>
        </w:tc>
      </w:tr>
      <w:tr>
        <w:trPr>
          <w:trHeight w:val="148"/>
        </w:trPr>
        <w:tc>
          <w:tcPr>
            <w:tcW w:w="482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GHC</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1,000</w:t>
            </w:r>
          </w:p>
        </w:tc>
        <w:tc>
          <w:tcPr>
            <w:tcW w:w="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1"/>
              </w:rPr>
              <w:t>1/5/2021</w:t>
            </w: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2020" w:type="dxa"/>
            <w:vAlign w:val="bottom"/>
            <w:gridSpan w:val="2"/>
            <w:shd w:val="clear" w:color="auto" w:fill="CCEEFF"/>
          </w:tcPr>
          <w:p>
            <w:pPr>
              <w:jc w:val="center"/>
              <w:ind w:right="760"/>
              <w:spacing w:after="0" w:line="149" w:lineRule="exact"/>
              <w:rPr>
                <w:sz w:val="20"/>
                <w:szCs w:val="20"/>
                <w:color w:val="auto"/>
              </w:rPr>
            </w:pPr>
            <w:r>
              <w:rPr>
                <w:rFonts w:ascii="Arial" w:cs="Arial" w:eastAsia="Arial" w:hAnsi="Arial"/>
                <w:sz w:val="14"/>
                <w:szCs w:val="14"/>
                <w:color w:val="auto"/>
                <w:w w:val="96"/>
              </w:rPr>
              <w:t>GHC</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500</w:t>
            </w:r>
          </w:p>
        </w:tc>
        <w:tc>
          <w:tcPr>
            <w:tcW w:w="7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1/3/2023</w:t>
            </w:r>
          </w:p>
        </w:tc>
      </w:tr>
      <w:tr>
        <w:trPr>
          <w:trHeight w:val="149"/>
        </w:trPr>
        <w:tc>
          <w:tcPr>
            <w:tcW w:w="482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GHC</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5"/>
              </w:rPr>
              <w:t>500</w:t>
            </w:r>
          </w:p>
        </w:tc>
        <w:tc>
          <w:tcPr>
            <w:tcW w:w="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1"/>
              </w:rPr>
              <w:t>1/5/2021</w:t>
            </w: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Denise M. Demeter</w:t>
            </w:r>
          </w:p>
        </w:tc>
        <w:tc>
          <w:tcPr>
            <w:tcW w:w="2020" w:type="dxa"/>
            <w:vAlign w:val="bottom"/>
            <w:gridSpan w:val="2"/>
            <w:shd w:val="clear" w:color="auto" w:fill="CCEEFF"/>
          </w:tcPr>
          <w:p>
            <w:pPr>
              <w:jc w:val="center"/>
              <w:ind w:right="760"/>
              <w:spacing w:after="0" w:line="149" w:lineRule="exact"/>
              <w:rPr>
                <w:sz w:val="20"/>
                <w:szCs w:val="20"/>
                <w:color w:val="auto"/>
              </w:rPr>
            </w:pPr>
            <w:r>
              <w:rPr>
                <w:rFonts w:ascii="Arial" w:cs="Arial" w:eastAsia="Arial" w:hAnsi="Arial"/>
                <w:sz w:val="14"/>
                <w:szCs w:val="14"/>
                <w:color w:val="auto"/>
                <w:w w:val="96"/>
              </w:rPr>
              <w:t>GHC</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400</w:t>
            </w:r>
          </w:p>
        </w:tc>
        <w:tc>
          <w:tcPr>
            <w:tcW w:w="7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1/3/2023</w:t>
            </w:r>
          </w:p>
        </w:tc>
      </w:tr>
      <w:tr>
        <w:trPr>
          <w:trHeight w:val="182"/>
        </w:trPr>
        <w:tc>
          <w:tcPr>
            <w:tcW w:w="4820" w:type="dxa"/>
            <w:vAlign w:val="bottom"/>
          </w:tcPr>
          <w:p>
            <w:pPr>
              <w:spacing w:after="0"/>
              <w:rPr>
                <w:sz w:val="15"/>
                <w:szCs w:val="15"/>
                <w:color w:val="auto"/>
              </w:rPr>
            </w:pPr>
          </w:p>
        </w:tc>
        <w:tc>
          <w:tcPr>
            <w:tcW w:w="2020" w:type="dxa"/>
            <w:vAlign w:val="bottom"/>
            <w:gridSpan w:val="2"/>
          </w:tcPr>
          <w:p>
            <w:pPr>
              <w:jc w:val="center"/>
              <w:ind w:right="760"/>
              <w:spacing w:after="0"/>
              <w:rPr>
                <w:sz w:val="20"/>
                <w:szCs w:val="20"/>
                <w:color w:val="auto"/>
              </w:rPr>
            </w:pPr>
            <w:r>
              <w:rPr>
                <w:rFonts w:ascii="Arial" w:cs="Arial" w:eastAsia="Arial" w:hAnsi="Arial"/>
                <w:sz w:val="14"/>
                <w:szCs w:val="14"/>
                <w:color w:val="auto"/>
                <w:w w:val="96"/>
              </w:rPr>
              <w:t>GHC</w:t>
            </w:r>
          </w:p>
        </w:tc>
        <w:tc>
          <w:tcPr>
            <w:tcW w:w="1800" w:type="dxa"/>
            <w:vAlign w:val="bottom"/>
          </w:tcPr>
          <w:p>
            <w:pPr>
              <w:jc w:val="center"/>
              <w:spacing w:after="0"/>
              <w:rPr>
                <w:sz w:val="20"/>
                <w:szCs w:val="20"/>
                <w:color w:val="auto"/>
              </w:rPr>
            </w:pPr>
            <w:r>
              <w:rPr>
                <w:rFonts w:ascii="Arial" w:cs="Arial" w:eastAsia="Arial" w:hAnsi="Arial"/>
                <w:sz w:val="14"/>
                <w:szCs w:val="14"/>
                <w:color w:val="auto"/>
                <w:w w:val="85"/>
              </w:rPr>
              <w:t>400</w:t>
            </w:r>
          </w:p>
        </w:tc>
        <w:tc>
          <w:tcPr>
            <w:tcW w:w="7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1"/>
              </w:rPr>
              <w:t>1/5/2021</w:t>
            </w:r>
          </w:p>
        </w:tc>
      </w:tr>
    </w:tbl>
    <w:p>
      <w:pPr>
        <w:spacing w:after="0" w:line="15"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using the closing price of a share of the Company’s Class B Common Stock as of December 31, 2019 ($638.99).</w:t>
      </w:r>
    </w:p>
    <w:p>
      <w:pPr>
        <w:spacing w:after="0" w:line="208"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The following table shows the number of Class B shares and Cable ONE, Inc. (“CABO”) shares acquired upon the vesting of stock awards held by the named executive officers in fiscal year 2019 and the value realized upon such vesting. The CABO shares, which were previously disclosed in the “Outstanding Equity Awards at Fiscal Year End” in the Company’s 2019 proxy statement, were granted with respect to outstanding Company restricted stock awards in connection with the Cable ONE spin-off, and had the same vesting terms and conditions as the related Company restricted stock award.</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OPTION EXERCISES AND STOCK VESTED</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5220" w:type="dxa"/>
            <w:vAlign w:val="bottom"/>
            <w:tcBorders>
              <w:top w:val="single" w:sz="8" w:color="auto"/>
              <w:left w:val="single" w:sz="8" w:color="auto"/>
              <w:right w:val="single" w:sz="8" w:color="auto"/>
            </w:tcBorders>
          </w:tcPr>
          <w:p>
            <w:pPr>
              <w:spacing w:after="0"/>
              <w:rPr>
                <w:sz w:val="14"/>
                <w:szCs w:val="14"/>
                <w:color w:val="auto"/>
              </w:rPr>
            </w:pPr>
          </w:p>
        </w:tc>
        <w:tc>
          <w:tcPr>
            <w:tcW w:w="3040" w:type="dxa"/>
            <w:vAlign w:val="bottom"/>
            <w:tcBorders>
              <w:top w:val="single" w:sz="8" w:color="auto"/>
              <w:bottom w:val="single" w:sz="8" w:color="auto"/>
              <w:right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tcBorders>
              <w:top w:val="single" w:sz="8" w:color="auto"/>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9"/>
              </w:rPr>
              <w:t>Stock Awards</w:t>
            </w:r>
          </w:p>
        </w:tc>
        <w:tc>
          <w:tcPr>
            <w:tcW w:w="6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ind w:left="288"/>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jc w:val="center"/>
              <w:ind w:left="368"/>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0"/>
                <w:szCs w:val="10"/>
                <w:color w:val="auto"/>
              </w:rPr>
            </w:pPr>
          </w:p>
        </w:tc>
        <w:tc>
          <w:tcPr>
            <w:tcW w:w="6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4"/>
        </w:trPr>
        <w:tc>
          <w:tcPr>
            <w:tcW w:w="52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restart"/>
          </w:tcPr>
          <w:p>
            <w:pPr>
              <w:jc w:val="center"/>
              <w:ind w:left="368"/>
              <w:spacing w:after="0"/>
              <w:rPr>
                <w:sz w:val="20"/>
                <w:szCs w:val="20"/>
                <w:color w:val="auto"/>
              </w:rPr>
            </w:pPr>
            <w:r>
              <w:rPr>
                <w:rFonts w:ascii="Arial" w:cs="Arial" w:eastAsia="Arial" w:hAnsi="Arial"/>
                <w:sz w:val="14"/>
                <w:szCs w:val="14"/>
                <w:b w:val="1"/>
                <w:bCs w:val="1"/>
                <w:color w:val="auto"/>
                <w:w w:val="92"/>
              </w:rPr>
              <w:t>Value Realized on</w:t>
            </w:r>
          </w:p>
        </w:tc>
        <w:tc>
          <w:tcPr>
            <w:tcW w:w="1700" w:type="dxa"/>
            <w:vAlign w:val="bottom"/>
            <w:tcBorders>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52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62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Shares Acquired on</w:t>
            </w:r>
          </w:p>
        </w:tc>
        <w:tc>
          <w:tcPr>
            <w:tcW w:w="40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8"/>
        </w:trPr>
        <w:tc>
          <w:tcPr>
            <w:tcW w:w="52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 (a)</w:t>
            </w:r>
          </w:p>
        </w:tc>
        <w:tc>
          <w:tcPr>
            <w:tcW w:w="1420" w:type="dxa"/>
            <w:vAlign w:val="bottom"/>
            <w:tcBorders>
              <w:right w:val="single" w:sz="8" w:color="auto"/>
            </w:tcBorders>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on Exercise (#)</w:t>
            </w:r>
          </w:p>
        </w:tc>
        <w:tc>
          <w:tcPr>
            <w:tcW w:w="1620" w:type="dxa"/>
            <w:vAlign w:val="bottom"/>
            <w:tcBorders>
              <w:right w:val="single" w:sz="8" w:color="auto"/>
            </w:tcBorders>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Exercise ($)</w:t>
            </w:r>
          </w:p>
        </w:tc>
        <w:tc>
          <w:tcPr>
            <w:tcW w:w="1700" w:type="dxa"/>
            <w:vAlign w:val="bottom"/>
            <w:tcBorders>
              <w:right w:val="single" w:sz="8" w:color="auto"/>
            </w:tcBorders>
          </w:tcPr>
          <w:p>
            <w:pPr>
              <w:jc w:val="center"/>
              <w:ind w:left="388"/>
              <w:spacing w:after="0" w:line="149" w:lineRule="exact"/>
              <w:rPr>
                <w:sz w:val="20"/>
                <w:szCs w:val="20"/>
                <w:color w:val="auto"/>
              </w:rPr>
            </w:pPr>
            <w:r>
              <w:rPr>
                <w:rFonts w:ascii="Arial" w:cs="Arial" w:eastAsia="Arial" w:hAnsi="Arial"/>
                <w:sz w:val="14"/>
                <w:szCs w:val="14"/>
                <w:b w:val="1"/>
                <w:bCs w:val="1"/>
                <w:color w:val="auto"/>
                <w:w w:val="89"/>
              </w:rPr>
              <w:t>Vesting (#)</w:t>
            </w:r>
          </w:p>
        </w:tc>
        <w:tc>
          <w:tcPr>
            <w:tcW w:w="400" w:type="dxa"/>
            <w:vAlign w:val="bottom"/>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5"/>
        </w:trPr>
        <w:tc>
          <w:tcPr>
            <w:tcW w:w="52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4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(b)</w:t>
            </w:r>
          </w:p>
        </w:tc>
        <w:tc>
          <w:tcPr>
            <w:tcW w:w="1620" w:type="dxa"/>
            <w:vAlign w:val="bottom"/>
            <w:tcBorders>
              <w:bottom w:val="single" w:sz="8" w:color="auto"/>
              <w:right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3"/>
              </w:rPr>
              <w:t>(c)</w:t>
            </w:r>
          </w:p>
        </w:tc>
        <w:tc>
          <w:tcPr>
            <w:tcW w:w="1700" w:type="dxa"/>
            <w:vAlign w:val="bottom"/>
            <w:tcBorders>
              <w:bottom w:val="single" w:sz="8" w:color="auto"/>
              <w:right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(d)</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(e)</w:t>
            </w:r>
          </w:p>
        </w:tc>
        <w:tc>
          <w:tcPr>
            <w:tcW w:w="0" w:type="dxa"/>
            <w:vAlign w:val="bottom"/>
          </w:tcPr>
          <w:p>
            <w:pPr>
              <w:spacing w:after="0"/>
              <w:rPr>
                <w:sz w:val="1"/>
                <w:szCs w:val="1"/>
                <w:color w:val="auto"/>
              </w:rPr>
            </w:pPr>
          </w:p>
        </w:tc>
      </w:tr>
      <w:tr>
        <w:trPr>
          <w:trHeight w:val="142"/>
        </w:trPr>
        <w:tc>
          <w:tcPr>
            <w:tcW w:w="522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42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522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jc w:val="center"/>
              <w:ind w:left="388"/>
              <w:spacing w:after="0" w:line="129" w:lineRule="exact"/>
              <w:rPr>
                <w:sz w:val="20"/>
                <w:szCs w:val="20"/>
                <w:color w:val="auto"/>
              </w:rPr>
            </w:pPr>
            <w:r>
              <w:rPr>
                <w:rFonts w:ascii="Arial" w:cs="Arial" w:eastAsia="Arial" w:hAnsi="Arial"/>
                <w:sz w:val="14"/>
                <w:szCs w:val="14"/>
                <w:color w:val="auto"/>
                <w:w w:val="95"/>
              </w:rPr>
              <w:t>GHC 400</w:t>
            </w:r>
          </w:p>
        </w:tc>
        <w:tc>
          <w:tcPr>
            <w:tcW w:w="40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0"/>
              </w:rPr>
              <w:t>255,822</w:t>
            </w:r>
          </w:p>
        </w:tc>
        <w:tc>
          <w:tcPr>
            <w:tcW w:w="0" w:type="dxa"/>
            <w:vAlign w:val="bottom"/>
          </w:tcPr>
          <w:p>
            <w:pPr>
              <w:spacing w:after="0"/>
              <w:rPr>
                <w:sz w:val="1"/>
                <w:szCs w:val="1"/>
                <w:color w:val="auto"/>
              </w:rPr>
            </w:pPr>
          </w:p>
        </w:tc>
      </w:tr>
      <w:tr>
        <w:trPr>
          <w:trHeight w:val="175"/>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Wallace R. Cooney</w:t>
            </w:r>
          </w:p>
        </w:tc>
        <w:tc>
          <w:tcPr>
            <w:tcW w:w="14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tcPr>
          <w:p>
            <w:pPr>
              <w:jc w:val="center"/>
              <w:ind w:left="388"/>
              <w:spacing w:after="0"/>
              <w:rPr>
                <w:sz w:val="20"/>
                <w:szCs w:val="20"/>
                <w:color w:val="auto"/>
              </w:rPr>
            </w:pPr>
            <w:r>
              <w:rPr>
                <w:rFonts w:ascii="Arial" w:cs="Arial" w:eastAsia="Arial" w:hAnsi="Arial"/>
                <w:sz w:val="14"/>
                <w:szCs w:val="14"/>
                <w:color w:val="auto"/>
                <w:w w:val="95"/>
              </w:rPr>
              <w:t>CABO 400</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325,602</w:t>
            </w:r>
          </w:p>
        </w:tc>
        <w:tc>
          <w:tcPr>
            <w:tcW w:w="0" w:type="dxa"/>
            <w:vAlign w:val="bottom"/>
          </w:tcPr>
          <w:p>
            <w:pPr>
              <w:spacing w:after="0"/>
              <w:rPr>
                <w:sz w:val="1"/>
                <w:szCs w:val="1"/>
                <w:color w:val="auto"/>
              </w:rPr>
            </w:pPr>
          </w:p>
        </w:tc>
      </w:tr>
      <w:tr>
        <w:trPr>
          <w:trHeight w:val="129"/>
        </w:trPr>
        <w:tc>
          <w:tcPr>
            <w:tcW w:w="5220" w:type="dxa"/>
            <w:vAlign w:val="bottom"/>
            <w:tcBorders>
              <w:left w:val="single" w:sz="8" w:color="auto"/>
              <w:right w:val="single" w:sz="8" w:color="auto"/>
            </w:tcBorders>
            <w:shd w:val="clear" w:color="auto" w:fill="CCEEFF"/>
          </w:tcPr>
          <w:p>
            <w:pPr>
              <w:spacing w:after="0"/>
              <w:rPr>
                <w:sz w:val="11"/>
                <w:szCs w:val="11"/>
                <w:color w:val="auto"/>
              </w:rPr>
            </w:pPr>
          </w:p>
        </w:tc>
        <w:tc>
          <w:tcPr>
            <w:tcW w:w="1420" w:type="dxa"/>
            <w:vAlign w:val="bottom"/>
            <w:tcBorders>
              <w:right w:val="single" w:sz="8" w:color="auto"/>
            </w:tcBorders>
            <w:shd w:val="clear" w:color="auto" w:fill="CCEEFF"/>
          </w:tcPr>
          <w:p>
            <w:pPr>
              <w:spacing w:after="0"/>
              <w:rPr>
                <w:sz w:val="11"/>
                <w:szCs w:val="11"/>
                <w:color w:val="auto"/>
              </w:rPr>
            </w:pPr>
          </w:p>
        </w:tc>
        <w:tc>
          <w:tcPr>
            <w:tcW w:w="1620" w:type="dxa"/>
            <w:vAlign w:val="bottom"/>
            <w:tcBorders>
              <w:right w:val="single" w:sz="8" w:color="auto"/>
            </w:tcBorders>
            <w:shd w:val="clear" w:color="auto" w:fill="CCEEFF"/>
          </w:tcPr>
          <w:p>
            <w:pPr>
              <w:spacing w:after="0"/>
              <w:rPr>
                <w:sz w:val="11"/>
                <w:szCs w:val="11"/>
                <w:color w:val="auto"/>
              </w:rPr>
            </w:pPr>
          </w:p>
        </w:tc>
        <w:tc>
          <w:tcPr>
            <w:tcW w:w="1700" w:type="dxa"/>
            <w:vAlign w:val="bottom"/>
            <w:tcBorders>
              <w:right w:val="single" w:sz="8" w:color="auto"/>
            </w:tcBorders>
            <w:shd w:val="clear" w:color="auto" w:fill="CCEEFF"/>
          </w:tcPr>
          <w:p>
            <w:pPr>
              <w:jc w:val="center"/>
              <w:ind w:left="368"/>
              <w:spacing w:after="0" w:line="129" w:lineRule="exact"/>
              <w:rPr>
                <w:sz w:val="20"/>
                <w:szCs w:val="20"/>
                <w:color w:val="auto"/>
              </w:rPr>
            </w:pPr>
            <w:r>
              <w:rPr>
                <w:rFonts w:ascii="Arial" w:cs="Arial" w:eastAsia="Arial" w:hAnsi="Arial"/>
                <w:sz w:val="14"/>
                <w:szCs w:val="14"/>
                <w:color w:val="auto"/>
                <w:w w:val="94"/>
              </w:rPr>
              <w:t>GHC 1,000</w:t>
            </w:r>
          </w:p>
        </w:tc>
        <w:tc>
          <w:tcPr>
            <w:tcW w:w="4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0"/>
              </w:rPr>
              <w:t>639,555</w:t>
            </w:r>
          </w:p>
        </w:tc>
        <w:tc>
          <w:tcPr>
            <w:tcW w:w="0" w:type="dxa"/>
            <w:vAlign w:val="bottom"/>
          </w:tcPr>
          <w:p>
            <w:pPr>
              <w:spacing w:after="0"/>
              <w:rPr>
                <w:sz w:val="1"/>
                <w:szCs w:val="1"/>
                <w:color w:val="auto"/>
              </w:rPr>
            </w:pPr>
          </w:p>
        </w:tc>
      </w:tr>
      <w:tr>
        <w:trPr>
          <w:trHeight w:val="175"/>
        </w:trPr>
        <w:tc>
          <w:tcPr>
            <w:tcW w:w="52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Andrew S. Rosen</w:t>
            </w:r>
          </w:p>
        </w:tc>
        <w:tc>
          <w:tcPr>
            <w:tcW w:w="1420" w:type="dxa"/>
            <w:vAlign w:val="bottom"/>
            <w:tcBorders>
              <w:bottom w:val="single" w:sz="8" w:color="auto"/>
              <w:right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w w:val="96"/>
              </w:rPr>
              <w:t>CABO 1,000</w:t>
            </w:r>
          </w:p>
        </w:tc>
        <w:tc>
          <w:tcPr>
            <w:tcW w:w="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814,005</w:t>
            </w:r>
          </w:p>
        </w:tc>
        <w:tc>
          <w:tcPr>
            <w:tcW w:w="0" w:type="dxa"/>
            <w:vAlign w:val="bottom"/>
          </w:tcPr>
          <w:p>
            <w:pPr>
              <w:spacing w:after="0"/>
              <w:rPr>
                <w:sz w:val="1"/>
                <w:szCs w:val="1"/>
                <w:color w:val="auto"/>
              </w:rPr>
            </w:pPr>
          </w:p>
        </w:tc>
      </w:tr>
      <w:tr>
        <w:trPr>
          <w:trHeight w:val="128"/>
        </w:trPr>
        <w:tc>
          <w:tcPr>
            <w:tcW w:w="522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jc w:val="center"/>
              <w:ind w:left="388"/>
              <w:spacing w:after="0" w:line="129" w:lineRule="exact"/>
              <w:rPr>
                <w:sz w:val="20"/>
                <w:szCs w:val="20"/>
                <w:color w:val="auto"/>
              </w:rPr>
            </w:pPr>
            <w:r>
              <w:rPr>
                <w:rFonts w:ascii="Arial" w:cs="Arial" w:eastAsia="Arial" w:hAnsi="Arial"/>
                <w:sz w:val="14"/>
                <w:szCs w:val="14"/>
                <w:color w:val="auto"/>
                <w:w w:val="95"/>
              </w:rPr>
              <w:t>GHC 500</w:t>
            </w:r>
          </w:p>
        </w:tc>
        <w:tc>
          <w:tcPr>
            <w:tcW w:w="40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0"/>
              </w:rPr>
              <w:t>319,778</w:t>
            </w:r>
          </w:p>
        </w:tc>
        <w:tc>
          <w:tcPr>
            <w:tcW w:w="0" w:type="dxa"/>
            <w:vAlign w:val="bottom"/>
          </w:tcPr>
          <w:p>
            <w:pPr>
              <w:spacing w:after="0"/>
              <w:rPr>
                <w:sz w:val="1"/>
                <w:szCs w:val="1"/>
                <w:color w:val="auto"/>
              </w:rPr>
            </w:pPr>
          </w:p>
        </w:tc>
      </w:tr>
      <w:tr>
        <w:trPr>
          <w:trHeight w:val="176"/>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Nicole M. Maddrey</w:t>
            </w:r>
          </w:p>
        </w:tc>
        <w:tc>
          <w:tcPr>
            <w:tcW w:w="14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tcPr>
          <w:p>
            <w:pPr>
              <w:jc w:val="center"/>
              <w:ind w:left="388"/>
              <w:spacing w:after="0"/>
              <w:rPr>
                <w:sz w:val="20"/>
                <w:szCs w:val="20"/>
                <w:color w:val="auto"/>
              </w:rPr>
            </w:pPr>
            <w:r>
              <w:rPr>
                <w:rFonts w:ascii="Arial" w:cs="Arial" w:eastAsia="Arial" w:hAnsi="Arial"/>
                <w:sz w:val="14"/>
                <w:szCs w:val="14"/>
                <w:color w:val="auto"/>
                <w:w w:val="95"/>
              </w:rPr>
              <w:t>CABO 500</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407,003</w:t>
            </w:r>
          </w:p>
        </w:tc>
        <w:tc>
          <w:tcPr>
            <w:tcW w:w="0" w:type="dxa"/>
            <w:vAlign w:val="bottom"/>
          </w:tcPr>
          <w:p>
            <w:pPr>
              <w:spacing w:after="0"/>
              <w:rPr>
                <w:sz w:val="1"/>
                <w:szCs w:val="1"/>
                <w:color w:val="auto"/>
              </w:rPr>
            </w:pPr>
          </w:p>
        </w:tc>
      </w:tr>
      <w:tr>
        <w:trPr>
          <w:trHeight w:val="128"/>
        </w:trPr>
        <w:tc>
          <w:tcPr>
            <w:tcW w:w="5220" w:type="dxa"/>
            <w:vAlign w:val="bottom"/>
            <w:tcBorders>
              <w:left w:val="single" w:sz="8" w:color="auto"/>
              <w:right w:val="single" w:sz="8" w:color="auto"/>
            </w:tcBorders>
            <w:shd w:val="clear" w:color="auto" w:fill="CCEEFF"/>
          </w:tcPr>
          <w:p>
            <w:pPr>
              <w:spacing w:after="0"/>
              <w:rPr>
                <w:sz w:val="11"/>
                <w:szCs w:val="11"/>
                <w:color w:val="auto"/>
              </w:rPr>
            </w:pPr>
          </w:p>
        </w:tc>
        <w:tc>
          <w:tcPr>
            <w:tcW w:w="1420" w:type="dxa"/>
            <w:vAlign w:val="bottom"/>
            <w:tcBorders>
              <w:right w:val="single" w:sz="8" w:color="auto"/>
            </w:tcBorders>
            <w:shd w:val="clear" w:color="auto" w:fill="CCEEFF"/>
          </w:tcPr>
          <w:p>
            <w:pPr>
              <w:spacing w:after="0"/>
              <w:rPr>
                <w:sz w:val="11"/>
                <w:szCs w:val="11"/>
                <w:color w:val="auto"/>
              </w:rPr>
            </w:pPr>
          </w:p>
        </w:tc>
        <w:tc>
          <w:tcPr>
            <w:tcW w:w="1620" w:type="dxa"/>
            <w:vAlign w:val="bottom"/>
            <w:tcBorders>
              <w:right w:val="single" w:sz="8" w:color="auto"/>
            </w:tcBorders>
            <w:shd w:val="clear" w:color="auto" w:fill="CCEEFF"/>
          </w:tcPr>
          <w:p>
            <w:pPr>
              <w:spacing w:after="0"/>
              <w:rPr>
                <w:sz w:val="11"/>
                <w:szCs w:val="11"/>
                <w:color w:val="auto"/>
              </w:rPr>
            </w:pPr>
          </w:p>
        </w:tc>
        <w:tc>
          <w:tcPr>
            <w:tcW w:w="1700" w:type="dxa"/>
            <w:vAlign w:val="bottom"/>
            <w:tcBorders>
              <w:right w:val="single" w:sz="8" w:color="auto"/>
            </w:tcBorders>
            <w:shd w:val="clear" w:color="auto" w:fill="CCEEFF"/>
          </w:tcPr>
          <w:p>
            <w:pPr>
              <w:jc w:val="center"/>
              <w:ind w:left="388"/>
              <w:spacing w:after="0" w:line="129" w:lineRule="exact"/>
              <w:rPr>
                <w:sz w:val="20"/>
                <w:szCs w:val="20"/>
                <w:color w:val="auto"/>
              </w:rPr>
            </w:pPr>
            <w:r>
              <w:rPr>
                <w:rFonts w:ascii="Arial" w:cs="Arial" w:eastAsia="Arial" w:hAnsi="Arial"/>
                <w:sz w:val="14"/>
                <w:szCs w:val="14"/>
                <w:color w:val="auto"/>
                <w:w w:val="95"/>
              </w:rPr>
              <w:t>GHC 400</w:t>
            </w:r>
          </w:p>
        </w:tc>
        <w:tc>
          <w:tcPr>
            <w:tcW w:w="4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0"/>
              </w:rPr>
              <w:t>255,822</w:t>
            </w:r>
          </w:p>
        </w:tc>
        <w:tc>
          <w:tcPr>
            <w:tcW w:w="0" w:type="dxa"/>
            <w:vAlign w:val="bottom"/>
          </w:tcPr>
          <w:p>
            <w:pPr>
              <w:spacing w:after="0"/>
              <w:rPr>
                <w:sz w:val="1"/>
                <w:szCs w:val="1"/>
                <w:color w:val="auto"/>
              </w:rPr>
            </w:pPr>
          </w:p>
        </w:tc>
      </w:tr>
      <w:tr>
        <w:trPr>
          <w:trHeight w:val="175"/>
        </w:trPr>
        <w:tc>
          <w:tcPr>
            <w:tcW w:w="52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Denise M. Demeter</w:t>
            </w:r>
          </w:p>
        </w:tc>
        <w:tc>
          <w:tcPr>
            <w:tcW w:w="1420" w:type="dxa"/>
            <w:vAlign w:val="bottom"/>
            <w:tcBorders>
              <w:bottom w:val="single" w:sz="8" w:color="auto"/>
              <w:right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right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w w:val="95"/>
              </w:rPr>
              <w:t>CABO 400</w:t>
            </w:r>
          </w:p>
        </w:tc>
        <w:tc>
          <w:tcPr>
            <w:tcW w:w="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325,602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Pension Benefits table includes information related to the Company’s funded and tax-qualified defined benefit plan, The Retirement Plan, as well as the associated unfunded and non-qualified supplemental executive retirement plan, the SERP.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years of service. All of the named executive officers are fully vested in their benefits under The Retirement Plan.</w:t>
      </w:r>
    </w:p>
    <w:p>
      <w:pPr>
        <w:spacing w:after="0" w:line="17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SERP provides supplemental defined benefit retirement benefits that are calculated based on the formulas in The Retirement Plan, but include bonuses under the 2012 ICP, rather than just base salary, without regard to (i) the salary limitation applicable to tax-qualified plans (currently $285,000) or (ii) the benefit limitation applicable to tax-qualified plans (currently $230,000 per year, commencing at age 65). The SERP provides benefits only to the extent that the benefit described above exceeds the benefit in The Retirement Plan.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6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Retirement Plan Benefits Under the Graham Schedule</w:t>
      </w:r>
    </w:p>
    <w:p>
      <w:pPr>
        <w:spacing w:after="0" w:line="229"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Mr. Cooney, Mr. Rosen, Ms. Maddrey and Ms. Demeter are participants in the Graham Schedule. Benefits payable under the Graham Schedule include the following, subject to the limitations on tax-qualified plans mentioned above:</w:t>
      </w:r>
    </w:p>
    <w:p>
      <w:pPr>
        <w:spacing w:after="0" w:line="22" w:lineRule="exact"/>
        <w:rPr>
          <w:sz w:val="20"/>
          <w:szCs w:val="20"/>
          <w:color w:val="auto"/>
        </w:rPr>
      </w:pPr>
    </w:p>
    <w:p>
      <w:pPr>
        <w:ind w:left="1760" w:right="160" w:hanging="225"/>
        <w:spacing w:after="0" w:line="254" w:lineRule="auto"/>
        <w:tabs>
          <w:tab w:leader="none" w:pos="1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43" w:lineRule="exact"/>
        <w:rPr>
          <w:rFonts w:ascii="Arial" w:cs="Arial" w:eastAsia="Arial" w:hAnsi="Arial"/>
          <w:sz w:val="18"/>
          <w:szCs w:val="18"/>
          <w:color w:val="auto"/>
        </w:rPr>
      </w:pPr>
    </w:p>
    <w:p>
      <w:pPr>
        <w:ind w:left="1760" w:hanging="225"/>
        <w:spacing w:after="0"/>
        <w:tabs>
          <w:tab w:leader="none" w:pos="1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w:t>
      </w:r>
    </w:p>
    <w:p>
      <w:pPr>
        <w:spacing w:after="0" w:line="76" w:lineRule="exact"/>
        <w:rPr>
          <w:rFonts w:ascii="Arial" w:cs="Arial" w:eastAsia="Arial" w:hAnsi="Arial"/>
          <w:sz w:val="18"/>
          <w:szCs w:val="18"/>
          <w:color w:val="auto"/>
        </w:rPr>
      </w:pPr>
    </w:p>
    <w:p>
      <w:pPr>
        <w:ind w:left="1760" w:right="80" w:hanging="225"/>
        <w:spacing w:after="0" w:line="257" w:lineRule="auto"/>
        <w:tabs>
          <w:tab w:leader="none" w:pos="1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8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Vested benefits under The Retirement Plan are generally payable in the form of a single life annuity or lump-sum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Schedule</w:t>
      </w:r>
    </w:p>
    <w:p>
      <w:pPr>
        <w:spacing w:after="0" w:line="22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22" w:lineRule="exact"/>
        <w:rPr>
          <w:sz w:val="20"/>
          <w:szCs w:val="20"/>
          <w:color w:val="auto"/>
        </w:rPr>
      </w:pPr>
    </w:p>
    <w:p>
      <w:pPr>
        <w:ind w:left="1760" w:right="100" w:hanging="225"/>
        <w:spacing w:after="0" w:line="306" w:lineRule="auto"/>
        <w:tabs>
          <w:tab w:leader="none" w:pos="1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1" w:lineRule="exact"/>
        <w:rPr>
          <w:rFonts w:ascii="Arial" w:cs="Arial" w:eastAsia="Arial" w:hAnsi="Arial"/>
          <w:sz w:val="17"/>
          <w:szCs w:val="17"/>
          <w:color w:val="auto"/>
        </w:rPr>
      </w:pPr>
    </w:p>
    <w:p>
      <w:pPr>
        <w:ind w:left="1760" w:hanging="225"/>
        <w:spacing w:after="0"/>
        <w:tabs>
          <w:tab w:leader="none" w:pos="1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The Newsweek Schedule permits early retirement with full benefits at various combinations of age and service. Mr. Rosen will be eligible for an unreduced early retirement benefit at age 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CBRP Schedule</w:t>
      </w:r>
    </w:p>
    <w:p>
      <w:pPr>
        <w:spacing w:after="0" w:line="229"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A portion of Mr. Rosen’s pension benefit is earned under the Kaplan CBRP Schedule. Under this Schedule, the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SRA Schedule</w:t>
      </w:r>
    </w:p>
    <w:p>
      <w:pPr>
        <w:spacing w:after="0" w:line="229"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A portion of Mr. O’Shaughnessy’s, Mr. Cooney’s, Mr. Rosen’s, Ms. Maddrey’s and Ms. Demeter’s pension benefit is earned under the SRA Schedule. Under this Schedule, each employee has an account (expressed as a lump-sum amount, rather than as an annuity) that is credited with quarterly pay-based credits and interest credits. Pay-based credits vary from 6.72%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0" w:right="439" w:bottom="1440" w:gutter="0" w:footer="0" w:header="0"/>
        </w:sectPr>
      </w:pPr>
    </w:p>
    <w:bookmarkStart w:id="32" w:name="page33"/>
    <w:bookmarkEnd w:id="32"/>
    <w:p>
      <w:pPr>
        <w:ind w:left="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9.45% for Mr. Cooney, Ms. Maddrey and Ms. Demeter and 3.20% to 4.50% for Mr. O’Shaughnessy and Mr. Rosen, depending on years of service. In 2018, the plan was amended to provide an increase of 0.50% (before the multiplier) to each pay-credit tier effective January 1, 2019.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Retirement Plan Benefits Under the Graham CBRP Schedule</w:t>
      </w:r>
    </w:p>
    <w:p>
      <w:pPr>
        <w:spacing w:after="0" w:line="229" w:lineRule="exact"/>
        <w:rPr>
          <w:sz w:val="20"/>
          <w:szCs w:val="20"/>
          <w:color w:val="auto"/>
        </w:rPr>
      </w:pPr>
    </w:p>
    <w:p>
      <w:pPr>
        <w:jc w:val="both"/>
        <w:ind w:left="4" w:right="140" w:firstLine="991"/>
        <w:spacing w:after="0" w:line="255" w:lineRule="auto"/>
        <w:rPr>
          <w:sz w:val="20"/>
          <w:szCs w:val="20"/>
          <w:color w:val="auto"/>
        </w:rPr>
      </w:pPr>
      <w:r>
        <w:rPr>
          <w:rFonts w:ascii="Arial" w:cs="Arial" w:eastAsia="Arial" w:hAnsi="Arial"/>
          <w:sz w:val="18"/>
          <w:szCs w:val="18"/>
          <w:color w:val="auto"/>
        </w:rPr>
        <w:t>A portion of Mr. O’Shaughnessy’s pension benefit is earned under the Graham CBRP Schedule. Under this Schedule, each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SERP Benefits</w:t>
      </w:r>
    </w:p>
    <w:p>
      <w:pPr>
        <w:spacing w:after="0" w:line="229"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As explained above, the SERP, closed to new participants, provides benefits to certain eligible employees (including Mr. Rosen)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Pension Benefits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940" w:type="dxa"/>
            <w:vAlign w:val="bottom"/>
            <w:tcBorders>
              <w:top w:val="single" w:sz="8" w:color="auto"/>
              <w:left w:val="single" w:sz="8" w:color="auto"/>
              <w:right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18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jc w:val="center"/>
              <w:ind w:left="228"/>
              <w:spacing w:after="0" w:line="139"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tcBorders>
              <w:top w:val="single" w:sz="8" w:color="auto"/>
              <w:right w:val="single" w:sz="8" w:color="auto"/>
            </w:tcBorders>
          </w:tcPr>
          <w:p>
            <w:pPr>
              <w:jc w:val="center"/>
              <w:ind w:left="208"/>
              <w:spacing w:after="0" w:line="139" w:lineRule="exact"/>
              <w:rPr>
                <w:sz w:val="20"/>
                <w:szCs w:val="20"/>
                <w:color w:val="auto"/>
              </w:rPr>
            </w:pPr>
            <w:r>
              <w:rPr>
                <w:rFonts w:ascii="Arial" w:cs="Arial" w:eastAsia="Arial" w:hAnsi="Arial"/>
                <w:sz w:val="14"/>
                <w:szCs w:val="14"/>
                <w:b w:val="1"/>
                <w:bCs w:val="1"/>
                <w:color w:val="auto"/>
                <w:w w:val="89"/>
              </w:rPr>
              <w:t>Present</w:t>
            </w:r>
          </w:p>
        </w:tc>
        <w:tc>
          <w:tcPr>
            <w:tcW w:w="1120" w:type="dxa"/>
            <w:vAlign w:val="bottom"/>
            <w:tcBorders>
              <w:top w:val="single" w:sz="8" w:color="auto"/>
              <w:right w:val="single" w:sz="8" w:color="auto"/>
            </w:tcBorders>
            <w:vMerge w:val="restart"/>
          </w:tcPr>
          <w:p>
            <w:pPr>
              <w:jc w:val="center"/>
              <w:ind w:left="168"/>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1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Years of</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Value of</w:t>
            </w: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vMerge w:val="restart"/>
          </w:tcPr>
          <w:p>
            <w:pPr>
              <w:ind w:left="86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2"/>
                <w:szCs w:val="12"/>
                <w:color w:val="auto"/>
              </w:rPr>
            </w:pPr>
          </w:p>
        </w:tc>
        <w:tc>
          <w:tcPr>
            <w:tcW w:w="5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Plan Name</w:t>
            </w:r>
          </w:p>
        </w:tc>
        <w:tc>
          <w:tcPr>
            <w:tcW w:w="1080" w:type="dxa"/>
            <w:vAlign w:val="bottom"/>
            <w:tcBorders>
              <w:right w:val="single" w:sz="8" w:color="auto"/>
            </w:tcBorders>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Credited</w:t>
            </w:r>
          </w:p>
        </w:tc>
        <w:tc>
          <w:tcPr>
            <w:tcW w:w="12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tcBorders>
              <w:right w:val="single" w:sz="8" w:color="auto"/>
            </w:tcBorders>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518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88"/>
              </w:rPr>
              <w:t>Service</w:t>
            </w:r>
          </w:p>
        </w:tc>
        <w:tc>
          <w:tcPr>
            <w:tcW w:w="12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Benefit ($)</w:t>
            </w:r>
          </w:p>
        </w:tc>
        <w:tc>
          <w:tcPr>
            <w:tcW w:w="112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b w:val="1"/>
                <w:bCs w:val="1"/>
                <w:color w:val="auto"/>
              </w:rPr>
              <w:t>FY ($)</w:t>
            </w:r>
          </w:p>
        </w:tc>
        <w:tc>
          <w:tcPr>
            <w:tcW w:w="0" w:type="dxa"/>
            <w:vAlign w:val="bottom"/>
          </w:tcPr>
          <w:p>
            <w:pPr>
              <w:spacing w:after="0"/>
              <w:rPr>
                <w:sz w:val="1"/>
                <w:szCs w:val="1"/>
                <w:color w:val="auto"/>
              </w:rPr>
            </w:pPr>
          </w:p>
        </w:tc>
      </w:tr>
      <w:tr>
        <w:trPr>
          <w:trHeight w:val="185"/>
        </w:trPr>
        <w:tc>
          <w:tcPr>
            <w:tcW w:w="1940" w:type="dxa"/>
            <w:vAlign w:val="bottom"/>
            <w:tcBorders>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(a)</w:t>
            </w:r>
          </w:p>
        </w:tc>
        <w:tc>
          <w:tcPr>
            <w:tcW w:w="500" w:type="dxa"/>
            <w:vAlign w:val="bottom"/>
            <w:tcBorders>
              <w:bottom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8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1</w:t>
            </w:r>
          </w:p>
        </w:tc>
        <w:tc>
          <w:tcPr>
            <w:tcW w:w="12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2</w:t>
            </w:r>
          </w:p>
        </w:tc>
        <w:tc>
          <w:tcPr>
            <w:tcW w:w="112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5680" w:type="dxa"/>
            <w:vAlign w:val="bottom"/>
            <w:tcBorders>
              <w:right w:val="single" w:sz="8" w:color="auto"/>
            </w:tcBorders>
            <w:gridSpan w:val="2"/>
            <w:shd w:val="clear" w:color="auto" w:fill="CCEEFF"/>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rPr>
              <w:t>5</w:t>
            </w:r>
          </w:p>
        </w:tc>
        <w:tc>
          <w:tcPr>
            <w:tcW w:w="12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3"/>
              </w:rPr>
              <w:t>66,635</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680" w:type="dxa"/>
            <w:vAlign w:val="bottom"/>
            <w:tcBorders>
              <w:bottom w:val="single" w:sz="8" w:color="auto"/>
              <w:right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rPr>
              <w:t>5</w:t>
            </w:r>
          </w:p>
        </w:tc>
        <w:tc>
          <w:tcPr>
            <w:tcW w:w="12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3"/>
              </w:rPr>
              <w:t>66,635</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5680" w:type="dxa"/>
            <w:vAlign w:val="bottom"/>
            <w:tcBorders>
              <w:right w:val="single" w:sz="8" w:color="auto"/>
            </w:tcBorders>
            <w:gridSpan w:val="2"/>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tcPr>
          <w:p>
            <w:pPr>
              <w:jc w:val="center"/>
              <w:ind w:left="228"/>
              <w:spacing w:after="0" w:line="123" w:lineRule="exact"/>
              <w:rPr>
                <w:sz w:val="20"/>
                <w:szCs w:val="20"/>
                <w:color w:val="auto"/>
              </w:rPr>
            </w:pPr>
            <w:r>
              <w:rPr>
                <w:rFonts w:ascii="Arial" w:cs="Arial" w:eastAsia="Arial" w:hAnsi="Arial"/>
                <w:sz w:val="14"/>
                <w:szCs w:val="14"/>
                <w:color w:val="auto"/>
                <w:w w:val="89"/>
              </w:rPr>
              <w:t>18</w:t>
            </w:r>
          </w:p>
        </w:tc>
        <w:tc>
          <w:tcPr>
            <w:tcW w:w="122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93"/>
              </w:rPr>
              <w:t>1,092,126</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568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color w:val="auto"/>
                <w:w w:val="89"/>
              </w:rPr>
              <w:t>18</w:t>
            </w:r>
          </w:p>
        </w:tc>
        <w:tc>
          <w:tcPr>
            <w:tcW w:w="122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93"/>
              </w:rPr>
              <w:t>1,092,126</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5680" w:type="dxa"/>
            <w:vAlign w:val="bottom"/>
            <w:tcBorders>
              <w:right w:val="single" w:sz="8" w:color="auto"/>
            </w:tcBorders>
            <w:gridSpan w:val="2"/>
            <w:shd w:val="clear" w:color="auto" w:fill="CCEEFF"/>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28"/>
              <w:spacing w:after="0" w:line="123" w:lineRule="exact"/>
              <w:rPr>
                <w:sz w:val="20"/>
                <w:szCs w:val="20"/>
                <w:color w:val="auto"/>
              </w:rPr>
            </w:pPr>
            <w:r>
              <w:rPr>
                <w:rFonts w:ascii="Arial" w:cs="Arial" w:eastAsia="Arial" w:hAnsi="Arial"/>
                <w:sz w:val="14"/>
                <w:szCs w:val="14"/>
                <w:color w:val="auto"/>
                <w:w w:val="89"/>
              </w:rPr>
              <w:t>33</w:t>
            </w:r>
          </w:p>
        </w:tc>
        <w:tc>
          <w:tcPr>
            <w:tcW w:w="122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90"/>
              </w:rPr>
              <w:t>573,164</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940" w:type="dxa"/>
            <w:vAlign w:val="bottom"/>
            <w:tcBorders>
              <w:left w:val="single" w:sz="8" w:color="auto"/>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1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1080" w:type="dxa"/>
            <w:vAlign w:val="bottom"/>
            <w:tcBorders>
              <w:right w:val="single" w:sz="8" w:color="auto"/>
            </w:tcBorders>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89"/>
              </w:rPr>
              <w:t>33</w:t>
            </w:r>
          </w:p>
        </w:tc>
        <w:tc>
          <w:tcPr>
            <w:tcW w:w="1220" w:type="dxa"/>
            <w:vAlign w:val="bottom"/>
            <w:tcBorders>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1"/>
              </w:rPr>
              <w:t>29,314,717</w:t>
            </w:r>
          </w:p>
        </w:tc>
        <w:tc>
          <w:tcPr>
            <w:tcW w:w="1120" w:type="dxa"/>
            <w:vAlign w:val="bottom"/>
            <w:tcBorders>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51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89"/>
              </w:rPr>
              <w:t>33</w:t>
            </w:r>
          </w:p>
        </w:tc>
        <w:tc>
          <w:tcPr>
            <w:tcW w:w="12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1"/>
              </w:rPr>
              <w:t>29,887,881</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500" w:type="dxa"/>
            <w:vAlign w:val="bottom"/>
          </w:tcPr>
          <w:p>
            <w:pPr>
              <w:spacing w:after="0"/>
              <w:rPr>
                <w:sz w:val="10"/>
                <w:szCs w:val="10"/>
                <w:color w:val="auto"/>
              </w:rPr>
            </w:pPr>
          </w:p>
        </w:tc>
        <w:tc>
          <w:tcPr>
            <w:tcW w:w="518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tcPr>
          <w:p>
            <w:pPr>
              <w:jc w:val="center"/>
              <w:ind w:left="228"/>
              <w:spacing w:after="0" w:line="123" w:lineRule="exact"/>
              <w:rPr>
                <w:sz w:val="20"/>
                <w:szCs w:val="20"/>
                <w:color w:val="auto"/>
              </w:rPr>
            </w:pPr>
            <w:r>
              <w:rPr>
                <w:rFonts w:ascii="Arial" w:cs="Arial" w:eastAsia="Arial" w:hAnsi="Arial"/>
                <w:sz w:val="14"/>
                <w:szCs w:val="14"/>
                <w:color w:val="auto"/>
                <w:w w:val="89"/>
              </w:rPr>
              <w:t>13</w:t>
            </w:r>
          </w:p>
        </w:tc>
        <w:tc>
          <w:tcPr>
            <w:tcW w:w="122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90"/>
              </w:rPr>
              <w:t>715,846</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568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tcPr>
          <w:p>
            <w:pPr>
              <w:jc w:val="center"/>
              <w:ind w:left="228"/>
              <w:spacing w:after="0"/>
              <w:rPr>
                <w:sz w:val="20"/>
                <w:szCs w:val="20"/>
                <w:color w:val="auto"/>
              </w:rPr>
            </w:pPr>
            <w:r>
              <w:rPr>
                <w:rFonts w:ascii="Arial" w:cs="Arial" w:eastAsia="Arial" w:hAnsi="Arial"/>
                <w:sz w:val="14"/>
                <w:szCs w:val="14"/>
                <w:color w:val="auto"/>
                <w:w w:val="89"/>
              </w:rPr>
              <w:t>13</w:t>
            </w:r>
          </w:p>
        </w:tc>
        <w:tc>
          <w:tcPr>
            <w:tcW w:w="122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90"/>
              </w:rPr>
              <w:t>715,846</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Denise M. Demeter</w:t>
            </w:r>
          </w:p>
        </w:tc>
        <w:tc>
          <w:tcPr>
            <w:tcW w:w="5680" w:type="dxa"/>
            <w:vAlign w:val="bottom"/>
            <w:tcBorders>
              <w:right w:val="single" w:sz="8" w:color="auto"/>
            </w:tcBorders>
            <w:gridSpan w:val="2"/>
            <w:shd w:val="clear" w:color="auto" w:fill="CCEEFF"/>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80" w:type="dxa"/>
            <w:vAlign w:val="bottom"/>
            <w:tcBorders>
              <w:right w:val="single" w:sz="8" w:color="auto"/>
            </w:tcBorders>
            <w:shd w:val="clear" w:color="auto" w:fill="CCEEFF"/>
          </w:tcPr>
          <w:p>
            <w:pPr>
              <w:jc w:val="center"/>
              <w:ind w:left="228"/>
              <w:spacing w:after="0" w:line="123" w:lineRule="exact"/>
              <w:rPr>
                <w:sz w:val="20"/>
                <w:szCs w:val="20"/>
                <w:color w:val="auto"/>
              </w:rPr>
            </w:pPr>
            <w:r>
              <w:rPr>
                <w:rFonts w:ascii="Arial" w:cs="Arial" w:eastAsia="Arial" w:hAnsi="Arial"/>
                <w:sz w:val="14"/>
                <w:szCs w:val="14"/>
                <w:color w:val="auto"/>
                <w:w w:val="89"/>
              </w:rPr>
              <w:t>33</w:t>
            </w:r>
          </w:p>
        </w:tc>
        <w:tc>
          <w:tcPr>
            <w:tcW w:w="122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93"/>
              </w:rPr>
              <w:t>2,870,427</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680" w:type="dxa"/>
            <w:vAlign w:val="bottom"/>
            <w:tcBorders>
              <w:bottom w:val="single" w:sz="8" w:color="auto"/>
              <w:right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Pension Plan Benefits</w:t>
            </w:r>
          </w:p>
        </w:tc>
        <w:tc>
          <w:tcPr>
            <w:tcW w:w="1080" w:type="dxa"/>
            <w:vAlign w:val="bottom"/>
            <w:tcBorders>
              <w:bottom w:val="single" w:sz="8" w:color="auto"/>
              <w:right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89"/>
              </w:rPr>
              <w:t>33</w:t>
            </w:r>
          </w:p>
        </w:tc>
        <w:tc>
          <w:tcPr>
            <w:tcW w:w="122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93"/>
              </w:rPr>
              <w:t>2,870,427</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24" w:right="580" w:hanging="324"/>
        <w:spacing w:after="0" w:line="253" w:lineRule="auto"/>
        <w:tabs>
          <w:tab w:leader="none" w:pos="3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2019. Mr. Rosen has prior service with Kaplan, Newsweek and Graham Holdings Company. All are included in this column.</w:t>
      </w:r>
    </w:p>
    <w:p>
      <w:pPr>
        <w:spacing w:after="0" w:line="25" w:lineRule="exact"/>
        <w:rPr>
          <w:rFonts w:ascii="Arial" w:cs="Arial" w:eastAsia="Arial" w:hAnsi="Arial"/>
          <w:sz w:val="14"/>
          <w:szCs w:val="14"/>
          <w:color w:val="auto"/>
        </w:rPr>
      </w:pPr>
    </w:p>
    <w:p>
      <w:pPr>
        <w:ind w:left="324" w:right="40" w:hanging="324"/>
        <w:spacing w:after="0" w:line="231" w:lineRule="auto"/>
        <w:tabs>
          <w:tab w:leader="none" w:pos="3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in this column represent the actuarial present value of the named executive officer’s accumulated benefits under the plan as of December 31, 2019. The benefits valued for Mr. O’Shaughnessy include benefits under the SRA and CBRP Schedules. The benefits valued for Mr. Rosen include the Graham Schedule, Newsweek Schedule, Kaplan Schedule, SRA Schedule and SERP amounts. The value of Mr. Rosen’s accumulated benefits in this column are based on the assumption that he terminates and retires immediately at 12/31/2019. The benefits valued for Mr. Cooney, Ms. Maddrey and Ms. Demeter include the Graham Schedule and SRA Schedule. The value of Ms. Demeter’s accumulated benefit in this column is based on the assumption that she terminates and retires immediately at 12/31/2019.</w:t>
      </w:r>
    </w:p>
    <w:p>
      <w:pPr>
        <w:spacing w:after="0" w:line="35" w:lineRule="exact"/>
        <w:rPr>
          <w:rFonts w:ascii="Arial" w:cs="Arial" w:eastAsia="Arial" w:hAnsi="Arial"/>
          <w:sz w:val="14"/>
          <w:szCs w:val="14"/>
          <w:color w:val="auto"/>
        </w:rPr>
      </w:pPr>
    </w:p>
    <w:p>
      <w:pPr>
        <w:ind w:left="324" w:right="100"/>
        <w:spacing w:after="0" w:line="247" w:lineRule="auto"/>
        <w:rPr>
          <w:rFonts w:ascii="Arial" w:cs="Arial" w:eastAsia="Arial" w:hAnsi="Arial"/>
          <w:sz w:val="14"/>
          <w:szCs w:val="14"/>
          <w:color w:val="auto"/>
        </w:rPr>
      </w:pPr>
      <w:r>
        <w:rPr>
          <w:rFonts w:ascii="Arial" w:cs="Arial" w:eastAsia="Arial" w:hAnsi="Arial"/>
          <w:sz w:val="13"/>
          <w:szCs w:val="13"/>
          <w:color w:val="auto"/>
        </w:rPr>
        <w:t>The assumptions used in determining the present value of accumulated benefits are the Pre-2012 Fully Generational Mortality Table for males and females (White-collar specific for Nonqualified benefits) and a 3.30% discount rate. The benefits valued reflect service and earnings through December 31, 2019,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50% of the benefits under the qualified Graham Schedule is valued as a lump-sum and 50% as an annuity payable for life. It is also assumed that benefits under the Cash Balance and Secure Retirement Account Schedules will be taken as a lump-sum with a 90% probability and an annuity with a 10% probability. The annuity was converted to a lump-sum value using the 2020 PPA combined unisex mortality for single-sum payments and interest rates of 2.09% for payments in the first five years, 3.00% for payments in years five through 20 and 3.61% for years thereafter.</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33" w:name="page34"/>
    <w:bookmarkEnd w:id="3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NON-QUALIFIED DEFERRED COMPENSATION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following table includes information related to the SERP and the Deferred Compensation Plan. Among the benefits provided under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SERP, closed to new participants, is a supplemental defined contribution plan benefit wherein the Company provides a matching contribution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percentage up to 4% of the participating executive’s base salary in excess of the annual covered compensation limit applied to qualified plan benefits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($280,000 in 2019). The executive is required to make contributions to the SERP in order to receive the applicable matching Company credit each year.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Deferred Compensation Plan, closed to new and existing participants, provided an opportunity for participants to voluntarily defer the receipt of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or a portion of annual bonus and/or certain long-term cash awards made under the 2012 ICP. Elections to defer had to be filed in advance of earning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such awards. Deferred amounts under both plans will earn investment credits in accordance with the participant’s elections from a choice of investment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indexes. Amounts deferred under the SERP are payable on the first day of the seventh month following termination of service. Amounts deferred under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Deferred Compensation Plan are payable on the first business day of the seventh month following the date of separation from service or such other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future date as specified by the participant at the time of election. Effective for deferrals made on or after January 1, 2014, amounts deferred under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Deferred Compensation Plan are payable no later than the first business day of the seventh month following the date of separation of service.</w:t>
      </w:r>
    </w:p>
    <w:p>
      <w:pPr>
        <w:spacing w:after="0" w:line="244"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3440" w:type="dxa"/>
            <w:vAlign w:val="bottom"/>
            <w:tcBorders>
              <w:top w:val="single" w:sz="8" w:color="auto"/>
              <w:left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Executive Contributions</w:t>
            </w:r>
          </w:p>
        </w:tc>
        <w:tc>
          <w:tcPr>
            <w:tcW w:w="16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Registrant Contributions</w:t>
            </w:r>
          </w:p>
        </w:tc>
        <w:tc>
          <w:tcPr>
            <w:tcW w:w="13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Aggregate Earnings</w:t>
            </w:r>
          </w:p>
        </w:tc>
        <w:tc>
          <w:tcPr>
            <w:tcW w:w="16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Aggregate Withdrawals/</w:t>
            </w:r>
          </w:p>
        </w:tc>
        <w:tc>
          <w:tcPr>
            <w:tcW w:w="13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Aggregate Balance</w:t>
            </w:r>
          </w:p>
        </w:tc>
      </w:tr>
      <w:tr>
        <w:trPr>
          <w:trHeight w:val="149"/>
        </w:trPr>
        <w:tc>
          <w:tcPr>
            <w:tcW w:w="3440" w:type="dxa"/>
            <w:vAlign w:val="bottom"/>
            <w:tcBorders>
              <w:left w:val="single" w:sz="8" w:color="auto"/>
              <w:right w:val="single" w:sz="8" w:color="auto"/>
            </w:tcBorders>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Distributions ($)</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at Last FYE ($)</w:t>
            </w:r>
          </w:p>
        </w:tc>
      </w:tr>
      <w:tr>
        <w:trPr>
          <w:trHeight w:val="185"/>
        </w:trPr>
        <w:tc>
          <w:tcPr>
            <w:tcW w:w="3440" w:type="dxa"/>
            <w:vAlign w:val="bottom"/>
            <w:tcBorders>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4"/>
                <w:szCs w:val="14"/>
                <w:b w:val="1"/>
                <w:bCs w:val="1"/>
                <w:color w:val="auto"/>
              </w:rPr>
              <w:t>Name (a)</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r>
              <w:rPr>
                <w:rFonts w:ascii="Arial" w:cs="Arial" w:eastAsia="Arial" w:hAnsi="Arial"/>
                <w:sz w:val="12"/>
                <w:szCs w:val="12"/>
                <w:b w:val="1"/>
                <w:bCs w:val="1"/>
                <w:color w:val="auto"/>
                <w:w w:val="89"/>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2"/>
                <w:szCs w:val="12"/>
                <w:b w:val="1"/>
                <w:bCs w:val="1"/>
                <w:color w:val="auto"/>
                <w:w w:val="96"/>
              </w:rPr>
              <w:t>4</w:t>
            </w: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3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40,350</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40,350</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1,074,635</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5,879,092</w:t>
            </w:r>
          </w:p>
        </w:tc>
      </w:tr>
      <w:tr>
        <w:trPr>
          <w:trHeight w:val="142"/>
        </w:trPr>
        <w:tc>
          <w:tcPr>
            <w:tcW w:w="3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Denise M. Demeter</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r>
    </w:tbl>
    <w:p>
      <w:pPr>
        <w:spacing w:after="0" w:line="103" w:lineRule="exact"/>
        <w:rPr>
          <w:sz w:val="20"/>
          <w:szCs w:val="20"/>
          <w:color w:val="auto"/>
        </w:rPr>
      </w:pPr>
    </w:p>
    <w:p>
      <w:pPr>
        <w:ind w:left="324" w:hanging="324"/>
        <w:spacing w:after="0"/>
        <w:tabs>
          <w:tab w:leader="none" w:pos="3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in this column represents a contribution by Mr. Rosen of $40,350 to the SERP. It is included in the Salary column of the Summary Compensation Table.</w:t>
      </w:r>
    </w:p>
    <w:p>
      <w:pPr>
        <w:spacing w:after="0" w:line="109" w:lineRule="exact"/>
        <w:rPr>
          <w:rFonts w:ascii="Arial" w:cs="Arial" w:eastAsia="Arial" w:hAnsi="Arial"/>
          <w:sz w:val="14"/>
          <w:szCs w:val="14"/>
          <w:color w:val="auto"/>
        </w:rPr>
      </w:pPr>
    </w:p>
    <w:p>
      <w:pPr>
        <w:ind w:left="324" w:right="800" w:hanging="324"/>
        <w:spacing w:after="0" w:line="253" w:lineRule="auto"/>
        <w:tabs>
          <w:tab w:leader="none" w:pos="3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in this column represents a Company contribution of $40,350 to the SERP for Mr. Rosen. It is included in the All Other Compensation column of the Summary Compensation Table.</w:t>
      </w:r>
    </w:p>
    <w:p>
      <w:pPr>
        <w:spacing w:after="0" w:line="79" w:lineRule="exact"/>
        <w:rPr>
          <w:rFonts w:ascii="Arial" w:cs="Arial" w:eastAsia="Arial" w:hAnsi="Arial"/>
          <w:sz w:val="14"/>
          <w:szCs w:val="14"/>
          <w:color w:val="auto"/>
        </w:rPr>
      </w:pPr>
    </w:p>
    <w:p>
      <w:pPr>
        <w:ind w:left="324" w:right="200" w:hanging="324"/>
        <w:spacing w:after="0" w:line="238" w:lineRule="auto"/>
        <w:tabs>
          <w:tab w:leader="none" w:pos="3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in this column represent investment gains to the SERP and to the Deferred Compensation Plan, based on Mr. Rosen’s investment elections as follows: $401,499 to the SERP and $673,136 to the Deferred Compensation Plan. These gains are not included in the Summary Compensation Table; the gains reflect market performance of investment indexes selected by Mr. Rosen.</w:t>
      </w:r>
    </w:p>
    <w:p>
      <w:pPr>
        <w:spacing w:after="0" w:line="88" w:lineRule="exact"/>
        <w:rPr>
          <w:rFonts w:ascii="Arial" w:cs="Arial" w:eastAsia="Arial" w:hAnsi="Arial"/>
          <w:sz w:val="14"/>
          <w:szCs w:val="14"/>
          <w:color w:val="auto"/>
        </w:rPr>
      </w:pPr>
    </w:p>
    <w:p>
      <w:pPr>
        <w:ind w:left="324" w:right="20" w:hanging="324"/>
        <w:spacing w:after="0" w:line="290" w:lineRule="auto"/>
        <w:tabs>
          <w:tab w:leader="none" w:pos="324"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amount in this column represent Mr. Rosen’s balances at December 31, 2019, for the SERP and the Deferred Compensation Plan as follows: $2,216,027 in the SERP and $3,663,065 in the Deferred Compensation Plan. An amount of $325,500 was reported as compensation in the Summary Compensation Table for years beginning 2015 (excluding 2019).</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individual arrangements following a termination of their employment is described below, assuming, in accordance with the SEC regulations, all relevant events occurred on December 31, 2019. For purposes of the valuations below, the price of Class B Common Stock (to which all applicable equity awards relate) is assumed to be $638.99, which was the closing share price on December 31, 2019.</w:t>
      </w:r>
    </w:p>
    <w:p>
      <w:pPr>
        <w:spacing w:after="0" w:line="195" w:lineRule="exact"/>
        <w:rPr>
          <w:sz w:val="20"/>
          <w:szCs w:val="20"/>
          <w:color w:val="auto"/>
        </w:rPr>
      </w:pPr>
    </w:p>
    <w:p>
      <w:pPr>
        <w:ind w:left="4" w:right="180" w:firstLine="991"/>
        <w:spacing w:after="0" w:line="311" w:lineRule="auto"/>
        <w:rPr>
          <w:sz w:val="20"/>
          <w:szCs w:val="20"/>
          <w:color w:val="auto"/>
        </w:rPr>
      </w:pPr>
      <w:r>
        <w:rPr>
          <w:rFonts w:ascii="Arial" w:cs="Arial" w:eastAsia="Arial" w:hAnsi="Arial"/>
          <w:sz w:val="16"/>
          <w:szCs w:val="16"/>
          <w:color w:val="auto"/>
        </w:rPr>
        <w:t>Upon a termination of employment, Messrs. O’Shaughnessy, Cooney, Rosen, Mmes. Maddrey and Demeter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49"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2019, Mr. O’Shaughnessy would be entitled to accelerated vesting of 12,877 stock options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70" w:right="439" w:bottom="1440" w:gutter="0" w:footer="0" w:header="0"/>
        </w:sectPr>
      </w:pPr>
    </w:p>
    <w:bookmarkStart w:id="34" w:name="page35"/>
    <w:bookmarkEnd w:id="34"/>
    <w:p>
      <w:pPr>
        <w:ind w:right="5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(representing a value of $0, based on their exercise price of $719.15 per share) and 3,791 stock options (representing a value of $0, based on their exercise price of $872.01 per share), subject to his signing of a release of claims in favor of the Company that has become irrevocable.</w:t>
      </w:r>
    </w:p>
    <w:p>
      <w:pPr>
        <w:spacing w:after="0" w:line="124"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Under the terms of his option award agreement, in the case of a termination by the Company other than for cause, Mr. Cooney would be entitled to accelerated vesting of the next tranche of options that is scheduled to vest following such termination. Assuming a termination of employment as of December 31, 2019, Mr. Cooney would be entitled to accelerated vesting of 333 stock options (representing a value of $0, based on their exercise price of $845.72 per share), subject to his signing of a release of claims in favor of the Company that has become irrevocable.</w:t>
      </w:r>
    </w:p>
    <w:p>
      <w:pPr>
        <w:spacing w:after="0" w:line="15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the case of a termination by the Company other than for cause, Mr. Rosen would be entitled to (1) accelerated vesting of a pro rata portion of his outstanding and unvested stock options and restricted stock, which, assuming a termination of employment as of December 31, 2019, would result in accelerated vesting of 955 shares of Company restricted stock (representing a value of $610,235) and (2) a severance payment of $3,500,000, payable in a lump 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92"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Messrs. O’Shaughnessy and Rosen are subject to restrictive covenants that apply following termination for any reason, as described above in “Executive Compensation: Employment Agreements and Severance Packages.”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CEO Pay to Median Employee Pay</w:t>
      </w:r>
    </w:p>
    <w:p>
      <w:pPr>
        <w:spacing w:after="0" w:line="229"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The Company estimates that the ratio of CEO pay to median employee pay for 2019 was 37:1. The median employee’s annual compensation in 2019 was $40,131. As reflected in the Summary Compensation Table, the 2019 annual total compensation of the Company’s CEO was $1,470,860. This ratio represents a reasonable estimate calculated in a manner consistent with SEC regulations.</w:t>
      </w:r>
    </w:p>
    <w:p>
      <w:pPr>
        <w:spacing w:after="0" w:line="16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The Company selected October 1, 2019 as the date upon which the Company would determine the Company’s employee population used to identify the Company’s median employee. As of October 1, 2019, the Company’s total number of full- and part-time employees (regular or temporary who received compensation in the month of September or October, or were benefits eligible) was 17,590, which includes 12,028 U.S. employees and 5,562 non-U.S. employees. Pursuant to the SEC regulation that allows for the exclusion of up to 5% of a company’s population from non-U.S. jurisdictions, the Company excluded 856 employees, resulting in an updated total of 16,734. The 856 individuals include employees from the following countries: Ireland (393), Canada (154), China (95), India (71), Thailand (68), Columbia (18), France (14), United Arab Emirates (14), Nigeria (13), Republic of Korea (8), Brazil (3), Israel (1), Myanmar (1), Poland (1), Venezuela (1), and Vietnam (1).</w:t>
      </w:r>
    </w:p>
    <w:p>
      <w:pPr>
        <w:spacing w:after="0" w:line="17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To determine the Company’s median employee, the Company chose base pay as the Company’s consistently applied compensation measure, using payroll data to determine the base pay actually paid to each employee during a measurement period from January 1, 2019, through September 30, 2019. In the case of employees who commenced work during the measurement period or any permanent employees who were on an unpaid leave for a portion of the measurement period, the Company used the amount actually paid during the portion of the measurement period that the employee worked to estimate their base pay for the full nine-month measurement period (which, in the case of hourly employees, was based on a reasonable estimate of hours worked). The Company then used clustered sampling to identify the group of employees within a 10% (U.S.) or 7% (non-U.S.) range of the median level of base pay for our employee population. The Company then analyzed the historical compensation of this group to identify a median employee whose annual total compensation (determined in accordance with the Summary Compensation Table methodology) was reasonably representative of the median annual total compensation with respect to 2019 and was also reasonably likely to remain representative of the median in future years.</w:t>
      </w:r>
    </w:p>
    <w:p>
      <w:pPr>
        <w:spacing w:after="0" w:line="18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This process is consistent with the methodology used to identify the median employee for 2017, which was reported in the Company’s 2018 proxy statement, filed on March 22, 2018.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AUDIT COMMITTEE REPORT</w:t>
      </w:r>
    </w:p>
    <w:p>
      <w:pPr>
        <w:spacing w:after="0" w:line="229"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 xml:space="preserve">One of the standing committees of the Board of Directors of the Company is the Audit Committee. The Audit Committee operates under a written charter adopted by the Board of Directors, which is available on our website at </w:t>
      </w:r>
      <w:r>
        <w:rPr>
          <w:rFonts w:ascii="Arial" w:cs="Arial" w:eastAsia="Arial" w:hAnsi="Arial"/>
          <w:sz w:val="18"/>
          <w:szCs w:val="18"/>
          <w:u w:val="single" w:color="auto"/>
          <w:color w:val="auto"/>
        </w:rPr>
        <w:t>https://www.ghco.com/corporate-governance</w:t>
      </w:r>
      <w:r>
        <w:rPr>
          <w:rFonts w:ascii="Arial" w:cs="Arial" w:eastAsia="Arial" w:hAnsi="Arial"/>
          <w:sz w:val="18"/>
          <w:szCs w:val="18"/>
          <w:color w:val="auto"/>
        </w:rPr>
        <w:t>. Currently, there are four non-employee members of the Board on the Audit Committee: Christopher C. Davis; Thomas S. Gayner, who serves as Chairman of the Audit Committee; Jack A. Markell and G. Richard Wagoner, Jr.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96"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Audit Committee has primary responsibility for assisting the Board in oversight of accounting, financial reporting and disclosure processes, and adequacy of systems of disclosure and internal control established by management; the quality and integrity of the Company’s financial statements; the Company’s compliance with legal and regulatory requirements; the independent auditor’s qualifications, performance and independence; the performance of the Company’s internal audit function; and the performance of the Company’s risk management, ethics and compliance programs.</w:t>
      </w:r>
    </w:p>
    <w:p>
      <w:pPr>
        <w:spacing w:after="0" w:line="15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Management has the primary responsibility for the preparation of the Company’s financial statements in accordance with generally accepted accounting principles and for the financial reporting process, including its disclosure controls and procedures and system of internal control over financial reporting. The Company’s independent auditor, PricewaterhouseCoopers LLP, is responsible for auditing those financial statements and the Company’s internal control over financial reporting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1"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The Audit Committee has reviewed and discussed the audited fiscal year 2019 financial statements with the Company’s management and matters related to the Company’s internal control over financial reporting. In addition, the Audit Committee has discussed with PricewaterhouseCoopers LLP the matters required to be discussed by the Public Company Accounting Oversight Board (PCAOB). The Audit Committee has received the written disclosures and the letter from PricewaterhouseCoopers LLP required by applicable requirements of the PCAOB regarding the independent auditor’s communications with the Audit Committee concerning independence and has discussed with the independent auditor the independent auditor’s independence. The Audit Committee has also considered whether PricewaterhouseCoopers LLP’s provision of non-audit services to the Company is compatible with the independence of such firm.</w:t>
      </w:r>
    </w:p>
    <w:p>
      <w:pPr>
        <w:spacing w:after="0" w:line="17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2019,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S. Gayner, Chairman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Jack A. Markell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 Richard Wagoner, Jr.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Policy for Preapproval of Audit and Permitted Non-audit Services</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In 2019,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92"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Audit Committee also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8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7"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PricewaterhouseCoopers LLP’s fees for the annual audit, statutory audits and reviews of financial statements included in the Company’s quarterly filings, including reimbursable expenses, were $5,429,120 in 2019 and $5,439,000 in 2018, which fees were reviewed and approved by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PricewaterhouseCoopers LLP’s fees for assurance and related services reasonably related to the performance of the audit or reviews of financial statements and not included under “Audit Fees” above, including reimbursable expenses, were $73,826 in 2019 and $225,000 in 2018, which fees were reviewed and approved by the Audit Committee. These fees were primarily audit-related work associated with the Company’s implementation of the new leasing standard and the Company’s debt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Fees</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$353,079 in 2019 and $227,266 in 2018, which fees were reviewed and approved by the Audit Committee. These fees were primarily for federal, multi-state and international tax consulting, as well as tax due diligence and transaction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right="880" w:firstLine="991"/>
        <w:spacing w:after="0" w:line="342" w:lineRule="auto"/>
        <w:rPr>
          <w:sz w:val="20"/>
          <w:szCs w:val="20"/>
          <w:color w:val="auto"/>
        </w:rPr>
      </w:pPr>
      <w:r>
        <w:rPr>
          <w:rFonts w:ascii="Arial" w:cs="Arial" w:eastAsia="Arial" w:hAnsi="Arial"/>
          <w:sz w:val="16"/>
          <w:szCs w:val="16"/>
          <w:color w:val="auto"/>
        </w:rPr>
        <w:t>PricewaterhouseCoopers LLP’s fees for other services, including a finance and accounting research tool provided by PricewaterhouseCoopers LLP, were $10,710 in 2019 and $10,710 in 2018, which fees were reviewed and approved by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29"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Mrs. Elizabeth G. Weymouth, the daughter of the late Mrs. Katharine Graham, the sister of Mr. Donald E. Graham and the mother of Katharine Weymouth, is employed as an Editor-at-Large of the Company’s publications and websites. In 2019, she received $300,000 in compensation. Mrs. Weymouth’s base salary for 2020 is $300,000.</w:t>
      </w:r>
    </w:p>
    <w:p>
      <w:pPr>
        <w:spacing w:after="0" w:line="184"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Laura O’Shaughnessy, daughter of Mr. Donald E. Graham and the wife of Mr. Timothy J. O’Shaughnessy, is employed full time as the Chief Executive Officer of Social Code LLC, a subsidiary of the Company. In 2019, Mrs. O’Shaughnessy’s base salary was $400,000 and she received a bonus of $181,400. Mrs. O’Shaughnessy’s base salary for 2020 was $400,000 from January to March and was reduced to $100,000 effective April 2020 at her request. She held 1,000 shares of restricted stock of the Company in the 2015–2018 cycle under the Company’s 2012 ICP that vested in January 2019, and holds 600 shares of restricted stock in the 2019–2022 cycle under the Company’s 2012 ICP that will vest in 2023. Mrs. O’Shaughnessy also participates in SocialCode’s long-term incentive plan. The value of the units in SocialCode’s long-term incentive plan is tied to an increase in the equity value of Social Code LLC. Molly Graham, a daughter of Mr. Donald E. Graham, is one of the owners of a consulting company that received approximately $141,000 for human resources consulting services provided to Social Code LLC in 2019.</w:t>
      </w:r>
    </w:p>
    <w:p>
      <w:pPr>
        <w:spacing w:after="0" w:line="17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 transactions subject to the policy and determine whether or not to approve or ratify these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2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adjournments thereof, it is the intention of the persons named in the accompanying form of Proxy to vote on those matters in accordance with their best judgment.</w:t>
      </w:r>
    </w:p>
    <w:p>
      <w:pPr>
        <w:spacing w:after="0" w:line="184"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2020.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2019 and the firm’s relationship with the Company and will be available to respond to appropriate questions from shareholders.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43"/>
          <w:szCs w:val="43"/>
          <w:b w:val="1"/>
          <w:bCs w:val="1"/>
          <w:color w:val="106280"/>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 of</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41"/>
          <w:szCs w:val="41"/>
          <w:b w:val="1"/>
          <w:bCs w:val="1"/>
          <w:color w:val="106280"/>
        </w:rPr>
        <w:t>Annual Meeting</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106280"/>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106280"/>
        </w:rPr>
        <w:t>Proxy Statement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106280"/>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3170555</wp:posOffset>
            </wp:positionV>
            <wp:extent cx="4131945" cy="582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31945" cy="582930"/>
                    </a:xfrm>
                    <a:prstGeom prst="rect">
                      <a:avLst/>
                    </a:prstGeom>
                    <a:noFill/>
                  </pic:spPr>
                </pic:pic>
              </a:graphicData>
            </a:graphic>
          </wp:anchor>
        </w:drawing>
      </w:r>
    </w:p>
    <w:p>
      <w:pPr>
        <w:sectPr>
          <w:pgSz w:w="11900" w:h="16838" w:orient="portrait"/>
          <w:cols w:equalWidth="0" w:num="1">
            <w:col w:w="9019"/>
          </w:cols>
          <w:pgMar w:left="1440" w:top="1217"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6"/>
          <w:szCs w:val="6"/>
          <w:color w:val="FFFFFF"/>
        </w:rPr>
        <w:t>Using a pen, mark your votes with an as shown in this example. Please do not write outside the designated areas. 2020 Annual Meeting Proxy Card — Class A Common IF VOTING BY MAIL, SIGN,DETACHANDRETURNTHEBOTTOMPORTIONINTHEENVELOPE.AProposals—TheBoardofDirectorsRecommendsvoteFORallnomineesandFORProposal2.1. ENCLOSED ElectionofDirectors:+ForWithholdForWithholdForWithhold01—Lee.Bollinger02—ThomasS.Gayner03—DonaldE.Graham04—JackA.Markell05—TimothyJ.O’Shaughnessy06—G.Richard Wagoner, Jr. 07—Katharine Weymouth 2. Advisory Approval of the Company’s Executive Compensation. For Against Abstain B Non-Voting Items Change of Address — Please print new address below. Comments — Please print your comments below. Meeting Attendance Mark box to the right if you plan to attend the Annual Meeting. C Authorized Signatures — This section must be completed for your vote be counted — Date and Sign Please sign exactly name(s) appears herein. Joint owners should each . When signing as attorney, executor, administrator, corporate officer, trustee, guardian, or</w:t>
      </w:r>
    </w:p>
    <w:p>
      <w:pPr>
        <w:spacing w:after="0" w:line="8" w:lineRule="exact"/>
        <w:rPr>
          <w:sz w:val="20"/>
          <w:szCs w:val="20"/>
          <w:color w:val="auto"/>
        </w:rPr>
      </w:pPr>
    </w:p>
    <w:p>
      <w:pPr>
        <w:ind w:right="160"/>
        <w:spacing w:after="0" w:line="193" w:lineRule="auto"/>
        <w:rPr>
          <w:sz w:val="20"/>
          <w:szCs w:val="20"/>
          <w:color w:val="auto"/>
        </w:rPr>
      </w:pPr>
      <w:r>
        <w:rPr>
          <w:rFonts w:ascii="Arial" w:cs="Arial" w:eastAsia="Arial" w:hAnsi="Arial"/>
          <w:sz w:val="13"/>
          <w:szCs w:val="13"/>
          <w:color w:val="FFFFFF"/>
        </w:rPr>
        <w:t>custodian, please give full title. Date (mm/dd/yyyy) — Please print date below. Signature 1 — Please keep signature within the box. Signature 2 — Please keep signature within the box. 1UPX 037B0A 03780A</w:t>
      </w:r>
    </w:p>
    <w:p>
      <w:pPr>
        <w:sectPr>
          <w:pgSz w:w="11900" w:h="16838" w:orient="portrait"/>
          <w:cols w:equalWidth="0" w:num="1">
            <w:col w:w="11020"/>
          </w:cols>
          <w:pgMar w:left="440" w:top="1440" w:right="4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199" w:lineRule="auto"/>
        <w:rPr>
          <w:sz w:val="20"/>
          <w:szCs w:val="20"/>
          <w:color w:val="auto"/>
        </w:rPr>
      </w:pPr>
      <w:r>
        <w:rPr>
          <w:rFonts w:ascii="Arial" w:cs="Arial" w:eastAsia="Arial" w:hAnsi="Arial"/>
          <w:sz w:val="7"/>
          <w:szCs w:val="7"/>
          <w:color w:val="FFFFFF"/>
        </w:rPr>
        <w:t>availableImportantatnoticewww.GHCO.com.regardingthe availabilityIFVOTINGofBYProxyMAIL,materialsSIGN,forDETACHtheAnnualANDMeetingRETURNofShareholdersTHEBOTTOMtobePORTIONheldonMayIN 7,THE2020.ENCLOSEDTheProxy ENVELOPE.StatementandProxytheAnnual—GrahamReportHoldingstoShareholdersCompanyareGraham Holdings Company Class A Common Stock Annual Meeting of Shareholders – May 7, 2020 Proxy Solicited on behalf of the Board of Directors The undersigned hereby appoints Timothy J.</w:t>
      </w:r>
    </w:p>
    <w:p>
      <w:pPr>
        <w:ind w:left="10900"/>
        <w:spacing w:after="0"/>
        <w:rPr>
          <w:sz w:val="20"/>
          <w:szCs w:val="20"/>
          <w:color w:val="auto"/>
        </w:rPr>
      </w:pPr>
      <w:r>
        <w:rPr>
          <w:rFonts w:ascii="Arial" w:cs="Arial" w:eastAsia="Arial" w:hAnsi="Arial"/>
          <w:sz w:val="1"/>
          <w:szCs w:val="1"/>
          <w:color w:val="FFFFFF"/>
        </w:rPr>
        <w:t>theO’Shaughnessy,reverseoftheWallaceProxyallR.sharesCooney,of JacobClass AM. Maas, andStockNicolewhichM. Maddrey,theundersignedandeachisentitledofthem,tohis/hervoteattruethe andAnnuallawfulMeetingagentsofandShareholdersproxies,withof fullGRAHAMpowerofHOLDINGSsubstitutionCOMPANYeach,tovotetobeasheldindicatedonMayon7,</w:t>
      </w:r>
    </w:p>
    <w:p>
      <w:pPr>
        <w:spacing w:after="0" w:line="187" w:lineRule="auto"/>
        <w:rPr>
          <w:sz w:val="20"/>
          <w:szCs w:val="20"/>
          <w:color w:val="auto"/>
        </w:rPr>
      </w:pPr>
      <w:r>
        <w:rPr>
          <w:rFonts w:ascii="Arial" w:cs="Arial" w:eastAsia="Arial" w:hAnsi="Arial"/>
          <w:sz w:val="7"/>
          <w:szCs w:val="7"/>
          <w:color w:val="FFFFFF"/>
        </w:rPr>
        <w:t>2020, and at any adjournment there</w:t>
      </w:r>
      <w:r>
        <w:rPr>
          <w:rFonts w:ascii="Arial" w:cs="Arial" w:eastAsia="Arial" w:hAnsi="Arial"/>
          <w:sz w:val="9"/>
          <w:szCs w:val="9"/>
          <w:color w:val="FFFFFF"/>
          <w:vertAlign w:val="superscript"/>
        </w:rPr>
        <w:t>boxes</w:t>
      </w:r>
      <w:r>
        <w:rPr>
          <w:rFonts w:ascii="Arial" w:cs="Arial" w:eastAsia="Arial" w:hAnsi="Arial"/>
          <w:sz w:val="7"/>
          <w:szCs w:val="7"/>
          <w:color w:val="FFFFFF"/>
        </w:rPr>
        <w:t>f,and to voteCommonall other matters properly coming before said meeting. You are encouraged to specify your choices by marking the appropriate boxes. SEE REVERSE</w:t>
      </w:r>
    </w:p>
    <w:p>
      <w:pPr>
        <w:ind w:right="320"/>
        <w:spacing w:after="0" w:line="190" w:lineRule="auto"/>
        <w:rPr>
          <w:sz w:val="20"/>
          <w:szCs w:val="20"/>
          <w:color w:val="auto"/>
        </w:rPr>
      </w:pPr>
      <w:r>
        <w:rPr>
          <w:rFonts w:ascii="Arial" w:cs="Arial" w:eastAsia="Arial" w:hAnsi="Arial"/>
          <w:sz w:val="11"/>
          <w:szCs w:val="11"/>
          <w:color w:val="FFFFFF"/>
        </w:rPr>
        <w:t>SIDE, but you need not mark any if you wish to vote this card in accordance with the Board of Directors’ recommendations. The Proxy Committee cannot vote your shares unless you sign and return this card. Please vote, date and sign this proxy on the other side and return it promptly in the enclosed envelope. (Continued and to be voted on reverse side.)</w:t>
      </w:r>
    </w:p>
    <w:p>
      <w:pPr>
        <w:sectPr>
          <w:pgSz w:w="11900" w:h="16838" w:orient="portrait"/>
          <w:cols w:equalWidth="0" w:num="1">
            <w:col w:w="11020"/>
          </w:cols>
          <w:pgMar w:left="440" w:top="1440" w:right="4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20"/>
                <w:szCs w:val="20"/>
                <w:color w:val="auto"/>
              </w:rPr>
            </w:pPr>
            <w:r>
              <w:rPr>
                <w:rFonts w:ascii="Arial" w:cs="Arial" w:eastAsia="Arial" w:hAnsi="Arial"/>
                <w:sz w:val="13"/>
                <w:szCs w:val="13"/>
                <w:color w:val="FFFFFF"/>
              </w:rPr>
              <w:t>Your vote matters – here’ how to vote! You may vote online or by</w:t>
            </w:r>
          </w:p>
        </w:tc>
        <w:tc>
          <w:tcPr>
            <w:tcW w:w="7160" w:type="dxa"/>
            <w:vAlign w:val="bottom"/>
          </w:tcPr>
          <w:p>
            <w:pPr>
              <w:ind w:left="160"/>
              <w:spacing w:after="0"/>
              <w:rPr>
                <w:sz w:val="20"/>
                <w:szCs w:val="20"/>
                <w:color w:val="auto"/>
              </w:rPr>
            </w:pPr>
            <w:r>
              <w:rPr>
                <w:rFonts w:ascii="Arial" w:cs="Arial" w:eastAsia="Arial" w:hAnsi="Arial"/>
                <w:sz w:val="13"/>
                <w:szCs w:val="13"/>
                <w:color w:val="FFFFFF"/>
                <w:w w:val="95"/>
              </w:rPr>
              <w:t>instead of mailing this card. in the shaded bar below. Phone Call toll free 1-800-652-VOTE (8683) within the USA, US territories</w:t>
            </w:r>
          </w:p>
        </w:tc>
      </w:tr>
      <w:tr>
        <w:trPr>
          <w:trHeight w:val="41"/>
        </w:trPr>
        <w:tc>
          <w:tcPr>
            <w:tcW w:w="11000" w:type="dxa"/>
            <w:vAlign w:val="bottom"/>
            <w:gridSpan w:val="2"/>
          </w:tcPr>
          <w:p>
            <w:pPr>
              <w:spacing w:after="0" w:line="41" w:lineRule="exact"/>
              <w:rPr>
                <w:sz w:val="20"/>
                <w:szCs w:val="20"/>
                <w:color w:val="auto"/>
              </w:rPr>
            </w:pPr>
            <w:r>
              <w:rPr>
                <w:rFonts w:ascii="Arial" w:cs="Arial" w:eastAsia="Arial" w:hAnsi="Arial"/>
                <w:sz w:val="4"/>
                <w:szCs w:val="4"/>
                <w:color w:val="FFFFFF"/>
              </w:rPr>
              <w:t>and Canada. Votes submitted electronically must be received by 5:00phone.m., Eastern Daylight Saving Time, on May 6, 2020 Online Go to www.investorvote.com or scan the QR code — login details are</w:t>
            </w:r>
          </w:p>
        </w:tc>
      </w:tr>
      <w:tr>
        <w:trPr>
          <w:trHeight w:val="40"/>
        </w:trPr>
        <w:tc>
          <w:tcPr>
            <w:tcW w:w="11000" w:type="dxa"/>
            <w:vAlign w:val="bottom"/>
            <w:gridSpan w:val="2"/>
          </w:tcPr>
          <w:p>
            <w:pPr>
              <w:spacing w:after="0" w:line="41" w:lineRule="exact"/>
              <w:rPr>
                <w:sz w:val="20"/>
                <w:szCs w:val="20"/>
                <w:color w:val="auto"/>
              </w:rPr>
            </w:pPr>
            <w:r>
              <w:rPr>
                <w:rFonts w:ascii="Arial" w:cs="Arial" w:eastAsia="Arial" w:hAnsi="Arial"/>
                <w:sz w:val="4"/>
                <w:szCs w:val="4"/>
                <w:color w:val="FFFFFF"/>
              </w:rPr>
              <w:t>located in the shaded bar below.. Phone Call toll free 1-800-652-VOTE (8683) within the USA, US territories and Canada. Using a black ink pen, mark your votes with an X as shown in this example.</w:t>
            </w:r>
          </w:p>
        </w:tc>
      </w:tr>
      <w:tr>
        <w:trPr>
          <w:trHeight w:val="40"/>
        </w:trPr>
        <w:tc>
          <w:tcPr>
            <w:tcW w:w="11000" w:type="dxa"/>
            <w:vAlign w:val="bottom"/>
            <w:gridSpan w:val="2"/>
          </w:tcPr>
          <w:p>
            <w:pPr>
              <w:spacing w:after="0" w:line="41" w:lineRule="exact"/>
              <w:rPr>
                <w:sz w:val="20"/>
                <w:szCs w:val="20"/>
                <w:color w:val="auto"/>
              </w:rPr>
            </w:pPr>
            <w:r>
              <w:rPr>
                <w:rFonts w:ascii="Arial" w:cs="Arial" w:eastAsia="Arial" w:hAnsi="Arial"/>
                <w:sz w:val="4"/>
                <w:szCs w:val="4"/>
                <w:color w:val="FFFFFF"/>
              </w:rPr>
              <w:t>Please do not write outside the d signated areas. 2020 Annual Meeting Proxy Card — Class B Common IF VOTING BY MAIL, SIGN, DETACH AND RETURN THE BOTTOM PORTION IN THE</w:t>
            </w:r>
          </w:p>
        </w:tc>
      </w:tr>
      <w:tr>
        <w:trPr>
          <w:trHeight w:val="41"/>
        </w:trPr>
        <w:tc>
          <w:tcPr>
            <w:tcW w:w="3840" w:type="dxa"/>
            <w:vAlign w:val="bottom"/>
          </w:tcPr>
          <w:p>
            <w:pPr>
              <w:spacing w:after="0" w:line="41" w:lineRule="exact"/>
              <w:rPr>
                <w:sz w:val="20"/>
                <w:szCs w:val="20"/>
                <w:color w:val="auto"/>
              </w:rPr>
            </w:pPr>
            <w:r>
              <w:rPr>
                <w:rFonts w:ascii="Arial" w:cs="Arial" w:eastAsia="Arial" w:hAnsi="Arial"/>
                <w:sz w:val="4"/>
                <w:szCs w:val="4"/>
                <w:color w:val="FFFFFF"/>
              </w:rPr>
              <w:t>ENCLOSED ENVELOPE. A Election of Directors — The Board of</w:t>
            </w:r>
          </w:p>
        </w:tc>
        <w:tc>
          <w:tcPr>
            <w:tcW w:w="7160" w:type="dxa"/>
            <w:vAlign w:val="bottom"/>
          </w:tcPr>
          <w:p>
            <w:pPr>
              <w:ind w:left="420"/>
              <w:spacing w:after="0" w:line="41" w:lineRule="exact"/>
              <w:rPr>
                <w:sz w:val="20"/>
                <w:szCs w:val="20"/>
                <w:color w:val="auto"/>
              </w:rPr>
            </w:pPr>
            <w:r>
              <w:rPr>
                <w:rFonts w:ascii="Arial" w:cs="Arial" w:eastAsia="Arial" w:hAnsi="Arial"/>
                <w:sz w:val="4"/>
                <w:szCs w:val="4"/>
                <w:color w:val="FFFFFF"/>
              </w:rPr>
              <w:t>recommends a vote FOR all the A nominees listed. List Paragraph; 1. Election of Directors: For Withhold For Withhold For</w:t>
            </w:r>
          </w:p>
        </w:tc>
      </w:tr>
      <w:tr>
        <w:trPr>
          <w:trHeight w:val="0"/>
        </w:trPr>
        <w:tc>
          <w:tcPr>
            <w:tcW w:w="3840" w:type="dxa"/>
            <w:vAlign w:val="bottom"/>
          </w:tcPr>
          <w:p>
            <w:pPr>
              <w:spacing w:after="0" w:line="121" w:lineRule="exact"/>
              <w:rPr>
                <w:sz w:val="20"/>
                <w:szCs w:val="20"/>
                <w:color w:val="auto"/>
              </w:rPr>
            </w:pPr>
            <w:r>
              <w:rPr>
                <w:rFonts w:ascii="Arial" w:cs="Arial" w:eastAsia="Arial" w:hAnsi="Arial"/>
                <w:sz w:val="13"/>
                <w:szCs w:val="13"/>
                <w:color w:val="FFFFFF"/>
                <w:w w:val="98"/>
              </w:rPr>
              <w:t>Withhold 01 - Christopher C. Davis 02 - Anne M. Mulcahy 03 - Larry</w:t>
            </w:r>
          </w:p>
        </w:tc>
        <w:tc>
          <w:tcPr>
            <w:tcW w:w="7160" w:type="dxa"/>
            <w:vAlign w:val="bottom"/>
          </w:tcPr>
          <w:p>
            <w:pPr>
              <w:ind w:left="80"/>
              <w:spacing w:after="0" w:line="121" w:lineRule="exact"/>
              <w:rPr>
                <w:sz w:val="20"/>
                <w:szCs w:val="20"/>
                <w:color w:val="auto"/>
              </w:rPr>
            </w:pPr>
            <w:r>
              <w:rPr>
                <w:rFonts w:ascii="Arial" w:cs="Arial" w:eastAsia="Arial" w:hAnsi="Arial"/>
                <w:sz w:val="13"/>
                <w:szCs w:val="13"/>
                <w:color w:val="FFFFFF"/>
              </w:rPr>
              <w:t>. Thompson B B Non-Voting Items Change of Address — Please print new address below. Comments — Please print your</w:t>
            </w:r>
          </w:p>
        </w:tc>
      </w:tr>
    </w:tbl>
    <w:p>
      <w:pPr>
        <w:jc w:val="both"/>
        <w:ind w:right="120"/>
        <w:spacing w:after="0"/>
        <w:rPr>
          <w:sz w:val="20"/>
          <w:szCs w:val="20"/>
          <w:color w:val="auto"/>
        </w:rPr>
      </w:pPr>
      <w:r>
        <w:rPr>
          <w:rFonts w:ascii="Arial" w:cs="Arial" w:eastAsia="Arial" w:hAnsi="Arial"/>
          <w:sz w:val="8"/>
          <w:szCs w:val="8"/>
          <w:color w:val="FFFFFF"/>
        </w:rPr>
        <w:t>comments below. Meeting Attendance Mark box to the right if you planDirectorsattend the Annual Meeting C Authorized Signatures — This section must be completed for your vote to count. Please date and sign below. Please sign exactly as name(s) appears herein.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C 1 U P X 037B1B</w:t>
      </w:r>
    </w:p>
    <w:p>
      <w:pPr>
        <w:sectPr>
          <w:pgSz w:w="11900" w:h="16838" w:orient="portrait"/>
          <w:cols w:equalWidth="0" w:num="1">
            <w:col w:w="11000"/>
          </w:cols>
          <w:pgMar w:left="440" w:top="1440" w:right="4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199" w:lineRule="auto"/>
        <w:rPr>
          <w:sz w:val="20"/>
          <w:szCs w:val="20"/>
          <w:color w:val="auto"/>
        </w:rPr>
      </w:pPr>
      <w:r>
        <w:rPr>
          <w:rFonts w:ascii="Arial" w:cs="Arial" w:eastAsia="Arial" w:hAnsi="Arial"/>
          <w:sz w:val="7"/>
          <w:szCs w:val="7"/>
          <w:color w:val="FFFFFF"/>
        </w:rPr>
        <w:t>availableImportantatnoticewww.GHCO.com.regardingthe availabilityIFVOTINGofBYProxyMAIL,materialsSIGN,forDETACHtheAnnualANDMeetingRETURNofShareholdersTHEBOTTOMtobePORTIONheldonMayIN 7,THE2020.ENCLOSEDTheProxy ENVELOPE.StatementandProxytheAnnual—GrahamReportHoldingstoShareholdersCompanyareGraham Holdings Company Class B Common Stock Annual Meeting of Shareholders – May 7, 2020 Proxy Solicited on behalf of the Board of Directors The undersigned hereby appoints Timothy J.</w:t>
      </w:r>
    </w:p>
    <w:p>
      <w:pPr>
        <w:ind w:left="10660"/>
        <w:spacing w:after="0"/>
        <w:rPr>
          <w:sz w:val="20"/>
          <w:szCs w:val="20"/>
          <w:color w:val="auto"/>
        </w:rPr>
      </w:pPr>
      <w:r>
        <w:rPr>
          <w:rFonts w:ascii="Arial" w:cs="Arial" w:eastAsia="Arial" w:hAnsi="Arial"/>
          <w:sz w:val="1"/>
          <w:szCs w:val="1"/>
          <w:color w:val="FFFFFF"/>
        </w:rPr>
        <w:t>onO’Shaughnessy,thereverseof WallacethisProxyR. allCooney,sharesJacobClassM. BMaas,CommonandNicoleStock M.whichMaddrey,theundersignedandeach ofis them,entitledhis/hertovotetrueat andthe Annuallawful agentsMeetingandofproxies, with fullof GRAHAMpowerofsubstitutionHOLDINGS each,COMPANYandto votetobeasheldindicatedon</w:t>
      </w:r>
    </w:p>
    <w:p>
      <w:pPr>
        <w:ind w:right="140"/>
        <w:spacing w:after="0" w:line="189" w:lineRule="auto"/>
        <w:rPr>
          <w:sz w:val="20"/>
          <w:szCs w:val="20"/>
          <w:color w:val="auto"/>
        </w:rPr>
      </w:pPr>
      <w:r>
        <w:rPr>
          <w:rFonts w:ascii="Arial" w:cs="Arial" w:eastAsia="Arial" w:hAnsi="Arial"/>
          <w:sz w:val="10"/>
          <w:szCs w:val="10"/>
          <w:color w:val="FFFFFF"/>
        </w:rPr>
        <w:t>May 7, 2020, and at any adjournment thereof, and to vote on all other matters properly coming before said Meeting. You are encouragedStockholdersspecify your choices by marking the appropriate boxes. SEE REVERSE SIDE, but you need not mark any boxes if you wish to vote in accordance with the Board of Directors’ recommendations. The Proxy Committee cannot vote your shares unless you sign and return this card. Please vote, date and sign this proxy on the other side and return it promptly in the enclosed envelope. (Continued and to be voted on reverse side.) TO CHANGE YOUR VOTE Any subsequent vote by any means will change your prior vote. For example, if you voted by telephone, a subsequent Internet vote will change your vote. The last vote received before 5:00 p.m., Eastern Daylight Saving Time on May 6, 2020 will be the one counted. You may also revoke your proxy by voting in person at the annual meeting.</w:t>
      </w:r>
    </w:p>
    <w:p>
      <w:pPr>
        <w:sectPr>
          <w:pgSz w:w="11900" w:h="16838" w:orient="portrait"/>
          <w:cols w:equalWidth="0" w:num="1">
            <w:col w:w="10980"/>
          </w:cols>
          <w:pgMar w:left="440" w:top="1440" w:right="47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42" w:lineRule="auto"/>
        <w:rPr>
          <w:sz w:val="20"/>
          <w:szCs w:val="20"/>
          <w:color w:val="auto"/>
        </w:rPr>
      </w:pPr>
      <w:r>
        <w:rPr>
          <w:rFonts w:ascii="Arial" w:cs="Arial" w:eastAsia="Arial" w:hAnsi="Arial"/>
          <w:sz w:val="4"/>
          <w:szCs w:val="4"/>
          <w:color w:val="FFFFFF"/>
        </w:rPr>
        <w:t>Using a black ink pen, mark your votes with an X as shown in this example. Please do not write outside the designated areas. 2020 Annual Meeting Proxy Card — Class B Common IF VOTING BY MAIL, SIGN, DETACH AND RETURN THE BOTTOM PORTION IN THE ENCLOSED ENVELOPE. A Election of Directors — The Board of Directors recommends a vote FOR all the A nomineeslisted.ListParagraph;1.ElectionofForWithholdForWithholdForWithhold01-ChristopherC.Davis02-AnneM.Mulcahy03-Larry.ThompsonBAuthorizedSignatures—This</w:t>
      </w:r>
    </w:p>
    <w:p>
      <w:pPr>
        <w:spacing w:after="0" w:line="47" w:lineRule="exact"/>
        <w:rPr>
          <w:sz w:val="20"/>
          <w:szCs w:val="20"/>
          <w:color w:val="auto"/>
        </w:rPr>
      </w:pPr>
    </w:p>
    <w:p>
      <w:pPr>
        <w:ind w:right="80"/>
        <w:spacing w:after="0"/>
        <w:rPr>
          <w:sz w:val="20"/>
          <w:szCs w:val="20"/>
          <w:color w:val="auto"/>
        </w:rPr>
      </w:pPr>
      <w:r>
        <w:rPr>
          <w:rFonts w:ascii="Arial" w:cs="Arial" w:eastAsia="Arial" w:hAnsi="Arial"/>
          <w:sz w:val="10"/>
          <w:szCs w:val="10"/>
          <w:color w:val="FFFFFF"/>
        </w:rPr>
        <w:t>section must be completed for your voteDirectors:count. Please date and sign below. Please sign exactly as name(s) appears herein.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 P X 037B2B</w:t>
      </w:r>
    </w:p>
    <w:p>
      <w:pPr>
        <w:sectPr>
          <w:pgSz w:w="11900" w:h="16838" w:orient="portrait"/>
          <w:cols w:equalWidth="0" w:num="1">
            <w:col w:w="10900"/>
          </w:cols>
          <w:pgMar w:left="440" w:top="1440" w:right="5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199" w:lineRule="auto"/>
        <w:rPr>
          <w:sz w:val="20"/>
          <w:szCs w:val="20"/>
          <w:color w:val="auto"/>
        </w:rPr>
      </w:pPr>
      <w:r>
        <w:rPr>
          <w:rFonts w:ascii="Arial" w:cs="Arial" w:eastAsia="Arial" w:hAnsi="Arial"/>
          <w:sz w:val="7"/>
          <w:szCs w:val="7"/>
          <w:color w:val="FFFFFF"/>
        </w:rPr>
        <w:t>availableImportantatnoticewww.GHCO.com.regardingthe availabilityIFVOTINGofBYProxyMAIL,materialsSIGN,forDETACHtheAnnualANDMeetingRETURNofShareholdersTHEBOTTOMtobePORTIONheldonMayIN 7,THE2020.ENCLOSEDTheProxy ENVELOPE.StatementandProxytheAnnual—GrahamReportHoldingstoShareholdersCompanyareGraham Holdings Company Class B Common Stock Annual Meeting of Shareholders – May 7, 2020 Proxy Solicited on behalf of the Board of Directors The undersigned hereby appoints Timothy J.</w:t>
      </w:r>
    </w:p>
    <w:p>
      <w:pPr>
        <w:ind w:left="10660"/>
        <w:spacing w:after="0"/>
        <w:rPr>
          <w:sz w:val="20"/>
          <w:szCs w:val="20"/>
          <w:color w:val="auto"/>
        </w:rPr>
      </w:pPr>
      <w:r>
        <w:rPr>
          <w:rFonts w:ascii="Arial" w:cs="Arial" w:eastAsia="Arial" w:hAnsi="Arial"/>
          <w:sz w:val="1"/>
          <w:szCs w:val="1"/>
          <w:color w:val="FFFFFF"/>
        </w:rPr>
        <w:t>onO’Shaughnessy,thereverseof WallacethisProxyR. allCooney,sharesJacobClassM. BMaas,CommonandNicoleStock M.whichMaddrey,theundersignedandeach ofis them,entitledhis/hertovotetrueat andthe Annuallawful agentsMeetingandofproxies, with fullof GRAHAMpowerofsubstitutionHOLDINGS each,COMPANYandto votetobeasheldindicatedon</w:t>
      </w:r>
    </w:p>
    <w:p>
      <w:pPr>
        <w:jc w:val="both"/>
        <w:ind w:right="140"/>
        <w:spacing w:after="0" w:line="196" w:lineRule="auto"/>
        <w:rPr>
          <w:sz w:val="20"/>
          <w:szCs w:val="20"/>
          <w:color w:val="auto"/>
        </w:rPr>
      </w:pPr>
      <w:r>
        <w:rPr>
          <w:rFonts w:ascii="Arial" w:cs="Arial" w:eastAsia="Arial" w:hAnsi="Arial"/>
          <w:sz w:val="10"/>
          <w:szCs w:val="10"/>
          <w:color w:val="FFFFFF"/>
        </w:rPr>
        <w:t>May 7, 2020, and at any adjournment thereof, and to vote on all other matters properly coming before said Meeting. You are encouragedStockholdersspecify your choices by marking the appropriate boxes. SEE REVERSE SIDE, but you need not mark any boxes if you wish to vote in accordance with the Board of Directors’ recommendations. The Proxy Committee cannot vote your shares unless you sign and return this card. Please vote, date and sign this proxy on the other side and return it promptly in the enclosed envelope. (Continued and to be voted on reverse side.)</w:t>
      </w:r>
    </w:p>
    <w:p>
      <w:pPr>
        <w:sectPr>
          <w:pgSz w:w="11900" w:h="16838" w:orient="portrait"/>
          <w:cols w:equalWidth="0" w:num="1">
            <w:col w:w="10980"/>
          </w:cols>
          <w:pgMar w:left="440" w:top="1440" w:right="47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3300" w:val="left"/>
        </w:tabs>
        <w:rPr>
          <w:sz w:val="20"/>
          <w:szCs w:val="20"/>
          <w:color w:val="auto"/>
        </w:rPr>
      </w:pPr>
      <w:r>
        <w:rPr>
          <w:rFonts w:ascii="Arial" w:cs="Arial" w:eastAsia="Arial" w:hAnsi="Arial"/>
          <w:sz w:val="13"/>
          <w:szCs w:val="13"/>
          <w:color w:val="FFFFFF"/>
        </w:rPr>
        <w:t>Your vote matters – here’s how to vote! You may vote</w:t>
      </w:r>
      <w:r>
        <w:rPr>
          <w:sz w:val="20"/>
          <w:szCs w:val="20"/>
          <w:color w:val="auto"/>
        </w:rPr>
        <w:tab/>
      </w:r>
      <w:r>
        <w:rPr>
          <w:rFonts w:ascii="Arial" w:cs="Arial" w:eastAsia="Arial" w:hAnsi="Arial"/>
          <w:sz w:val="12"/>
          <w:szCs w:val="12"/>
          <w:color w:val="FFFFFF"/>
        </w:rPr>
        <w:t>or by phone instead of mailing this card. Voting directions submitted by Internet or telephone must be received by 11:00 p.m., Eastern</w:t>
      </w:r>
    </w:p>
    <w:p>
      <w:pPr>
        <w:spacing w:after="0" w:line="183" w:lineRule="auto"/>
        <w:rPr>
          <w:sz w:val="20"/>
          <w:szCs w:val="20"/>
          <w:color w:val="auto"/>
        </w:rPr>
      </w:pPr>
      <w:r>
        <w:rPr>
          <w:rFonts w:ascii="Arial" w:cs="Arial" w:eastAsia="Arial" w:hAnsi="Arial"/>
          <w:sz w:val="7"/>
          <w:szCs w:val="7"/>
          <w:color w:val="FFFFFF"/>
        </w:rPr>
        <w:t>Daylight Saving Time, on May 4, 2020 for participantsonlinethe 401(k) savings plans listed on the reverse side of the proxy card with Graham Holdings Company common stock allocated to his or her savings plan account(s). Online Go to www.investorvote.com or scan the QR code — login details are located in the shaded bar below. Phone Call toll free 1-800-652-VOTE (8683) within the USA, US territories and Canada. Using a black ink pen, mark your votes with an X as shown in this example. Please do not write outside the designated areas. 2020 Annual Meeting Proxy Voting Direction Card IF VOTING BY MAIL, SIGN, DETACH AND RETURN THE BOTTOM PORTION IN THE ENCLOSED ENVELOPE. A Proposals — The Board of Directors Recommends</w:t>
      </w:r>
      <w:r>
        <w:rPr>
          <w:rFonts w:ascii="Arial" w:cs="Arial" w:eastAsia="Arial" w:hAnsi="Arial"/>
          <w:sz w:val="9"/>
          <w:szCs w:val="9"/>
          <w:color w:val="FFFFFF"/>
          <w:vertAlign w:val="subscript"/>
        </w:rPr>
        <w:t>Change</w:t>
      </w:r>
      <w:r>
        <w:rPr>
          <w:rFonts w:ascii="Arial" w:cs="Arial" w:eastAsia="Arial" w:hAnsi="Arial"/>
          <w:sz w:val="7"/>
          <w:szCs w:val="7"/>
          <w:color w:val="FFFFFF"/>
        </w:rPr>
        <w:t>vote</w:t>
      </w:r>
      <w:r>
        <w:rPr>
          <w:rFonts w:ascii="Arial" w:cs="Arial" w:eastAsia="Arial" w:hAnsi="Arial"/>
          <w:sz w:val="9"/>
          <w:szCs w:val="9"/>
          <w:color w:val="FFFFFF"/>
          <w:vertAlign w:val="subscript"/>
        </w:rPr>
        <w:t>Address</w:t>
      </w:r>
      <w:r>
        <w:rPr>
          <w:rFonts w:ascii="Arial" w:cs="Arial" w:eastAsia="Arial" w:hAnsi="Arial"/>
          <w:sz w:val="7"/>
          <w:szCs w:val="7"/>
          <w:color w:val="FFFFFF"/>
        </w:rPr>
        <w:t>FOR all nominees</w:t>
      </w:r>
    </w:p>
    <w:p>
      <w:pPr>
        <w:spacing w:after="0" w:line="1" w:lineRule="exact"/>
        <w:rPr>
          <w:sz w:val="20"/>
          <w:szCs w:val="20"/>
          <w:color w:val="auto"/>
        </w:rPr>
      </w:pPr>
    </w:p>
    <w:p>
      <w:pPr>
        <w:ind w:right="100"/>
        <w:spacing w:after="0" w:line="186" w:lineRule="auto"/>
        <w:rPr>
          <w:sz w:val="20"/>
          <w:szCs w:val="20"/>
          <w:color w:val="auto"/>
        </w:rPr>
      </w:pPr>
      <w:r>
        <w:rPr>
          <w:rFonts w:ascii="Arial" w:cs="Arial" w:eastAsia="Arial" w:hAnsi="Arial"/>
          <w:sz w:val="9"/>
          <w:szCs w:val="9"/>
          <w:color w:val="FFFFFF"/>
        </w:rPr>
        <w:t>listed. 1. Election of Directors: For Withhold For Withhold For Withhold 01 - Christopher C. Davis 02 - Anne M. Mulcahy 03 - Larry D. Thompson B Non-Voting Items of — Please print new address below. Comments — Please print your comments below. Meeting Attendance Mark box to the right if you plan to attend the Annual Meeting. C Authorized Signatures — This section must be completed for your vote to be counted — Date and Sign Below Please sign exactly as name(s) appears herein.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 P X 037B3B</w:t>
      </w:r>
    </w:p>
    <w:p>
      <w:pPr>
        <w:sectPr>
          <w:pgSz w:w="11900" w:h="16838" w:orient="portrait"/>
          <w:cols w:equalWidth="0" w:num="1">
            <w:col w:w="10960"/>
          </w:cols>
          <w:pgMar w:left="440" w:top="1440" w:right="49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20"/>
                <w:szCs w:val="20"/>
                <w:color w:val="auto"/>
              </w:rPr>
            </w:pPr>
            <w:r>
              <w:rPr>
                <w:rFonts w:ascii="Arial" w:cs="Arial" w:eastAsia="Arial" w:hAnsi="Arial"/>
                <w:sz w:val="13"/>
                <w:szCs w:val="13"/>
                <w:color w:val="FFFFFF"/>
              </w:rPr>
              <w:t>IF VOTING BY MAIL, SIGN, DETACH AND</w:t>
            </w:r>
          </w:p>
        </w:tc>
        <w:tc>
          <w:tcPr>
            <w:tcW w:w="7940" w:type="dxa"/>
            <w:vAlign w:val="bottom"/>
          </w:tcPr>
          <w:p>
            <w:pPr>
              <w:ind w:left="100"/>
              <w:spacing w:after="0"/>
              <w:rPr>
                <w:sz w:val="20"/>
                <w:szCs w:val="20"/>
                <w:color w:val="auto"/>
              </w:rPr>
            </w:pPr>
            <w:r>
              <w:rPr>
                <w:rFonts w:ascii="Arial" w:cs="Arial" w:eastAsia="Arial" w:hAnsi="Arial"/>
                <w:sz w:val="13"/>
                <w:szCs w:val="13"/>
                <w:color w:val="FFFFFF"/>
                <w:w w:val="99"/>
              </w:rPr>
              <w:t>THE BOTTOM PORTION IN THE ENCLOSED ENVELOPE. Proxy — Graham Holdings Company Proxy Voting Direction Card For 2020</w:t>
            </w:r>
          </w:p>
        </w:tc>
      </w:tr>
      <w:tr>
        <w:trPr>
          <w:trHeight w:val="40"/>
        </w:trPr>
        <w:tc>
          <w:tcPr>
            <w:tcW w:w="11020" w:type="dxa"/>
            <w:vAlign w:val="bottom"/>
            <w:gridSpan w:val="2"/>
          </w:tcPr>
          <w:p>
            <w:pPr>
              <w:spacing w:after="0" w:line="41" w:lineRule="exact"/>
              <w:rPr>
                <w:sz w:val="20"/>
                <w:szCs w:val="20"/>
                <w:color w:val="auto"/>
              </w:rPr>
            </w:pPr>
            <w:r>
              <w:rPr>
                <w:rFonts w:ascii="Arial" w:cs="Arial" w:eastAsia="Arial" w:hAnsi="Arial"/>
                <w:sz w:val="4"/>
                <w:szCs w:val="4"/>
                <w:color w:val="FFFFFF"/>
              </w:rPr>
              <w:t>Annual Meeting of Stockholders Vanguard FiduciaryRETURNrust Company (Vanguard), as Trustee of the Savings Plan for Graham Holdings Company (formerly the Washington Post Tax Deferral and Savings</w:t>
            </w:r>
          </w:p>
        </w:tc>
      </w:tr>
      <w:tr>
        <w:trPr>
          <w:trHeight w:val="41"/>
        </w:trPr>
        <w:tc>
          <w:tcPr>
            <w:tcW w:w="11020" w:type="dxa"/>
            <w:vAlign w:val="bottom"/>
            <w:gridSpan w:val="2"/>
          </w:tcPr>
          <w:p>
            <w:pPr>
              <w:spacing w:after="0" w:line="41" w:lineRule="exact"/>
              <w:rPr>
                <w:sz w:val="20"/>
                <w:szCs w:val="20"/>
                <w:color w:val="auto"/>
              </w:rPr>
            </w:pPr>
            <w:r>
              <w:rPr>
                <w:rFonts w:ascii="Arial" w:cs="Arial" w:eastAsia="Arial" w:hAnsi="Arial"/>
                <w:sz w:val="4"/>
                <w:szCs w:val="4"/>
                <w:color w:val="FFFFFF"/>
              </w:rPr>
              <w:t>Plan), the Kaplan, Inc. Tax Deferred Savings Plan for Salaried Employees, and the Kaplan, Inc. Tax Deferred Savings Plan for Hourly Employees (collectively, the “Plans”) is directed to vote the shares of</w:t>
            </w:r>
          </w:p>
        </w:tc>
      </w:tr>
      <w:tr>
        <w:trPr>
          <w:trHeight w:val="0"/>
        </w:trPr>
        <w:tc>
          <w:tcPr>
            <w:tcW w:w="3080" w:type="dxa"/>
            <w:vAlign w:val="bottom"/>
          </w:tcPr>
          <w:p>
            <w:pPr>
              <w:spacing w:after="0" w:line="80" w:lineRule="exact"/>
              <w:rPr>
                <w:sz w:val="20"/>
                <w:szCs w:val="20"/>
                <w:color w:val="auto"/>
              </w:rPr>
            </w:pPr>
            <w:r>
              <w:rPr>
                <w:rFonts w:ascii="Arial" w:cs="Arial" w:eastAsia="Arial" w:hAnsi="Arial"/>
                <w:sz w:val="9"/>
                <w:szCs w:val="9"/>
                <w:color w:val="FFFFFF"/>
              </w:rPr>
              <w:t>Graham Holdings Company (Company) common stock</w:t>
            </w:r>
          </w:p>
        </w:tc>
        <w:tc>
          <w:tcPr>
            <w:tcW w:w="7940" w:type="dxa"/>
            <w:vAlign w:val="bottom"/>
          </w:tcPr>
          <w:p>
            <w:pPr>
              <w:ind w:left="460"/>
              <w:spacing w:after="0" w:line="80" w:lineRule="exact"/>
              <w:rPr>
                <w:sz w:val="20"/>
                <w:szCs w:val="20"/>
                <w:color w:val="auto"/>
              </w:rPr>
            </w:pPr>
            <w:r>
              <w:rPr>
                <w:rFonts w:ascii="Arial" w:cs="Arial" w:eastAsia="Arial" w:hAnsi="Arial"/>
                <w:sz w:val="9"/>
                <w:szCs w:val="9"/>
                <w:color w:val="FFFFFF"/>
              </w:rPr>
              <w:t>to my account(s) in the Plan(s) listed above in which I participate, at the Annual Meeting of Shareholders of the Company to be held on</w:t>
            </w:r>
          </w:p>
        </w:tc>
      </w:tr>
    </w:tbl>
    <w:p>
      <w:pPr>
        <w:spacing w:after="0" w:line="25" w:lineRule="auto"/>
        <w:rPr>
          <w:sz w:val="20"/>
          <w:szCs w:val="20"/>
          <w:color w:val="auto"/>
        </w:rPr>
      </w:pPr>
      <w:r>
        <w:rPr>
          <w:rFonts w:ascii="Arial" w:cs="Arial" w:eastAsia="Arial" w:hAnsi="Arial"/>
          <w:sz w:val="1"/>
          <w:szCs w:val="1"/>
          <w:color w:val="FFFFFF"/>
        </w:rPr>
        <w:t xml:space="preserve">May 7, 2020, with respect to the election </w:t>
      </w:r>
      <w:r>
        <w:rPr>
          <w:rFonts w:ascii="Arial" w:cs="Arial" w:eastAsia="Arial" w:hAnsi="Arial"/>
          <w:sz w:val="1"/>
          <w:szCs w:val="1"/>
          <w:color w:val="FFFFFF"/>
          <w:vertAlign w:val="superscript"/>
        </w:rPr>
        <w:t>card</w:t>
      </w:r>
      <w:r>
        <w:rPr>
          <w:rFonts w:ascii="Arial" w:cs="Arial" w:eastAsia="Arial" w:hAnsi="Arial"/>
          <w:sz w:val="1"/>
          <w:szCs w:val="1"/>
          <w:color w:val="FFFFFF"/>
        </w:rPr>
        <w:t>ofirectors andallocatedanyadjournments or postponements. Vanguard will vote in accordance with the directions indicated on this card. If no voting direction is</w:t>
      </w:r>
    </w:p>
    <w:p>
      <w:pPr>
        <w:ind w:right="40"/>
        <w:spacing w:after="0"/>
        <w:rPr>
          <w:sz w:val="20"/>
          <w:szCs w:val="20"/>
          <w:color w:val="auto"/>
        </w:rPr>
      </w:pPr>
      <w:r>
        <w:rPr>
          <w:rFonts w:ascii="Arial" w:cs="Arial" w:eastAsia="Arial" w:hAnsi="Arial"/>
          <w:sz w:val="6"/>
          <w:szCs w:val="6"/>
          <w:color w:val="FFFFFF"/>
        </w:rPr>
        <w:t>received or if this proxy voting direction is returned unsigned, the shares allocated to my account(s) will be voted by Vanguard in proportion to those shares allocated to accounts of participants for which</w:t>
      </w:r>
      <w:r>
        <w:rPr>
          <w:rFonts w:ascii="Arial" w:cs="Arial" w:eastAsia="Arial" w:hAnsi="Arial"/>
          <w:sz w:val="7"/>
          <w:szCs w:val="7"/>
          <w:color w:val="FFFFFF"/>
          <w:vertAlign w:val="subscript"/>
        </w:rPr>
        <w:t>enclosed</w:t>
      </w:r>
      <w:r>
        <w:rPr>
          <w:rFonts w:ascii="Arial" w:cs="Arial" w:eastAsia="Arial" w:hAnsi="Arial"/>
          <w:sz w:val="6"/>
          <w:szCs w:val="6"/>
          <w:color w:val="FFFFFF"/>
        </w:rPr>
        <w:t>timly directions were received, unless contrary to the Employee Retirement Income Security Act (ERISA). Plan Participants are requested to mark, date and sign this card and return it promptly in</w:t>
      </w:r>
    </w:p>
    <w:p>
      <w:pPr>
        <w:spacing w:after="0" w:line="1" w:lineRule="exact"/>
        <w:rPr>
          <w:sz w:val="20"/>
          <w:szCs w:val="20"/>
          <w:color w:val="auto"/>
        </w:rPr>
      </w:pPr>
    </w:p>
    <w:p>
      <w:pPr>
        <w:ind w:right="300"/>
        <w:spacing w:after="0" w:line="209" w:lineRule="auto"/>
        <w:rPr>
          <w:sz w:val="20"/>
          <w:szCs w:val="20"/>
          <w:color w:val="auto"/>
        </w:rPr>
      </w:pPr>
      <w:r>
        <w:rPr>
          <w:rFonts w:ascii="Arial" w:cs="Arial" w:eastAsia="Arial" w:hAnsi="Arial"/>
          <w:sz w:val="12"/>
          <w:szCs w:val="12"/>
          <w:color w:val="FFFFFF"/>
        </w:rPr>
        <w:t>the envelope. Please note that for Plan Participants, voting direction must be received no later than 11:00 pm Eastern Daylight Saving Time, on May 4, 2020, which is earlier than the time at which votes must be received for shares held outside of the Plans. To vote by Internet or telephone, see instructions on the reverse side. This proxy is solicited on behalf of the Company’s Board of Directors.</w:t>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2)"/>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upperLetter"/>
      <w:start w:val="1"/>
    </w:lvl>
  </w:abstractNum>
  <w:abstractNum w:abstractNumId="7">
    <w:nsid w:val="2901D82"/>
    <w:multiLevelType w:val="hybridMultilevel"/>
    <w:lvl w:ilvl="0">
      <w:lvlJc w:val="left"/>
      <w:lvlText w:val="%1:"/>
      <w:numFmt w:val="upperLetter"/>
      <w:start w:val="1"/>
    </w:lvl>
  </w:abstractNum>
  <w:abstractNum w:abstractNumId="8">
    <w:nsid w:val="3A95F874"/>
    <w:multiLevelType w:val="hybridMultilevel"/>
    <w:lvl w:ilvl="0">
      <w:lvlJc w:val="left"/>
      <w:lvlText w:val="%1:"/>
      <w:numFmt w:val="upperLetter"/>
      <w:start w:val="1"/>
    </w:lvl>
  </w:abstractNum>
  <w:abstractNum w:abstractNumId="9">
    <w:nsid w:val="8138641"/>
    <w:multiLevelType w:val="hybridMultilevel"/>
    <w:lvl w:ilvl="0">
      <w:lvlJc w:val="left"/>
      <w:lvlText w:val="%1:"/>
      <w:numFmt w:val="upperLetter"/>
      <w:start w:val="1"/>
    </w:lvl>
  </w:abstractNum>
  <w:abstractNum w:abstractNumId="10">
    <w:nsid w:val="1E7FF521"/>
    <w:multiLevelType w:val="hybridMultilevel"/>
    <w:lvl w:ilvl="0">
      <w:lvlJc w:val="left"/>
      <w:lvlText w:val="%1:"/>
      <w:numFmt w:val="upperLetter"/>
      <w:start w:val="17"/>
    </w:lvl>
  </w:abstractNum>
  <w:abstractNum w:abstractNumId="11">
    <w:nsid w:val="7C3DBD3D"/>
    <w:multiLevelType w:val="hybridMultilevel"/>
    <w:lvl w:ilvl="0">
      <w:lvlJc w:val="left"/>
      <w:lvlText w:val="%1:"/>
      <w:numFmt w:val="upperLetter"/>
      <w:start w:val="1"/>
    </w:lvl>
    <w:lvl w:ilvl="1">
      <w:lvlJc w:val="left"/>
      <w:lvlText w:val="•"/>
      <w:numFmt w:val="bullet"/>
      <w:start w:val="1"/>
    </w:lvl>
  </w:abstractNum>
  <w:abstractNum w:abstractNumId="12">
    <w:nsid w:val="737B8DDC"/>
    <w:multiLevelType w:val="hybridMultilevel"/>
    <w:lvl w:ilvl="0">
      <w:lvlJc w:val="left"/>
      <w:lvlText w:val="%1:"/>
      <w:numFmt w:val="upperLetter"/>
      <w:start w:val="1"/>
    </w:lvl>
  </w:abstractNum>
  <w:abstractNum w:abstractNumId="13">
    <w:nsid w:val="6CEAF087"/>
    <w:multiLevelType w:val="hybridMultilevel"/>
    <w:lvl w:ilvl="0">
      <w:lvlJc w:val="left"/>
      <w:lvlText w:val="%1:"/>
      <w:numFmt w:val="upperLetter"/>
      <w:start w:val="1"/>
    </w:lvl>
  </w:abstractNum>
  <w:abstractNum w:abstractNumId="14">
    <w:nsid w:val="22221A70"/>
    <w:multiLevelType w:val="hybridMultilevel"/>
    <w:lvl w:ilvl="0">
      <w:lvlJc w:val="left"/>
      <w:lvlText w:val="%1:"/>
      <w:numFmt w:val="upperLetter"/>
      <w:start w:val="17"/>
    </w:lvl>
  </w:abstractNum>
  <w:abstractNum w:abstractNumId="15">
    <w:nsid w:val="4516DDE9"/>
    <w:multiLevelType w:val="hybridMultilevel"/>
    <w:lvl w:ilvl="0">
      <w:lvlJc w:val="left"/>
      <w:lvlText w:val="%1:"/>
      <w:numFmt w:val="upperLetter"/>
      <w:start w:val="1"/>
    </w:lvl>
    <w:lvl w:ilvl="1">
      <w:lvlJc w:val="left"/>
      <w:lvlText w:val="•"/>
      <w:numFmt w:val="bullet"/>
      <w:start w:val="1"/>
    </w:lvl>
  </w:abstractNum>
  <w:abstractNum w:abstractNumId="16">
    <w:nsid w:val="3006C83E"/>
    <w:multiLevelType w:val="hybridMultilevel"/>
    <w:lvl w:ilvl="0">
      <w:lvlJc w:val="left"/>
      <w:lvlText w:val="%1:"/>
      <w:numFmt w:val="upperLetter"/>
      <w:start w:val="1"/>
    </w:lvl>
  </w:abstractNum>
  <w:abstractNum w:abstractNumId="17">
    <w:nsid w:val="614FD4A1"/>
    <w:multiLevelType w:val="hybridMultilevel"/>
    <w:lvl w:ilvl="0">
      <w:lvlJc w:val="left"/>
      <w:lvlText w:val="%1:"/>
      <w:numFmt w:val="upperLetter"/>
      <w:start w:val="1"/>
    </w:lvl>
  </w:abstractNum>
  <w:abstractNum w:abstractNumId="18">
    <w:nsid w:val="419AC241"/>
    <w:multiLevelType w:val="hybridMultilevel"/>
    <w:lvl w:ilvl="0">
      <w:lvlJc w:val="left"/>
      <w:lvlText w:val="%1:"/>
      <w:numFmt w:val="upperLetter"/>
      <w:start w:val="1"/>
    </w:lvl>
    <w:lvl w:ilvl="1">
      <w:lvlJc w:val="left"/>
      <w:lvlText w:val="•"/>
      <w:numFmt w:val="bullet"/>
      <w:start w:val="1"/>
    </w:lvl>
  </w:abstractNum>
  <w:abstractNum w:abstractNumId="19">
    <w:nsid w:val="5577F8E1"/>
    <w:multiLevelType w:val="hybridMultilevel"/>
    <w:lvl w:ilvl="0">
      <w:lvlJc w:val="left"/>
      <w:lvlText w:val="%1:"/>
      <w:numFmt w:val="upperLetter"/>
      <w:start w:val="17"/>
    </w:lvl>
  </w:abstractNum>
  <w:abstractNum w:abstractNumId="20">
    <w:nsid w:val="440BADFC"/>
    <w:multiLevelType w:val="hybridMultilevel"/>
    <w:lvl w:ilvl="0">
      <w:lvlJc w:val="left"/>
      <w:lvlText w:val="%1:"/>
      <w:numFmt w:val="upperLetter"/>
      <w:start w:val="1"/>
    </w:lvl>
  </w:abstractNum>
  <w:abstractNum w:abstractNumId="21">
    <w:nsid w:val="5072367"/>
    <w:multiLevelType w:val="hybridMultilevel"/>
    <w:lvl w:ilvl="0">
      <w:lvlJc w:val="left"/>
      <w:lvlText w:val="%1:"/>
      <w:numFmt w:val="upperLetter"/>
      <w:start w:val="1"/>
    </w:lvl>
  </w:abstractNum>
  <w:abstractNum w:abstractNumId="22">
    <w:nsid w:val="3804823E"/>
    <w:multiLevelType w:val="hybridMultilevel"/>
    <w:lvl w:ilvl="0">
      <w:lvlJc w:val="left"/>
      <w:lvlText w:val="%1:"/>
      <w:numFmt w:val="upperLetter"/>
      <w:start w:val="1"/>
    </w:lvl>
  </w:abstractNum>
  <w:abstractNum w:abstractNumId="23">
    <w:nsid w:val="77465F01"/>
    <w:multiLevelType w:val="hybridMultilevel"/>
    <w:lvl w:ilvl="0">
      <w:lvlJc w:val="left"/>
      <w:lvlText w:val="%1:"/>
      <w:numFmt w:val="upperLetter"/>
      <w:start w:val="1"/>
    </w:lvl>
    <w:lvl w:ilvl="1">
      <w:lvlJc w:val="left"/>
      <w:lvlText w:val="•"/>
      <w:numFmt w:val="bullet"/>
      <w:start w:val="1"/>
    </w:lvl>
  </w:abstractNum>
  <w:abstractNum w:abstractNumId="24">
    <w:nsid w:val="7724C67E"/>
    <w:multiLevelType w:val="hybridMultilevel"/>
    <w:lvl w:ilvl="0">
      <w:lvlJc w:val="left"/>
      <w:lvlText w:val="%1:"/>
      <w:numFmt w:val="upperLetter"/>
      <w:start w:val="17"/>
    </w:lvl>
  </w:abstractNum>
  <w:abstractNum w:abstractNumId="25">
    <w:nsid w:val="5C482A97"/>
    <w:multiLevelType w:val="hybridMultilevel"/>
    <w:lvl w:ilvl="0">
      <w:lvlJc w:val="left"/>
      <w:lvlText w:val="%1:"/>
      <w:numFmt w:val="upperLetter"/>
      <w:start w:val="1"/>
    </w:lvl>
  </w:abstractNum>
  <w:abstractNum w:abstractNumId="26">
    <w:nsid w:val="2463B9EA"/>
    <w:multiLevelType w:val="hybridMultilevel"/>
    <w:lvl w:ilvl="0">
      <w:lvlJc w:val="left"/>
      <w:lvlText w:val="%1:"/>
      <w:numFmt w:val="upperLetter"/>
      <w:start w:val="1"/>
    </w:lvl>
  </w:abstractNum>
  <w:abstractNum w:abstractNumId="27">
    <w:nsid w:val="5E884ADC"/>
    <w:multiLevelType w:val="hybridMultilevel"/>
    <w:lvl w:ilvl="0">
      <w:lvlJc w:val="left"/>
      <w:lvlText w:val="(%1)"/>
      <w:numFmt w:val="lowerRoman"/>
      <w:start w:val="7"/>
    </w:lvl>
  </w:abstractNum>
  <w:abstractNum w:abstractNumId="28">
    <w:nsid w:val="51EAD36B"/>
    <w:multiLevelType w:val="hybridMultilevel"/>
    <w:lvl w:ilvl="0">
      <w:lvlJc w:val="left"/>
      <w:lvlText w:val="(%1)"/>
      <w:numFmt w:val="lowerRoman"/>
      <w:start w:val="4"/>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6"/>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Roman"/>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5"/>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3"/>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2"/>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2020-03-26T11:38:26Z</dcterms:created>
  <dcterms:modified xsi:type="dcterms:W3CDTF">2020-03-26T11:38:26Z</dcterms:modified>
</cp:coreProperties>
</file>