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GRAHAM DONALD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Graham Holdings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GRAHAM HOLDINGS COMPANY</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06/30/2012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1300 NORTH 17TH STREET</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9"/>
            <w:vMerge w:val="continue"/>
          </w:tcPr>
          <w:p>
            <w:pPr>
              <w:spacing w:after="0"/>
              <w:rPr>
                <w:sz w:val="7"/>
                <w:szCs w:val="7"/>
                <w:color w:val="auto"/>
              </w:rPr>
            </w:pPr>
          </w:p>
        </w:tc>
        <w:tc>
          <w:tcPr>
            <w:tcW w:w="160" w:type="dxa"/>
            <w:vAlign w:val="bottom"/>
          </w:tcPr>
          <w:p>
            <w:pPr>
              <w:spacing w:after="0"/>
              <w:rPr>
                <w:sz w:val="7"/>
                <w:szCs w:val="7"/>
                <w:color w:val="auto"/>
              </w:rPr>
            </w:pPr>
          </w:p>
        </w:tc>
        <w:tc>
          <w:tcPr>
            <w:tcW w:w="34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0" w:type="dxa"/>
            <w:vAlign w:val="bottom"/>
            <w:gridSpan w:val="5"/>
            <w:vMerge w:val="restart"/>
          </w:tcPr>
          <w:p>
            <w:pPr>
              <w:ind w:left="160"/>
              <w:spacing w:after="0" w:line="189" w:lineRule="exact"/>
              <w:rPr>
                <w:sz w:val="20"/>
                <w:szCs w:val="20"/>
                <w:color w:val="auto"/>
              </w:rPr>
            </w:pPr>
            <w:r>
              <w:rPr>
                <w:rFonts w:ascii="Arial" w:cs="Arial" w:eastAsia="Arial" w:hAnsi="Arial"/>
                <w:sz w:val="18"/>
                <w:szCs w:val="18"/>
                <w:color w:val="0000FF"/>
              </w:rPr>
              <w:t>08/17/2015</w:t>
            </w: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gridSpan w:val="6"/>
          </w:tcPr>
          <w:p>
            <w:pPr>
              <w:ind w:left="60"/>
              <w:spacing w:after="0" w:line="189"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ARLINGTON   VA</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22209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20"/>
          </w:tcPr>
          <w:p>
            <w:pPr>
              <w:jc w:val="center"/>
              <w:ind w:right="2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860" w:type="dxa"/>
            <w:vAlign w:val="bottom"/>
            <w:gridSpan w:val="5"/>
            <w:vMerge w:val="restart"/>
          </w:tcPr>
          <w:p>
            <w:pPr>
              <w:ind w:left="900"/>
              <w:spacing w:after="0"/>
              <w:rPr>
                <w:sz w:val="20"/>
                <w:szCs w:val="20"/>
                <w:color w:val="auto"/>
              </w:rPr>
            </w:pPr>
            <w:r>
              <w:rPr>
                <w:rFonts w:ascii="Arial" w:cs="Arial" w:eastAsia="Arial" w:hAnsi="Arial"/>
                <w:sz w:val="18"/>
                <w:szCs w:val="18"/>
                <w:color w:val="0000FF"/>
              </w:rPr>
              <w:t>06/30/2012</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560" w:type="dxa"/>
            <w:vAlign w:val="bottom"/>
            <w:vMerge w:val="restart"/>
          </w:tcPr>
          <w:p>
            <w:pPr>
              <w:ind w:left="300"/>
              <w:spacing w:after="0"/>
              <w:rPr>
                <w:sz w:val="20"/>
                <w:szCs w:val="20"/>
                <w:color w:val="auto"/>
              </w:rPr>
            </w:pPr>
            <w:r>
              <w:rPr>
                <w:rFonts w:ascii="Arial" w:cs="Arial" w:eastAsia="Arial" w:hAnsi="Arial"/>
                <w:sz w:val="18"/>
                <w:szCs w:val="18"/>
                <w:color w:val="0000FF"/>
              </w:rPr>
              <w:t>66</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4"/>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80" w:type="dxa"/>
            <w:vAlign w:val="bottom"/>
          </w:tcPr>
          <w:p>
            <w:pPr>
              <w:spacing w:after="0"/>
              <w:rPr>
                <w:sz w:val="22"/>
                <w:szCs w:val="22"/>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0000FF"/>
              </w:rPr>
              <w:t>66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gridSpan w:val="4"/>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860" w:type="dxa"/>
            <w:vAlign w:val="bottom"/>
            <w:tcBorders>
              <w:top w:val="single" w:sz="8" w:color="2C2C2C"/>
            </w:tcBorders>
            <w:gridSpan w:val="19"/>
          </w:tcPr>
          <w:p>
            <w:pPr>
              <w:jc w:val="center"/>
              <w:ind w:left="3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acquired beneficial ownership of the reported securities upon his marriage to the owner of the reported securities on June 30, 2012. The reporting person disclaims beneficial ownership of the reported securities.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Nicole M. Maddrey for</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02/22/2016</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Donald E. Graham</w:t>
            </w:r>
          </w:p>
        </w:tc>
        <w:tc>
          <w:tcPr>
            <w:tcW w:w="78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2019-12-23T21:37:13Z</dcterms:created>
  <dcterms:modified xsi:type="dcterms:W3CDTF">2019-12-23T21:37:13Z</dcterms:modified>
</cp:coreProperties>
</file>