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Maas, Jacob</w:t>
              </w:r>
            </w:hyperlink>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Graham Holdings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20" w:type="dxa"/>
            <w:vAlign w:val="bottom"/>
            <w:tcBorders>
              <w:top w:val="single" w:sz="8" w:color="0000EE"/>
            </w:tcBorders>
          </w:tcPr>
          <w:p>
            <w:pPr>
              <w:spacing w:after="0"/>
              <w:rPr>
                <w:sz w:val="5"/>
                <w:szCs w:val="5"/>
                <w:color w:val="auto"/>
              </w:rPr>
            </w:pPr>
          </w:p>
        </w:tc>
        <w:tc>
          <w:tcPr>
            <w:tcW w:w="1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60" w:type="dxa"/>
            <w:vAlign w:val="bottom"/>
            <w:tcBorders>
              <w:top w:val="single" w:sz="8" w:color="0000EE"/>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6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(Last)</w:t>
            </w:r>
          </w:p>
        </w:tc>
        <w:tc>
          <w:tcPr>
            <w:tcW w:w="860" w:type="dxa"/>
            <w:vAlign w:val="bottom"/>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GRAHAM HOLDINGS COMPANY</w:t>
            </w: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01/27/2025</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1812 NORTH MOORE STREET, SUITE 2100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Executive VP</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ARLINGTON   VA</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22209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r>
              <w:rPr>
                <w:rFonts w:ascii="Times New Roman" w:cs="Times New Roman" w:eastAsia="Times New Roman" w:hAnsi="Times New Roman"/>
                <w:sz w:val="22"/>
                <w:szCs w:val="22"/>
                <w:color w:val="008000"/>
                <w:vertAlign w:val="superscript"/>
              </w:rPr>
              <w:t>(1)</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01/27/2025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(2)</w:t>
            </w:r>
          </w:p>
        </w:tc>
        <w:tc>
          <w:tcPr>
            <w:tcW w:w="76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1,000</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right="12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(3)</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5,725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01/27/2025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438</w:t>
            </w:r>
            <w:r>
              <w:rPr>
                <w:rFonts w:ascii="Times New Roman" w:cs="Times New Roman" w:eastAsia="Times New Roman" w:hAnsi="Times New Roman"/>
                <w:sz w:val="11"/>
                <w:szCs w:val="11"/>
                <w:color w:val="008000"/>
              </w:rPr>
              <w:t>(4)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918.26</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5,287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19, 2022, the reporting person received a restricted stock unit award (Award) with price-based vesting conditions. The terms of the Award provide that 1,000 shares vest if the issuer's Class B Common Stock's closing price meets or exceeds $700 for 90 consecutive calendar days on or before December 31, 2027, with an additional 1,000 shares vesting following each additional incremental increase of $100 in the closing price of the issuer's Class B Common Stock maintained for 90 consecutive days on or before December 31, 2027. On November 5, 2024, the first 1,000 shares vested following achievement of the first stock price goal. On January 27, 2025, the second 1,000 shares vested following achievement of the second stock price goal.</w:t>
      </w:r>
    </w:p>
    <w:p>
      <w:pPr>
        <w:spacing w:after="0" w:line="24" w:lineRule="exact"/>
        <w:rPr>
          <w:rFonts w:ascii="Times New Roman" w:cs="Times New Roman" w:eastAsia="Times New Roman" w:hAnsi="Times New Roman"/>
          <w:sz w:val="13"/>
          <w:szCs w:val="13"/>
          <w:color w:val="008000"/>
        </w:rPr>
      </w:pPr>
    </w:p>
    <w:p>
      <w:pPr>
        <w:jc w:val="both"/>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third tranche of the Award, which will vest if the closing price of the issuer's Class B Common Stock exceeds $900 for 90 consecutive calendar days on or before December 31, 2027. As noted above, if such price-based vesting condition is satisfied, the reporting person is eligible for vesting of additional 1,000 share increments of Class B Common Stock for each additional $100 increase in the closing price of the issuer's Class B Common Stock maintained for 90 consecutive days on or before December 31, 2027 (e.g., if the closing price of the issuer's Class B Common Stock exceeds $1,000 for 90 consecutive calendar days, then 1,000 additional shares of Class B Common stock will vest).</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N/A</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withholding of Class B shares for the tax liability associated with the vesting and settlement of the restricted stock unit award referred to in footnote 1 above.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Nicole M. Maddrey,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01/29/2025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5513" TargetMode="External"/><Relationship Id="rId14"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2025-01-29T15:38:19Z</dcterms:created>
  <dcterms:modified xsi:type="dcterms:W3CDTF">2025-01-29T15:38:19Z</dcterms:modified>
</cp:coreProperties>
</file>