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304"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259"/>
        <w:spacing w:after="0"/>
        <w:tabs>
          <w:tab w:leader="none" w:pos="160" w:val="left"/>
          <w:tab w:leader="none" w:pos="160" w:val="left"/>
        </w:tabs>
        <w:rPr>
          <w:sz w:val="20"/>
          <w:szCs w:val="20"/>
          <w:color w:val="auto"/>
        </w:rPr>
      </w:pPr>
      <w:r>
        <w:rPr>
          <w:rFonts w:ascii="Courier New" w:cs="Courier New" w:eastAsia="Courier New" w:hAnsi="Courier New"/>
          <w:sz w:val="14"/>
          <w:szCs w:val="14"/>
          <w:color w:val="auto"/>
        </w:rPr>
        <w:t>WASHINGTON,</w:t>
        <w:tab/>
        <w:t>D.C.</w:t>
        <w:tab/>
        <w:t>20549</w:t>
      </w:r>
    </w:p>
    <w:p>
      <w:pPr>
        <w:spacing w:after="0" w:line="173" w:lineRule="exact"/>
        <w:rPr>
          <w:sz w:val="24"/>
          <w:szCs w:val="24"/>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FORM 10-K</w:t>
      </w:r>
    </w:p>
    <w:p>
      <w:pPr>
        <w:spacing w:after="0" w:line="17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ANNUAL REPORT PURSUANT TO SECTION 13 OR 15(d) OF THE</w:t>
      </w:r>
    </w:p>
    <w:p>
      <w:pPr>
        <w:spacing w:after="0" w:line="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SECURITIES EXCHANGE ACT OF 1934 [FEE REQUIRED]</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For the fiscal year ended January 1, 1995</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Commission file number 1-6714</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159"/>
          </w:cols>
          <w:pgMar w:left="300" w:top="230" w:right="1440" w:bottom="1440" w:gutter="0" w:footer="0" w:header="0"/>
        </w:sectPr>
      </w:pPr>
    </w:p>
    <w:p>
      <w:pPr>
        <w:spacing w:after="0" w:line="173"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53-0182885</w:t>
      </w:r>
    </w:p>
    <w:p>
      <w:pPr>
        <w:spacing w:after="0" w:line="7"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3" w:lineRule="exact"/>
        <w:rPr>
          <w:sz w:val="24"/>
          <w:szCs w:val="24"/>
          <w:color w:val="auto"/>
        </w:rPr>
      </w:pPr>
    </w:p>
    <w:p>
      <w:pPr>
        <w:sectPr>
          <w:pgSz w:w="11900" w:h="16838" w:orient="portrait"/>
          <w:cols w:equalWidth="0" w:num="2">
            <w:col w:w="4280" w:space="720"/>
            <w:col w:w="5159"/>
          </w:cols>
          <w:pgMar w:left="300" w:top="230"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1150 15th St., N.W., Washington, D.C.</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ind w:left="260"/>
        <w:spacing w:after="0"/>
        <w:rPr>
          <w:sz w:val="20"/>
          <w:szCs w:val="20"/>
          <w:color w:val="auto"/>
        </w:rPr>
      </w:pPr>
      <w:r>
        <w:rPr>
          <w:rFonts w:ascii="Courier New" w:cs="Courier New" w:eastAsia="Courier New" w:hAnsi="Courier New"/>
          <w:sz w:val="14"/>
          <w:szCs w:val="14"/>
          <w:color w:val="auto"/>
        </w:rPr>
        <w:t>20071</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00" w:lineRule="exact"/>
        <w:rPr>
          <w:sz w:val="24"/>
          <w:szCs w:val="24"/>
          <w:color w:val="auto"/>
        </w:rPr>
      </w:pPr>
    </w:p>
    <w:p>
      <w:pPr>
        <w:sectPr>
          <w:pgSz w:w="11900" w:h="16838" w:orient="portrait"/>
          <w:cols w:equalWidth="0" w:num="2">
            <w:col w:w="4720" w:space="720"/>
            <w:col w:w="4719"/>
          </w:cols>
          <w:pgMar w:left="300" w:top="230" w:right="1440" w:bottom="1440" w:gutter="0" w:footer="0" w:header="0"/>
          <w:type w:val="continuous"/>
        </w:sectPr>
      </w:pPr>
    </w:p>
    <w:p>
      <w:pPr>
        <w:spacing w:after="0" w:line="138" w:lineRule="exact"/>
        <w:rPr>
          <w:sz w:val="24"/>
          <w:szCs w:val="24"/>
          <w:color w:val="auto"/>
        </w:rPr>
      </w:pPr>
    </w:p>
    <w:p>
      <w:pPr>
        <w:jc w:val="center"/>
        <w:ind w:right="3339"/>
        <w:spacing w:after="0"/>
        <w:tabs>
          <w:tab w:leader="none" w:pos="140" w:val="left"/>
        </w:tabs>
        <w:rPr>
          <w:sz w:val="20"/>
          <w:szCs w:val="20"/>
          <w:color w:val="auto"/>
        </w:rPr>
      </w:pPr>
      <w:r>
        <w:rPr>
          <w:rFonts w:ascii="Courier New" w:cs="Courier New" w:eastAsia="Courier New" w:hAnsi="Courier New"/>
          <w:sz w:val="14"/>
          <w:szCs w:val="14"/>
          <w:color w:val="auto"/>
        </w:rPr>
        <w:t>REGISTRANT'S TELEPHONE NUMBER, INCLUDING AREA CODE:</w:t>
        <w:tab/>
        <w:t>(202) 334-6000</w:t>
      </w:r>
    </w:p>
    <w:p>
      <w:pPr>
        <w:spacing w:after="0" w:line="173"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159"/>
          </w:cols>
          <w:pgMar w:left="300" w:top="230" w:right="1440" w:bottom="1440" w:gutter="0" w:footer="0" w:header="0"/>
          <w:type w:val="continuous"/>
        </w:sectPr>
      </w:pPr>
    </w:p>
    <w:p>
      <w:pPr>
        <w:spacing w:after="0" w:line="200" w:lineRule="exact"/>
        <w:rPr>
          <w:sz w:val="24"/>
          <w:szCs w:val="24"/>
          <w:color w:val="auto"/>
        </w:rPr>
      </w:pPr>
    </w:p>
    <w:p>
      <w:pPr>
        <w:spacing w:after="0" w:line="304"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TITLE OF EACH CLASS</w:t>
      </w:r>
    </w:p>
    <w:p>
      <w:pPr>
        <w:spacing w:after="0" w:line="7"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Class B Common Stock, par value</w:t>
      </w:r>
    </w:p>
    <w:p>
      <w:pPr>
        <w:spacing w:after="0" w:line="7"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$1.00 per share</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jc w:val="center"/>
        <w:ind w:right="3699"/>
        <w:spacing w:after="0"/>
        <w:rPr>
          <w:sz w:val="20"/>
          <w:szCs w:val="20"/>
          <w:color w:val="auto"/>
        </w:rPr>
      </w:pPr>
      <w:r>
        <w:rPr>
          <w:rFonts w:ascii="Courier New" w:cs="Courier New" w:eastAsia="Courier New" w:hAnsi="Courier New"/>
          <w:sz w:val="14"/>
          <w:szCs w:val="14"/>
          <w:color w:val="auto"/>
        </w:rPr>
        <w:t>NAME OF EACH EXCHANGE ON</w:t>
      </w:r>
    </w:p>
    <w:p>
      <w:pPr>
        <w:spacing w:after="0" w:line="7" w:lineRule="exact"/>
        <w:rPr>
          <w:sz w:val="24"/>
          <w:szCs w:val="24"/>
          <w:color w:val="auto"/>
        </w:rPr>
      </w:pPr>
    </w:p>
    <w:p>
      <w:pPr>
        <w:jc w:val="center"/>
        <w:ind w:right="3699"/>
        <w:spacing w:after="0"/>
        <w:rPr>
          <w:sz w:val="20"/>
          <w:szCs w:val="20"/>
          <w:color w:val="auto"/>
        </w:rPr>
      </w:pPr>
      <w:r>
        <w:rPr>
          <w:rFonts w:ascii="Courier New" w:cs="Courier New" w:eastAsia="Courier New" w:hAnsi="Courier New"/>
          <w:sz w:val="14"/>
          <w:szCs w:val="14"/>
          <w:color w:val="auto"/>
        </w:rPr>
        <w:t>WHICH REGISTERED</w:t>
      </w:r>
    </w:p>
    <w:p>
      <w:pPr>
        <w:spacing w:after="0" w:line="7" w:lineRule="exact"/>
        <w:rPr>
          <w:sz w:val="24"/>
          <w:szCs w:val="24"/>
          <w:color w:val="auto"/>
        </w:rPr>
      </w:pPr>
    </w:p>
    <w:p>
      <w:pPr>
        <w:jc w:val="center"/>
        <w:ind w:right="3699"/>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jc w:val="center"/>
        <w:ind w:right="3619"/>
        <w:spacing w:after="0"/>
        <w:rPr>
          <w:sz w:val="20"/>
          <w:szCs w:val="20"/>
          <w:color w:val="auto"/>
        </w:rPr>
      </w:pPr>
      <w:r>
        <w:rPr>
          <w:rFonts w:ascii="Courier New" w:cs="Courier New" w:eastAsia="Courier New" w:hAnsi="Courier New"/>
          <w:sz w:val="14"/>
          <w:szCs w:val="14"/>
          <w:color w:val="auto"/>
        </w:rPr>
        <w:t>New York Stock Exchange</w:t>
      </w:r>
    </w:p>
    <w:p>
      <w:pPr>
        <w:spacing w:after="0" w:line="365" w:lineRule="exact"/>
        <w:rPr>
          <w:sz w:val="24"/>
          <w:szCs w:val="24"/>
          <w:color w:val="auto"/>
        </w:rPr>
      </w:pPr>
    </w:p>
    <w:p>
      <w:pPr>
        <w:sectPr>
          <w:pgSz w:w="11900" w:h="16838" w:orient="portrait"/>
          <w:cols w:equalWidth="0" w:num="2">
            <w:col w:w="3680" w:space="720"/>
            <w:col w:w="5759"/>
          </w:cols>
          <w:pgMar w:left="300" w:top="230" w:right="1440" w:bottom="1440" w:gutter="0" w:footer="0" w:header="0"/>
          <w:type w:val="continuous"/>
        </w:sectPr>
      </w:pPr>
    </w:p>
    <w:p>
      <w:pPr>
        <w:spacing w:after="0" w:line="138"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Indicate by check mark whether the registrant (1) has filed all</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reports required to be filed by Section 13 or 15(d) of the Securities Exchange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Act of 1934 during the preceding 12 months (or for such shorter period that the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registrant was required to file such reports) and (2) has been subject to such</w:t>
      </w:r>
    </w:p>
    <w:p>
      <w:pPr>
        <w:spacing w:after="0" w:line="7" w:lineRule="exact"/>
        <w:rPr>
          <w:sz w:val="24"/>
          <w:szCs w:val="24"/>
          <w:color w:val="auto"/>
        </w:rPr>
      </w:pPr>
    </w:p>
    <w:p>
      <w:pPr>
        <w:spacing w:after="0"/>
        <w:tabs>
          <w:tab w:leader="none" w:pos="3700" w:val="left"/>
          <w:tab w:leader="none" w:pos="4200" w:val="left"/>
          <w:tab w:leader="none" w:pos="4720" w:val="left"/>
          <w:tab w:leader="none" w:pos="5500" w:val="left"/>
        </w:tabs>
        <w:rPr>
          <w:sz w:val="20"/>
          <w:szCs w:val="20"/>
          <w:color w:val="auto"/>
        </w:rPr>
      </w:pPr>
      <w:r>
        <w:rPr>
          <w:rFonts w:ascii="Courier New" w:cs="Courier New" w:eastAsia="Courier New" w:hAnsi="Courier New"/>
          <w:sz w:val="14"/>
          <w:szCs w:val="14"/>
          <w:color w:val="auto"/>
        </w:rPr>
        <w:t>filing requirements for the past 90 days.</w:t>
        <w:tab/>
        <w:t>Yes</w:t>
      </w:r>
      <w:r>
        <w:rPr>
          <w:sz w:val="20"/>
          <w:szCs w:val="20"/>
          <w:color w:val="auto"/>
        </w:rPr>
        <w:tab/>
      </w:r>
      <w:r>
        <w:rPr>
          <w:rFonts w:ascii="Courier New" w:cs="Courier New" w:eastAsia="Courier New" w:hAnsi="Courier New"/>
          <w:sz w:val="14"/>
          <w:szCs w:val="14"/>
          <w:color w:val="auto"/>
        </w:rPr>
        <w:t>X</w:t>
      </w:r>
      <w:r>
        <w:rPr>
          <w:sz w:val="20"/>
          <w:szCs w:val="20"/>
          <w:color w:val="auto"/>
        </w:rPr>
        <w:tab/>
      </w:r>
      <w:r>
        <w:rPr>
          <w:rFonts w:ascii="Courier New" w:cs="Courier New" w:eastAsia="Courier New" w:hAnsi="Courier New"/>
          <w:sz w:val="14"/>
          <w:szCs w:val="14"/>
          <w:color w:val="auto"/>
        </w:rPr>
        <w:t>No</w:t>
      </w:r>
      <w:r>
        <w:rPr>
          <w:sz w:val="20"/>
          <w:szCs w:val="20"/>
          <w:color w:val="auto"/>
        </w:rPr>
        <w:tab/>
      </w:r>
      <w:r>
        <w:rPr>
          <w:rFonts w:ascii="Courier New" w:cs="Courier New" w:eastAsia="Courier New" w:hAnsi="Courier New"/>
          <w:sz w:val="13"/>
          <w:szCs w:val="13"/>
          <w:color w:val="auto"/>
        </w:rPr>
        <w:t>.</w:t>
      </w:r>
    </w:p>
    <w:p>
      <w:pPr>
        <w:spacing w:after="0" w:line="7" w:lineRule="exact"/>
        <w:rPr>
          <w:sz w:val="24"/>
          <w:szCs w:val="24"/>
          <w:color w:val="auto"/>
        </w:rPr>
      </w:pPr>
    </w:p>
    <w:p>
      <w:pPr>
        <w:ind w:left="3960"/>
        <w:spacing w:after="0"/>
        <w:tabs>
          <w:tab w:leader="none" w:pos="49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Indicate by check mark if disclosure of delinquent filers pursuant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to Item 405 of Regulation S-K is not contained herein, and will not be</w:t>
      </w:r>
    </w:p>
    <w:p>
      <w:pPr>
        <w:sectPr>
          <w:pgSz w:w="11900" w:h="16838" w:orient="portrait"/>
          <w:cols w:equalWidth="0" w:num="1">
            <w:col w:w="10159"/>
          </w:cols>
          <w:pgMar w:left="300" w:top="230" w:right="1440" w:bottom="1440" w:gutter="0" w:footer="0" w:header="0"/>
          <w:type w:val="continuous"/>
        </w:sectPr>
      </w:pPr>
    </w:p>
    <w:p>
      <w:pPr>
        <w:spacing w:after="0" w:line="7" w:lineRule="exact"/>
        <w:rPr>
          <w:sz w:val="24"/>
          <w:szCs w:val="24"/>
          <w:color w:val="auto"/>
        </w:rPr>
      </w:pPr>
    </w:p>
    <w:p>
      <w:pPr>
        <w:ind w:right="3439"/>
        <w:spacing w:after="0" w:line="252" w:lineRule="auto"/>
        <w:rPr>
          <w:sz w:val="20"/>
          <w:szCs w:val="20"/>
          <w:color w:val="auto"/>
        </w:rPr>
      </w:pPr>
      <w:r>
        <w:rPr>
          <w:rFonts w:ascii="Courier New" w:cs="Courier New" w:eastAsia="Courier New" w:hAnsi="Courier New"/>
          <w:sz w:val="14"/>
          <w:szCs w:val="14"/>
          <w:color w:val="auto"/>
        </w:rPr>
        <w:t>contained, to the best of registrant's knowledge, in definitive proxy or information statements incorporated by reference in Part III of this Form 10-K or any amendment to this Form 10-K. /X/</w:t>
      </w:r>
    </w:p>
    <w:p>
      <w:pPr>
        <w:spacing w:after="0" w:line="163" w:lineRule="exact"/>
        <w:rPr>
          <w:sz w:val="24"/>
          <w:szCs w:val="24"/>
          <w:color w:val="auto"/>
        </w:rPr>
      </w:pPr>
    </w:p>
    <w:p>
      <w:pPr>
        <w:ind w:right="3699" w:firstLine="947"/>
        <w:spacing w:after="0" w:line="252" w:lineRule="auto"/>
        <w:rPr>
          <w:sz w:val="20"/>
          <w:szCs w:val="20"/>
          <w:color w:val="auto"/>
        </w:rPr>
      </w:pPr>
      <w:r>
        <w:rPr>
          <w:rFonts w:ascii="Courier New" w:cs="Courier New" w:eastAsia="Courier New" w:hAnsi="Courier New"/>
          <w:sz w:val="14"/>
          <w:szCs w:val="14"/>
          <w:color w:val="auto"/>
        </w:rPr>
        <w:t>Aggregate market value of the Company's voting stock held by non-affiliates on February 28, 1995, based on the closing price for the Company's Class B Common Stock on the New York Stock Exchange on such date: approximately $ 1,494,000,000.</w:t>
      </w:r>
    </w:p>
    <w:p>
      <w:pPr>
        <w:spacing w:after="0" w:line="162"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Shares outstanding at February 28, 1995:</w:t>
      </w:r>
    </w:p>
    <w:p>
      <w:pPr>
        <w:spacing w:after="0" w:line="173"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Class A Common Stock - 1,843,250 shares</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Class B Common Stock - 9,305,870 shares</w:t>
      </w:r>
    </w:p>
    <w:p>
      <w:pPr>
        <w:spacing w:after="0" w:line="173"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Documents partially incorporated by reference:</w:t>
      </w:r>
    </w:p>
    <w:p>
      <w:pPr>
        <w:spacing w:after="0" w:line="173" w:lineRule="exact"/>
        <w:rPr>
          <w:sz w:val="24"/>
          <w:szCs w:val="24"/>
          <w:color w:val="auto"/>
        </w:rPr>
      </w:pPr>
    </w:p>
    <w:p>
      <w:pPr>
        <w:ind w:left="1820" w:right="3519" w:hanging="430"/>
        <w:spacing w:after="0" w:line="252" w:lineRule="auto"/>
        <w:rPr>
          <w:sz w:val="20"/>
          <w:szCs w:val="20"/>
          <w:color w:val="auto"/>
        </w:rPr>
      </w:pPr>
      <w:r>
        <w:rPr>
          <w:rFonts w:ascii="Courier New" w:cs="Courier New" w:eastAsia="Courier New" w:hAnsi="Courier New"/>
          <w:sz w:val="14"/>
          <w:szCs w:val="14"/>
          <w:color w:val="auto"/>
        </w:rPr>
        <w:t>Definitive Proxy Statement for the Company's 1995 Annual Meeting of Stockholders (incorporated in Part III to the extent provided in Items 10, 11, 12 and 13 hereof).</w:t>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230"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PART I</w:t>
      </w:r>
    </w:p>
    <w:p>
      <w:pPr>
        <w:spacing w:after="0" w:line="33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w:t>
        <w:tab/>
        <w:t>BUSINESS.</w:t>
      </w:r>
    </w:p>
    <w:p>
      <w:pPr>
        <w:spacing w:after="0" w:line="173" w:lineRule="exact"/>
        <w:rPr>
          <w:sz w:val="20"/>
          <w:szCs w:val="20"/>
          <w:color w:val="auto"/>
        </w:rPr>
      </w:pPr>
    </w:p>
    <w:p>
      <w:pPr>
        <w:ind w:right="3519" w:firstLine="603"/>
        <w:spacing w:after="0" w:line="251" w:lineRule="auto"/>
        <w:rPr>
          <w:sz w:val="20"/>
          <w:szCs w:val="20"/>
          <w:color w:val="auto"/>
        </w:rPr>
      </w:pPr>
      <w:r>
        <w:rPr>
          <w:rFonts w:ascii="Courier New" w:cs="Courier New" w:eastAsia="Courier New" w:hAnsi="Courier New"/>
          <w:sz w:val="14"/>
          <w:szCs w:val="14"/>
          <w:color w:val="auto"/>
        </w:rPr>
        <w:t>The principal business activities of The Washington Post Company (the "Company") consist of newspaper publishing (principally The Washington Post), television broadcasting (through the ownership and operation of six network-affiliated stations), the ownership and operation of cable television systems, and magazine publishing (Newsweek magazine).</w:t>
      </w:r>
    </w:p>
    <w:p>
      <w:pPr>
        <w:spacing w:after="0" w:line="164"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Information concerning the consolidated operating revenues, consolidated income from operations and identifiable assets attributable to the principal segments of the Company's business for the last three fiscal years is contained in Note M to the Company's Consolidated Financial Statements appearing elsewhere in this Annual Report on Form 10-K. (Revenues for each segment are shown in such Note M net of intersegment sales, which did not exceed 0.2% of consolidated operating revenues.)</w:t>
      </w:r>
    </w:p>
    <w:p>
      <w:pPr>
        <w:spacing w:after="0" w:line="164" w:lineRule="exact"/>
        <w:rPr>
          <w:sz w:val="20"/>
          <w:szCs w:val="20"/>
          <w:color w:val="auto"/>
        </w:rPr>
      </w:pPr>
    </w:p>
    <w:p>
      <w:pPr>
        <w:ind w:right="3519" w:firstLine="603"/>
        <w:spacing w:after="0" w:line="251" w:lineRule="auto"/>
        <w:rPr>
          <w:sz w:val="20"/>
          <w:szCs w:val="20"/>
          <w:color w:val="auto"/>
        </w:rPr>
      </w:pPr>
      <w:r>
        <w:rPr>
          <w:rFonts w:ascii="Courier New" w:cs="Courier New" w:eastAsia="Courier New" w:hAnsi="Courier New"/>
          <w:sz w:val="14"/>
          <w:szCs w:val="14"/>
          <w:color w:val="auto"/>
        </w:rPr>
        <w:t>During each of the last three years the Company's operations in geographic areas outside the United States, consisting primarily of the publication of the international editions of Newsweek and cable television operations in the United Kingdom, accounted for less than 7% of the Company's consolidated revenues and less than 1% of its consolidated income from operations, and the identifi-able assets attributable to such operations represented less than 7% of the Company's consolidated assets.</w:t>
      </w:r>
    </w:p>
    <w:p>
      <w:pPr>
        <w:spacing w:after="0" w:line="16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NEWSPAPER PUBLISHING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WASHINGTON POST</w:t>
      </w:r>
    </w:p>
    <w:p>
      <w:pPr>
        <w:spacing w:after="0" w:line="173" w:lineRule="exact"/>
        <w:rPr>
          <w:sz w:val="20"/>
          <w:szCs w:val="20"/>
          <w:color w:val="auto"/>
        </w:rPr>
      </w:pPr>
    </w:p>
    <w:p>
      <w:pPr>
        <w:jc w:val="both"/>
        <w:ind w:right="4039" w:firstLine="603"/>
        <w:spacing w:after="0" w:line="252" w:lineRule="auto"/>
        <w:rPr>
          <w:sz w:val="20"/>
          <w:szCs w:val="20"/>
          <w:color w:val="auto"/>
        </w:rPr>
      </w:pPr>
      <w:r>
        <w:rPr>
          <w:rFonts w:ascii="Courier New" w:cs="Courier New" w:eastAsia="Courier New" w:hAnsi="Courier New"/>
          <w:sz w:val="14"/>
          <w:szCs w:val="14"/>
          <w:color w:val="auto"/>
        </w:rPr>
        <w:t>The Washington Post is a morning and Sunday newspaper primarily distributed by home delivery in the Washington, D.C. metropolitan area, including large portions of Virginia and Maryland.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ind w:left="620"/>
              <w:spacing w:after="0"/>
              <w:rPr>
                <w:sz w:val="20"/>
                <w:szCs w:val="20"/>
                <w:color w:val="auto"/>
              </w:rPr>
            </w:pPr>
            <w:r>
              <w:rPr>
                <w:rFonts w:ascii="Courier New" w:cs="Courier New" w:eastAsia="Courier New" w:hAnsi="Courier New"/>
                <w:sz w:val="14"/>
                <w:szCs w:val="14"/>
                <w:color w:val="auto"/>
              </w:rPr>
              <w:t>The following table shows the average paid daily (including</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Saturday)</w:t>
            </w:r>
          </w:p>
        </w:tc>
        <w:tc>
          <w:tcPr>
            <w:tcW w:w="1120" w:type="dxa"/>
            <w:vAlign w:val="bottom"/>
          </w:tcPr>
          <w:p>
            <w:pPr>
              <w:spacing w:after="0"/>
              <w:rPr>
                <w:sz w:val="14"/>
                <w:szCs w:val="14"/>
                <w:color w:val="auto"/>
              </w:rPr>
            </w:pPr>
          </w:p>
        </w:tc>
      </w:tr>
      <w:tr>
        <w:trPr>
          <w:trHeight w:val="166"/>
        </w:trPr>
        <w:tc>
          <w:tcPr>
            <w:tcW w:w="7160" w:type="dxa"/>
            <w:vAlign w:val="bottom"/>
            <w:gridSpan w:val="2"/>
          </w:tcPr>
          <w:p>
            <w:pPr>
              <w:spacing w:after="0"/>
              <w:rPr>
                <w:sz w:val="20"/>
                <w:szCs w:val="20"/>
                <w:color w:val="auto"/>
              </w:rPr>
            </w:pPr>
            <w:r>
              <w:rPr>
                <w:rFonts w:ascii="Courier New" w:cs="Courier New" w:eastAsia="Courier New" w:hAnsi="Courier New"/>
                <w:sz w:val="14"/>
                <w:szCs w:val="14"/>
                <w:color w:val="auto"/>
              </w:rPr>
              <w:t>and Sunday circulation of The Post for the twelve-month periods ended September</w:t>
            </w:r>
          </w:p>
        </w:tc>
        <w:tc>
          <w:tcPr>
            <w:tcW w:w="1120" w:type="dxa"/>
            <w:vAlign w:val="bottom"/>
          </w:tcPr>
          <w:p>
            <w:pPr>
              <w:spacing w:after="0"/>
              <w:rPr>
                <w:sz w:val="14"/>
                <w:szCs w:val="14"/>
                <w:color w:val="auto"/>
              </w:rPr>
            </w:pP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30 in each of the last five years, as reported by the Audit Bureau</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1120" w:type="dxa"/>
            <w:vAlign w:val="bottom"/>
          </w:tcPr>
          <w:p>
            <w:pPr>
              <w:spacing w:after="0"/>
              <w:rPr>
                <w:sz w:val="14"/>
                <w:szCs w:val="14"/>
                <w:color w:val="auto"/>
              </w:rPr>
            </w:pP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Circulations ("ABC"):</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662"/>
        </w:trPr>
        <w:tc>
          <w:tcPr>
            <w:tcW w:w="5740" w:type="dxa"/>
            <w:vAlign w:val="bottom"/>
          </w:tcPr>
          <w:p>
            <w:pPr>
              <w:spacing w:after="0"/>
              <w:rPr>
                <w:sz w:val="24"/>
                <w:szCs w:val="24"/>
                <w:color w:val="auto"/>
              </w:rPr>
            </w:pPr>
          </w:p>
        </w:tc>
        <w:tc>
          <w:tcPr>
            <w:tcW w:w="25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AVERAGE PAID CIRCULATION</w:t>
            </w:r>
          </w:p>
        </w:tc>
      </w:tr>
      <w:tr>
        <w:trPr>
          <w:trHeight w:val="166"/>
        </w:trPr>
        <w:tc>
          <w:tcPr>
            <w:tcW w:w="5740" w:type="dxa"/>
            <w:vAlign w:val="bottom"/>
          </w:tcPr>
          <w:p>
            <w:pPr>
              <w:spacing w:after="0"/>
              <w:rPr>
                <w:sz w:val="14"/>
                <w:szCs w:val="14"/>
                <w:color w:val="auto"/>
              </w:rPr>
            </w:pPr>
          </w:p>
        </w:tc>
        <w:tc>
          <w:tcPr>
            <w:tcW w:w="2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DAILY</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SUNDAY</w:t>
            </w:r>
          </w:p>
        </w:tc>
      </w:tr>
      <w:tr>
        <w:trPr>
          <w:trHeight w:val="166"/>
        </w:trPr>
        <w:tc>
          <w:tcPr>
            <w:tcW w:w="574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497"/>
        </w:trPr>
        <w:tc>
          <w:tcPr>
            <w:tcW w:w="5740" w:type="dxa"/>
            <w:vAlign w:val="bottom"/>
          </w:tcPr>
          <w:p>
            <w:pPr>
              <w:ind w:left="620"/>
              <w:spacing w:after="0"/>
              <w:rPr>
                <w:sz w:val="20"/>
                <w:szCs w:val="20"/>
                <w:color w:val="auto"/>
              </w:rPr>
            </w:pPr>
            <w:r>
              <w:rPr>
                <w:rFonts w:ascii="Courier New" w:cs="Courier New" w:eastAsia="Courier New" w:hAnsi="Courier New"/>
                <w:sz w:val="14"/>
                <w:szCs w:val="14"/>
                <w:color w:val="auto"/>
              </w:rPr>
              <w:t>1990   . . . . . . . . . . . . . . . . . . . . . . . . . .</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794,822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1,145,393</w:t>
            </w:r>
          </w:p>
        </w:tc>
      </w:tr>
      <w:tr>
        <w:trPr>
          <w:trHeight w:val="166"/>
        </w:trPr>
        <w:tc>
          <w:tcPr>
            <w:tcW w:w="5740" w:type="dxa"/>
            <w:vAlign w:val="bottom"/>
          </w:tcPr>
          <w:p>
            <w:pPr>
              <w:ind w:left="620"/>
              <w:spacing w:after="0"/>
              <w:rPr>
                <w:sz w:val="20"/>
                <w:szCs w:val="20"/>
                <w:color w:val="auto"/>
              </w:rPr>
            </w:pPr>
            <w:r>
              <w:rPr>
                <w:rFonts w:ascii="Courier New" w:cs="Courier New" w:eastAsia="Courier New" w:hAnsi="Courier New"/>
                <w:sz w:val="14"/>
                <w:szCs w:val="14"/>
                <w:color w:val="auto"/>
              </w:rPr>
              <w:t>1991   . . . . . . . . . . . . . . . . . . . . . . . . . .</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807,129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1,154,138</w:t>
            </w:r>
          </w:p>
        </w:tc>
      </w:tr>
      <w:tr>
        <w:trPr>
          <w:trHeight w:val="166"/>
        </w:trPr>
        <w:tc>
          <w:tcPr>
            <w:tcW w:w="5740" w:type="dxa"/>
            <w:vAlign w:val="bottom"/>
          </w:tcPr>
          <w:p>
            <w:pPr>
              <w:ind w:left="620"/>
              <w:spacing w:after="0"/>
              <w:rPr>
                <w:sz w:val="20"/>
                <w:szCs w:val="20"/>
                <w:color w:val="auto"/>
              </w:rPr>
            </w:pPr>
            <w:r>
              <w:rPr>
                <w:rFonts w:ascii="Courier New" w:cs="Courier New" w:eastAsia="Courier New" w:hAnsi="Courier New"/>
                <w:sz w:val="14"/>
                <w:szCs w:val="14"/>
                <w:color w:val="auto"/>
              </w:rPr>
              <w:t>1992   . . . . . . . . . . . . . . . . . . . . . . . . . .</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815,225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1,158,329</w:t>
            </w:r>
          </w:p>
        </w:tc>
      </w:tr>
      <w:tr>
        <w:trPr>
          <w:trHeight w:val="166"/>
        </w:trPr>
        <w:tc>
          <w:tcPr>
            <w:tcW w:w="5740" w:type="dxa"/>
            <w:vAlign w:val="bottom"/>
          </w:tcPr>
          <w:p>
            <w:pPr>
              <w:ind w:left="620"/>
              <w:spacing w:after="0"/>
              <w:rPr>
                <w:sz w:val="20"/>
                <w:szCs w:val="20"/>
                <w:color w:val="auto"/>
              </w:rPr>
            </w:pPr>
            <w:r>
              <w:rPr>
                <w:rFonts w:ascii="Courier New" w:cs="Courier New" w:eastAsia="Courier New" w:hAnsi="Courier New"/>
                <w:sz w:val="14"/>
                <w:szCs w:val="14"/>
                <w:color w:val="auto"/>
              </w:rPr>
              <w:t>1993   . . . . . . . . . . . . . . . . . . . . . . . . . .</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823,752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1,152,272</w:t>
            </w:r>
          </w:p>
        </w:tc>
      </w:tr>
      <w:tr>
        <w:trPr>
          <w:trHeight w:val="166"/>
        </w:trPr>
        <w:tc>
          <w:tcPr>
            <w:tcW w:w="5740" w:type="dxa"/>
            <w:vAlign w:val="bottom"/>
          </w:tcPr>
          <w:p>
            <w:pPr>
              <w:ind w:left="620"/>
              <w:spacing w:after="0"/>
              <w:rPr>
                <w:sz w:val="20"/>
                <w:szCs w:val="20"/>
                <w:color w:val="auto"/>
              </w:rPr>
            </w:pPr>
            <w:r>
              <w:rPr>
                <w:rFonts w:ascii="Courier New" w:cs="Courier New" w:eastAsia="Courier New" w:hAnsi="Courier New"/>
                <w:sz w:val="14"/>
                <w:szCs w:val="14"/>
                <w:color w:val="auto"/>
              </w:rPr>
              <w:t>1994   . . . . . . . . . . . . . . . . . . . . . . . . . .</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821,956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1,152,441</w:t>
            </w:r>
          </w:p>
        </w:tc>
      </w:tr>
    </w:tbl>
    <w:p>
      <w:pPr>
        <w:spacing w:after="0" w:line="335" w:lineRule="exact"/>
        <w:rPr>
          <w:sz w:val="20"/>
          <w:szCs w:val="20"/>
          <w:color w:val="auto"/>
        </w:rPr>
      </w:pPr>
    </w:p>
    <w:p>
      <w:pPr>
        <w:ind w:right="3439" w:firstLine="603"/>
        <w:spacing w:after="0" w:line="251" w:lineRule="auto"/>
        <w:rPr>
          <w:sz w:val="20"/>
          <w:szCs w:val="20"/>
          <w:color w:val="auto"/>
        </w:rPr>
      </w:pPr>
      <w:r>
        <w:rPr>
          <w:rFonts w:ascii="Courier New" w:cs="Courier New" w:eastAsia="Courier New" w:hAnsi="Courier New"/>
          <w:sz w:val="14"/>
          <w:szCs w:val="14"/>
          <w:color w:val="auto"/>
        </w:rPr>
        <w:t>A price increase for home-delivered copies of the daily and Sunday newspaper went into effect on January 9, 1995, raising the rate per four-week period from $9.20 (which had been the rate since 1988) to $9.80. The rate charged to subscribers for Sunday-only home-delivered copies of the newspaper for each four-week period has been $6.00 since 1991. On April 6, 1992, the newsstand price for the Sunday newspaper was increased from $1.25 (which price had been in effect since 1986) to $1.50. The newsstand price for the daily newspaper has been $0.25 since 1981.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159"/>
          </w:cols>
          <w:pgMar w:left="300" w:top="285"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3</w:t>
      </w:r>
    </w:p>
    <w:p>
      <w:pPr>
        <w:spacing w:after="0" w:line="7" w:lineRule="exact"/>
        <w:rPr>
          <w:sz w:val="20"/>
          <w:szCs w:val="20"/>
          <w:color w:val="auto"/>
        </w:rPr>
      </w:pPr>
    </w:p>
    <w:p>
      <w:pPr>
        <w:ind w:right="80" w:firstLine="603"/>
        <w:spacing w:after="0" w:line="251" w:lineRule="auto"/>
        <w:rPr>
          <w:sz w:val="20"/>
          <w:szCs w:val="20"/>
          <w:color w:val="auto"/>
        </w:rPr>
      </w:pPr>
      <w:r>
        <w:rPr>
          <w:rFonts w:ascii="Courier New" w:cs="Courier New" w:eastAsia="Courier New" w:hAnsi="Courier New"/>
          <w:sz w:val="14"/>
          <w:szCs w:val="14"/>
          <w:color w:val="auto"/>
        </w:rPr>
        <w:t>General advertising rates were increased by approximately 3.7% on January 1, 1994, and approximately another 5.6% on January 1, 1995. Rates for most categories of classified and retail advertising were increased by approximately 4.1% on February 1, 1994, and approximately an additional 5.4% on February 1, 1995.</w:t>
      </w:r>
    </w:p>
    <w:p>
      <w:pPr>
        <w:spacing w:after="0" w:line="164" w:lineRule="exact"/>
        <w:rPr>
          <w:sz w:val="20"/>
          <w:szCs w:val="20"/>
          <w:color w:val="auto"/>
        </w:rPr>
      </w:pPr>
    </w:p>
    <w:p>
      <w:pPr>
        <w:ind w:right="180" w:firstLine="603"/>
        <w:spacing w:after="0" w:line="255" w:lineRule="auto"/>
        <w:rPr>
          <w:sz w:val="20"/>
          <w:szCs w:val="20"/>
          <w:color w:val="auto"/>
        </w:rPr>
      </w:pPr>
      <w:r>
        <w:rPr>
          <w:rFonts w:ascii="Courier New" w:cs="Courier New" w:eastAsia="Courier New" w:hAnsi="Courier New"/>
          <w:sz w:val="14"/>
          <w:szCs w:val="14"/>
          <w:color w:val="auto"/>
        </w:rPr>
        <w:t>The following table sets forth The Post's advertising inches (excluding preprints) and number of preprints for the past five years: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1990</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1992</w:t>
            </w:r>
          </w:p>
        </w:tc>
      </w:tr>
      <w:tr>
        <w:trPr>
          <w:trHeight w:val="166"/>
        </w:trPr>
        <w:tc>
          <w:tcPr>
            <w:tcW w:w="10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Total Inches</w:t>
            </w:r>
          </w:p>
        </w:tc>
        <w:tc>
          <w:tcPr>
            <w:tcW w:w="3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(in thousands). . . . . . . . . . .</w:t>
            </w:r>
          </w:p>
        </w:tc>
        <w:tc>
          <w:tcPr>
            <w:tcW w:w="8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4,125</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3,571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3,435</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Full-Run</w:t>
            </w:r>
          </w:p>
        </w:tc>
        <w:tc>
          <w:tcPr>
            <w:tcW w:w="3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Inches  . . . . . . . . . . . . . .</w:t>
            </w:r>
          </w:p>
        </w:tc>
        <w:tc>
          <w:tcPr>
            <w:tcW w:w="8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3,938</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3,376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3,215</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Part-Run</w:t>
            </w:r>
          </w:p>
        </w:tc>
        <w:tc>
          <w:tcPr>
            <w:tcW w:w="3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Inches  . . . . . . . . . . . . . .</w:t>
            </w:r>
          </w:p>
        </w:tc>
        <w:tc>
          <w:tcPr>
            <w:tcW w:w="8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187</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220</w:t>
            </w:r>
          </w:p>
        </w:tc>
      </w:tr>
      <w:tr>
        <w:trPr>
          <w:trHeight w:val="166"/>
        </w:trPr>
        <w:tc>
          <w:tcPr>
            <w:tcW w:w="42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Preprints (in millions). . . . . . . . . . . . .</w:t>
            </w:r>
          </w:p>
        </w:tc>
        <w:tc>
          <w:tcPr>
            <w:tcW w:w="8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987</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1,135</w:t>
            </w:r>
          </w:p>
        </w:tc>
      </w:tr>
    </w:tbl>
    <w:p>
      <w:pPr>
        <w:spacing w:after="0" w:line="335" w:lineRule="exact"/>
        <w:rPr>
          <w:sz w:val="20"/>
          <w:szCs w:val="20"/>
          <w:color w:val="auto"/>
        </w:rPr>
      </w:pPr>
    </w:p>
    <w:p>
      <w:pPr>
        <w:ind w:right="180" w:firstLine="603"/>
        <w:spacing w:after="0" w:line="251" w:lineRule="auto"/>
        <w:rPr>
          <w:sz w:val="20"/>
          <w:szCs w:val="20"/>
          <w:color w:val="auto"/>
        </w:rPr>
      </w:pPr>
      <w:r>
        <w:rPr>
          <w:rFonts w:ascii="Courier New" w:cs="Courier New" w:eastAsia="Courier New" w:hAnsi="Courier New"/>
          <w:sz w:val="14"/>
          <w:szCs w:val="14"/>
          <w:color w:val="auto"/>
        </w:rPr>
        <w:t>The Post also publishes The Washington Post National Weekly Edition, a tabloid which contains selected articles and features from The Washington Post edited for a national audience. The National Weekly Edition has a basic subscription price of $48.00 per year and is delivered by second class mail to approximately 110,000 subscribers.</w:t>
      </w:r>
    </w:p>
    <w:p>
      <w:pPr>
        <w:spacing w:after="0" w:line="164" w:lineRule="exact"/>
        <w:rPr>
          <w:sz w:val="20"/>
          <w:szCs w:val="20"/>
          <w:color w:val="auto"/>
        </w:rPr>
      </w:pPr>
    </w:p>
    <w:p>
      <w:pPr>
        <w:ind w:right="180" w:firstLine="603"/>
        <w:spacing w:after="0" w:line="251" w:lineRule="auto"/>
        <w:rPr>
          <w:sz w:val="20"/>
          <w:szCs w:val="20"/>
          <w:color w:val="auto"/>
        </w:rPr>
      </w:pPr>
      <w:r>
        <w:rPr>
          <w:rFonts w:ascii="Courier New" w:cs="Courier New" w:eastAsia="Courier New" w:hAnsi="Courier New"/>
          <w:sz w:val="14"/>
          <w:szCs w:val="14"/>
          <w:color w:val="auto"/>
        </w:rPr>
        <w:t>The Post has about 530 full-time editors, correspondents, reporters and photographers on its staff, draws upon the news reporting facilities of the major wire services and maintains correspondents in 20 news centers abroad and in New York City, Los Angeles, Chicago, Miami, Richmond, Baltimore, Annapolis and Austin, Texas.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HERALD</w:t>
      </w:r>
    </w:p>
    <w:p>
      <w:pPr>
        <w:spacing w:after="0" w:line="173" w:lineRule="exact"/>
        <w:rPr>
          <w:sz w:val="20"/>
          <w:szCs w:val="20"/>
          <w:color w:val="auto"/>
        </w:rPr>
      </w:pPr>
    </w:p>
    <w:p>
      <w:pPr>
        <w:ind w:right="180" w:firstLine="603"/>
        <w:spacing w:after="0" w:line="252" w:lineRule="auto"/>
        <w:rPr>
          <w:sz w:val="20"/>
          <w:szCs w:val="20"/>
          <w:color w:val="auto"/>
        </w:rPr>
      </w:pPr>
      <w:r>
        <w:rPr>
          <w:rFonts w:ascii="Courier New" w:cs="Courier New" w:eastAsia="Courier New" w:hAnsi="Courier New"/>
          <w:sz w:val="14"/>
          <w:szCs w:val="14"/>
          <w:color w:val="auto"/>
        </w:rPr>
        <w:t>The Company owns The Daily Herald Company, publisher of The Herald in Everett, Washington, about 30 miles north of Seattle. The Herald is published mornings seven days a week and is primarily distributed by home delivery in Snohomish County.</w:t>
      </w:r>
    </w:p>
    <w:p>
      <w:pPr>
        <w:spacing w:after="0" w:line="162" w:lineRule="exact"/>
        <w:rPr>
          <w:sz w:val="20"/>
          <w:szCs w:val="20"/>
          <w:color w:val="auto"/>
        </w:rPr>
      </w:pPr>
    </w:p>
    <w:p>
      <w:pPr>
        <w:ind w:right="80" w:firstLine="603"/>
        <w:spacing w:after="0" w:line="251" w:lineRule="auto"/>
        <w:rPr>
          <w:sz w:val="20"/>
          <w:szCs w:val="20"/>
          <w:color w:val="auto"/>
        </w:rPr>
      </w:pPr>
      <w:r>
        <w:rPr>
          <w:rFonts w:ascii="Courier New" w:cs="Courier New" w:eastAsia="Courier New" w:hAnsi="Courier New"/>
          <w:sz w:val="14"/>
          <w:szCs w:val="14"/>
          <w:color w:val="auto"/>
        </w:rPr>
        <w:t>The Herald's average paid circulation as reported to ABC for the twelve months ended September 30, 1994, was 50,663 daily (including Saturday) and 63,446 Sunday (down 3.2% and .4%, respectively, from the twelve months ended September 30, 1993). Full-run advertising inches (excluding preprints) increased 10.5% in 1994 to 982,228 inches, while zoned part-run advertising decreased 41.2% to 63,263 inches. The number of preprints distributed decreased 5.7% to 94,455,511.</w:t>
      </w:r>
    </w:p>
    <w:p>
      <w:pPr>
        <w:spacing w:after="0" w:line="330"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The Herald employs approximately 57 editors, reporters and photographers.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GAZETTE NEWSPAPERS</w:t>
      </w:r>
    </w:p>
    <w:p>
      <w:pPr>
        <w:spacing w:after="0" w:line="173" w:lineRule="exact"/>
        <w:rPr>
          <w:sz w:val="20"/>
          <w:szCs w:val="20"/>
          <w:color w:val="auto"/>
        </w:rPr>
      </w:pPr>
    </w:p>
    <w:p>
      <w:pPr>
        <w:ind w:right="80" w:firstLine="689"/>
        <w:spacing w:after="0" w:line="251" w:lineRule="auto"/>
        <w:rPr>
          <w:sz w:val="20"/>
          <w:szCs w:val="20"/>
          <w:color w:val="auto"/>
        </w:rPr>
      </w:pPr>
      <w:r>
        <w:rPr>
          <w:rFonts w:ascii="Courier New" w:cs="Courier New" w:eastAsia="Courier New" w:hAnsi="Courier New"/>
          <w:sz w:val="14"/>
          <w:szCs w:val="14"/>
          <w:color w:val="auto"/>
        </w:rPr>
        <w:t>The Gazette Newspapers, Inc., a wholly owned subsidiary of the Company, publishes one paid-circulation and 13 controlled-circulation weekly community newspapers (collectively known as The Gazette Newspapers) in Montgomery County and limited parts of Frederick and Carroll Counties, Maryland. During 1994 The Gazette Newspapers had an aggregate average weekly circulation of more than 238,000 copies.</w:t>
      </w:r>
    </w:p>
    <w:p>
      <w:pPr>
        <w:spacing w:after="0" w:line="164" w:lineRule="exact"/>
        <w:rPr>
          <w:sz w:val="20"/>
          <w:szCs w:val="20"/>
          <w:color w:val="auto"/>
        </w:rPr>
      </w:pPr>
    </w:p>
    <w:p>
      <w:pPr>
        <w:ind w:right="520" w:firstLine="603"/>
        <w:spacing w:after="0" w:line="255" w:lineRule="auto"/>
        <w:rPr>
          <w:sz w:val="20"/>
          <w:szCs w:val="20"/>
          <w:color w:val="auto"/>
        </w:rPr>
      </w:pPr>
      <w:r>
        <w:rPr>
          <w:rFonts w:ascii="Courier New" w:cs="Courier New" w:eastAsia="Courier New" w:hAnsi="Courier New"/>
          <w:sz w:val="14"/>
          <w:szCs w:val="14"/>
          <w:color w:val="auto"/>
        </w:rPr>
        <w:t>The Gazette Newspapers have approximately 57 editors, reporters and photographers on their combined staffs.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80"/>
        <w:spacing w:after="0"/>
        <w:tabs>
          <w:tab w:leader="none" w:pos="110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ind w:left="80"/>
        <w:spacing w:after="0"/>
        <w:tabs>
          <w:tab w:leader="none" w:pos="11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3,394</w:t>
      </w:r>
      <w:r>
        <w:rPr>
          <w:sz w:val="20"/>
          <w:szCs w:val="20"/>
          <w:color w:val="auto"/>
        </w:rPr>
        <w:tab/>
      </w:r>
      <w:r>
        <w:rPr>
          <w:rFonts w:ascii="Courier New" w:cs="Courier New" w:eastAsia="Courier New" w:hAnsi="Courier New"/>
          <w:sz w:val="14"/>
          <w:szCs w:val="14"/>
          <w:color w:val="auto"/>
        </w:rPr>
        <w:t>3,391</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3,165</w:t>
      </w:r>
      <w:r>
        <w:rPr>
          <w:sz w:val="20"/>
          <w:szCs w:val="20"/>
          <w:color w:val="auto"/>
        </w:rPr>
        <w:tab/>
      </w:r>
      <w:r>
        <w:rPr>
          <w:rFonts w:ascii="Courier New" w:cs="Courier New" w:eastAsia="Courier New" w:hAnsi="Courier New"/>
          <w:sz w:val="14"/>
          <w:szCs w:val="14"/>
          <w:color w:val="auto"/>
        </w:rPr>
        <w:t>3,133</w:t>
      </w:r>
    </w:p>
    <w:p>
      <w:pPr>
        <w:spacing w:after="0" w:line="7" w:lineRule="exact"/>
        <w:rPr>
          <w:sz w:val="20"/>
          <w:szCs w:val="20"/>
          <w:color w:val="auto"/>
        </w:rPr>
      </w:pPr>
    </w:p>
    <w:p>
      <w:pPr>
        <w:ind w:left="1200" w:hanging="1028"/>
        <w:spacing w:after="0"/>
        <w:tabs>
          <w:tab w:leader="none" w:pos="120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258</w:t>
      </w:r>
    </w:p>
    <w:p>
      <w:pPr>
        <w:spacing w:after="0" w:line="6"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1,1421,325</w:t>
      </w:r>
    </w:p>
    <w:p>
      <w:pPr>
        <w:sectPr>
          <w:pgSz w:w="11900" w:h="16838" w:orient="portrait"/>
          <w:cols w:equalWidth="0" w:num="2">
            <w:col w:w="6900" w:space="600"/>
            <w:col w:w="2659"/>
          </w:cols>
          <w:pgMar w:left="300" w:top="285"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TELEVISION BROADCASTING</w:t>
      </w:r>
    </w:p>
    <w:p>
      <w:pPr>
        <w:spacing w:after="0" w:line="173" w:lineRule="exact"/>
        <w:rPr>
          <w:sz w:val="20"/>
          <w:szCs w:val="20"/>
          <w:color w:val="auto"/>
        </w:rPr>
      </w:pPr>
    </w:p>
    <w:p>
      <w:pPr>
        <w:ind w:right="3440" w:firstLine="603"/>
        <w:spacing w:after="0" w:line="251" w:lineRule="auto"/>
        <w:rPr>
          <w:sz w:val="20"/>
          <w:szCs w:val="20"/>
          <w:color w:val="auto"/>
        </w:rPr>
      </w:pPr>
      <w:r>
        <w:rPr>
          <w:rFonts w:ascii="Courier New" w:cs="Courier New" w:eastAsia="Courier New" w:hAnsi="Courier New"/>
          <w:sz w:val="14"/>
          <w:szCs w:val="14"/>
          <w:color w:val="auto"/>
        </w:rPr>
        <w:t>Through wholly owned subsidiaries the Company owns six VHF television stations located in Detroit, Michigan; Houston, Texas; Miami, Florida; Hartford, Connecticut; San Antonio,Texas; and Jacksonville, Florida; which are respectively the 9th, 11th, 16th, 26th, 39th and 55th largest broadcasting markets in the United States. Each of the Company's stations is affiliated with a national network. Although network affiliation agreements generally have limited terms, each of the Company's television stations has maintained its network affiliation continuously for at least twenty years.</w:t>
      </w:r>
    </w:p>
    <w:p>
      <w:pPr>
        <w:spacing w:after="0" w:line="163" w:lineRule="exact"/>
        <w:rPr>
          <w:sz w:val="20"/>
          <w:szCs w:val="20"/>
          <w:color w:val="auto"/>
        </w:rPr>
      </w:pPr>
    </w:p>
    <w:p>
      <w:pPr>
        <w:ind w:right="3960" w:firstLine="603"/>
        <w:spacing w:after="0" w:line="255" w:lineRule="auto"/>
        <w:rPr>
          <w:sz w:val="20"/>
          <w:szCs w:val="20"/>
          <w:color w:val="auto"/>
        </w:rPr>
      </w:pPr>
      <w:r>
        <w:rPr>
          <w:rFonts w:ascii="Courier New" w:cs="Courier New" w:eastAsia="Courier New" w:hAnsi="Courier New"/>
          <w:sz w:val="14"/>
          <w:szCs w:val="14"/>
          <w:color w:val="auto"/>
        </w:rPr>
        <w:t>The Company's 1994 net operating revenues from national and local television advertising and network compensation were as follows:</w:t>
      </w:r>
    </w:p>
    <w:p>
      <w:pPr>
        <w:spacing w:after="0" w:line="200" w:lineRule="exact"/>
        <w:rPr>
          <w:sz w:val="20"/>
          <w:szCs w:val="20"/>
          <w:color w:val="auto"/>
        </w:rPr>
      </w:pPr>
    </w:p>
    <w:p>
      <w:pPr>
        <w:spacing w:after="0" w:line="291"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43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National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123,950,000</w:t>
            </w:r>
          </w:p>
        </w:tc>
      </w:tr>
      <w:tr>
        <w:trPr>
          <w:trHeight w:val="166"/>
        </w:trPr>
        <w:tc>
          <w:tcPr>
            <w:tcW w:w="43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Local  . . . . . . . . . . . . . . . . . . . . .</w:t>
            </w: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117,875,000</w:t>
            </w:r>
          </w:p>
        </w:tc>
      </w:tr>
      <w:tr>
        <w:trPr>
          <w:trHeight w:val="166"/>
        </w:trPr>
        <w:tc>
          <w:tcPr>
            <w:tcW w:w="43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Network  . . . . . . . . . . . . . . . . . . . .</w:t>
            </w: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16,591,000</w:t>
            </w:r>
          </w:p>
        </w:tc>
      </w:tr>
      <w:tr>
        <w:trPr>
          <w:trHeight w:val="166"/>
        </w:trPr>
        <w:tc>
          <w:tcPr>
            <w:tcW w:w="436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Total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258,416,000</w:t>
            </w:r>
          </w:p>
        </w:tc>
      </w:tr>
    </w:tbl>
    <w:p>
      <w:pPr>
        <w:spacing w:after="0" w:line="200" w:lineRule="exact"/>
        <w:rPr>
          <w:sz w:val="20"/>
          <w:szCs w:val="20"/>
          <w:color w:val="auto"/>
        </w:rPr>
      </w:pPr>
    </w:p>
    <w:p>
      <w:pPr>
        <w:spacing w:after="0" w:line="301" w:lineRule="exact"/>
        <w:rPr>
          <w:sz w:val="20"/>
          <w:szCs w:val="20"/>
          <w:color w:val="auto"/>
        </w:rPr>
      </w:pPr>
    </w:p>
    <w:p>
      <w:pPr>
        <w:ind w:right="3440" w:firstLine="603"/>
        <w:spacing w:after="0" w:line="255" w:lineRule="auto"/>
        <w:rPr>
          <w:sz w:val="20"/>
          <w:szCs w:val="20"/>
          <w:color w:val="auto"/>
        </w:rPr>
      </w:pPr>
      <w:r>
        <w:rPr>
          <w:rFonts w:ascii="Courier New" w:cs="Courier New" w:eastAsia="Courier New" w:hAnsi="Courier New"/>
          <w:sz w:val="14"/>
          <w:szCs w:val="14"/>
          <w:color w:val="auto"/>
        </w:rPr>
        <w:t>The following table sets forth certain information with respect to each of the Company's television stations: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980" w:type="dxa"/>
            <w:vAlign w:val="bottom"/>
          </w:tcPr>
          <w:p>
            <w:pPr>
              <w:spacing w:after="0"/>
              <w:rPr>
                <w:sz w:val="20"/>
                <w:szCs w:val="20"/>
                <w:color w:val="auto"/>
              </w:rPr>
            </w:pPr>
            <w:r>
              <w:rPr>
                <w:rFonts w:ascii="Courier New" w:cs="Courier New" w:eastAsia="Courier New" w:hAnsi="Courier New"/>
                <w:sz w:val="14"/>
                <w:szCs w:val="14"/>
                <w:color w:val="auto"/>
              </w:rPr>
              <w:t>STATION LOCATION</w:t>
            </w:r>
          </w:p>
        </w:tc>
        <w:tc>
          <w:tcPr>
            <w:tcW w:w="9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980" w:type="dxa"/>
            <w:vAlign w:val="bottom"/>
          </w:tcPr>
          <w:p>
            <w:pPr>
              <w:ind w:left="360"/>
              <w:spacing w:after="0"/>
              <w:rPr>
                <w:sz w:val="20"/>
                <w:szCs w:val="20"/>
                <w:color w:val="auto"/>
              </w:rPr>
            </w:pPr>
            <w:r>
              <w:rPr>
                <w:rFonts w:ascii="Courier New" w:cs="Courier New" w:eastAsia="Courier New" w:hAnsi="Courier New"/>
                <w:sz w:val="14"/>
                <w:szCs w:val="14"/>
                <w:color w:val="auto"/>
              </w:rPr>
              <w:t>AND YEAR</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NATIONAL</w:t>
            </w:r>
          </w:p>
        </w:tc>
        <w:tc>
          <w:tcPr>
            <w:tcW w:w="154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EXPIRATION</w:t>
            </w:r>
          </w:p>
        </w:tc>
        <w:tc>
          <w:tcPr>
            <w:tcW w:w="1240" w:type="dxa"/>
            <w:vAlign w:val="bottom"/>
          </w:tcPr>
          <w:p>
            <w:pPr>
              <w:ind w:left="160"/>
              <w:spacing w:after="0"/>
              <w:rPr>
                <w:sz w:val="20"/>
                <w:szCs w:val="20"/>
                <w:color w:val="auto"/>
              </w:rPr>
            </w:pPr>
            <w:r>
              <w:rPr>
                <w:rFonts w:ascii="Courier New" w:cs="Courier New" w:eastAsia="Courier New" w:hAnsi="Courier New"/>
                <w:sz w:val="14"/>
                <w:szCs w:val="14"/>
                <w:color w:val="auto"/>
              </w:rPr>
              <w:t>EXPIRATION</w:t>
            </w:r>
          </w:p>
        </w:tc>
        <w:tc>
          <w:tcPr>
            <w:tcW w:w="26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TOTAL COMMERCIAL</w:t>
            </w:r>
          </w:p>
        </w:tc>
      </w:tr>
      <w:tr>
        <w:trPr>
          <w:trHeight w:val="166"/>
        </w:trPr>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COMMERCIAL</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MARKET</w:t>
            </w:r>
          </w:p>
        </w:tc>
        <w:tc>
          <w:tcPr>
            <w:tcW w:w="1540" w:type="dxa"/>
            <w:vAlign w:val="bottom"/>
          </w:tcPr>
          <w:p>
            <w:pPr>
              <w:spacing w:after="0"/>
              <w:rPr>
                <w:sz w:val="14"/>
                <w:szCs w:val="14"/>
                <w:color w:val="auto"/>
              </w:rPr>
            </w:pPr>
          </w:p>
        </w:tc>
        <w:tc>
          <w:tcPr>
            <w:tcW w:w="1560" w:type="dxa"/>
            <w:vAlign w:val="bottom"/>
          </w:tcPr>
          <w:p>
            <w:pPr>
              <w:jc w:val="center"/>
              <w:ind w:left="8"/>
              <w:spacing w:after="0"/>
              <w:rPr>
                <w:sz w:val="20"/>
                <w:szCs w:val="20"/>
                <w:color w:val="auto"/>
              </w:rPr>
            </w:pPr>
            <w:r>
              <w:rPr>
                <w:rFonts w:ascii="Courier New" w:cs="Courier New" w:eastAsia="Courier New" w:hAnsi="Courier New"/>
                <w:sz w:val="14"/>
                <w:szCs w:val="14"/>
                <w:color w:val="auto"/>
              </w:rPr>
              <w:t>DATE OF</w:t>
            </w:r>
          </w:p>
        </w:tc>
        <w:tc>
          <w:tcPr>
            <w:tcW w:w="1240" w:type="dxa"/>
            <w:vAlign w:val="bottom"/>
          </w:tcPr>
          <w:p>
            <w:pPr>
              <w:ind w:left="340"/>
              <w:spacing w:after="0"/>
              <w:rPr>
                <w:sz w:val="20"/>
                <w:szCs w:val="20"/>
                <w:color w:val="auto"/>
              </w:rPr>
            </w:pPr>
            <w:r>
              <w:rPr>
                <w:rFonts w:ascii="Courier New" w:cs="Courier New" w:eastAsia="Courier New" w:hAnsi="Courier New"/>
                <w:sz w:val="14"/>
                <w:szCs w:val="14"/>
                <w:color w:val="auto"/>
              </w:rPr>
              <w:t>DATE OF</w:t>
            </w:r>
          </w:p>
        </w:tc>
        <w:tc>
          <w:tcPr>
            <w:tcW w:w="262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STATIONS IN DMA(b)</w:t>
            </w:r>
          </w:p>
        </w:tc>
      </w:tr>
      <w:tr>
        <w:trPr>
          <w:trHeight w:val="166"/>
        </w:trPr>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OPERATION</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RANKING</w:t>
            </w:r>
          </w:p>
        </w:tc>
        <w:tc>
          <w:tcPr>
            <w:tcW w:w="15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NETWORK</w:t>
            </w:r>
          </w:p>
        </w:tc>
        <w:tc>
          <w:tcPr>
            <w:tcW w:w="15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FCC</w:t>
            </w: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NETWORK</w:t>
            </w:r>
          </w:p>
        </w:tc>
        <w:tc>
          <w:tcPr>
            <w:tcW w:w="262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r>
      <w:tr>
        <w:trPr>
          <w:trHeight w:val="166"/>
        </w:trPr>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COMMENCED</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w:t>
            </w:r>
          </w:p>
        </w:tc>
        <w:tc>
          <w:tcPr>
            <w:tcW w:w="15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AFFILIATION</w:t>
            </w:r>
          </w:p>
        </w:tc>
        <w:tc>
          <w:tcPr>
            <w:tcW w:w="1560" w:type="dxa"/>
            <w:vAlign w:val="bottom"/>
          </w:tcPr>
          <w:p>
            <w:pPr>
              <w:jc w:val="center"/>
              <w:ind w:left="8"/>
              <w:spacing w:after="0"/>
              <w:rPr>
                <w:sz w:val="20"/>
                <w:szCs w:val="20"/>
                <w:color w:val="auto"/>
              </w:rPr>
            </w:pPr>
            <w:r>
              <w:rPr>
                <w:rFonts w:ascii="Courier New" w:cs="Courier New" w:eastAsia="Courier New" w:hAnsi="Courier New"/>
                <w:sz w:val="14"/>
                <w:szCs w:val="14"/>
                <w:color w:val="auto"/>
              </w:rPr>
              <w:t>LICENSE</w:t>
            </w: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AGREEMENT</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ALLOCATED</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OPERATING</w:t>
            </w:r>
          </w:p>
        </w:tc>
      </w:tr>
      <w:tr>
        <w:trPr>
          <w:trHeight w:val="166"/>
        </w:trPr>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980" w:type="dxa"/>
            <w:vAlign w:val="bottom"/>
          </w:tcPr>
          <w:p>
            <w:pPr>
              <w:ind w:left="360"/>
              <w:spacing w:after="0"/>
              <w:rPr>
                <w:sz w:val="20"/>
                <w:szCs w:val="20"/>
                <w:color w:val="auto"/>
              </w:rPr>
            </w:pPr>
            <w:r>
              <w:rPr>
                <w:rFonts w:ascii="Courier New" w:cs="Courier New" w:eastAsia="Courier New" w:hAnsi="Courier New"/>
                <w:sz w:val="14"/>
                <w:szCs w:val="14"/>
                <w:color w:val="auto"/>
              </w:rPr>
              <w:t>WDIV</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9th</w:t>
            </w:r>
          </w:p>
        </w:tc>
        <w:tc>
          <w:tcPr>
            <w:tcW w:w="1540" w:type="dxa"/>
            <w:vAlign w:val="bottom"/>
          </w:tcPr>
          <w:p>
            <w:pPr>
              <w:jc w:val="center"/>
              <w:ind w:right="188"/>
              <w:spacing w:after="0"/>
              <w:rPr>
                <w:sz w:val="20"/>
                <w:szCs w:val="20"/>
                <w:color w:val="auto"/>
              </w:rPr>
            </w:pPr>
            <w:r>
              <w:rPr>
                <w:rFonts w:ascii="Courier New" w:cs="Courier New" w:eastAsia="Courier New" w:hAnsi="Courier New"/>
                <w:sz w:val="14"/>
                <w:szCs w:val="14"/>
                <w:color w:val="auto"/>
                <w:w w:val="95"/>
              </w:rPr>
              <w:t>NBC</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Oct. 1,</w:t>
            </w: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June 30,</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VHF-4</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VHF-4</w:t>
            </w:r>
          </w:p>
        </w:tc>
      </w:tr>
      <w:tr>
        <w:trPr>
          <w:trHeight w:val="166"/>
        </w:trPr>
        <w:tc>
          <w:tcPr>
            <w:tcW w:w="1980" w:type="dxa"/>
            <w:vAlign w:val="bottom"/>
          </w:tcPr>
          <w:p>
            <w:pPr>
              <w:ind w:left="360"/>
              <w:spacing w:after="0"/>
              <w:rPr>
                <w:sz w:val="20"/>
                <w:szCs w:val="20"/>
                <w:color w:val="auto"/>
              </w:rPr>
            </w:pPr>
            <w:r>
              <w:rPr>
                <w:rFonts w:ascii="Courier New" w:cs="Courier New" w:eastAsia="Courier New" w:hAnsi="Courier New"/>
                <w:sz w:val="14"/>
                <w:szCs w:val="14"/>
                <w:color w:val="auto"/>
              </w:rPr>
              <w:t>Detroit, Mich.</w:t>
            </w:r>
          </w:p>
        </w:tc>
        <w:tc>
          <w:tcPr>
            <w:tcW w:w="9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1997</w:t>
            </w:r>
          </w:p>
        </w:tc>
        <w:tc>
          <w:tcPr>
            <w:tcW w:w="1240" w:type="dxa"/>
            <w:vAlign w:val="bottom"/>
          </w:tcPr>
          <w:p>
            <w:pPr>
              <w:ind w:left="340"/>
              <w:spacing w:after="0"/>
              <w:rPr>
                <w:sz w:val="20"/>
                <w:szCs w:val="20"/>
                <w:color w:val="auto"/>
              </w:rPr>
            </w:pPr>
            <w:r>
              <w:rPr>
                <w:rFonts w:ascii="Courier New" w:cs="Courier New" w:eastAsia="Courier New" w:hAnsi="Courier New"/>
                <w:sz w:val="14"/>
                <w:szCs w:val="14"/>
                <w:color w:val="auto"/>
              </w:rPr>
              <w:t>2004</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UHF-6</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UHF-5</w:t>
            </w:r>
          </w:p>
        </w:tc>
      </w:tr>
      <w:tr>
        <w:trPr>
          <w:trHeight w:val="166"/>
        </w:trPr>
        <w:tc>
          <w:tcPr>
            <w:tcW w:w="1980" w:type="dxa"/>
            <w:vAlign w:val="bottom"/>
          </w:tcPr>
          <w:p>
            <w:pPr>
              <w:ind w:left="360"/>
              <w:spacing w:after="0"/>
              <w:rPr>
                <w:sz w:val="20"/>
                <w:szCs w:val="20"/>
                <w:color w:val="auto"/>
              </w:rPr>
            </w:pPr>
            <w:r>
              <w:rPr>
                <w:rFonts w:ascii="Courier New" w:cs="Courier New" w:eastAsia="Courier New" w:hAnsi="Courier New"/>
                <w:sz w:val="14"/>
                <w:szCs w:val="14"/>
                <w:color w:val="auto"/>
              </w:rPr>
              <w:t>1947</w:t>
            </w:r>
          </w:p>
        </w:tc>
        <w:tc>
          <w:tcPr>
            <w:tcW w:w="9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1980" w:type="dxa"/>
            <w:vAlign w:val="bottom"/>
          </w:tcPr>
          <w:p>
            <w:pPr>
              <w:ind w:left="360"/>
              <w:spacing w:after="0"/>
              <w:rPr>
                <w:sz w:val="20"/>
                <w:szCs w:val="20"/>
                <w:color w:val="auto"/>
              </w:rPr>
            </w:pPr>
            <w:r>
              <w:rPr>
                <w:rFonts w:ascii="Courier New" w:cs="Courier New" w:eastAsia="Courier New" w:hAnsi="Courier New"/>
                <w:sz w:val="14"/>
                <w:szCs w:val="14"/>
                <w:color w:val="auto"/>
              </w:rPr>
              <w:t>KPRC</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11th</w:t>
            </w:r>
          </w:p>
        </w:tc>
        <w:tc>
          <w:tcPr>
            <w:tcW w:w="1540" w:type="dxa"/>
            <w:vAlign w:val="bottom"/>
          </w:tcPr>
          <w:p>
            <w:pPr>
              <w:jc w:val="center"/>
              <w:ind w:right="188"/>
              <w:spacing w:after="0"/>
              <w:rPr>
                <w:sz w:val="20"/>
                <w:szCs w:val="20"/>
                <w:color w:val="auto"/>
              </w:rPr>
            </w:pPr>
            <w:r>
              <w:rPr>
                <w:rFonts w:ascii="Courier New" w:cs="Courier New" w:eastAsia="Courier New" w:hAnsi="Courier New"/>
                <w:sz w:val="14"/>
                <w:szCs w:val="14"/>
                <w:color w:val="auto"/>
                <w:w w:val="95"/>
              </w:rPr>
              <w:t>NBC</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Aug. 1,</w:t>
            </w: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June 30,</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VHF-3</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VHF-3</w:t>
            </w:r>
          </w:p>
        </w:tc>
      </w:tr>
      <w:tr>
        <w:trPr>
          <w:trHeight w:val="166"/>
        </w:trPr>
        <w:tc>
          <w:tcPr>
            <w:tcW w:w="1980" w:type="dxa"/>
            <w:vAlign w:val="bottom"/>
          </w:tcPr>
          <w:p>
            <w:pPr>
              <w:ind w:left="360"/>
              <w:spacing w:after="0"/>
              <w:rPr>
                <w:sz w:val="20"/>
                <w:szCs w:val="20"/>
                <w:color w:val="auto"/>
              </w:rPr>
            </w:pPr>
            <w:r>
              <w:rPr>
                <w:rFonts w:ascii="Courier New" w:cs="Courier New" w:eastAsia="Courier New" w:hAnsi="Courier New"/>
                <w:sz w:val="14"/>
                <w:szCs w:val="14"/>
                <w:color w:val="auto"/>
              </w:rPr>
              <w:t>Houston, Tx.</w:t>
            </w:r>
          </w:p>
        </w:tc>
        <w:tc>
          <w:tcPr>
            <w:tcW w:w="9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1998</w:t>
            </w:r>
          </w:p>
        </w:tc>
        <w:tc>
          <w:tcPr>
            <w:tcW w:w="1240" w:type="dxa"/>
            <w:vAlign w:val="bottom"/>
          </w:tcPr>
          <w:p>
            <w:pPr>
              <w:ind w:left="340"/>
              <w:spacing w:after="0"/>
              <w:rPr>
                <w:sz w:val="20"/>
                <w:szCs w:val="20"/>
                <w:color w:val="auto"/>
              </w:rPr>
            </w:pPr>
            <w:r>
              <w:rPr>
                <w:rFonts w:ascii="Courier New" w:cs="Courier New" w:eastAsia="Courier New" w:hAnsi="Courier New"/>
                <w:sz w:val="14"/>
                <w:szCs w:val="14"/>
                <w:color w:val="auto"/>
              </w:rPr>
              <w:t>2004</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UHF-11</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UHF-9</w:t>
            </w:r>
          </w:p>
        </w:tc>
      </w:tr>
      <w:tr>
        <w:trPr>
          <w:trHeight w:val="166"/>
        </w:trPr>
        <w:tc>
          <w:tcPr>
            <w:tcW w:w="1980" w:type="dxa"/>
            <w:vAlign w:val="bottom"/>
          </w:tcPr>
          <w:p>
            <w:pPr>
              <w:ind w:left="360"/>
              <w:spacing w:after="0"/>
              <w:rPr>
                <w:sz w:val="20"/>
                <w:szCs w:val="20"/>
                <w:color w:val="auto"/>
              </w:rPr>
            </w:pPr>
            <w:r>
              <w:rPr>
                <w:rFonts w:ascii="Courier New" w:cs="Courier New" w:eastAsia="Courier New" w:hAnsi="Courier New"/>
                <w:sz w:val="14"/>
                <w:szCs w:val="14"/>
                <w:color w:val="auto"/>
              </w:rPr>
              <w:t>1949</w:t>
            </w:r>
          </w:p>
        </w:tc>
        <w:tc>
          <w:tcPr>
            <w:tcW w:w="9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1980" w:type="dxa"/>
            <w:vAlign w:val="bottom"/>
          </w:tcPr>
          <w:p>
            <w:pPr>
              <w:ind w:left="360"/>
              <w:spacing w:after="0"/>
              <w:rPr>
                <w:sz w:val="20"/>
                <w:szCs w:val="20"/>
                <w:color w:val="auto"/>
              </w:rPr>
            </w:pPr>
            <w:r>
              <w:rPr>
                <w:rFonts w:ascii="Courier New" w:cs="Courier New" w:eastAsia="Courier New" w:hAnsi="Courier New"/>
                <w:sz w:val="14"/>
                <w:szCs w:val="14"/>
                <w:color w:val="auto"/>
              </w:rPr>
              <w:t>WPLG</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16th</w:t>
            </w:r>
          </w:p>
        </w:tc>
        <w:tc>
          <w:tcPr>
            <w:tcW w:w="1540" w:type="dxa"/>
            <w:vAlign w:val="bottom"/>
          </w:tcPr>
          <w:p>
            <w:pPr>
              <w:jc w:val="center"/>
              <w:ind w:right="188"/>
              <w:spacing w:after="0"/>
              <w:rPr>
                <w:sz w:val="20"/>
                <w:szCs w:val="20"/>
                <w:color w:val="auto"/>
              </w:rPr>
            </w:pPr>
            <w:r>
              <w:rPr>
                <w:rFonts w:ascii="Courier New" w:cs="Courier New" w:eastAsia="Courier New" w:hAnsi="Courier New"/>
                <w:sz w:val="14"/>
                <w:szCs w:val="14"/>
                <w:color w:val="auto"/>
                <w:w w:val="95"/>
              </w:rPr>
              <w:t>ABC</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Feb. 1,</w:t>
            </w: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Dec. 31,</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VHF-5</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VHF-4</w:t>
            </w:r>
          </w:p>
        </w:tc>
      </w:tr>
      <w:tr>
        <w:trPr>
          <w:trHeight w:val="166"/>
        </w:trPr>
        <w:tc>
          <w:tcPr>
            <w:tcW w:w="1980" w:type="dxa"/>
            <w:vAlign w:val="bottom"/>
          </w:tcPr>
          <w:p>
            <w:pPr>
              <w:ind w:left="360"/>
              <w:spacing w:after="0"/>
              <w:rPr>
                <w:sz w:val="20"/>
                <w:szCs w:val="20"/>
                <w:color w:val="auto"/>
              </w:rPr>
            </w:pPr>
            <w:r>
              <w:rPr>
                <w:rFonts w:ascii="Courier New" w:cs="Courier New" w:eastAsia="Courier New" w:hAnsi="Courier New"/>
                <w:sz w:val="14"/>
                <w:szCs w:val="14"/>
                <w:color w:val="auto"/>
              </w:rPr>
              <w:t>Miami, Fla.</w:t>
            </w:r>
          </w:p>
        </w:tc>
        <w:tc>
          <w:tcPr>
            <w:tcW w:w="9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1997</w:t>
            </w:r>
          </w:p>
        </w:tc>
        <w:tc>
          <w:tcPr>
            <w:tcW w:w="1240" w:type="dxa"/>
            <w:vAlign w:val="bottom"/>
          </w:tcPr>
          <w:p>
            <w:pPr>
              <w:ind w:left="420"/>
              <w:spacing w:after="0"/>
              <w:rPr>
                <w:sz w:val="20"/>
                <w:szCs w:val="20"/>
                <w:color w:val="auto"/>
              </w:rPr>
            </w:pPr>
            <w:r>
              <w:rPr>
                <w:rFonts w:ascii="Courier New" w:cs="Courier New" w:eastAsia="Courier New" w:hAnsi="Courier New"/>
                <w:sz w:val="14"/>
                <w:szCs w:val="14"/>
                <w:color w:val="auto"/>
              </w:rPr>
              <w:t>2004</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UHF-8</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UHF-7</w:t>
            </w:r>
          </w:p>
        </w:tc>
      </w:tr>
      <w:tr>
        <w:trPr>
          <w:trHeight w:val="166"/>
        </w:trPr>
        <w:tc>
          <w:tcPr>
            <w:tcW w:w="1980" w:type="dxa"/>
            <w:vAlign w:val="bottom"/>
          </w:tcPr>
          <w:p>
            <w:pPr>
              <w:ind w:left="360"/>
              <w:spacing w:after="0"/>
              <w:rPr>
                <w:sz w:val="20"/>
                <w:szCs w:val="20"/>
                <w:color w:val="auto"/>
              </w:rPr>
            </w:pPr>
            <w:r>
              <w:rPr>
                <w:rFonts w:ascii="Courier New" w:cs="Courier New" w:eastAsia="Courier New" w:hAnsi="Courier New"/>
                <w:sz w:val="14"/>
                <w:szCs w:val="14"/>
                <w:color w:val="auto"/>
              </w:rPr>
              <w:t>1961</w:t>
            </w:r>
          </w:p>
        </w:tc>
        <w:tc>
          <w:tcPr>
            <w:tcW w:w="9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1980" w:type="dxa"/>
            <w:vAlign w:val="bottom"/>
          </w:tcPr>
          <w:p>
            <w:pPr>
              <w:ind w:left="360"/>
              <w:spacing w:after="0"/>
              <w:rPr>
                <w:sz w:val="20"/>
                <w:szCs w:val="20"/>
                <w:color w:val="auto"/>
              </w:rPr>
            </w:pPr>
            <w:r>
              <w:rPr>
                <w:rFonts w:ascii="Courier New" w:cs="Courier New" w:eastAsia="Courier New" w:hAnsi="Courier New"/>
                <w:sz w:val="14"/>
                <w:szCs w:val="14"/>
                <w:color w:val="auto"/>
              </w:rPr>
              <w:t>WFSB</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26th</w:t>
            </w:r>
          </w:p>
        </w:tc>
        <w:tc>
          <w:tcPr>
            <w:tcW w:w="1540" w:type="dxa"/>
            <w:vAlign w:val="bottom"/>
          </w:tcPr>
          <w:p>
            <w:pPr>
              <w:jc w:val="center"/>
              <w:ind w:right="188"/>
              <w:spacing w:after="0"/>
              <w:rPr>
                <w:sz w:val="20"/>
                <w:szCs w:val="20"/>
                <w:color w:val="auto"/>
              </w:rPr>
            </w:pPr>
            <w:r>
              <w:rPr>
                <w:rFonts w:ascii="Courier New" w:cs="Courier New" w:eastAsia="Courier New" w:hAnsi="Courier New"/>
                <w:sz w:val="14"/>
                <w:szCs w:val="14"/>
                <w:color w:val="auto"/>
                <w:w w:val="95"/>
              </w:rPr>
              <w:t>CBS</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Apr. 1,</w:t>
            </w: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Apr. 10,</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VHF-2</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VHF-2</w:t>
            </w:r>
          </w:p>
        </w:tc>
      </w:tr>
      <w:tr>
        <w:trPr>
          <w:trHeight w:val="166"/>
        </w:trPr>
        <w:tc>
          <w:tcPr>
            <w:tcW w:w="1980" w:type="dxa"/>
            <w:vAlign w:val="bottom"/>
          </w:tcPr>
          <w:p>
            <w:pPr>
              <w:ind w:left="360"/>
              <w:spacing w:after="0"/>
              <w:rPr>
                <w:sz w:val="20"/>
                <w:szCs w:val="20"/>
                <w:color w:val="auto"/>
              </w:rPr>
            </w:pPr>
            <w:r>
              <w:rPr>
                <w:rFonts w:ascii="Courier New" w:cs="Courier New" w:eastAsia="Courier New" w:hAnsi="Courier New"/>
                <w:sz w:val="14"/>
                <w:szCs w:val="14"/>
                <w:color w:val="auto"/>
              </w:rPr>
              <w:t>Hartford, Conn.</w:t>
            </w:r>
          </w:p>
        </w:tc>
        <w:tc>
          <w:tcPr>
            <w:tcW w:w="9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1999</w:t>
            </w:r>
          </w:p>
        </w:tc>
        <w:tc>
          <w:tcPr>
            <w:tcW w:w="1240" w:type="dxa"/>
            <w:vAlign w:val="bottom"/>
          </w:tcPr>
          <w:p>
            <w:pPr>
              <w:ind w:left="340"/>
              <w:spacing w:after="0"/>
              <w:rPr>
                <w:sz w:val="20"/>
                <w:szCs w:val="20"/>
                <w:color w:val="auto"/>
              </w:rPr>
            </w:pPr>
            <w:r>
              <w:rPr>
                <w:rFonts w:ascii="Courier New" w:cs="Courier New" w:eastAsia="Courier New" w:hAnsi="Courier New"/>
                <w:sz w:val="14"/>
                <w:szCs w:val="14"/>
                <w:color w:val="auto"/>
              </w:rPr>
              <w:t>2002</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UHF-6</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UHF-4</w:t>
            </w:r>
          </w:p>
        </w:tc>
      </w:tr>
      <w:tr>
        <w:trPr>
          <w:trHeight w:val="166"/>
        </w:trPr>
        <w:tc>
          <w:tcPr>
            <w:tcW w:w="1980" w:type="dxa"/>
            <w:vAlign w:val="bottom"/>
          </w:tcPr>
          <w:p>
            <w:pPr>
              <w:ind w:left="360"/>
              <w:spacing w:after="0"/>
              <w:rPr>
                <w:sz w:val="20"/>
                <w:szCs w:val="20"/>
                <w:color w:val="auto"/>
              </w:rPr>
            </w:pPr>
            <w:r>
              <w:rPr>
                <w:rFonts w:ascii="Courier New" w:cs="Courier New" w:eastAsia="Courier New" w:hAnsi="Courier New"/>
                <w:sz w:val="14"/>
                <w:szCs w:val="14"/>
                <w:color w:val="auto"/>
              </w:rPr>
              <w:t>1957</w:t>
            </w:r>
          </w:p>
        </w:tc>
        <w:tc>
          <w:tcPr>
            <w:tcW w:w="9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1980" w:type="dxa"/>
            <w:vAlign w:val="bottom"/>
          </w:tcPr>
          <w:p>
            <w:pPr>
              <w:ind w:left="360"/>
              <w:spacing w:after="0"/>
              <w:rPr>
                <w:sz w:val="20"/>
                <w:szCs w:val="20"/>
                <w:color w:val="auto"/>
              </w:rPr>
            </w:pPr>
            <w:r>
              <w:rPr>
                <w:rFonts w:ascii="Courier New" w:cs="Courier New" w:eastAsia="Courier New" w:hAnsi="Courier New"/>
                <w:sz w:val="14"/>
                <w:szCs w:val="14"/>
                <w:color w:val="auto"/>
              </w:rPr>
              <w:t>KSAT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39th</w:t>
            </w:r>
          </w:p>
        </w:tc>
        <w:tc>
          <w:tcPr>
            <w:tcW w:w="1540" w:type="dxa"/>
            <w:vAlign w:val="bottom"/>
          </w:tcPr>
          <w:p>
            <w:pPr>
              <w:jc w:val="center"/>
              <w:ind w:right="188"/>
              <w:spacing w:after="0"/>
              <w:rPr>
                <w:sz w:val="20"/>
                <w:szCs w:val="20"/>
                <w:color w:val="auto"/>
              </w:rPr>
            </w:pPr>
            <w:r>
              <w:rPr>
                <w:rFonts w:ascii="Courier New" w:cs="Courier New" w:eastAsia="Courier New" w:hAnsi="Courier New"/>
                <w:sz w:val="14"/>
                <w:szCs w:val="14"/>
                <w:color w:val="auto"/>
                <w:w w:val="95"/>
              </w:rPr>
              <w:t>ABC</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Aug. 1,</w:t>
            </w: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Dec. 31,</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VHF-4</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VHF-3</w:t>
            </w:r>
          </w:p>
        </w:tc>
      </w:tr>
      <w:tr>
        <w:trPr>
          <w:trHeight w:val="166"/>
        </w:trPr>
        <w:tc>
          <w:tcPr>
            <w:tcW w:w="1980" w:type="dxa"/>
            <w:vAlign w:val="bottom"/>
          </w:tcPr>
          <w:p>
            <w:pPr>
              <w:ind w:left="360"/>
              <w:spacing w:after="0"/>
              <w:rPr>
                <w:sz w:val="20"/>
                <w:szCs w:val="20"/>
                <w:color w:val="auto"/>
              </w:rPr>
            </w:pPr>
            <w:r>
              <w:rPr>
                <w:rFonts w:ascii="Courier New" w:cs="Courier New" w:eastAsia="Courier New" w:hAnsi="Courier New"/>
                <w:sz w:val="14"/>
                <w:szCs w:val="14"/>
                <w:color w:val="auto"/>
              </w:rPr>
              <w:t>San Antonio, Tx.</w:t>
            </w:r>
          </w:p>
        </w:tc>
        <w:tc>
          <w:tcPr>
            <w:tcW w:w="9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1998</w:t>
            </w:r>
          </w:p>
        </w:tc>
        <w:tc>
          <w:tcPr>
            <w:tcW w:w="1240" w:type="dxa"/>
            <w:vAlign w:val="bottom"/>
          </w:tcPr>
          <w:p>
            <w:pPr>
              <w:ind w:left="340"/>
              <w:spacing w:after="0"/>
              <w:rPr>
                <w:sz w:val="20"/>
                <w:szCs w:val="20"/>
                <w:color w:val="auto"/>
              </w:rPr>
            </w:pPr>
            <w:r>
              <w:rPr>
                <w:rFonts w:ascii="Courier New" w:cs="Courier New" w:eastAsia="Courier New" w:hAnsi="Courier New"/>
                <w:sz w:val="14"/>
                <w:szCs w:val="14"/>
                <w:color w:val="auto"/>
              </w:rPr>
              <w:t>2004</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UHF-7</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UHF-5</w:t>
            </w:r>
          </w:p>
        </w:tc>
      </w:tr>
      <w:tr>
        <w:trPr>
          <w:trHeight w:val="166"/>
        </w:trPr>
        <w:tc>
          <w:tcPr>
            <w:tcW w:w="1980" w:type="dxa"/>
            <w:vAlign w:val="bottom"/>
          </w:tcPr>
          <w:p>
            <w:pPr>
              <w:ind w:left="360"/>
              <w:spacing w:after="0"/>
              <w:rPr>
                <w:sz w:val="20"/>
                <w:szCs w:val="20"/>
                <w:color w:val="auto"/>
              </w:rPr>
            </w:pPr>
            <w:r>
              <w:rPr>
                <w:rFonts w:ascii="Courier New" w:cs="Courier New" w:eastAsia="Courier New" w:hAnsi="Courier New"/>
                <w:sz w:val="14"/>
                <w:szCs w:val="14"/>
                <w:color w:val="auto"/>
              </w:rPr>
              <w:t>1957</w:t>
            </w:r>
          </w:p>
        </w:tc>
        <w:tc>
          <w:tcPr>
            <w:tcW w:w="9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1980" w:type="dxa"/>
            <w:vAlign w:val="bottom"/>
          </w:tcPr>
          <w:p>
            <w:pPr>
              <w:ind w:left="360"/>
              <w:spacing w:after="0"/>
              <w:rPr>
                <w:sz w:val="20"/>
                <w:szCs w:val="20"/>
                <w:color w:val="auto"/>
              </w:rPr>
            </w:pPr>
            <w:r>
              <w:rPr>
                <w:rFonts w:ascii="Courier New" w:cs="Courier New" w:eastAsia="Courier New" w:hAnsi="Courier New"/>
                <w:sz w:val="14"/>
                <w:szCs w:val="14"/>
                <w:color w:val="auto"/>
              </w:rPr>
              <w:t>WJXT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55th</w:t>
            </w:r>
          </w:p>
        </w:tc>
        <w:tc>
          <w:tcPr>
            <w:tcW w:w="1540" w:type="dxa"/>
            <w:vAlign w:val="bottom"/>
          </w:tcPr>
          <w:p>
            <w:pPr>
              <w:jc w:val="center"/>
              <w:ind w:right="188"/>
              <w:spacing w:after="0"/>
              <w:rPr>
                <w:sz w:val="20"/>
                <w:szCs w:val="20"/>
                <w:color w:val="auto"/>
              </w:rPr>
            </w:pPr>
            <w:r>
              <w:rPr>
                <w:rFonts w:ascii="Courier New" w:cs="Courier New" w:eastAsia="Courier New" w:hAnsi="Courier New"/>
                <w:sz w:val="14"/>
                <w:szCs w:val="14"/>
                <w:color w:val="auto"/>
                <w:w w:val="95"/>
              </w:rPr>
              <w:t>CBS</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Feb. 1,</w:t>
            </w: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July 10,</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VHF-2</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VHF-2</w:t>
            </w:r>
          </w:p>
        </w:tc>
      </w:tr>
      <w:tr>
        <w:trPr>
          <w:trHeight w:val="166"/>
        </w:trPr>
        <w:tc>
          <w:tcPr>
            <w:tcW w:w="1980" w:type="dxa"/>
            <w:vAlign w:val="bottom"/>
          </w:tcPr>
          <w:p>
            <w:pPr>
              <w:ind w:left="360"/>
              <w:spacing w:after="0"/>
              <w:rPr>
                <w:sz w:val="20"/>
                <w:szCs w:val="20"/>
                <w:color w:val="auto"/>
              </w:rPr>
            </w:pPr>
            <w:r>
              <w:rPr>
                <w:rFonts w:ascii="Courier New" w:cs="Courier New" w:eastAsia="Courier New" w:hAnsi="Courier New"/>
                <w:sz w:val="14"/>
                <w:szCs w:val="14"/>
                <w:color w:val="auto"/>
              </w:rPr>
              <w:t>Jacksonville, Fla.</w:t>
            </w:r>
          </w:p>
        </w:tc>
        <w:tc>
          <w:tcPr>
            <w:tcW w:w="9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1997</w:t>
            </w:r>
          </w:p>
        </w:tc>
        <w:tc>
          <w:tcPr>
            <w:tcW w:w="1240" w:type="dxa"/>
            <w:vAlign w:val="bottom"/>
          </w:tcPr>
          <w:p>
            <w:pPr>
              <w:ind w:left="420"/>
              <w:spacing w:after="0"/>
              <w:rPr>
                <w:sz w:val="20"/>
                <w:szCs w:val="20"/>
                <w:color w:val="auto"/>
              </w:rPr>
            </w:pPr>
            <w:r>
              <w:rPr>
                <w:rFonts w:ascii="Courier New" w:cs="Courier New" w:eastAsia="Courier New" w:hAnsi="Courier New"/>
                <w:sz w:val="14"/>
                <w:szCs w:val="14"/>
                <w:color w:val="auto"/>
              </w:rPr>
              <w:t>2001</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UHF-6</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UHF-4</w:t>
            </w:r>
          </w:p>
        </w:tc>
      </w:tr>
      <w:tr>
        <w:trPr>
          <w:trHeight w:val="166"/>
        </w:trPr>
        <w:tc>
          <w:tcPr>
            <w:tcW w:w="1980" w:type="dxa"/>
            <w:vAlign w:val="bottom"/>
          </w:tcPr>
          <w:p>
            <w:pPr>
              <w:ind w:left="360"/>
              <w:spacing w:after="0"/>
              <w:rPr>
                <w:sz w:val="20"/>
                <w:szCs w:val="20"/>
                <w:color w:val="auto"/>
              </w:rPr>
            </w:pPr>
            <w:r>
              <w:rPr>
                <w:rFonts w:ascii="Courier New" w:cs="Courier New" w:eastAsia="Courier New" w:hAnsi="Courier New"/>
                <w:sz w:val="14"/>
                <w:szCs w:val="14"/>
                <w:color w:val="auto"/>
              </w:rPr>
              <w:t>1947</w:t>
            </w:r>
          </w:p>
        </w:tc>
        <w:tc>
          <w:tcPr>
            <w:tcW w:w="9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r>
    </w:tbl>
    <w:p>
      <w:pPr>
        <w:spacing w:after="0" w:line="170"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620" w:right="3700" w:firstLine="336"/>
        <w:spacing w:after="0" w:line="255" w:lineRule="auto"/>
        <w:tabs>
          <w:tab w:leader="none" w:pos="130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Source: 1994/95 DMA Market Rankings, Nielsen Media Research, Fall 1994, based on television homes in DMA (see note (b) below).</w:t>
      </w:r>
    </w:p>
    <w:p>
      <w:pPr>
        <w:spacing w:after="0" w:line="159" w:lineRule="exact"/>
        <w:rPr>
          <w:rFonts w:ascii="Courier New" w:cs="Courier New" w:eastAsia="Courier New" w:hAnsi="Courier New"/>
          <w:sz w:val="14"/>
          <w:szCs w:val="14"/>
          <w:color w:val="auto"/>
        </w:rPr>
      </w:pPr>
    </w:p>
    <w:p>
      <w:pPr>
        <w:ind w:left="620" w:right="3340" w:firstLine="336"/>
        <w:spacing w:after="0" w:line="252" w:lineRule="auto"/>
        <w:tabs>
          <w:tab w:leader="none" w:pos="130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Designated Market Area ("DMA") is a market designation of A.C. Nielsen which defines each television market exclusive of another, based on measured viewing patterns.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60"/>
          </w:cols>
          <w:pgMar w:left="300" w:top="285" w:right="1439"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jc w:val="both"/>
        <w:ind w:right="3599" w:firstLine="603"/>
        <w:spacing w:after="0" w:line="252" w:lineRule="auto"/>
        <w:rPr>
          <w:sz w:val="20"/>
          <w:szCs w:val="20"/>
          <w:color w:val="auto"/>
        </w:rPr>
      </w:pPr>
      <w:r>
        <w:rPr>
          <w:rFonts w:ascii="Courier New" w:cs="Courier New" w:eastAsia="Courier New" w:hAnsi="Courier New"/>
          <w:sz w:val="14"/>
          <w:szCs w:val="14"/>
          <w:color w:val="auto"/>
        </w:rPr>
        <w:t>On April 22, 1994, subsidiaries of the Company acquired the assets of television stations KPRC-TV, in Houston, Texas, and KSAT-TV, in San Antonio, Texas, for an aggregate cash purchase price of approximately $253 million.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REGULATION OF BROADCASTING AND RELATED MATTERS</w:t>
      </w:r>
    </w:p>
    <w:p>
      <w:pPr>
        <w:spacing w:after="0" w:line="173" w:lineRule="exact"/>
        <w:rPr>
          <w:sz w:val="20"/>
          <w:szCs w:val="20"/>
          <w:color w:val="auto"/>
        </w:rPr>
      </w:pPr>
    </w:p>
    <w:p>
      <w:pPr>
        <w:ind w:right="3439" w:firstLine="603"/>
        <w:spacing w:after="0" w:line="251" w:lineRule="auto"/>
        <w:rPr>
          <w:sz w:val="20"/>
          <w:szCs w:val="20"/>
          <w:color w:val="auto"/>
        </w:rPr>
      </w:pPr>
      <w:r>
        <w:rPr>
          <w:rFonts w:ascii="Courier New" w:cs="Courier New" w:eastAsia="Courier New" w:hAnsi="Courier New"/>
          <w:sz w:val="14"/>
          <w:szCs w:val="14"/>
          <w:color w:val="auto"/>
        </w:rPr>
        <w:t>The Company's television broadcasting operations are subject to the jurisdiction of the FCC under the Communications Act of 1934, as amended. Under authority of such Act the FCC, among other things, assigns frequency bands for broadcast and other uses; issues, revokes, modifies and renews broadcasting licenses for particular frequencies; determines the location and power of stations and establishes areas to be served; regulates equipment used by stations; and adopts and implements regulations and policies which directly or indirectly affect the ownership, operations and profitability of broadcasting stations.</w:t>
      </w:r>
    </w:p>
    <w:p>
      <w:pPr>
        <w:spacing w:after="0" w:line="163" w:lineRule="exact"/>
        <w:rPr>
          <w:sz w:val="20"/>
          <w:szCs w:val="20"/>
          <w:color w:val="auto"/>
        </w:rPr>
      </w:pPr>
    </w:p>
    <w:p>
      <w:pPr>
        <w:ind w:right="3439" w:firstLine="603"/>
        <w:spacing w:after="0" w:line="255" w:lineRule="auto"/>
        <w:rPr>
          <w:sz w:val="20"/>
          <w:szCs w:val="20"/>
          <w:color w:val="auto"/>
        </w:rPr>
      </w:pPr>
      <w:r>
        <w:rPr>
          <w:rFonts w:ascii="Courier New" w:cs="Courier New" w:eastAsia="Courier New" w:hAnsi="Courier New"/>
          <w:sz w:val="14"/>
          <w:szCs w:val="14"/>
          <w:color w:val="auto"/>
        </w:rPr>
        <w:t>Each of the Company's television stations holds a license valid for a period of five years which is renewable upon application for a similar period.</w:t>
      </w:r>
    </w:p>
    <w:p>
      <w:pPr>
        <w:spacing w:after="0" w:line="160" w:lineRule="exact"/>
        <w:rPr>
          <w:sz w:val="20"/>
          <w:szCs w:val="20"/>
          <w:color w:val="auto"/>
        </w:rPr>
      </w:pPr>
    </w:p>
    <w:p>
      <w:pPr>
        <w:ind w:right="3339" w:firstLine="603"/>
        <w:spacing w:after="0" w:line="250" w:lineRule="auto"/>
        <w:rPr>
          <w:sz w:val="20"/>
          <w:szCs w:val="20"/>
          <w:color w:val="auto"/>
        </w:rPr>
      </w:pPr>
      <w:r>
        <w:rPr>
          <w:rFonts w:ascii="Courier New" w:cs="Courier New" w:eastAsia="Courier New" w:hAnsi="Courier New"/>
          <w:sz w:val="14"/>
          <w:szCs w:val="14"/>
          <w:color w:val="auto"/>
        </w:rPr>
        <w:t>The FCC is conducting proceedings dealing with such matters as the standards to be applied to broadcast renewal applications, various broadcast network regulations, multiple ownership restrictions, regulations pertaining to cable television operations (discussed below under "Cable Television Division Regulation of Cable Television and Related Matters"), whether to allocate additional radio spectrum to existing broadcasting stations to enable them to implement advanced television ("ATV") technologies, whether to adopt a uniform ATV broadcast transmission standard for television and impose requirements on existing television stations to activate ATV channels and ultimately to turn back to the FCC their existing conventional television channels, and various proposals to further the development of alternative video delivery systems that would compete in varying degrees with both cable television and television broadcasting operations. Various leaders in Congress have proposed to revamp and relax the broadcast ownership restrictions and to permit broadcasters to use part of their new ATV spectrum for ancillary services (subject to the payment of fees to the federal government for services that are subscriber-based). In addition, the Clinton Administration has suggested that broadcasters be required to provide free time for political candidates. The Company cannot predict the resolution of these and various other matters although, depending upon their outcome, they could affect the Company's television broadcasting interests either adversely or favorably.</w:t>
      </w:r>
    </w:p>
    <w:p>
      <w:pPr>
        <w:spacing w:after="0" w:line="174"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CABLE TELEVISION DIVISION</w:t>
      </w:r>
    </w:p>
    <w:p>
      <w:pPr>
        <w:spacing w:after="0" w:line="173" w:lineRule="exact"/>
        <w:rPr>
          <w:sz w:val="20"/>
          <w:szCs w:val="20"/>
          <w:color w:val="auto"/>
        </w:rPr>
      </w:pPr>
    </w:p>
    <w:p>
      <w:pPr>
        <w:ind w:right="3439" w:firstLine="603"/>
        <w:spacing w:after="0" w:line="251" w:lineRule="auto"/>
        <w:rPr>
          <w:sz w:val="20"/>
          <w:szCs w:val="20"/>
          <w:color w:val="auto"/>
        </w:rPr>
      </w:pPr>
      <w:r>
        <w:rPr>
          <w:rFonts w:ascii="Courier New" w:cs="Courier New" w:eastAsia="Courier New" w:hAnsi="Courier New"/>
          <w:sz w:val="14"/>
          <w:szCs w:val="14"/>
          <w:color w:val="auto"/>
        </w:rPr>
        <w:t>As of the end of 1994 the Company (through subsidiaries) provided basic cable service to approximately 498,000 subscribers (representing about 71% of the 700,000 homes passed by the systems) and had in force more than 294,000 subscriptions to premium program services. The Company's cable systems are located in 15 Midwestern, Southern and Western states and typically serve smaller communities; thus 30 of the Company's systems pass fewer than 10,000 dwelling units, 13 pass 10,000-25,000 dwelling units, and only nine pass more than 25,000 dwelling units, of which the two largest are in Modesto and Santa Rosa, California, each serving more than 45,000 basic subscribers.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REGULATION OF CABLE TELEVISION AND RELATED MATTERS</w:t>
      </w:r>
    </w:p>
    <w:p>
      <w:pPr>
        <w:spacing w:after="0" w:line="173" w:lineRule="exact"/>
        <w:rPr>
          <w:sz w:val="20"/>
          <w:szCs w:val="20"/>
          <w:color w:val="auto"/>
        </w:rPr>
      </w:pPr>
    </w:p>
    <w:p>
      <w:pPr>
        <w:ind w:right="3519" w:firstLine="603"/>
        <w:spacing w:after="0" w:line="252" w:lineRule="auto"/>
        <w:rPr>
          <w:sz w:val="20"/>
          <w:szCs w:val="20"/>
          <w:color w:val="auto"/>
        </w:rPr>
      </w:pPr>
      <w:r>
        <w:rPr>
          <w:rFonts w:ascii="Courier New" w:cs="Courier New" w:eastAsia="Courier New" w:hAnsi="Courier New"/>
          <w:sz w:val="14"/>
          <w:szCs w:val="14"/>
          <w:color w:val="auto"/>
        </w:rPr>
        <w:t>The Company's cable operations are subject to various requirements imposed by local, state and federal governmental authorities. The franchises granted by local governmental authorities are typically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285"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nonexclusive and limited in time and generally contain various conditions and limitations relating to payment of fees to the local authority, determined generally as a percentage of revenues. Additionally, franchises often regulate the conditions of service and technical performance, and contain various types of restrictions on transferability. Failure to comply with such conditions and limitations may give rise to rights of termination by the franchising authority.</w:t>
      </w:r>
    </w:p>
    <w:p>
      <w:pPr>
        <w:spacing w:after="0" w:line="330" w:lineRule="exact"/>
        <w:rPr>
          <w:sz w:val="20"/>
          <w:szCs w:val="20"/>
          <w:color w:val="auto"/>
        </w:rPr>
      </w:pPr>
    </w:p>
    <w:p>
      <w:pPr>
        <w:ind w:right="3519" w:firstLine="603"/>
        <w:spacing w:after="0" w:line="250" w:lineRule="auto"/>
        <w:rPr>
          <w:sz w:val="20"/>
          <w:szCs w:val="20"/>
          <w:color w:val="auto"/>
        </w:rPr>
      </w:pPr>
      <w:r>
        <w:rPr>
          <w:rFonts w:ascii="Courier New" w:cs="Courier New" w:eastAsia="Courier New" w:hAnsi="Courier New"/>
          <w:sz w:val="14"/>
          <w:szCs w:val="14"/>
          <w:color w:val="auto"/>
        </w:rPr>
        <w:t>The Cable Television Consumer Protection and Competition Act of 1992 (the "1992 Cable Act"), requires or authorizes the imposition of a wide range of regulations on cable television operations. The three major areas of regulation are (i) the rates charged for certain cable television services,</w:t>
      </w:r>
    </w:p>
    <w:p>
      <w:pPr>
        <w:spacing w:after="0" w:line="2" w:lineRule="exact"/>
        <w:rPr>
          <w:sz w:val="20"/>
          <w:szCs w:val="20"/>
          <w:color w:val="auto"/>
        </w:rPr>
      </w:pPr>
    </w:p>
    <w:p>
      <w:pPr>
        <w:ind w:left="440" w:hanging="432"/>
        <w:spacing w:after="0"/>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required carriage ("must carry") of some local broadcast stations, and</w:t>
      </w:r>
    </w:p>
    <w:p>
      <w:pPr>
        <w:spacing w:after="0" w:line="6"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retransmission consent rights for commercial broadcast stations.</w:t>
      </w:r>
    </w:p>
    <w:p>
      <w:pPr>
        <w:spacing w:after="0" w:line="173" w:lineRule="exact"/>
        <w:rPr>
          <w:sz w:val="20"/>
          <w:szCs w:val="20"/>
          <w:color w:val="auto"/>
        </w:rPr>
      </w:pPr>
    </w:p>
    <w:p>
      <w:pPr>
        <w:ind w:right="3339" w:firstLine="603"/>
        <w:spacing w:after="0" w:line="250" w:lineRule="auto"/>
        <w:rPr>
          <w:sz w:val="20"/>
          <w:szCs w:val="20"/>
          <w:color w:val="auto"/>
        </w:rPr>
      </w:pPr>
      <w:r>
        <w:rPr>
          <w:rFonts w:ascii="Courier New" w:cs="Courier New" w:eastAsia="Courier New" w:hAnsi="Courier New"/>
          <w:sz w:val="14"/>
          <w:szCs w:val="14"/>
          <w:color w:val="auto"/>
        </w:rPr>
        <w:t>Except in relatively rare instances of "effective competition" (defined in the 1992 Cable Act as the presence of another cable operator or another multichannel video service serving specified levels of customers in the same community), monthly subscription rates for the basic tier of cable service may be regulated by municipalities, subject to procedures and criteria established by the FCC, and the FCC may regulate the rates charged for optional tiers of service. Rates charged by cable television systems for pay-per-view service, for per-channel premium program services and for advertising are all exempt from regulation under the 1992 Cable Act. Cable television systems may also add channels to an unregulated new product tier, but the channels must be new to the system as of October 1, 1994. In April 1993 the FCC announced a "freeze" on rate increases for regulated services (i.e., the basic and optional tiers) and promulgated benchmarks for determining the reasonableness of rates for such services. The FCC expected that these initial benchmarks, which took effect on September 1, 1993, would produce an overall average reduction of 10% in the rates charged for regulated services. The FCC's benchmarks were widely criticized by some for being too stringent and by others for being too permissive. On March 30, 1994, acting on petitions to reconsider the original benchmarks, the FCC adopted revisions designed to reduce overall rates for regulated services by, on average, an additional 7%. These revised regulations took effect on May 15, 1994, when the freeze on rate increases expired. Under the FCC's approach cable operators may exceed the benchmarks if they can show in a cost-of-service proceeding that higher rates are needed to earn a reasonable return on investment. Also on March 30, 1994, the FCC announced the adoption of rules to implement the cost-of-service standard; among other things these rules establish an interim industry-wide rate of return of 11.25%. More recently, the FCC adopted so-called "going forward" rules which allow cable operators to adjust rates for regulated services when new channels are added. Various parties have sought judicial review of the FCC's rate regulation decisions.</w:t>
      </w:r>
    </w:p>
    <w:p>
      <w:pPr>
        <w:spacing w:after="0" w:line="342"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Pursuant to the "must-carry" rules a commercial television broadcast station may, under certain circumstances, insist on carriage of its signal on cable systems located within the station's market area, while a noncommercial public station may insist on carriage of its signal on cable systems located within either the station's predicted Grade B contour or 50 miles of the station's transmitter. As a result of these obligations (the constitutionality of which is presently under judicial review) certain of the Company's cable systems have had to add broadcast stations that they might not otherwise have elected to carry, and the freedom the Company's systems would otherwise have to drop signals previously carried has been reduced.</w:t>
      </w:r>
    </w:p>
    <w:p>
      <w:pPr>
        <w:spacing w:after="0" w:line="163" w:lineRule="exact"/>
        <w:rPr>
          <w:sz w:val="20"/>
          <w:szCs w:val="20"/>
          <w:color w:val="auto"/>
        </w:rPr>
      </w:pPr>
    </w:p>
    <w:p>
      <w:pPr>
        <w:ind w:right="3959" w:firstLine="603"/>
        <w:spacing w:after="0" w:line="252" w:lineRule="auto"/>
        <w:rPr>
          <w:sz w:val="20"/>
          <w:szCs w:val="20"/>
          <w:color w:val="auto"/>
        </w:rPr>
      </w:pPr>
      <w:r>
        <w:rPr>
          <w:rFonts w:ascii="Courier New" w:cs="Courier New" w:eastAsia="Courier New" w:hAnsi="Courier New"/>
          <w:sz w:val="14"/>
          <w:szCs w:val="14"/>
          <w:color w:val="auto"/>
        </w:rPr>
        <w:t>Beginning in October 1993 and at three-year intervals thereafter commercial broadcasters may elect to forego must-carry rights and insist instead that their signals not be carried without the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285"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7</w:t>
      </w:r>
    </w:p>
    <w:p>
      <w:pPr>
        <w:spacing w:after="0" w:line="7" w:lineRule="exact"/>
        <w:rPr>
          <w:sz w:val="20"/>
          <w:szCs w:val="20"/>
          <w:color w:val="auto"/>
        </w:rPr>
      </w:pPr>
    </w:p>
    <w:p>
      <w:pPr>
        <w:ind w:right="3439"/>
        <w:spacing w:after="0" w:line="251" w:lineRule="auto"/>
        <w:rPr>
          <w:sz w:val="20"/>
          <w:szCs w:val="20"/>
          <w:color w:val="auto"/>
        </w:rPr>
      </w:pPr>
      <w:r>
        <w:rPr>
          <w:rFonts w:ascii="Courier New" w:cs="Courier New" w:eastAsia="Courier New" w:hAnsi="Courier New"/>
          <w:sz w:val="14"/>
          <w:szCs w:val="14"/>
          <w:color w:val="auto"/>
        </w:rPr>
        <w:t>consent of the stations. Prior to October 1993 some of the broadcast stations carried by the Company's cable television systems opted for retransmission consent and initially took the position that they would not grant consent without commitments by the Company's systems to make cash payments. As a result of case-by-case negotiations, the Company's cable systems were able to continue carrying virtually all of the stations insisting on retransmission consent without having to agree to pay any stations for the privilege of carrying their signals. However some commitments were made to carry other program services offered by a station or an affiliated company, to provide advertising availabilities on cable for sale by a station and to distribute promotional announcements with respect to a station.</w:t>
      </w:r>
    </w:p>
    <w:p>
      <w:pPr>
        <w:spacing w:after="0" w:line="16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Various other matters addressed in the 1992 Cable Act may significantly affect the costs or profits of cable television systems. These matters include a prohibition on exclusive franchises, restrictions on the ownership of competing video delivery services, restrictions on transfers of cable television ownership, new consumer protection measures, new technical and signal quality standards, and various regulations intended to facilitate the development of competing video delivery services.</w:t>
      </w:r>
    </w:p>
    <w:p>
      <w:pPr>
        <w:spacing w:after="0" w:line="164"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In contrast to the 1992 Cable Act, the Cable Communications Policy Act of 1984 (the "1984 Cable Act") restricted regulation of cable television in many significant respects. Important provisions of the 1984 Cable Act that remain in effect after the 1992 Cable Act include a requirement that franchises be granted for reasonable periods of time, various remedies and safeguards to protect cable operators against arbitrary refusals to renew franchises, and a limitation on franchise fees to 5% of revenues.</w:t>
      </w:r>
    </w:p>
    <w:p>
      <w:pPr>
        <w:spacing w:after="0" w:line="164" w:lineRule="exact"/>
        <w:rPr>
          <w:sz w:val="20"/>
          <w:szCs w:val="20"/>
          <w:color w:val="auto"/>
        </w:rPr>
      </w:pPr>
    </w:p>
    <w:p>
      <w:pPr>
        <w:ind w:right="3339" w:firstLine="603"/>
        <w:spacing w:after="0" w:line="250" w:lineRule="auto"/>
        <w:rPr>
          <w:sz w:val="20"/>
          <w:szCs w:val="20"/>
          <w:color w:val="auto"/>
        </w:rPr>
      </w:pPr>
      <w:r>
        <w:rPr>
          <w:rFonts w:ascii="Courier New" w:cs="Courier New" w:eastAsia="Courier New" w:hAnsi="Courier New"/>
          <w:sz w:val="14"/>
          <w:szCs w:val="14"/>
          <w:color w:val="auto"/>
        </w:rPr>
        <w:t>Apart from its authority under the 1992 Cable Act, the FCC regulates various other aspects of cable television operations. Since 1990 cable systems have been required to black out from the distant broadcast stations they carry syndicated programs for which local stations have purchased exclusive rights and request exclusivity. Other long-standing FCC rules require cable systems to delete under certain circumstances duplicative network programs broadcast by distant stations. The FCC also imposes certain technical standards on cable television operators, exercises the power to license various microwave and other radio facilities frequently used in cable television operations, regulates the assignment and transfer of control of such licenses, and oversees compliance with certain affirmative action and equal employment opportunity obligations applicable to cable systems. In addition, pursuant to the Pole Attachment Act the FCC exercises authority to disapprove unreasonable rates charged to cable operators by telephone and power utilities for utilizing space on utility poles or in underground conduits.</w:t>
      </w:r>
    </w:p>
    <w:p>
      <w:pPr>
        <w:spacing w:after="0" w:line="171"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The Copyright Act of 1976 grants to cable television systems, under certain terms and conditions, the right to retransmit the signals of television stations pursuant to a compulsory copyright license. Those terms and conditions include the payment of certain license fees set forth in the statute or established by subsequent administrative regulations. The compulsory license fees have been increased on several occasions since this Act went into effect. In 1994 the availability of the compulsory copyright license was extended to "wireless cable" and direct broadcast satellite operators, although in the latter case the license right is limited to distant broadcast signals imported into a local market. Some pending legislative proposals would modify or eliminate the compulsory copyright licensing scheme, and the FCC and others have urged that the compulsory license be phased out for local or distant broadcast signals or both.</w:t>
      </w:r>
    </w:p>
    <w:p>
      <w:pPr>
        <w:spacing w:after="0" w:line="328" w:lineRule="exact"/>
        <w:rPr>
          <w:sz w:val="20"/>
          <w:szCs w:val="20"/>
          <w:color w:val="auto"/>
        </w:rPr>
      </w:pPr>
    </w:p>
    <w:p>
      <w:pPr>
        <w:ind w:right="3339" w:firstLine="603"/>
        <w:spacing w:after="0" w:line="252" w:lineRule="auto"/>
        <w:rPr>
          <w:sz w:val="20"/>
          <w:szCs w:val="20"/>
          <w:color w:val="auto"/>
        </w:rPr>
      </w:pPr>
      <w:r>
        <w:rPr>
          <w:rFonts w:ascii="Courier New" w:cs="Courier New" w:eastAsia="Courier New" w:hAnsi="Courier New"/>
          <w:sz w:val="14"/>
          <w:szCs w:val="14"/>
          <w:color w:val="auto"/>
        </w:rPr>
        <w:t>Currently telephone companies are generally prohibited by the 1984 Cable Act and certain FCC rules from operating cable systems in areas in which they provide telephone service. However Congress, the courts and the FCC are in varying degrees revisiting this question. The U.S. Courts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285"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8</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Appeals for the Fourth and Ninth Circuits have held that this cross-ownership restriction violates the First Amendment rights of telephone companies, and U.S. District Courts in three other circuits have reached similar conclusions. The FCC has recommended changes in the 1984 Cable Act to permit telephone company ownership of co-located cable systems, and the agency has authorized a "video-dial-tone" service in which telephone companies would provide video programming supplied by others. In light of the federal court decisions, the FCC has also recently proposed rules which would allow telephone companies to supply the programming to be carried on their own video dialtone services. A court consent decree that prohibited the former Bell regional operating companies from offering certain information services, including acting as cable television system operators, has been modified to eliminate those restrictions as a result of which the former Bell regional operating companies are free to provide cable television services outside of their home regions.</w:t>
      </w:r>
    </w:p>
    <w:p>
      <w:pPr>
        <w:spacing w:after="0" w:line="171" w:lineRule="exact"/>
        <w:rPr>
          <w:sz w:val="20"/>
          <w:szCs w:val="20"/>
          <w:color w:val="auto"/>
        </w:rPr>
      </w:pPr>
    </w:p>
    <w:p>
      <w:pPr>
        <w:ind w:right="3439" w:firstLine="603"/>
        <w:spacing w:after="0" w:line="251" w:lineRule="auto"/>
        <w:rPr>
          <w:sz w:val="20"/>
          <w:szCs w:val="20"/>
          <w:color w:val="auto"/>
        </w:rPr>
      </w:pPr>
      <w:r>
        <w:rPr>
          <w:rFonts w:ascii="Courier New" w:cs="Courier New" w:eastAsia="Courier New" w:hAnsi="Courier New"/>
          <w:sz w:val="14"/>
          <w:szCs w:val="14"/>
          <w:color w:val="auto"/>
        </w:rPr>
        <w:t>Litigation is pending in various courts in which prohibitions on cable television operations without a franchise and various franchise requirements are being challenged as unlawful under the First Amendment, the antitrust laws and on other grounds. If successful, such litigation could foster the development and operation of duplicative cable facilities that would compete with existing cable systems.</w:t>
      </w:r>
    </w:p>
    <w:p>
      <w:pPr>
        <w:spacing w:after="0" w:line="164" w:lineRule="exact"/>
        <w:rPr>
          <w:sz w:val="20"/>
          <w:szCs w:val="20"/>
          <w:color w:val="auto"/>
        </w:rPr>
      </w:pPr>
    </w:p>
    <w:p>
      <w:pPr>
        <w:jc w:val="both"/>
        <w:ind w:right="3519" w:firstLine="603"/>
        <w:spacing w:after="0" w:line="252" w:lineRule="auto"/>
        <w:rPr>
          <w:sz w:val="20"/>
          <w:szCs w:val="20"/>
          <w:color w:val="auto"/>
        </w:rPr>
      </w:pPr>
      <w:r>
        <w:rPr>
          <w:rFonts w:ascii="Courier New" w:cs="Courier New" w:eastAsia="Courier New" w:hAnsi="Courier New"/>
          <w:sz w:val="14"/>
          <w:szCs w:val="14"/>
          <w:color w:val="auto"/>
        </w:rPr>
        <w:t>During the last several years the FCC has adopted various rule changes intended to facilitate the development of so-called "wireless cable," a video service capable of distributing as many as 30 television channels in a local area by over-the-air microwave transmission.</w:t>
      </w:r>
    </w:p>
    <w:p>
      <w:pPr>
        <w:spacing w:after="0" w:line="162"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Among the issues currently being considered by Congress are proposals to relax the "effective competition" test and thereby reduce the number of cable television systems subject to rate regulation, abolish rate regulation altogether, and preempt state laws that prevent cable companies and others from providing local telephone service.</w:t>
      </w:r>
    </w:p>
    <w:p>
      <w:pPr>
        <w:spacing w:after="0" w:line="164"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The regulation of certain cable television rates pursuant to the 1992 Cable Act has negatively impacted the revenues of the Company's cable systems as discussed above. The Company cannot predict whether or not the FCC's rate regulation decisions will ultimately be upheld on judicial review. In addition, the Company is unable to predict the outcome of the various other matters discussed above or what effect such matters may ultimately have on its cable television business.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U.K. CABLE TELEVISION OPERATIONS</w:t>
      </w:r>
    </w:p>
    <w:p>
      <w:pPr>
        <w:spacing w:after="0" w:line="173" w:lineRule="exact"/>
        <w:rPr>
          <w:sz w:val="20"/>
          <w:szCs w:val="20"/>
          <w:color w:val="auto"/>
        </w:rPr>
      </w:pPr>
    </w:p>
    <w:p>
      <w:pPr>
        <w:jc w:val="both"/>
        <w:ind w:right="3779" w:firstLine="603"/>
        <w:spacing w:after="0" w:line="255" w:lineRule="auto"/>
        <w:rPr>
          <w:sz w:val="20"/>
          <w:szCs w:val="20"/>
          <w:color w:val="auto"/>
        </w:rPr>
      </w:pPr>
      <w:r>
        <w:rPr>
          <w:rFonts w:ascii="Courier New" w:cs="Courier New" w:eastAsia="Courier New" w:hAnsi="Courier New"/>
          <w:sz w:val="14"/>
          <w:szCs w:val="14"/>
          <w:color w:val="auto"/>
        </w:rPr>
        <w:t>In September 1993 the Company sold its entire interest in companies constructing and operating cable television systems in the United Kingdom.</w:t>
      </w:r>
    </w:p>
    <w:p>
      <w:pPr>
        <w:spacing w:after="0" w:line="160"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MAGAZINE PUBLISHING</w:t>
      </w:r>
    </w:p>
    <w:p>
      <w:pPr>
        <w:spacing w:after="0" w:line="173" w:lineRule="exact"/>
        <w:rPr>
          <w:sz w:val="20"/>
          <w:szCs w:val="20"/>
          <w:color w:val="auto"/>
        </w:rPr>
      </w:pPr>
    </w:p>
    <w:p>
      <w:pPr>
        <w:ind w:right="3519" w:firstLine="603"/>
        <w:spacing w:after="0" w:line="252" w:lineRule="auto"/>
        <w:rPr>
          <w:sz w:val="20"/>
          <w:szCs w:val="20"/>
          <w:color w:val="auto"/>
        </w:rPr>
      </w:pPr>
      <w:r>
        <w:rPr>
          <w:rFonts w:ascii="Courier New" w:cs="Courier New" w:eastAsia="Courier New" w:hAnsi="Courier New"/>
          <w:sz w:val="14"/>
          <w:szCs w:val="14"/>
          <w:color w:val="auto"/>
        </w:rPr>
        <w:t>Newsweek is a weekly news magazine published both domestically and internationally. In gathering, reporting and writing news and other material for publication, Newsweek maintains news bureaus in 10 U.S. and 16 foreign cities.</w:t>
      </w:r>
    </w:p>
    <w:p>
      <w:pPr>
        <w:spacing w:after="0" w:line="327"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The domestic edition of Newsweek is comprised of over 100 different geographic or demographic editions which carry substantially identical news and feature material but enable advertisers to direct messages to specific market areas or demographic groups. Domestically, Newsweek ranks second in circulation among the three leading weekly news magazines (Newsweek, Time and U.S. News &amp; World Report). Its average weekly domestic circulation rate base and its percentage of the total weekly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159"/>
          </w:cols>
          <w:pgMar w:left="300" w:top="285"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9</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domestic circulation rate base of the three leading weekly news magazines for the past five years are set forth in the following table: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NEWSWEEK</w:t>
            </w:r>
          </w:p>
        </w:tc>
        <w:tc>
          <w:tcPr>
            <w:tcW w:w="1380" w:type="dxa"/>
            <w:vAlign w:val="bottom"/>
          </w:tcPr>
          <w:p>
            <w:pPr>
              <w:spacing w:after="0"/>
              <w:rPr>
                <w:sz w:val="14"/>
                <w:szCs w:val="14"/>
                <w:color w:val="auto"/>
              </w:rPr>
            </w:pPr>
          </w:p>
        </w:tc>
      </w:tr>
      <w:tr>
        <w:trPr>
          <w:trHeight w:val="166"/>
        </w:trPr>
        <w:tc>
          <w:tcPr>
            <w:tcW w:w="3860" w:type="dxa"/>
            <w:vAlign w:val="bottom"/>
          </w:tcPr>
          <w:p>
            <w:pPr>
              <w:spacing w:after="0"/>
              <w:rPr>
                <w:sz w:val="14"/>
                <w:szCs w:val="14"/>
                <w:color w:val="auto"/>
              </w:rPr>
            </w:pP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AVERAGE WEEKLY</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PERCENTAGE OF</w:t>
            </w:r>
          </w:p>
        </w:tc>
      </w:tr>
      <w:tr>
        <w:trPr>
          <w:trHeight w:val="166"/>
        </w:trPr>
        <w:tc>
          <w:tcPr>
            <w:tcW w:w="3860" w:type="dxa"/>
            <w:vAlign w:val="bottom"/>
          </w:tcPr>
          <w:p>
            <w:pPr>
              <w:spacing w:after="0"/>
              <w:rPr>
                <w:sz w:val="14"/>
                <w:szCs w:val="14"/>
                <w:color w:val="auto"/>
              </w:rPr>
            </w:pP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CIRCULATION</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THREE LEADING</w:t>
            </w:r>
          </w:p>
        </w:tc>
      </w:tr>
      <w:tr>
        <w:trPr>
          <w:trHeight w:val="166"/>
        </w:trPr>
        <w:tc>
          <w:tcPr>
            <w:tcW w:w="3860" w:type="dxa"/>
            <w:vAlign w:val="bottom"/>
          </w:tcPr>
          <w:p>
            <w:pPr>
              <w:spacing w:after="0"/>
              <w:rPr>
                <w:sz w:val="14"/>
                <w:szCs w:val="14"/>
                <w:color w:val="auto"/>
              </w:rPr>
            </w:pP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RATE BASE</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NEWS MAGAZINES</w:t>
            </w:r>
          </w:p>
        </w:tc>
      </w:tr>
      <w:tr>
        <w:trPr>
          <w:trHeight w:val="166"/>
        </w:trPr>
        <w:tc>
          <w:tcPr>
            <w:tcW w:w="3860" w:type="dxa"/>
            <w:vAlign w:val="bottom"/>
          </w:tcPr>
          <w:p>
            <w:pPr>
              <w:spacing w:after="0"/>
              <w:rPr>
                <w:sz w:val="14"/>
                <w:szCs w:val="14"/>
                <w:color w:val="auto"/>
              </w:rPr>
            </w:pP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331"/>
        </w:trPr>
        <w:tc>
          <w:tcPr>
            <w:tcW w:w="3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1990  . . . . . . . . . . . . . . . . . .</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32.9%</w:t>
            </w:r>
          </w:p>
        </w:tc>
      </w:tr>
      <w:tr>
        <w:trPr>
          <w:trHeight w:val="166"/>
        </w:trPr>
        <w:tc>
          <w:tcPr>
            <w:tcW w:w="3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1991  . . . . . . . . . . . . . . . . . .</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34.1%</w:t>
            </w:r>
          </w:p>
        </w:tc>
      </w:tr>
      <w:tr>
        <w:trPr>
          <w:trHeight w:val="166"/>
        </w:trPr>
        <w:tc>
          <w:tcPr>
            <w:tcW w:w="3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1992  . . . . . . . . . . . . . . . . . .</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33.2%</w:t>
            </w:r>
          </w:p>
        </w:tc>
      </w:tr>
      <w:tr>
        <w:trPr>
          <w:trHeight w:val="166"/>
        </w:trPr>
        <w:tc>
          <w:tcPr>
            <w:tcW w:w="3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1993  . . . . . . . . . . . . . . . . . .</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32.7%</w:t>
            </w:r>
          </w:p>
        </w:tc>
      </w:tr>
      <w:tr>
        <w:trPr>
          <w:trHeight w:val="166"/>
        </w:trPr>
        <w:tc>
          <w:tcPr>
            <w:tcW w:w="3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1994  . . . . . . . . . . . . . . . . . .</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33.0%</w:t>
            </w:r>
          </w:p>
        </w:tc>
      </w:tr>
    </w:tbl>
    <w:p>
      <w:pPr>
        <w:spacing w:after="0" w:line="335"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Newsweek is sold on newsstands and through subscription mail order sales derived from a number of sources, principally direct mail promotion. The basic one-year subscription price is $41.08. During 1994 most subscriptions were sold at a discount from the basic price. Since January 1992 Newsweek's newsstand price has been $2.95 per copy.</w:t>
      </w:r>
    </w:p>
    <w:p>
      <w:pPr>
        <w:spacing w:after="0" w:line="164" w:lineRule="exact"/>
        <w:rPr>
          <w:sz w:val="20"/>
          <w:szCs w:val="20"/>
          <w:color w:val="auto"/>
        </w:rPr>
      </w:pPr>
    </w:p>
    <w:p>
      <w:pPr>
        <w:ind w:right="3519" w:firstLine="603"/>
        <w:spacing w:after="0" w:line="251" w:lineRule="auto"/>
        <w:rPr>
          <w:sz w:val="20"/>
          <w:szCs w:val="20"/>
          <w:color w:val="auto"/>
        </w:rPr>
      </w:pPr>
      <w:r>
        <w:rPr>
          <w:rFonts w:ascii="Courier New" w:cs="Courier New" w:eastAsia="Courier New" w:hAnsi="Courier New"/>
          <w:sz w:val="14"/>
          <w:szCs w:val="14"/>
          <w:color w:val="auto"/>
        </w:rPr>
        <w:t>The total number of Newsweek's domestic advertising pages and gross domestic advertising revenues as reported by Publishers' Information Bureau, Inc., together with Newsweek's percentages of the total number of advertising pages and total advertising revenues of the three leading weekly news magazines, for the past five years have been as follows:</w:t>
      </w:r>
    </w:p>
    <w:p>
      <w:pPr>
        <w:spacing w:after="0" w:line="200" w:lineRule="exact"/>
        <w:rPr>
          <w:sz w:val="20"/>
          <w:szCs w:val="20"/>
          <w:color w:val="auto"/>
        </w:rPr>
      </w:pPr>
    </w:p>
    <w:p>
      <w:pPr>
        <w:spacing w:after="0" w:line="295"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NEWSWEEK</w:t>
            </w:r>
          </w:p>
        </w:tc>
      </w:tr>
      <w:tr>
        <w:trPr>
          <w:trHeight w:val="166"/>
        </w:trPr>
        <w:tc>
          <w:tcPr>
            <w:tcW w:w="3480" w:type="dxa"/>
            <w:vAlign w:val="bottom"/>
          </w:tcPr>
          <w:p>
            <w:pPr>
              <w:spacing w:after="0"/>
              <w:rPr>
                <w:sz w:val="14"/>
                <w:szCs w:val="14"/>
                <w:color w:val="auto"/>
              </w:rPr>
            </w:pP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NEWSWEEK</w:t>
            </w:r>
          </w:p>
        </w:tc>
        <w:tc>
          <w:tcPr>
            <w:tcW w:w="1540" w:type="dxa"/>
            <w:vAlign w:val="bottom"/>
          </w:tcPr>
          <w:p>
            <w:pPr>
              <w:ind w:left="200"/>
              <w:spacing w:after="0"/>
              <w:rPr>
                <w:sz w:val="20"/>
                <w:szCs w:val="20"/>
                <w:color w:val="auto"/>
              </w:rPr>
            </w:pPr>
            <w:r>
              <w:rPr>
                <w:rFonts w:ascii="Courier New" w:cs="Courier New" w:eastAsia="Courier New" w:hAnsi="Courier New"/>
                <w:sz w:val="14"/>
                <w:szCs w:val="14"/>
                <w:color w:val="auto"/>
              </w:rPr>
              <w:t>PERCENTAGE OF</w:t>
            </w:r>
          </w:p>
        </w:tc>
        <w:tc>
          <w:tcPr>
            <w:tcW w:w="1420" w:type="dxa"/>
            <w:vAlign w:val="bottom"/>
          </w:tcPr>
          <w:p>
            <w:pPr>
              <w:jc w:val="center"/>
              <w:spacing w:after="0"/>
              <w:rPr>
                <w:sz w:val="20"/>
                <w:szCs w:val="20"/>
                <w:color w:val="auto"/>
              </w:rPr>
            </w:pPr>
            <w:r>
              <w:rPr>
                <w:rFonts w:ascii="Courier New" w:cs="Courier New" w:eastAsia="Courier New" w:hAnsi="Courier New"/>
                <w:sz w:val="14"/>
                <w:szCs w:val="14"/>
                <w:color w:val="auto"/>
                <w:w w:val="99"/>
              </w:rPr>
              <w:t>GROSS</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PERCENTAGE OF</w:t>
            </w:r>
          </w:p>
        </w:tc>
      </w:tr>
      <w:tr>
        <w:trPr>
          <w:trHeight w:val="166"/>
        </w:trPr>
        <w:tc>
          <w:tcPr>
            <w:tcW w:w="3480" w:type="dxa"/>
            <w:vAlign w:val="bottom"/>
          </w:tcPr>
          <w:p>
            <w:pPr>
              <w:spacing w:after="0"/>
              <w:rPr>
                <w:sz w:val="14"/>
                <w:szCs w:val="14"/>
                <w:color w:val="auto"/>
              </w:rPr>
            </w:pPr>
          </w:p>
        </w:tc>
        <w:tc>
          <w:tcPr>
            <w:tcW w:w="1300" w:type="dxa"/>
            <w:vAlign w:val="bottom"/>
          </w:tcPr>
          <w:p>
            <w:pPr>
              <w:ind w:left="120"/>
              <w:spacing w:after="0"/>
              <w:rPr>
                <w:sz w:val="20"/>
                <w:szCs w:val="20"/>
                <w:color w:val="auto"/>
              </w:rPr>
            </w:pPr>
            <w:r>
              <w:rPr>
                <w:rFonts w:ascii="Courier New" w:cs="Courier New" w:eastAsia="Courier New" w:hAnsi="Courier New"/>
                <w:sz w:val="14"/>
                <w:szCs w:val="14"/>
                <w:color w:val="auto"/>
              </w:rPr>
              <w:t>ADVERTISING</w:t>
            </w:r>
          </w:p>
        </w:tc>
        <w:tc>
          <w:tcPr>
            <w:tcW w:w="1540" w:type="dxa"/>
            <w:vAlign w:val="bottom"/>
          </w:tcPr>
          <w:p>
            <w:pPr>
              <w:ind w:left="200"/>
              <w:spacing w:after="0"/>
              <w:rPr>
                <w:sz w:val="20"/>
                <w:szCs w:val="20"/>
                <w:color w:val="auto"/>
              </w:rPr>
            </w:pPr>
            <w:r>
              <w:rPr>
                <w:rFonts w:ascii="Courier New" w:cs="Courier New" w:eastAsia="Courier New" w:hAnsi="Courier New"/>
                <w:sz w:val="14"/>
                <w:szCs w:val="14"/>
                <w:color w:val="auto"/>
              </w:rPr>
              <w:t>THREE LEADING</w:t>
            </w:r>
          </w:p>
        </w:tc>
        <w:tc>
          <w:tcPr>
            <w:tcW w:w="1420" w:type="dxa"/>
            <w:vAlign w:val="bottom"/>
          </w:tcPr>
          <w:p>
            <w:pPr>
              <w:jc w:val="center"/>
              <w:spacing w:after="0"/>
              <w:rPr>
                <w:sz w:val="20"/>
                <w:szCs w:val="20"/>
                <w:color w:val="auto"/>
              </w:rPr>
            </w:pPr>
            <w:r>
              <w:rPr>
                <w:rFonts w:ascii="Courier New" w:cs="Courier New" w:eastAsia="Courier New" w:hAnsi="Courier New"/>
                <w:sz w:val="14"/>
                <w:szCs w:val="14"/>
                <w:color w:val="auto"/>
              </w:rPr>
              <w:t>ADVERTISING</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THREE LEADING</w:t>
            </w:r>
          </w:p>
        </w:tc>
      </w:tr>
      <w:tr>
        <w:trPr>
          <w:trHeight w:val="166"/>
        </w:trPr>
        <w:tc>
          <w:tcPr>
            <w:tcW w:w="3480" w:type="dxa"/>
            <w:vAlign w:val="bottom"/>
          </w:tcPr>
          <w:p>
            <w:pPr>
              <w:spacing w:after="0"/>
              <w:rPr>
                <w:sz w:val="14"/>
                <w:szCs w:val="14"/>
                <w:color w:val="auto"/>
              </w:rPr>
            </w:pP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PAGES*</w:t>
            </w:r>
          </w:p>
        </w:tc>
        <w:tc>
          <w:tcPr>
            <w:tcW w:w="1540" w:type="dxa"/>
            <w:vAlign w:val="bottom"/>
          </w:tcPr>
          <w:p>
            <w:pPr>
              <w:ind w:left="200"/>
              <w:spacing w:after="0"/>
              <w:rPr>
                <w:sz w:val="20"/>
                <w:szCs w:val="20"/>
                <w:color w:val="auto"/>
              </w:rPr>
            </w:pPr>
            <w:r>
              <w:rPr>
                <w:rFonts w:ascii="Courier New" w:cs="Courier New" w:eastAsia="Courier New" w:hAnsi="Courier New"/>
                <w:sz w:val="14"/>
                <w:szCs w:val="14"/>
                <w:color w:val="auto"/>
              </w:rPr>
              <w:t>NEWS MAGAZINES</w:t>
            </w:r>
          </w:p>
        </w:tc>
        <w:tc>
          <w:tcPr>
            <w:tcW w:w="1420" w:type="dxa"/>
            <w:vAlign w:val="bottom"/>
          </w:tcPr>
          <w:p>
            <w:pPr>
              <w:jc w:val="center"/>
              <w:spacing w:after="0"/>
              <w:rPr>
                <w:sz w:val="20"/>
                <w:szCs w:val="20"/>
                <w:color w:val="auto"/>
              </w:rPr>
            </w:pPr>
            <w:r>
              <w:rPr>
                <w:rFonts w:ascii="Courier New" w:cs="Courier New" w:eastAsia="Courier New" w:hAnsi="Courier New"/>
                <w:sz w:val="14"/>
                <w:szCs w:val="14"/>
                <w:color w:val="auto"/>
              </w:rPr>
              <w:t>REVENUES*</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NEWS MAGAZINES</w:t>
            </w:r>
          </w:p>
        </w:tc>
      </w:tr>
      <w:tr>
        <w:trPr>
          <w:trHeight w:val="166"/>
        </w:trPr>
        <w:tc>
          <w:tcPr>
            <w:tcW w:w="3480" w:type="dxa"/>
            <w:vAlign w:val="bottom"/>
          </w:tcPr>
          <w:p>
            <w:pPr>
              <w:spacing w:after="0"/>
              <w:rPr>
                <w:sz w:val="14"/>
                <w:szCs w:val="14"/>
                <w:color w:val="auto"/>
              </w:rPr>
            </w:pP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331"/>
        </w:trPr>
        <w:tc>
          <w:tcPr>
            <w:tcW w:w="3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1990  . . . . . . . . . . . . . . . . .</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2,294</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33.4%</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$ 252,447,000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32.5%</w:t>
            </w:r>
          </w:p>
        </w:tc>
      </w:tr>
      <w:tr>
        <w:trPr>
          <w:trHeight w:val="166"/>
        </w:trPr>
        <w:tc>
          <w:tcPr>
            <w:tcW w:w="3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1991  . . . . . . . . . . . . . . . . .</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1,948</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32.5%</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233,601,000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32.7%</w:t>
            </w:r>
          </w:p>
        </w:tc>
      </w:tr>
      <w:tr>
        <w:trPr>
          <w:trHeight w:val="166"/>
        </w:trPr>
        <w:tc>
          <w:tcPr>
            <w:tcW w:w="3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1992  . . . . . . . . . . . . . . . . .</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2,109</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33.2%</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258,396,000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32.4%</w:t>
            </w:r>
          </w:p>
        </w:tc>
      </w:tr>
      <w:tr>
        <w:trPr>
          <w:trHeight w:val="166"/>
        </w:trPr>
        <w:tc>
          <w:tcPr>
            <w:tcW w:w="3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1993  . . . . . . . . . . . . . . . . .</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2,102</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33.3%</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260,673,000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32.3%</w:t>
            </w:r>
          </w:p>
        </w:tc>
      </w:tr>
      <w:tr>
        <w:trPr>
          <w:trHeight w:val="166"/>
        </w:trPr>
        <w:tc>
          <w:tcPr>
            <w:tcW w:w="3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1994  . . . . . . . . . . . . . . . . .</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2,077</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31.8%</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278,948,000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32.0%</w:t>
            </w:r>
          </w:p>
        </w:tc>
      </w:tr>
    </w:tbl>
    <w:p>
      <w:pPr>
        <w:spacing w:after="0" w:line="33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620" w:right="3259" w:firstLine="336"/>
        <w:spacing w:after="0" w:line="251" w:lineRule="auto"/>
        <w:tabs>
          <w:tab w:leader="none" w:pos="1137"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Advertising pages and gross advertising revenues are those reported by Publishers' Information Bureau, Inc. PIB computes gross advertising revenues from basic one-time rates and the number of advertising pages carried. PIB figures therefore exceed actual gross advertising revenues, which reflect lower rates for multiple insertions. Net revenues as reported in the Company's Consolidated Statements of Income also exclude agency fees and cash discounts, which are included in the gross advertising revenues shown above. Page and revenue figures exclude affiliated advertising.</w:t>
      </w:r>
    </w:p>
    <w:p>
      <w:pPr>
        <w:spacing w:after="0" w:line="16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Newsweek's advertising rates are based on its average weekly circulation rate base and are competitive with the other weekly news magazines. Effective with the January 3, 1994 issue, national advertising rates were increased by an average of 4.9%. Beginning with the issue dated January 9, 1995, national advertising rates were increased again by an average of 6.0%.</w:t>
      </w:r>
    </w:p>
    <w:p>
      <w:pPr>
        <w:spacing w:after="0" w:line="164" w:lineRule="exact"/>
        <w:rPr>
          <w:sz w:val="20"/>
          <w:szCs w:val="20"/>
          <w:color w:val="auto"/>
        </w:rPr>
      </w:pPr>
    </w:p>
    <w:p>
      <w:pPr>
        <w:ind w:right="3439" w:firstLine="603"/>
        <w:spacing w:after="0" w:line="251" w:lineRule="auto"/>
        <w:rPr>
          <w:sz w:val="20"/>
          <w:szCs w:val="20"/>
          <w:color w:val="auto"/>
        </w:rPr>
      </w:pPr>
      <w:r>
        <w:rPr>
          <w:rFonts w:ascii="Courier New" w:cs="Courier New" w:eastAsia="Courier New" w:hAnsi="Courier New"/>
          <w:sz w:val="14"/>
          <w:szCs w:val="14"/>
          <w:color w:val="auto"/>
        </w:rPr>
        <w:t>Newsweek Business Plus, which is published 39 times a year, is a demographic edition of Newsweek distributed to high-income professional and managerial subscribers and subscribers in zip-code-defined areas. Advertising rates for this edition, which has a circulation rate base of 1,000,000 copies, were increased an average of 6.5% in January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159"/>
          </w:cols>
          <w:pgMar w:left="300" w:top="285"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10</w:t>
      </w:r>
    </w:p>
    <w:p>
      <w:pPr>
        <w:spacing w:after="0" w:line="7"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Newsweek's other demographic edition, Newsweek Woman, which was published 13 times during 1994, has a circulation rate base of 700,000 selected female subscribers. At the beginning of 1994 advertising rates for this edition were increased by an average of 4.9%, with an additional average increase of 6.0% instituted early in 1995.</w:t>
      </w:r>
    </w:p>
    <w:p>
      <w:pPr>
        <w:spacing w:after="0" w:line="164" w:lineRule="exact"/>
        <w:rPr>
          <w:sz w:val="20"/>
          <w:szCs w:val="20"/>
          <w:color w:val="auto"/>
        </w:rPr>
      </w:pPr>
    </w:p>
    <w:p>
      <w:pPr>
        <w:ind w:right="3439" w:firstLine="603"/>
        <w:spacing w:after="0" w:line="250" w:lineRule="auto"/>
        <w:rPr>
          <w:sz w:val="20"/>
          <w:szCs w:val="20"/>
          <w:color w:val="auto"/>
        </w:rPr>
      </w:pPr>
      <w:r>
        <w:rPr>
          <w:rFonts w:ascii="Courier New" w:cs="Courier New" w:eastAsia="Courier New" w:hAnsi="Courier New"/>
          <w:sz w:val="14"/>
          <w:szCs w:val="14"/>
          <w:color w:val="auto"/>
        </w:rPr>
        <w:t>Internationally, Newsweek is published in an Atlantic edition covering the British Isles, Europe, the Middle East and Africa, a Pacific edition covering Japan, Korea and Southeast Asia, and a Latin America edition, all of which are in the English language. Editorial copy solely of domestic interest is eliminated in the international editions and is replaced by other international, business or national coverage primarily of interest abroad. Since 1984 a 24-page section of Newsweek has been included in The Bulletin, an Australian weekly news magazine which also circulates in New Zealand. In 1986 a Japanese-language edition of Newsweek, Nihon Ban, began publication in Tokyo pursuant to an arrangement with a Japanese publishing company which translates editorial copy, sells advertising in Japan and prints and distributes the edition. A Korean-language edition of Newsweek, Hankuk Pan, began publication in 1991 pursuant to a similar arrangement with a Korean publishing company.</w:t>
      </w:r>
    </w:p>
    <w:p>
      <w:pPr>
        <w:spacing w:after="0" w:line="171" w:lineRule="exact"/>
        <w:rPr>
          <w:sz w:val="20"/>
          <w:szCs w:val="20"/>
          <w:color w:val="auto"/>
        </w:rPr>
      </w:pPr>
    </w:p>
    <w:p>
      <w:pPr>
        <w:ind w:right="3339" w:firstLine="603"/>
        <w:spacing w:after="0" w:line="252" w:lineRule="auto"/>
        <w:rPr>
          <w:sz w:val="20"/>
          <w:szCs w:val="20"/>
          <w:color w:val="auto"/>
        </w:rPr>
      </w:pPr>
      <w:r>
        <w:rPr>
          <w:rFonts w:ascii="Courier New" w:cs="Courier New" w:eastAsia="Courier New" w:hAnsi="Courier New"/>
          <w:sz w:val="14"/>
          <w:szCs w:val="14"/>
          <w:color w:val="auto"/>
        </w:rPr>
        <w:t>The average weekly circulation rate base, advertising pages and gross advertising revenues of Newsweek's international editions (including The Bulletin insertions but not including the Japanese- or Korean-language editions of Newsweek) for the past five years have been as follows: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AVERAGE</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WEEKLY</w:t>
            </w:r>
          </w:p>
        </w:tc>
        <w:tc>
          <w:tcPr>
            <w:tcW w:w="120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GROSS</w:t>
            </w:r>
          </w:p>
        </w:tc>
      </w:tr>
      <w:tr>
        <w:trPr>
          <w:trHeight w:val="166"/>
        </w:trPr>
        <w:tc>
          <w:tcPr>
            <w:tcW w:w="43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CIRCULATION</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ADVERTISING</w:t>
            </w:r>
          </w:p>
        </w:tc>
        <w:tc>
          <w:tcPr>
            <w:tcW w:w="12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ADVERTISING</w:t>
            </w:r>
          </w:p>
        </w:tc>
      </w:tr>
      <w:tr>
        <w:trPr>
          <w:trHeight w:val="166"/>
        </w:trPr>
        <w:tc>
          <w:tcPr>
            <w:tcW w:w="43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RATE BASE</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PAGES*</w:t>
            </w:r>
          </w:p>
        </w:tc>
        <w:tc>
          <w:tcPr>
            <w:tcW w:w="12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REVENUES*</w:t>
            </w:r>
          </w:p>
        </w:tc>
      </w:tr>
      <w:tr>
        <w:trPr>
          <w:trHeight w:val="166"/>
        </w:trPr>
        <w:tc>
          <w:tcPr>
            <w:tcW w:w="4380" w:type="dxa"/>
            <w:vAlign w:val="bottom"/>
          </w:tcPr>
          <w:p>
            <w:pPr>
              <w:spacing w:after="0"/>
              <w:rPr>
                <w:sz w:val="14"/>
                <w:szCs w:val="14"/>
                <w:color w:val="auto"/>
              </w:rPr>
            </w:pP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4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1990  . . . . . . . . . . . . . . . . . . . . . .</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673,000</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2,466</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$ 67,131,000</w:t>
            </w:r>
          </w:p>
        </w:tc>
      </w:tr>
      <w:tr>
        <w:trPr>
          <w:trHeight w:val="166"/>
        </w:trPr>
        <w:tc>
          <w:tcPr>
            <w:tcW w:w="4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1991  . . . . . . . . . . . . . . . . . . . . . .</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705,000</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2,296</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68,405,000</w:t>
            </w:r>
          </w:p>
        </w:tc>
      </w:tr>
      <w:tr>
        <w:trPr>
          <w:trHeight w:val="166"/>
        </w:trPr>
        <w:tc>
          <w:tcPr>
            <w:tcW w:w="4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1992  . . . . . . . . . . . . . . . . . . . . . .</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730,000</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2,549</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76,765,000</w:t>
            </w:r>
          </w:p>
        </w:tc>
      </w:tr>
      <w:tr>
        <w:trPr>
          <w:trHeight w:val="166"/>
        </w:trPr>
        <w:tc>
          <w:tcPr>
            <w:tcW w:w="4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1993  . . . . . . . . . . . . . . . . . . . . . .</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745,000</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2,128</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68,347,000</w:t>
            </w:r>
          </w:p>
        </w:tc>
      </w:tr>
      <w:tr>
        <w:trPr>
          <w:trHeight w:val="166"/>
        </w:trPr>
        <w:tc>
          <w:tcPr>
            <w:tcW w:w="4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1994  . . . . . . . . . . . . . . . . . . . . . .</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748,000</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2,351</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76,674,000</w:t>
            </w:r>
          </w:p>
        </w:tc>
      </w:tr>
    </w:tbl>
    <w:p>
      <w:pPr>
        <w:spacing w:after="0" w:line="33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620" w:right="3259" w:firstLine="594"/>
        <w:spacing w:after="0" w:line="251" w:lineRule="auto"/>
        <w:tabs>
          <w:tab w:leader="none" w:pos="1395"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Advertising pages and gross advertising revenues are those reported by LNA International. LNA computes gross advertising revenues from basic one-time rates and the number of advertising pages carried. LNA figures therefore exceed actual gross advertising revenues, which reflect lower rates for multiple insertions. Net revenues as reported in the Company's Consolidated Statements of Income also exclude agency fees and cash discounts, which are included in the gross advertising revenues shown above. Page and revenue figures exclude affiliated advertising.</w:t>
      </w:r>
    </w:p>
    <w:p>
      <w:pPr>
        <w:spacing w:after="0" w:line="16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For 1995 the average weekly circulation rate base for Newsweek's English language international editions (including The Bulletin insertions) will be 750,000 copies. Newsweek's rate card estimates the average weekly circulation for the Japanese-language and Korean-language editions for 1995 will be 145,000 and 150,000 copies, respectively.</w:t>
      </w:r>
    </w:p>
    <w:p>
      <w:pPr>
        <w:spacing w:after="0" w:line="164" w:lineRule="exact"/>
        <w:rPr>
          <w:sz w:val="20"/>
          <w:szCs w:val="20"/>
          <w:color w:val="auto"/>
        </w:rPr>
      </w:pPr>
    </w:p>
    <w:p>
      <w:pPr>
        <w:ind w:right="3439" w:firstLine="603"/>
        <w:spacing w:after="0" w:line="251" w:lineRule="auto"/>
        <w:rPr>
          <w:sz w:val="20"/>
          <w:szCs w:val="20"/>
          <w:color w:val="auto"/>
        </w:rPr>
      </w:pPr>
      <w:r>
        <w:rPr>
          <w:rFonts w:ascii="Courier New" w:cs="Courier New" w:eastAsia="Courier New" w:hAnsi="Courier New"/>
          <w:sz w:val="14"/>
          <w:szCs w:val="14"/>
          <w:color w:val="auto"/>
        </w:rPr>
        <w:t>In November 1994 Newsweek launched a weekly news magazine created for online distribution. This magazine, known as Newsweek InterActive, combines text, photos and audio and is available on the Prodigy service. Newsweek also produced three multimedia CD-ROM's during 1994, each of which focused on different topics. Both the online magazine and CD-ROM products include interactive advertising.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59"/>
          </w:cols>
          <w:pgMar w:left="300" w:top="285"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11</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OTHER ACTIVITIES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KAPLAN EDUCATIONAL CENTERS</w:t>
      </w:r>
    </w:p>
    <w:p>
      <w:pPr>
        <w:spacing w:after="0" w:line="173" w:lineRule="exact"/>
        <w:rPr>
          <w:sz w:val="20"/>
          <w:szCs w:val="20"/>
          <w:color w:val="auto"/>
        </w:rPr>
      </w:pPr>
    </w:p>
    <w:p>
      <w:pPr>
        <w:ind w:right="3519" w:firstLine="603"/>
        <w:spacing w:after="0" w:line="251" w:lineRule="auto"/>
        <w:rPr>
          <w:sz w:val="20"/>
          <w:szCs w:val="20"/>
          <w:color w:val="auto"/>
        </w:rPr>
      </w:pPr>
      <w:r>
        <w:rPr>
          <w:rFonts w:ascii="Courier New" w:cs="Courier New" w:eastAsia="Courier New" w:hAnsi="Courier New"/>
          <w:sz w:val="14"/>
          <w:szCs w:val="14"/>
          <w:color w:val="auto"/>
        </w:rPr>
        <w:t>A subsidiary of the Company owns the Kaplan Educational Centers, which are engaged in preparing students for a broad range of admissions tests and licensing examinations including SAT's, LSAT's, GMAT's and GRE's, nursing and medical boards, and the uniform certified public accountant examination. In 1994 the Kaplan Centers had nearly 150,000 enrollments and provided courses through more than 150 permanent educational centers located throughout the United States and in Canada, Puerto Rico and London.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LEGI-SLATE</w:t>
      </w:r>
    </w:p>
    <w:p>
      <w:pPr>
        <w:spacing w:after="0" w:line="17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Legi-Slate, Inc., another subsidiary of the Company, provides its customers with access to a computerized data base containing detailed information on the legislative and regulatory activities of the United States government. The Legi-Slate data base includes both abstracts and the full text of every bill and resolution introduced in Congress, the entire Congressional Record and every document published in the Federal Register, as well as the schedule of each Congressional committee and the voting record of each member of Congress. Legi-Slate also offers the Current USC(TM) and Daily CFR(TM) services, which provide online access to the current full text of the United States Code and the Code of Federal Regulations.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PASS SPORTS</w:t>
      </w:r>
    </w:p>
    <w:p>
      <w:pPr>
        <w:spacing w:after="0" w:line="173" w:lineRule="exact"/>
        <w:rPr>
          <w:sz w:val="20"/>
          <w:szCs w:val="20"/>
          <w:color w:val="auto"/>
        </w:rPr>
      </w:pPr>
    </w:p>
    <w:p>
      <w:pPr>
        <w:ind w:right="3599" w:firstLine="603"/>
        <w:spacing w:after="0" w:line="251" w:lineRule="auto"/>
        <w:rPr>
          <w:sz w:val="20"/>
          <w:szCs w:val="20"/>
          <w:color w:val="auto"/>
        </w:rPr>
      </w:pPr>
      <w:r>
        <w:rPr>
          <w:rFonts w:ascii="Courier New" w:cs="Courier New" w:eastAsia="Courier New" w:hAnsi="Courier New"/>
          <w:sz w:val="14"/>
          <w:szCs w:val="14"/>
          <w:color w:val="auto"/>
        </w:rPr>
        <w:t>Pro Am Sports System, Inc. ("PASS") is a Detroit-based regional cable sports network that provides programming to approximately 774,000 cable television subscribers in Michigan and northwest Ohio. PASS programming includes games of the Detroit Tigers baseball team, the Detroit Pistons basketball team and the Detroit Red Wings hockey team.</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HERALD TRIBUNE</w:t>
      </w:r>
    </w:p>
    <w:p>
      <w:pPr>
        <w:spacing w:after="0" w:line="17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The Company beneficially owns 50% of the outstanding common stock of the International Herald Tribune, S.A., a French company which publishes the International Herald Tribune in Paris, France. This English-language newspaper has an average daily paid circulation of almost 200,000 copies and is distributed in over 180 countries.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COWLES MEDIA COMPANY</w:t>
      </w:r>
    </w:p>
    <w:p>
      <w:pPr>
        <w:spacing w:after="0" w:line="173" w:lineRule="exact"/>
        <w:rPr>
          <w:sz w:val="20"/>
          <w:szCs w:val="20"/>
          <w:color w:val="auto"/>
        </w:rPr>
      </w:pPr>
    </w:p>
    <w:p>
      <w:pPr>
        <w:ind w:right="3599" w:firstLine="603"/>
        <w:spacing w:after="0" w:line="252" w:lineRule="auto"/>
        <w:rPr>
          <w:sz w:val="20"/>
          <w:szCs w:val="20"/>
          <w:color w:val="auto"/>
        </w:rPr>
      </w:pPr>
      <w:r>
        <w:rPr>
          <w:rFonts w:ascii="Courier New" w:cs="Courier New" w:eastAsia="Courier New" w:hAnsi="Courier New"/>
          <w:sz w:val="14"/>
          <w:szCs w:val="14"/>
          <w:color w:val="auto"/>
        </w:rPr>
        <w:t>The Company owns approximately 28% of the outstanding common stock of Cowles Media Company, most of which was acquired in 1985. Cowles owns the Minneapolis-St. Paul Star Tribune and a number of smaller publications.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DIGITAL INK</w:t>
      </w:r>
    </w:p>
    <w:p>
      <w:pPr>
        <w:spacing w:after="0" w:line="173" w:lineRule="exact"/>
        <w:rPr>
          <w:sz w:val="20"/>
          <w:szCs w:val="20"/>
          <w:color w:val="auto"/>
        </w:rPr>
      </w:pPr>
    </w:p>
    <w:p>
      <w:pPr>
        <w:ind w:right="3339" w:firstLine="603"/>
        <w:spacing w:after="0" w:line="252" w:lineRule="auto"/>
        <w:rPr>
          <w:sz w:val="20"/>
          <w:szCs w:val="20"/>
          <w:color w:val="auto"/>
        </w:rPr>
      </w:pPr>
      <w:r>
        <w:rPr>
          <w:rFonts w:ascii="Courier New" w:cs="Courier New" w:eastAsia="Courier New" w:hAnsi="Courier New"/>
          <w:sz w:val="14"/>
          <w:szCs w:val="14"/>
          <w:color w:val="auto"/>
        </w:rPr>
        <w:t>In late 1993 the Company organized a new subsidiary, Digital Ink Co., to develop news and information products for distribution by computers, fax and telephone.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MAMMOTH MICRO PRODUCTIONS</w:t>
      </w:r>
    </w:p>
    <w:p>
      <w:pPr>
        <w:spacing w:after="0" w:line="173" w:lineRule="exact"/>
        <w:rPr>
          <w:sz w:val="20"/>
          <w:szCs w:val="20"/>
          <w:color w:val="auto"/>
        </w:rPr>
      </w:pPr>
    </w:p>
    <w:p>
      <w:pPr>
        <w:ind w:right="3339" w:firstLine="603"/>
        <w:spacing w:after="0" w:line="255" w:lineRule="auto"/>
        <w:rPr>
          <w:sz w:val="20"/>
          <w:szCs w:val="20"/>
          <w:color w:val="auto"/>
        </w:rPr>
      </w:pPr>
      <w:r>
        <w:rPr>
          <w:rFonts w:ascii="Courier New" w:cs="Courier New" w:eastAsia="Courier New" w:hAnsi="Courier New"/>
          <w:sz w:val="14"/>
          <w:szCs w:val="14"/>
          <w:color w:val="auto"/>
        </w:rPr>
        <w:t>During 1994 the Company acquired an 80% equity interest in Mammoth Micro Productions, Inc., a producer and publisher of multimedia CD-ROM titles.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159"/>
          </w:cols>
          <w:pgMar w:left="300" w:top="285"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MOFFETT, LARSON &amp; JOHNSON</w:t>
      </w:r>
    </w:p>
    <w:p>
      <w:pPr>
        <w:spacing w:after="0" w:line="173" w:lineRule="exact"/>
        <w:rPr>
          <w:sz w:val="20"/>
          <w:szCs w:val="20"/>
          <w:color w:val="auto"/>
        </w:rPr>
      </w:pPr>
    </w:p>
    <w:p>
      <w:pPr>
        <w:jc w:val="both"/>
        <w:ind w:right="3339" w:firstLine="603"/>
        <w:spacing w:after="0" w:line="252" w:lineRule="auto"/>
        <w:rPr>
          <w:sz w:val="20"/>
          <w:szCs w:val="20"/>
          <w:color w:val="auto"/>
        </w:rPr>
      </w:pPr>
      <w:r>
        <w:rPr>
          <w:rFonts w:ascii="Courier New" w:cs="Courier New" w:eastAsia="Courier New" w:hAnsi="Courier New"/>
          <w:sz w:val="14"/>
          <w:szCs w:val="14"/>
          <w:color w:val="auto"/>
        </w:rPr>
        <w:t>The Company owns 71% of the outstanding common stock of Moffet, Larson &amp; Johnson, Inc., a telecommunications engineering firm specializing in the design and development of advanced mobile, broadcast and common carrier radio systems.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PERSONAL COMMUNICATIONS SERVICES</w:t>
      </w:r>
    </w:p>
    <w:p>
      <w:pPr>
        <w:spacing w:after="0" w:line="17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In late 1994 the FCC commenced auction proceedings that will result in the award of licenses to operate new wireless telephone technologies generally referred to as personal communications services or "PCS." PCS systems will use transmitters that are smaller and closer together than those of conventional cellular systems and other techniques to reduce the size and cost of portable telephones. New PCS licensees will compete with cellular and landline telephone companies, among others.</w:t>
      </w:r>
    </w:p>
    <w:p>
      <w:pPr>
        <w:spacing w:after="0" w:line="164"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In September 1990 the Company formed a limited partnership with American Personal Communications, Inc. ("APC"), a private company owned by individuals with substantial prior experience in the cellular telephone industry, to develop experimental and, eventually, commercial PCS systems in the Washington, D.C./Baltimore, Maryland area. APC is the sole managing general partner of the partnership. The Company was a limited partner in that venture and held a majority of the partnership's equity.</w:t>
      </w:r>
    </w:p>
    <w:p>
      <w:pPr>
        <w:spacing w:after="0" w:line="164" w:lineRule="exact"/>
        <w:rPr>
          <w:sz w:val="20"/>
          <w:szCs w:val="20"/>
          <w:color w:val="auto"/>
        </w:rPr>
      </w:pPr>
    </w:p>
    <w:p>
      <w:pPr>
        <w:ind w:right="3439" w:firstLine="603"/>
        <w:spacing w:after="0" w:line="250" w:lineRule="auto"/>
        <w:rPr>
          <w:sz w:val="20"/>
          <w:szCs w:val="20"/>
          <w:color w:val="auto"/>
        </w:rPr>
      </w:pPr>
      <w:r>
        <w:rPr>
          <w:rFonts w:ascii="Courier New" w:cs="Courier New" w:eastAsia="Courier New" w:hAnsi="Courier New"/>
          <w:sz w:val="14"/>
          <w:szCs w:val="14"/>
          <w:color w:val="auto"/>
        </w:rPr>
        <w:t>On December 23, 1993, the FCC finalized the award of a "pioneer's preference" to the partnership based on the partnership's research and development efforts. The preference is for 30 MHz of PCS spectrum and covers the Washington/Baltimore Major Trading Area, which consists of the District of Columbia and 65 counties in Maryland, northern Virginia, West Virginia and southern Pennsylvania with an aggregate population of nearly eight million people. Under law existing at the time the partnership's preference was finalized, neither Congress nor the FCC required pioneer preference applicants to make auction-based payments for their licenses. The partnership thus was entitled to file an application for a PCS commercial license subject only to basic licensing qualifications. The partnership filed such an application on January 18, 1994.</w:t>
      </w:r>
    </w:p>
    <w:p>
      <w:pPr>
        <w:spacing w:after="0" w:line="170" w:lineRule="exact"/>
        <w:rPr>
          <w:sz w:val="20"/>
          <w:szCs w:val="20"/>
          <w:color w:val="auto"/>
        </w:rPr>
      </w:pPr>
    </w:p>
    <w:p>
      <w:pPr>
        <w:ind w:right="3339" w:firstLine="603"/>
        <w:spacing w:after="0" w:line="250" w:lineRule="auto"/>
        <w:rPr>
          <w:sz w:val="20"/>
          <w:szCs w:val="20"/>
          <w:color w:val="auto"/>
        </w:rPr>
      </w:pPr>
      <w:r>
        <w:rPr>
          <w:rFonts w:ascii="Courier New" w:cs="Courier New" w:eastAsia="Courier New" w:hAnsi="Courier New"/>
          <w:sz w:val="14"/>
          <w:szCs w:val="14"/>
          <w:color w:val="auto"/>
        </w:rPr>
        <w:t>The finalization of APC's preference was challenged by cellular companies, telephone companies and unsuccessful preference applicants in court and at the FCC. In June 1994 legislation was introduced to require pioneer preference recipients to pay 90% of the auction value of comparable licenses. In August 1994 the FCC issued a decision requiring the partnership to pay 90% of the auction price in the same or certain other markets. The partnership challenged that decision in court. In legislation that was signed by the President in December 1994, Congress has required the partnership to make a license payment based on 85% of the average auction price paid for the 20 largest markets in which preferences were not granted or, if larger, a specified minimum payment. Although this formula may result in the partnership acquiring its license at less cost than may be incurred by bidders at auction, it still will require the partnership to make a payment of approximately $100 million for a license that initially was to be issued without cost. Also, some members of Congress believe that the pioneers' payment formula can and should be reviewed and, if appropriate, adjusted in light of the actual auction results.</w:t>
      </w:r>
    </w:p>
    <w:p>
      <w:pPr>
        <w:spacing w:after="0" w:line="337"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Because of the changed circumstances, delays and increased costs surrounding the partnership's opportunity to provide PCS services in the Washington/Baltimore area, the Company decided to divest the majority of its ownership interest in the partnership. On January 9, 1995, the Company sold all but a 1.5% limited partnership interest in the partnership to APC (which remains as sole managing general partner) and a consortium of communications companies. The purchase price for the Company's interest was essentially equal to the pro rata share of the Company's investments in the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159"/>
          </w:cols>
          <w:pgMar w:left="300" w:top="285"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13</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PRODUCTION AND RAW MATERIALS</w:t>
      </w:r>
    </w:p>
    <w:p>
      <w:pPr>
        <w:spacing w:after="0" w:line="173" w:lineRule="exact"/>
        <w:rPr>
          <w:sz w:val="20"/>
          <w:szCs w:val="20"/>
          <w:color w:val="auto"/>
        </w:rPr>
      </w:pPr>
    </w:p>
    <w:p>
      <w:pPr>
        <w:ind w:right="3439" w:firstLine="603"/>
        <w:spacing w:after="0" w:line="251" w:lineRule="auto"/>
        <w:rPr>
          <w:sz w:val="20"/>
          <w:szCs w:val="20"/>
          <w:color w:val="auto"/>
        </w:rPr>
      </w:pPr>
      <w:r>
        <w:rPr>
          <w:rFonts w:ascii="Courier New" w:cs="Courier New" w:eastAsia="Courier New" w:hAnsi="Courier New"/>
          <w:sz w:val="14"/>
          <w:szCs w:val="14"/>
          <w:color w:val="auto"/>
        </w:rPr>
        <w:t>The Washington Post is produced at the newspaper's principal place of business and plant in downtown Washington, D.C., and at its satellite printing plants in Fairfax County, Virginia, and Southeast Washington, D.C. All editions of The Herald are produced at its plant in Everett, Washington. The Gazette Newspapers are produced by three independent contract printers. Newsweek's domestic edition is produced in five independent printing plants; advertising inserts and photo-offset films for the domestic edition are also produced by independent contractors. The international editions of Newsweek are printed in England, Hong Kong, Singapore, Switzerland and Hollywood, Florida; insertions for The Bulletin are printed in Australia.</w:t>
      </w:r>
    </w:p>
    <w:p>
      <w:pPr>
        <w:spacing w:after="0" w:line="163" w:lineRule="exact"/>
        <w:rPr>
          <w:sz w:val="20"/>
          <w:szCs w:val="20"/>
          <w:color w:val="auto"/>
        </w:rPr>
      </w:pPr>
    </w:p>
    <w:p>
      <w:pPr>
        <w:ind w:right="3439" w:firstLine="603"/>
        <w:spacing w:after="0" w:line="251" w:lineRule="auto"/>
        <w:rPr>
          <w:sz w:val="20"/>
          <w:szCs w:val="20"/>
          <w:color w:val="auto"/>
        </w:rPr>
      </w:pPr>
      <w:r>
        <w:rPr>
          <w:rFonts w:ascii="Courier New" w:cs="Courier New" w:eastAsia="Courier New" w:hAnsi="Courier New"/>
          <w:sz w:val="14"/>
          <w:szCs w:val="14"/>
          <w:color w:val="auto"/>
        </w:rPr>
        <w:t>In 1994 The Washington Post consumed about 250,000 tons(*) of newsprint purchased from a number of suppliers, including Bowater Incorporated, which supplied approximately 30% of The Post's 1994 newsprint requirements. About half of the newsprint The Post purchases from Bowater Incorporated is provided by Bowater Mersey Paper Company Limited, 49% of the common stock of which is owned by the Company (the majority interest being held by a subsidiary of Bowater Incorporated). Bowater Mersey owns and operates a newsprint mill near Halifax, Nova Scotia, and owns extensive woodlands that provide part of the mill's wood requirements. In 1994 Bowater Mersey produced about 260,000 tons of newsprint.</w:t>
      </w:r>
    </w:p>
    <w:p>
      <w:pPr>
        <w:spacing w:after="0" w:line="163" w:lineRule="exact"/>
        <w:rPr>
          <w:sz w:val="20"/>
          <w:szCs w:val="20"/>
          <w:color w:val="auto"/>
        </w:rPr>
      </w:pPr>
    </w:p>
    <w:p>
      <w:pPr>
        <w:ind w:right="3339" w:firstLine="603"/>
        <w:spacing w:after="0" w:line="250" w:lineRule="auto"/>
        <w:rPr>
          <w:sz w:val="20"/>
          <w:szCs w:val="20"/>
          <w:color w:val="auto"/>
        </w:rPr>
      </w:pPr>
      <w:r>
        <w:rPr>
          <w:rFonts w:ascii="Courier New" w:cs="Courier New" w:eastAsia="Courier New" w:hAnsi="Courier New"/>
          <w:sz w:val="14"/>
          <w:szCs w:val="14"/>
          <w:color w:val="auto"/>
        </w:rPr>
        <w:t>The Company, through a subsidiary, has a 35% limited partnership interest in Bear Island Paper Company, which owns and operates a newsprint mill in Doswell, Virginia, about 85 miles south of Washington, D.C. The general partner, which has a 30% interest and manages the mill, is Brant-Allen Industries, Inc., a firm experienced in the construction and operation of similar mills; the other limited partner, also with a 35% interest, is a subsidiary of Dow Jones &amp; Company, Inc. The Paper Company and Bear Island Timberlands Company, in which a subsidiary of the Company also has a 35% limited partnership interest, own an aggregate of approximately 150,000 acres of Virginia woodlands. These woodlands supply a portion of the wood requirements of the Paper Company's mill. That mill produced about 225,000 tons of newsprint in 1994, and during that year The Post purchased about 20% of its newsprint requirements from Bear Island Paper Company. In March 1994 Bear Island Paper Company completed construction of a recycling plant that provides 20% of the pulp used by the mill.</w:t>
      </w:r>
    </w:p>
    <w:p>
      <w:pPr>
        <w:spacing w:after="0" w:line="337"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The announced price of newsprint (excluding discounts which decreased later in the year) was approximately $620 per ton throughout 1994, but several price increases have been scheduled to take effect during 1995. The Post believes it has adequate newsprint available through contracts with its various suppliers. About 80% of the newsprint used by The Post includes some recycled content. The Company owns 90% of the stock of Capitol Fiber Inc., which handles and sells to recycling industries old newspapers and other paper collected in Washington, D.C, Maryland and northern Virginia.</w:t>
      </w:r>
    </w:p>
    <w:p>
      <w:pPr>
        <w:spacing w:after="0" w:line="163" w:lineRule="exact"/>
        <w:rPr>
          <w:sz w:val="20"/>
          <w:szCs w:val="20"/>
          <w:color w:val="auto"/>
        </w:rPr>
      </w:pPr>
    </w:p>
    <w:p>
      <w:pPr>
        <w:ind w:right="3339" w:firstLine="603"/>
        <w:spacing w:after="0" w:line="252" w:lineRule="auto"/>
        <w:rPr>
          <w:sz w:val="20"/>
          <w:szCs w:val="20"/>
          <w:color w:val="auto"/>
        </w:rPr>
      </w:pPr>
      <w:r>
        <w:rPr>
          <w:rFonts w:ascii="Courier New" w:cs="Courier New" w:eastAsia="Courier New" w:hAnsi="Courier New"/>
          <w:sz w:val="14"/>
          <w:szCs w:val="14"/>
          <w:color w:val="auto"/>
        </w:rPr>
        <w:t>In 1994 The Herald consumed approximately 5,700 tons of newsprint supplied by four different suppliers, the largest of which furnished about 33% of the newspaper's total requirements. Approximately 70% of the newsprint used by The Herald includes some recycled content.</w:t>
      </w:r>
    </w:p>
    <w:p>
      <w:pPr>
        <w:spacing w:after="0" w:line="162" w:lineRule="exact"/>
        <w:rPr>
          <w:sz w:val="20"/>
          <w:szCs w:val="20"/>
          <w:color w:val="auto"/>
        </w:rPr>
      </w:pPr>
    </w:p>
    <w:p>
      <w:pPr>
        <w:ind w:right="3439" w:firstLine="603"/>
        <w:spacing w:after="0" w:line="252" w:lineRule="auto"/>
        <w:rPr>
          <w:sz w:val="20"/>
          <w:szCs w:val="20"/>
          <w:color w:val="auto"/>
        </w:rPr>
      </w:pPr>
      <w:r>
        <w:rPr>
          <w:rFonts w:ascii="Courier New" w:cs="Courier New" w:eastAsia="Courier New" w:hAnsi="Courier New"/>
          <w:sz w:val="14"/>
          <w:szCs w:val="14"/>
          <w:color w:val="auto"/>
        </w:rPr>
        <w:t>The domestic edition of Newsweek consumed 30,388 tons of paper in 1994, the bulk of which was purchased from eight major suppliers. The current cost of body paper (the principal paper component of the magazine) is approximately $850 per ton.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439" w:firstLine="611"/>
        <w:spacing w:after="0" w:line="252" w:lineRule="auto"/>
        <w:tabs>
          <w:tab w:leader="none" w:pos="947"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references in this report to newsprint tonnage and prices refer to short tons (2,000 pounds) and not to metric tons (2,204.6 pounds) which are often used in newsprint price quotations.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159"/>
          </w:cols>
          <w:pgMar w:left="300" w:top="285"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14</w:t>
      </w:r>
    </w:p>
    <w:p>
      <w:pPr>
        <w:spacing w:after="0" w:line="7" w:lineRule="exact"/>
        <w:rPr>
          <w:sz w:val="20"/>
          <w:szCs w:val="20"/>
          <w:color w:val="auto"/>
        </w:rPr>
      </w:pPr>
    </w:p>
    <w:p>
      <w:pPr>
        <w:ind w:right="3339" w:firstLine="603"/>
        <w:spacing w:after="0" w:line="250" w:lineRule="auto"/>
        <w:rPr>
          <w:sz w:val="20"/>
          <w:szCs w:val="20"/>
          <w:color w:val="auto"/>
        </w:rPr>
      </w:pPr>
      <w:r>
        <w:rPr>
          <w:rFonts w:ascii="Courier New" w:cs="Courier New" w:eastAsia="Courier New" w:hAnsi="Courier New"/>
          <w:sz w:val="14"/>
          <w:szCs w:val="14"/>
          <w:color w:val="auto"/>
        </w:rPr>
        <w:t>Over 90% of the aggregate domestic circulation of Newsweek is delivered by second class mail, and most subscriptions are solicited by either first or third class mail. Thus substantial increases in postal rates for these classes of mail may have a significant negative impact on Newsweek's operating income. In December 1994 the Board of Governors of the U.S. Postal Service approved a rate increase of 10.3% for first-class mail and 14% for second- and third-class mail effective January 1, 1995. This action will increase Newsweek's annual postage costs by approximately $4.7 million. On the other hand, since advertising distributed by third class mail competes to some degree with newspaper advertising, the Company believes the increase in third class rates incorporated in the new rate structure could have a positive impact on the advertising revenues of The Washington Post, The Herald and The Gazette Newspapers, although the Company is unable to quantify the amount of such impact.</w:t>
      </w:r>
    </w:p>
    <w:p>
      <w:pPr>
        <w:spacing w:after="0" w:line="336"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ind w:right="3599" w:firstLine="603"/>
        <w:spacing w:after="0" w:line="251" w:lineRule="auto"/>
        <w:rPr>
          <w:sz w:val="20"/>
          <w:szCs w:val="20"/>
          <w:color w:val="auto"/>
        </w:rPr>
      </w:pPr>
      <w:r>
        <w:rPr>
          <w:rFonts w:ascii="Courier New" w:cs="Courier New" w:eastAsia="Courier New" w:hAnsi="Courier New"/>
          <w:sz w:val="14"/>
          <w:szCs w:val="14"/>
          <w:color w:val="auto"/>
        </w:rPr>
        <w:t>The Washington Times, a newspaper published since 1982 in Washington, D.C., began publishing Saturday and Sunday editions in competition with The Washington Post in 1991. The Post also encounters competition in varying degrees from newspapers published in suburban and outlying areas, other nationally circulated newspapers and from television, radio, magazines and other advertising media, including direct mail advertising.</w:t>
      </w:r>
    </w:p>
    <w:p>
      <w:pPr>
        <w:spacing w:after="0" w:line="164" w:lineRule="exact"/>
        <w:rPr>
          <w:sz w:val="20"/>
          <w:szCs w:val="20"/>
          <w:color w:val="auto"/>
        </w:rPr>
      </w:pPr>
    </w:p>
    <w:p>
      <w:pPr>
        <w:ind w:right="3439" w:firstLine="603"/>
        <w:spacing w:after="0" w:line="250" w:lineRule="auto"/>
        <w:rPr>
          <w:sz w:val="20"/>
          <w:szCs w:val="20"/>
          <w:color w:val="auto"/>
        </w:rPr>
      </w:pPr>
      <w:r>
        <w:rPr>
          <w:rFonts w:ascii="Courier New" w:cs="Courier New" w:eastAsia="Courier New" w:hAnsi="Courier New"/>
          <w:sz w:val="14"/>
          <w:szCs w:val="14"/>
          <w:color w:val="auto"/>
        </w:rPr>
        <w:t>The Herald circulates principally in Snohomish County, Washington; its chief competitors are the Seattle Times and the Seattle Post-Intelligencer, which are daily and Sunday newspapers published in Seattle and whose Snohomish County circulation is principally in the southwest portion of the county. Since 1983 the two Seattle newspapers have consolidated their business and production operations and combined their Sunday editions pursuant to a joint operating agreement, although they continue to publish separate daily newspapers. Although The Herald's principal circulation is in Snohomish County, it is also distributed in two other nearby counties (including King County where Seattle is located) in which its circulation is less than that of the Seattle newspapers. Numerous weekly and semi-weekly newspapers and shoppers are distributed in The Herald's principal circulation area.</w:t>
      </w:r>
    </w:p>
    <w:p>
      <w:pPr>
        <w:spacing w:after="0" w:line="170" w:lineRule="exact"/>
        <w:rPr>
          <w:sz w:val="20"/>
          <w:szCs w:val="20"/>
          <w:color w:val="auto"/>
        </w:rPr>
      </w:pPr>
    </w:p>
    <w:p>
      <w:pPr>
        <w:ind w:right="3439" w:firstLine="603"/>
        <w:spacing w:after="0" w:line="251" w:lineRule="auto"/>
        <w:rPr>
          <w:sz w:val="20"/>
          <w:szCs w:val="20"/>
          <w:color w:val="auto"/>
        </w:rPr>
      </w:pPr>
      <w:r>
        <w:rPr>
          <w:rFonts w:ascii="Courier New" w:cs="Courier New" w:eastAsia="Courier New" w:hAnsi="Courier New"/>
          <w:sz w:val="14"/>
          <w:szCs w:val="14"/>
          <w:color w:val="auto"/>
        </w:rPr>
        <w:t>The circulation of The Gazette Newspapers is limited to Montgomery County and parts of Frederick and Carroll Counties, Maryland (areas where The Washington Post also circulates). The Gazette Newspapers compete in varying degrees with many advertising vehicles available in their service areas, including The Potomac and Bethesda/Chevy Chase Almanacs and The Western Montgomery Bulletin, weekly controlled- circulation community newspapers, The Montgomery County Sentinel, a weekly paid-circulation community newspaper, and The Montgomery County Journal, a daily paid-circulation community newspaper (which also publishes two controlled-circulation weekly editions).</w:t>
      </w:r>
    </w:p>
    <w:p>
      <w:pPr>
        <w:spacing w:after="0" w:line="163" w:lineRule="exact"/>
        <w:rPr>
          <w:sz w:val="20"/>
          <w:szCs w:val="20"/>
          <w:color w:val="auto"/>
        </w:rPr>
      </w:pPr>
    </w:p>
    <w:p>
      <w:pPr>
        <w:ind w:right="3339" w:firstLine="603"/>
        <w:spacing w:after="0" w:line="250" w:lineRule="auto"/>
        <w:rPr>
          <w:sz w:val="20"/>
          <w:szCs w:val="20"/>
          <w:color w:val="auto"/>
        </w:rPr>
      </w:pPr>
      <w:r>
        <w:rPr>
          <w:rFonts w:ascii="Courier New" w:cs="Courier New" w:eastAsia="Courier New" w:hAnsi="Courier New"/>
          <w:sz w:val="14"/>
          <w:szCs w:val="14"/>
          <w:color w:val="auto"/>
        </w:rPr>
        <w:t>The Company's television stations compete for audiences and advertising revenues with television and radio stations and cable television systems serving the same or nearby areas and to a lesser degree with other media such as newspapers and magazines. Both independent stations and stations affiliated with the Fox Broadcasting Network and United Paramount Network are becoming increasingly competitive, and cable television systems continue to expand their operations in the Company's broadcast markets where they compete for television viewing by importing out-of-market television signals and by distributing pay-cable, advertiser-supported and other programming that is originated for cable systems. During 1994 two direct broadcast satellite or "DBS" services, Direct TV and United States Satellite Broadcasting, began providing nationwide distribution of television programming using small receiving dishes and digital transmission (although neither service includes the signals of local independent or network-affiliated television stations). In addition, telephone companies have shown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159"/>
          </w:cols>
          <w:pgMar w:left="300" w:top="285"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15</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increasing interest in providing cable television and other video services. The Company's television stations may also become subject to increased competition from low power television stations, wireless cable services, satellite master antenna systems (which can carry pay-cable and similar program material) and prerecorded video programming. Further, high definition and other improved television technologies are being developed which in the future may enhance the ability of some of these other video providers to compete for viewers with the local television broadcasting stations owned by the Company.</w:t>
      </w:r>
    </w:p>
    <w:p>
      <w:pPr>
        <w:spacing w:after="0" w:line="16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Cable television systems operate in a highly competitive environment. In addition to competing with the direct reception of television broadcast signals by the viewer's own antenna, such systems (like existing television stations) are subject to competition from other forms of television program delivery such as DBS services, low power television stations, wireless cable services, satellite master antenna systems and prerecorded video programming. Various legislative and regulatory proposals may also increase the competition faced by existing cable television systems by, among other things, facilitating the provision of competing services by local telephone companies.</w:t>
      </w:r>
    </w:p>
    <w:p>
      <w:pPr>
        <w:spacing w:after="0" w:line="163" w:lineRule="exact"/>
        <w:rPr>
          <w:sz w:val="20"/>
          <w:szCs w:val="20"/>
          <w:color w:val="auto"/>
        </w:rPr>
      </w:pPr>
    </w:p>
    <w:p>
      <w:pPr>
        <w:ind w:right="3439" w:firstLine="603"/>
        <w:spacing w:after="0" w:line="251" w:lineRule="auto"/>
        <w:rPr>
          <w:sz w:val="20"/>
          <w:szCs w:val="20"/>
          <w:color w:val="auto"/>
        </w:rPr>
      </w:pPr>
      <w:r>
        <w:rPr>
          <w:rFonts w:ascii="Courier New" w:cs="Courier New" w:eastAsia="Courier New" w:hAnsi="Courier New"/>
          <w:sz w:val="14"/>
          <w:szCs w:val="14"/>
          <w:color w:val="auto"/>
        </w:rPr>
        <w:t>According to figures compiled by Publishers' Information Bureau, Inc., of the 187 magazines reported on by the Bureau, Newsweek ranked fifth in total advertising revenues in 1994, when it received approximately 3.3% of all advertising revenues of the magazines included in the report. The magazine industry is highly competitive both within itself and with other advertising media which compete for audience and advertising revenue.</w:t>
      </w:r>
    </w:p>
    <w:p>
      <w:pPr>
        <w:spacing w:after="0" w:line="164" w:lineRule="exact"/>
        <w:rPr>
          <w:sz w:val="20"/>
          <w:szCs w:val="20"/>
          <w:color w:val="auto"/>
        </w:rPr>
      </w:pPr>
    </w:p>
    <w:p>
      <w:pPr>
        <w:ind w:right="3859" w:firstLine="603"/>
        <w:spacing w:after="0" w:line="252" w:lineRule="auto"/>
        <w:rPr>
          <w:sz w:val="20"/>
          <w:szCs w:val="20"/>
          <w:color w:val="auto"/>
        </w:rPr>
      </w:pPr>
      <w:r>
        <w:rPr>
          <w:rFonts w:ascii="Courier New" w:cs="Courier New" w:eastAsia="Courier New" w:hAnsi="Courier New"/>
          <w:sz w:val="14"/>
          <w:szCs w:val="14"/>
          <w:color w:val="auto"/>
        </w:rPr>
        <w:t>The Company's publications and television broadcasting and cable operations also compete for readers' and viewers' time with various other leisure-time activities.</w:t>
      </w:r>
    </w:p>
    <w:p>
      <w:pPr>
        <w:spacing w:after="0" w:line="16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The future of the Company's various business activities depends on a number of factors, including the general strength of the economy, population growth, technological innovations and new entertainment, news and information dissemination systems, overall advertising revenues, the relative efficiency of publishing and broadcasting compared to other forms of advertising and, particularly in the case of television broadcasting and cable operations, the extent and nature of government regulations.</w:t>
      </w:r>
    </w:p>
    <w:p>
      <w:pPr>
        <w:spacing w:after="0" w:line="16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EXECUTIVE OFFICERS</w:t>
      </w:r>
    </w:p>
    <w:p>
      <w:pPr>
        <w:spacing w:after="0" w:line="173" w:lineRule="exact"/>
        <w:rPr>
          <w:sz w:val="20"/>
          <w:szCs w:val="20"/>
          <w:color w:val="auto"/>
        </w:rPr>
      </w:pPr>
    </w:p>
    <w:p>
      <w:pPr>
        <w:ind w:right="3599" w:firstLine="603"/>
        <w:spacing w:after="0" w:line="252" w:lineRule="auto"/>
        <w:rPr>
          <w:sz w:val="20"/>
          <w:szCs w:val="20"/>
          <w:color w:val="auto"/>
        </w:rPr>
      </w:pPr>
      <w:r>
        <w:rPr>
          <w:rFonts w:ascii="Courier New" w:cs="Courier New" w:eastAsia="Courier New" w:hAnsi="Courier New"/>
          <w:sz w:val="14"/>
          <w:szCs w:val="14"/>
          <w:color w:val="auto"/>
        </w:rPr>
        <w:t>The executive officers of the Company, each of whom is elected for a one-year term at the meeting of the Board of Directors immediately following the Annual Meeting of Stockholders held in May of each year, are as follows:</w:t>
      </w:r>
    </w:p>
    <w:p>
      <w:pPr>
        <w:spacing w:after="0" w:line="163" w:lineRule="exact"/>
        <w:rPr>
          <w:sz w:val="20"/>
          <w:szCs w:val="20"/>
          <w:color w:val="auto"/>
        </w:rPr>
      </w:pPr>
    </w:p>
    <w:p>
      <w:pPr>
        <w:jc w:val="both"/>
        <w:ind w:right="3339" w:firstLine="603"/>
        <w:spacing w:after="0" w:line="250" w:lineRule="auto"/>
        <w:rPr>
          <w:sz w:val="20"/>
          <w:szCs w:val="20"/>
          <w:color w:val="auto"/>
        </w:rPr>
      </w:pPr>
      <w:r>
        <w:rPr>
          <w:rFonts w:ascii="Courier New" w:cs="Courier New" w:eastAsia="Courier New" w:hAnsi="Courier New"/>
          <w:sz w:val="14"/>
          <w:szCs w:val="14"/>
          <w:color w:val="auto"/>
        </w:rPr>
        <w:t>Donald E. Graham, age 49, has been Chairman of the Board of the Company since September 1993 and Chief Executive Officer of the Company since May 1991. Mr. Graham served as President of the Company from May 1991 until September</w:t>
      </w:r>
    </w:p>
    <w:p>
      <w:pPr>
        <w:spacing w:after="0" w:line="1"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1993 and prior to that had been a Vice President of the Company for more than five years. Mr. Graham also is Publisher of The Washington Post, having occupied that position since 1979.</w:t>
      </w:r>
    </w:p>
    <w:p>
      <w:pPr>
        <w:spacing w:after="0" w:line="16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Alan G. Spoon, age 43, is President and Chief Operating Officer of the Company. Mr. Spoon served as Executive Vice President and Chief Operating Officer of the Company from May 1991 until September 1993 and had previously been a Vice President of the Company since July 1987. Mr. Spoon also served as the Company's Vice President-Finance from July 1987 until November 1989, and as President of Newsweek, Inc. from September 1989 until May 1991.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159"/>
          </w:cols>
          <w:pgMar w:left="300" w:top="285"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16</w:t>
      </w:r>
    </w:p>
    <w:p>
      <w:pPr>
        <w:spacing w:after="0" w:line="7" w:lineRule="exact"/>
        <w:rPr>
          <w:sz w:val="20"/>
          <w:szCs w:val="20"/>
          <w:color w:val="auto"/>
        </w:rPr>
      </w:pPr>
    </w:p>
    <w:p>
      <w:pPr>
        <w:jc w:val="both"/>
        <w:ind w:right="3339" w:firstLine="603"/>
        <w:spacing w:after="0" w:line="252" w:lineRule="auto"/>
        <w:rPr>
          <w:sz w:val="20"/>
          <w:szCs w:val="20"/>
          <w:color w:val="auto"/>
        </w:rPr>
      </w:pPr>
      <w:r>
        <w:rPr>
          <w:rFonts w:ascii="Courier New" w:cs="Courier New" w:eastAsia="Courier New" w:hAnsi="Courier New"/>
          <w:sz w:val="14"/>
          <w:szCs w:val="14"/>
          <w:color w:val="auto"/>
        </w:rPr>
        <w:t>Katharine Graham, age 77, is Chairman of the Executive Committee of the Company's Board of Directors. Mrs. Graham previously served as Chairman of the Board of the Company from 1973 until September 1993 and as the Company's Chief Executive Officer from 1973 until May 1991.</w:t>
      </w:r>
    </w:p>
    <w:p>
      <w:pPr>
        <w:spacing w:after="0" w:line="162" w:lineRule="exact"/>
        <w:rPr>
          <w:sz w:val="20"/>
          <w:szCs w:val="20"/>
          <w:color w:val="auto"/>
        </w:rPr>
      </w:pPr>
    </w:p>
    <w:p>
      <w:pPr>
        <w:ind w:right="3519" w:firstLine="603"/>
        <w:spacing w:after="0" w:line="255" w:lineRule="auto"/>
        <w:rPr>
          <w:sz w:val="20"/>
          <w:szCs w:val="20"/>
          <w:color w:val="auto"/>
        </w:rPr>
      </w:pPr>
      <w:r>
        <w:rPr>
          <w:rFonts w:ascii="Courier New" w:cs="Courier New" w:eastAsia="Courier New" w:hAnsi="Courier New"/>
          <w:sz w:val="14"/>
          <w:szCs w:val="14"/>
          <w:color w:val="auto"/>
        </w:rPr>
        <w:t>Martin Cohen, age 63, is a Vice President of the Company; from 1975 to July 1987 he served as Vice President-Finance and Treasurer of the Company.</w:t>
      </w:r>
    </w:p>
    <w:p>
      <w:pPr>
        <w:spacing w:after="0" w:line="160"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Diana M. Daniels, age 45, has been Vice President and General Counsel of the Company since November 1988 and Secretary of the Company since September 1991. Ms. Daniels served as General Counsel of the Company from January 1988 to November 1988 and prior to that had been Vice President and General Counsel of Newsweek, Inc. since 1979.</w:t>
      </w:r>
    </w:p>
    <w:p>
      <w:pPr>
        <w:spacing w:after="0" w:line="164" w:lineRule="exact"/>
        <w:rPr>
          <w:sz w:val="20"/>
          <w:szCs w:val="20"/>
          <w:color w:val="auto"/>
        </w:rPr>
      </w:pPr>
    </w:p>
    <w:p>
      <w:pPr>
        <w:ind w:right="3439" w:firstLine="603"/>
        <w:spacing w:after="0" w:line="252" w:lineRule="auto"/>
        <w:rPr>
          <w:sz w:val="20"/>
          <w:szCs w:val="20"/>
          <w:color w:val="auto"/>
        </w:rPr>
      </w:pPr>
      <w:r>
        <w:rPr>
          <w:rFonts w:ascii="Courier New" w:cs="Courier New" w:eastAsia="Courier New" w:hAnsi="Courier New"/>
          <w:sz w:val="14"/>
          <w:szCs w:val="14"/>
          <w:color w:val="auto"/>
        </w:rPr>
        <w:t>Boisfeuillet Jones, Jr., age 48, is a Vice President of the Company and President of The Washington Post, a position he assumed in January 1995. Mr. Jones had previously served as Vice President and Counsel of The Washington Post since 1980.</w:t>
      </w:r>
    </w:p>
    <w:p>
      <w:pPr>
        <w:spacing w:after="0" w:line="162" w:lineRule="exact"/>
        <w:rPr>
          <w:sz w:val="20"/>
          <w:szCs w:val="20"/>
          <w:color w:val="auto"/>
        </w:rPr>
      </w:pPr>
    </w:p>
    <w:p>
      <w:pPr>
        <w:ind w:right="3439" w:firstLine="603"/>
        <w:spacing w:after="0" w:line="252" w:lineRule="auto"/>
        <w:rPr>
          <w:sz w:val="20"/>
          <w:szCs w:val="20"/>
          <w:color w:val="auto"/>
        </w:rPr>
      </w:pPr>
      <w:r>
        <w:rPr>
          <w:rFonts w:ascii="Courier New" w:cs="Courier New" w:eastAsia="Courier New" w:hAnsi="Courier New"/>
          <w:sz w:val="14"/>
          <w:szCs w:val="14"/>
          <w:color w:val="auto"/>
        </w:rPr>
        <w:t>Beverly R. Keil, age 48, has been Vice President-Human Resources of the Company since 1986; from 1982 through 1985 she was the Company's Director of Human Resources.</w:t>
      </w:r>
    </w:p>
    <w:p>
      <w:pPr>
        <w:spacing w:after="0" w:line="16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Thomas O. Might, age 43, is a Vice President of the Company and President of the Company's Cable Television Division. Beginning in 1980, Mr. Might held various executive positions at The Washington Post, most recently as Vice President for Advertising and Marketing; in January 1993 he was named President of the Cable Television Division and in January 1995 became the chief executive officer of that Division.</w:t>
      </w:r>
    </w:p>
    <w:p>
      <w:pPr>
        <w:spacing w:after="0" w:line="164" w:lineRule="exact"/>
        <w:rPr>
          <w:sz w:val="20"/>
          <w:szCs w:val="20"/>
          <w:color w:val="auto"/>
        </w:rPr>
      </w:pPr>
    </w:p>
    <w:p>
      <w:pPr>
        <w:ind w:right="3859" w:firstLine="603"/>
        <w:spacing w:after="0" w:line="252" w:lineRule="auto"/>
        <w:rPr>
          <w:sz w:val="20"/>
          <w:szCs w:val="20"/>
          <w:color w:val="auto"/>
        </w:rPr>
      </w:pPr>
      <w:r>
        <w:rPr>
          <w:rFonts w:ascii="Courier New" w:cs="Courier New" w:eastAsia="Courier New" w:hAnsi="Courier New"/>
          <w:sz w:val="14"/>
          <w:szCs w:val="14"/>
          <w:color w:val="auto"/>
        </w:rPr>
        <w:t>John B. Morse, Jr., age 48, has been Vice President-Finance of the Company since November 1989. He joined the Company as Vice President and Controller in July 1989, and prior to that had been a partner of Price Waterhouse for more than five years.</w:t>
      </w:r>
    </w:p>
    <w:p>
      <w:pPr>
        <w:spacing w:after="0" w:line="162" w:lineRule="exact"/>
        <w:rPr>
          <w:sz w:val="20"/>
          <w:szCs w:val="20"/>
          <w:color w:val="auto"/>
        </w:rPr>
      </w:pPr>
    </w:p>
    <w:p>
      <w:pPr>
        <w:ind w:right="3599" w:firstLine="603"/>
        <w:spacing w:after="0" w:line="255" w:lineRule="auto"/>
        <w:rPr>
          <w:sz w:val="20"/>
          <w:szCs w:val="20"/>
          <w:color w:val="auto"/>
        </w:rPr>
      </w:pPr>
      <w:r>
        <w:rPr>
          <w:rFonts w:ascii="Courier New" w:cs="Courier New" w:eastAsia="Courier New" w:hAnsi="Courier New"/>
          <w:sz w:val="14"/>
          <w:szCs w:val="14"/>
          <w:color w:val="auto"/>
        </w:rPr>
        <w:t>G. William Ryan, age 54, is a Vice President of the Company and since March 1988 has been President of Post-Newsweek Stations, Inc.</w:t>
      </w:r>
    </w:p>
    <w:p>
      <w:pPr>
        <w:spacing w:after="0" w:line="160" w:lineRule="exact"/>
        <w:rPr>
          <w:sz w:val="20"/>
          <w:szCs w:val="20"/>
          <w:color w:val="auto"/>
        </w:rPr>
      </w:pPr>
    </w:p>
    <w:p>
      <w:pPr>
        <w:ind w:right="3599" w:firstLine="603"/>
        <w:spacing w:after="0" w:line="252" w:lineRule="auto"/>
        <w:rPr>
          <w:sz w:val="20"/>
          <w:szCs w:val="20"/>
          <w:color w:val="auto"/>
        </w:rPr>
      </w:pPr>
      <w:r>
        <w:rPr>
          <w:rFonts w:ascii="Courier New" w:cs="Courier New" w:eastAsia="Courier New" w:hAnsi="Courier New"/>
          <w:sz w:val="14"/>
          <w:szCs w:val="14"/>
          <w:color w:val="auto"/>
        </w:rPr>
        <w:t>Richard M. Smith, age 49, is a Vice President of the Company; he has served as Editor-in-Chief of Newsweek since 1984 and in May 1991 also became President of Newsweek, Inc.</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EMPLOYEES</w:t>
      </w:r>
    </w:p>
    <w:p>
      <w:pPr>
        <w:spacing w:after="0" w:line="173" w:lineRule="exact"/>
        <w:rPr>
          <w:sz w:val="20"/>
          <w:szCs w:val="20"/>
          <w:color w:val="auto"/>
        </w:rPr>
      </w:pPr>
    </w:p>
    <w:p>
      <w:pPr>
        <w:ind w:right="3339" w:firstLine="603"/>
        <w:spacing w:after="0" w:line="255" w:lineRule="auto"/>
        <w:rPr>
          <w:sz w:val="20"/>
          <w:szCs w:val="20"/>
          <w:color w:val="auto"/>
        </w:rPr>
      </w:pPr>
      <w:r>
        <w:rPr>
          <w:rFonts w:ascii="Courier New" w:cs="Courier New" w:eastAsia="Courier New" w:hAnsi="Courier New"/>
          <w:sz w:val="14"/>
          <w:szCs w:val="14"/>
          <w:color w:val="auto"/>
        </w:rPr>
        <w:t>The Company and its subsidiaries employ approximately 6,800 persons on a full-time basis.</w:t>
      </w:r>
    </w:p>
    <w:p>
      <w:pPr>
        <w:spacing w:after="0" w:line="160" w:lineRule="exact"/>
        <w:rPr>
          <w:sz w:val="20"/>
          <w:szCs w:val="20"/>
          <w:color w:val="auto"/>
        </w:rPr>
      </w:pPr>
    </w:p>
    <w:p>
      <w:pPr>
        <w:ind w:right="3339" w:firstLine="603"/>
        <w:spacing w:after="0" w:line="250" w:lineRule="auto"/>
        <w:rPr>
          <w:sz w:val="20"/>
          <w:szCs w:val="20"/>
          <w:color w:val="auto"/>
        </w:rPr>
      </w:pPr>
      <w:r>
        <w:rPr>
          <w:rFonts w:ascii="Courier New" w:cs="Courier New" w:eastAsia="Courier New" w:hAnsi="Courier New"/>
          <w:sz w:val="14"/>
          <w:szCs w:val="14"/>
          <w:color w:val="auto"/>
        </w:rPr>
        <w:t>The Washington Post has approximately 2,815 full-time employees. About 2,005 of The Post's full-time employees and about 485 part-time employees are represented by one or another of nine unions. Collective bargaining agreements are currently in effect with locals of the following unions covering the full-time and part-time employees and expiring on the dates indicated: 1,325 employees in the editorial, newsroom and commercial departments represented by the Washington-Baltimore Newspaper Guild (July 9, 1995); 146 paperhandlers and general workers represented by the Printing Specialty and Paper Products Union (March 31, 1995); 46 machinists represented by the International Association of Machinists (January 13, 1996); 50 photoengravers-platemakers represented by the Graphic Arts International Union (February 19, 1996); 118 building service employees represented by the Service Employees International Union (April 30, 1996); 38 engineers, carpenters and painters represented by the International Union of Operating Engineers (March 1, 1997); 373 mailers and 187 mailroom helpers represented by the Washington Mailers' Union (June 15, 1997); and 187 typographers represented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159"/>
          </w:cols>
          <w:pgMar w:left="300" w:top="285"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17</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Columbia Typographical Union (October 2, 2000). The collective bargaining agreement covering 32 electricians represented by the International Brotherhood of Electrical Workers expired in August 1994; a new contract has been negotiated with the union and is awaiting ratification.</w:t>
      </w:r>
    </w:p>
    <w:p>
      <w:pPr>
        <w:spacing w:after="0" w:line="162"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Of the approximately 210 full-time and 90 part-time employees at The Herald, about 61 full-time and 11 part-time employees are represented by one or another of three unions. The newspaper's collective bargaining agreement with the Graphic Communications International Union, which represents press operators, expired on January 15, 1995, and a new agreement has been negotiated and is awaiting ratification. Its agreement with the International Brotherhood of Teamsters, which represents part-time bundle haulers, will expire on May 31, 1998, and its agreement with the Communications Workers of America, which represents printers and mailers, will expire on October 31, 1998.</w:t>
      </w:r>
    </w:p>
    <w:p>
      <w:pPr>
        <w:spacing w:after="0" w:line="163" w:lineRule="exact"/>
        <w:rPr>
          <w:sz w:val="20"/>
          <w:szCs w:val="20"/>
          <w:color w:val="auto"/>
        </w:rPr>
      </w:pPr>
    </w:p>
    <w:p>
      <w:pPr>
        <w:ind w:right="3439" w:firstLine="603"/>
        <w:spacing w:after="0" w:line="252" w:lineRule="auto"/>
        <w:rPr>
          <w:sz w:val="20"/>
          <w:szCs w:val="20"/>
          <w:color w:val="auto"/>
        </w:rPr>
      </w:pPr>
      <w:r>
        <w:rPr>
          <w:rFonts w:ascii="Courier New" w:cs="Courier New" w:eastAsia="Courier New" w:hAnsi="Courier New"/>
          <w:sz w:val="14"/>
          <w:szCs w:val="14"/>
          <w:color w:val="auto"/>
        </w:rPr>
        <w:t>Newsweek has approximately 940 full-time employees (including about 210 editorial employees represented by the New York Newspaper Guild under a collective bargaining agreement which expires in December 1995).</w:t>
      </w:r>
    </w:p>
    <w:p>
      <w:pPr>
        <w:spacing w:after="0" w:line="163" w:lineRule="exact"/>
        <w:rPr>
          <w:sz w:val="20"/>
          <w:szCs w:val="20"/>
          <w:color w:val="auto"/>
        </w:rPr>
      </w:pPr>
    </w:p>
    <w:p>
      <w:pPr>
        <w:ind w:right="3519" w:firstLine="603"/>
        <w:spacing w:after="0" w:line="251" w:lineRule="auto"/>
        <w:rPr>
          <w:sz w:val="20"/>
          <w:szCs w:val="20"/>
          <w:color w:val="auto"/>
        </w:rPr>
      </w:pPr>
      <w:r>
        <w:rPr>
          <w:rFonts w:ascii="Courier New" w:cs="Courier New" w:eastAsia="Courier New" w:hAnsi="Courier New"/>
          <w:sz w:val="14"/>
          <w:szCs w:val="14"/>
          <w:color w:val="auto"/>
        </w:rPr>
        <w:t>The Company's broadcasting operations have approximately 910 full-time employees, of whom about 260 are union-represented. Of the ten collective bargaining agreements covering union-represented employees, four have expired and are being renegotiated. Three other collective bargaining agreements will expire in 1995.</w:t>
      </w:r>
    </w:p>
    <w:p>
      <w:pPr>
        <w:spacing w:after="0" w:line="164" w:lineRule="exact"/>
        <w:rPr>
          <w:sz w:val="20"/>
          <w:szCs w:val="20"/>
          <w:color w:val="auto"/>
        </w:rPr>
      </w:pPr>
    </w:p>
    <w:p>
      <w:pPr>
        <w:ind w:right="3339" w:firstLine="603"/>
        <w:spacing w:after="0" w:line="250" w:lineRule="auto"/>
        <w:rPr>
          <w:sz w:val="20"/>
          <w:szCs w:val="20"/>
          <w:color w:val="auto"/>
        </w:rPr>
      </w:pPr>
      <w:r>
        <w:rPr>
          <w:rFonts w:ascii="Courier New" w:cs="Courier New" w:eastAsia="Courier New" w:hAnsi="Courier New"/>
          <w:sz w:val="14"/>
          <w:szCs w:val="14"/>
          <w:color w:val="auto"/>
        </w:rPr>
        <w:t>The Company's Cable Television Division has approximately 850 full-time employees. Stanley H. Kaplan Educational Center Ltd. employs approximately 600 persons on full-time basis (which number does not include substantial numbers of part-time employees who serve in instructional and clerical capacities).</w:t>
      </w:r>
    </w:p>
    <w:p>
      <w:pPr>
        <w:spacing w:after="0" w:line="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Gazette Newspapers have approximately 143 full-time and 45 part-time employees. Robinson Terminal Warehouse Corporation (the Company's newsprint warehousing and distribution subsidiary), Legi-Slate, Mammoth Micro Productions and Moffet, Larson &amp; Johnson each employ fewer than 125 persons. None of these units' employees is represented by a union.</w:t>
      </w:r>
    </w:p>
    <w:p>
      <w:pPr>
        <w:spacing w:after="0" w:line="164"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2.</w:t>
        <w:tab/>
        <w:t>PROPERTIES.</w:t>
      </w:r>
    </w:p>
    <w:p>
      <w:pPr>
        <w:spacing w:after="0" w:line="173" w:lineRule="exact"/>
        <w:rPr>
          <w:sz w:val="20"/>
          <w:szCs w:val="20"/>
          <w:color w:val="auto"/>
        </w:rPr>
      </w:pPr>
    </w:p>
    <w:p>
      <w:pPr>
        <w:ind w:right="3519" w:firstLine="603"/>
        <w:spacing w:after="0" w:line="250" w:lineRule="auto"/>
        <w:rPr>
          <w:sz w:val="20"/>
          <w:szCs w:val="20"/>
          <w:color w:val="auto"/>
        </w:rPr>
      </w:pPr>
      <w:r>
        <w:rPr>
          <w:rFonts w:ascii="Courier New" w:cs="Courier New" w:eastAsia="Courier New" w:hAnsi="Courier New"/>
          <w:sz w:val="14"/>
          <w:szCs w:val="14"/>
          <w:color w:val="auto"/>
        </w:rPr>
        <w:t>The Company owns the publishing plant and principal offices of The Washington Post in downtown Washington, D.C., including both a seven-story building in use since 1950 and a connected nine-story office building on contiguous property completed in 1972 in which are located the Company's principal executive offices. In 1980 the Company completed construction of a satellite printing plant on 13 acres of land owned by the Company in Fairfax County, Virginia, and in 1981 purchased the printing plant of the defunct Washington Star located in Southeast Washington, D.C. The Company owns a</w:t>
      </w:r>
    </w:p>
    <w:p>
      <w:pPr>
        <w:spacing w:after="0" w:line="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34-acre tract of undeveloped land in Prince George's County, Maryland, and a 39-acre tract of undeveloped land near Dulles Airport in Fairfax County, Virginia, both of which are suitable for the construction of facilities for the printing and distribution of copies of The Post to suburban locations. The Company also owns 10 acres of undeveloped land in Montgomery County, Maryland.</w:t>
      </w:r>
    </w:p>
    <w:p>
      <w:pPr>
        <w:spacing w:after="0" w:line="164"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Additionally, the Company owns land on the corner of 15th and L Streets, N.W., in Washington, D.C., adjacent to The Washington Post plant and office building. The Company has leased this property under a long-term ground lease to The Prudential Insurance Company of America, which in 1982 completed construction of a new multi-story office building on the site. The Company rents a number of floors in this building. The Company also owns and occupies a small office building on L Street which is next to The Post's downtown plant.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159"/>
          </w:cols>
          <w:pgMar w:left="300" w:top="285"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18</w:t>
      </w:r>
    </w:p>
    <w:p>
      <w:pPr>
        <w:spacing w:after="0" w:line="7" w:lineRule="exact"/>
        <w:rPr>
          <w:sz w:val="20"/>
          <w:szCs w:val="20"/>
          <w:color w:val="auto"/>
        </w:rPr>
      </w:pPr>
    </w:p>
    <w:p>
      <w:pPr>
        <w:ind w:right="3339" w:firstLine="603"/>
        <w:spacing w:after="0" w:line="252" w:lineRule="auto"/>
        <w:rPr>
          <w:sz w:val="20"/>
          <w:szCs w:val="20"/>
          <w:color w:val="auto"/>
        </w:rPr>
      </w:pPr>
      <w:r>
        <w:rPr>
          <w:rFonts w:ascii="Courier New" w:cs="Courier New" w:eastAsia="Courier New" w:hAnsi="Courier New"/>
          <w:sz w:val="14"/>
          <w:szCs w:val="14"/>
          <w:color w:val="auto"/>
        </w:rPr>
        <w:t>The Herald owns its plant and office building in Everett, Washington; it also owns two warehouses adjacent to its plant and a small office building in Lynnwood, Washington, from which it manages its south Snohomish County operations.</w:t>
      </w:r>
    </w:p>
    <w:p>
      <w:pPr>
        <w:spacing w:after="0" w:line="16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Gazette Newspapers, Inc. owns the one-story brick building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Gaithersburg, Maryland, that serves as headquarters for The Gazette Newspapers.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Satellite editorial and sales offices are located in leased premises.</w:t>
      </w:r>
    </w:p>
    <w:p>
      <w:pPr>
        <w:spacing w:after="0" w:line="17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The principal offices of Newsweek are located at 251 West 57th Street in New York City, where Newsweek rents space on nine floors. The lease on this space will expire in 2009 but is renewable for a 15-year period at Newsweek's option at rentals to be negotiated or arbitrated. Newsweek's accounting, production and distribution departments, and its subscription service operations, are located in a facility Newsweek built in 1987 on a 16-acre tract in Mountain Lakes, New Jersey. In December 1994 Newsweek signed a letter of intent to sell its subscription service operations to Quad/Graphics, Inc., a major commercial printing company. In connection with this transaction it is anticipated that Quad/Graphics will lease a substantial portion of Newsweek's Mountain Lakes facility.</w:t>
      </w:r>
    </w:p>
    <w:p>
      <w:pPr>
        <w:spacing w:after="0" w:line="163" w:lineRule="exact"/>
        <w:rPr>
          <w:sz w:val="20"/>
          <w:szCs w:val="20"/>
          <w:color w:val="auto"/>
        </w:rPr>
      </w:pPr>
    </w:p>
    <w:p>
      <w:pPr>
        <w:ind w:right="3339" w:firstLine="603"/>
        <w:spacing w:after="0" w:line="252" w:lineRule="auto"/>
        <w:rPr>
          <w:sz w:val="20"/>
          <w:szCs w:val="20"/>
          <w:color w:val="auto"/>
        </w:rPr>
      </w:pPr>
      <w:r>
        <w:rPr>
          <w:rFonts w:ascii="Courier New" w:cs="Courier New" w:eastAsia="Courier New" w:hAnsi="Courier New"/>
          <w:sz w:val="14"/>
          <w:szCs w:val="14"/>
          <w:color w:val="auto"/>
        </w:rPr>
        <w:t>The headquarters offices of the Company's broadcasting operations are located in Hartford, Connecticut, in the same facilities that house the offices and studios of WFSB. That facility and those that house the operations of each of the Company's other television stations are all owned by the Company.</w:t>
      </w:r>
    </w:p>
    <w:p>
      <w:pPr>
        <w:spacing w:after="0" w:line="162"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The headquarters offices of the Cable Television Division are located in leased premises in Phoenix, Arizona. The majority of the offices and head-end facilities of the Division's individual cable systems are located in buildings owned by the Company. Substantially all the tower sites used by the Division are leased.</w:t>
      </w:r>
    </w:p>
    <w:p>
      <w:pPr>
        <w:spacing w:after="0" w:line="164"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Robinson Terminal Warehouse Corporation owns two wharves and several warehouses in Alexandria, Virginia. These facilities are adjacent to the business district and occupy approximately seven acres of land. Robinson also owns two partially developed tracts of land in Fairfax County, Virginia, aggregating about 22 acres. These tracts are near The Washington Post's satellite printing plant and include several warehouses. In 1992 Robinson purchased approximately 23 acres of undeveloped land on the Potomac River in Charles County, Maryland, for the possible construction of additional warehouse capacity.</w:t>
      </w:r>
    </w:p>
    <w:p>
      <w:pPr>
        <w:spacing w:after="0" w:line="329"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Stanley H. Kaplan Educational Center Ltd. owns a six-story building located at 131 West 56th Street in New York City, which serves as the Manhattan Educational Center, and a one-story building in Brooklyn, New York, which houses Kaplan's printing and production facilities. Kaplan's headquarters offices are located at 810 Seventh Avenue in New York City, where Kaplan rents space on two floors under leases which expire between 1995 and 1998. All Kaplan educational centers outside of Manhattan occupy leased premises.</w:t>
      </w:r>
    </w:p>
    <w:p>
      <w:pPr>
        <w:spacing w:after="0" w:line="16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The offices of Legi-Slate, Mammoth Micro Productions and Moffet, Larson</w:t>
      </w:r>
    </w:p>
    <w:p>
      <w:pPr>
        <w:spacing w:after="0" w:line="7" w:lineRule="exact"/>
        <w:rPr>
          <w:sz w:val="20"/>
          <w:szCs w:val="20"/>
          <w:color w:val="auto"/>
        </w:rPr>
      </w:pPr>
    </w:p>
    <w:p>
      <w:pPr>
        <w:ind w:right="3439" w:firstLine="8"/>
        <w:spacing w:after="0" w:line="255" w:lineRule="auto"/>
        <w:tabs>
          <w:tab w:leader="none" w:pos="172"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Johnson are located in Washington, D.C., Golden, Colorado, and Falls Church, Virginia, respectively, and in each case occupy leased premises.</w:t>
      </w:r>
    </w:p>
    <w:p>
      <w:pPr>
        <w:spacing w:after="0" w:line="16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3.</w:t>
        <w:tab/>
        <w:t>LEGAL PROCEEDINGS.</w:t>
      </w:r>
    </w:p>
    <w:p>
      <w:pPr>
        <w:spacing w:after="0" w:line="173" w:lineRule="exact"/>
        <w:rPr>
          <w:sz w:val="20"/>
          <w:szCs w:val="20"/>
          <w:color w:val="auto"/>
        </w:rPr>
      </w:pPr>
    </w:p>
    <w:p>
      <w:pPr>
        <w:ind w:right="3439" w:firstLine="603"/>
        <w:spacing w:after="0" w:line="252" w:lineRule="auto"/>
        <w:rPr>
          <w:sz w:val="20"/>
          <w:szCs w:val="20"/>
          <w:color w:val="auto"/>
        </w:rPr>
      </w:pPr>
      <w:r>
        <w:rPr>
          <w:rFonts w:ascii="Courier New" w:cs="Courier New" w:eastAsia="Courier New" w:hAnsi="Courier New"/>
          <w:sz w:val="14"/>
          <w:szCs w:val="14"/>
          <w:color w:val="auto"/>
        </w:rPr>
        <w:t>The Company and its subsidiaries are parties to various civil lawsuits that have arisen in the ordinary course of their businesses, including actions for libel and invasion of privacy.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159"/>
          </w:cols>
          <w:pgMar w:left="300" w:top="285"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4"/>
          <w:szCs w:val="14"/>
          <w:color w:val="auto"/>
        </w:rPr>
        <w:t>19</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does not believe that any litigation pending against the Company will have a material adverse effect on its business or financial condition.</w:t>
      </w:r>
    </w:p>
    <w:p>
      <w:pPr>
        <w:spacing w:after="0" w:line="16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4.</w:t>
        <w:tab/>
        <w:t>SUBMISSION OF MATTERS TO A VOTE OF SECURITY HOLDERS.</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Not applicable.</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ITEM 5. MARKET FOR THE REGISTRANT'S COMMON EQUITY AND RELATED STOCKHOLDER MATTERS.</w:t>
      </w:r>
    </w:p>
    <w:p>
      <w:pPr>
        <w:spacing w:after="0" w:line="160" w:lineRule="exact"/>
        <w:rPr>
          <w:sz w:val="20"/>
          <w:szCs w:val="20"/>
          <w:color w:val="auto"/>
        </w:rPr>
      </w:pPr>
    </w:p>
    <w:p>
      <w:pPr>
        <w:ind w:right="3779" w:firstLine="603"/>
        <w:spacing w:after="0" w:line="252" w:lineRule="auto"/>
        <w:rPr>
          <w:sz w:val="20"/>
          <w:szCs w:val="20"/>
          <w:color w:val="auto"/>
        </w:rPr>
      </w:pPr>
      <w:r>
        <w:rPr>
          <w:rFonts w:ascii="Courier New" w:cs="Courier New" w:eastAsia="Courier New" w:hAnsi="Courier New"/>
          <w:sz w:val="14"/>
          <w:szCs w:val="14"/>
          <w:color w:val="auto"/>
        </w:rPr>
        <w:t>The Company's Class B Common Stock is traded on the New York Stock Exchange under the symbol "WPO." The Company's Class A Common Stock is not publicly traded.</w:t>
      </w:r>
    </w:p>
    <w:p>
      <w:pPr>
        <w:spacing w:after="0" w:line="163" w:lineRule="exact"/>
        <w:rPr>
          <w:sz w:val="20"/>
          <w:szCs w:val="20"/>
          <w:color w:val="auto"/>
        </w:rPr>
      </w:pPr>
    </w:p>
    <w:p>
      <w:pPr>
        <w:ind w:right="3779" w:firstLine="603"/>
        <w:spacing w:after="0" w:line="255" w:lineRule="auto"/>
        <w:rPr>
          <w:sz w:val="20"/>
          <w:szCs w:val="20"/>
          <w:color w:val="auto"/>
        </w:rPr>
      </w:pPr>
      <w:r>
        <w:rPr>
          <w:rFonts w:ascii="Courier New" w:cs="Courier New" w:eastAsia="Courier New" w:hAnsi="Courier New"/>
          <w:sz w:val="14"/>
          <w:szCs w:val="14"/>
          <w:color w:val="auto"/>
        </w:rPr>
        <w:t>The high and low sales prices of the Company's Class B Common Stock during the last two years were:</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1994</w:t>
            </w:r>
          </w:p>
        </w:tc>
        <w:tc>
          <w:tcPr>
            <w:tcW w:w="1000" w:type="dxa"/>
            <w:vAlign w:val="bottom"/>
          </w:tcPr>
          <w:p>
            <w:pPr>
              <w:spacing w:after="0"/>
              <w:rPr>
                <w:sz w:val="14"/>
                <w:szCs w:val="14"/>
                <w:color w:val="auto"/>
              </w:rPr>
            </w:pP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1993</w:t>
            </w:r>
          </w:p>
        </w:tc>
      </w:tr>
      <w:tr>
        <w:trPr>
          <w:trHeight w:val="166"/>
        </w:trPr>
        <w:tc>
          <w:tcPr>
            <w:tcW w:w="7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Quarter</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High</w:t>
            </w:r>
          </w:p>
        </w:tc>
        <w:tc>
          <w:tcPr>
            <w:tcW w:w="13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Low</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High</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Low</w:t>
            </w:r>
          </w:p>
        </w:tc>
      </w:tr>
      <w:tr>
        <w:trPr>
          <w:trHeight w:val="166"/>
        </w:trPr>
        <w:tc>
          <w:tcPr>
            <w:tcW w:w="33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January</w:t>
            </w:r>
          </w:p>
        </w:tc>
        <w:tc>
          <w:tcPr>
            <w:tcW w:w="2620" w:type="dxa"/>
            <w:vAlign w:val="bottom"/>
          </w:tcPr>
          <w:p>
            <w:pPr>
              <w:spacing w:after="0"/>
              <w:rPr>
                <w:sz w:val="20"/>
                <w:szCs w:val="20"/>
                <w:color w:val="auto"/>
              </w:rPr>
            </w:pPr>
            <w:r>
              <w:rPr>
                <w:rFonts w:ascii="Courier New" w:cs="Courier New" w:eastAsia="Courier New" w:hAnsi="Courier New"/>
                <w:sz w:val="14"/>
                <w:szCs w:val="14"/>
                <w:color w:val="auto"/>
              </w:rPr>
              <w:t>- March . . . . . . . . . . .</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$ 284</w:t>
            </w:r>
          </w:p>
        </w:tc>
        <w:tc>
          <w:tcPr>
            <w:tcW w:w="13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$ 232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$ 242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$ 228</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April -</w:t>
            </w:r>
          </w:p>
        </w:tc>
        <w:tc>
          <w:tcPr>
            <w:tcW w:w="2620" w:type="dxa"/>
            <w:vAlign w:val="bottom"/>
          </w:tcPr>
          <w:p>
            <w:pPr>
              <w:spacing w:after="0"/>
              <w:rPr>
                <w:sz w:val="20"/>
                <w:szCs w:val="20"/>
                <w:color w:val="auto"/>
              </w:rPr>
            </w:pPr>
            <w:r>
              <w:rPr>
                <w:rFonts w:ascii="Courier New" w:cs="Courier New" w:eastAsia="Courier New" w:hAnsi="Courier New"/>
                <w:sz w:val="14"/>
                <w:szCs w:val="14"/>
                <w:color w:val="auto"/>
              </w:rPr>
              <w:t>June  . . . . . . . . . . . .</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241</w:t>
            </w:r>
          </w:p>
        </w:tc>
        <w:tc>
          <w:tcPr>
            <w:tcW w:w="13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222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244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227</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July - September  . . . . . . . . . .</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238</w:t>
            </w:r>
          </w:p>
        </w:tc>
        <w:tc>
          <w:tcPr>
            <w:tcW w:w="13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231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230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212</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October</w:t>
            </w:r>
          </w:p>
        </w:tc>
        <w:tc>
          <w:tcPr>
            <w:tcW w:w="2620" w:type="dxa"/>
            <w:vAlign w:val="bottom"/>
          </w:tcPr>
          <w:p>
            <w:pPr>
              <w:spacing w:after="0"/>
              <w:rPr>
                <w:sz w:val="20"/>
                <w:szCs w:val="20"/>
                <w:color w:val="auto"/>
              </w:rPr>
            </w:pPr>
            <w:r>
              <w:rPr>
                <w:rFonts w:ascii="Courier New" w:cs="Courier New" w:eastAsia="Courier New" w:hAnsi="Courier New"/>
                <w:sz w:val="14"/>
                <w:szCs w:val="14"/>
                <w:color w:val="auto"/>
              </w:rPr>
              <w:t>- December  . . . . . . . . .</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248</w:t>
            </w:r>
          </w:p>
        </w:tc>
        <w:tc>
          <w:tcPr>
            <w:tcW w:w="13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234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257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219</w:t>
            </w:r>
          </w:p>
        </w:tc>
      </w:tr>
    </w:tbl>
    <w:p>
      <w:pPr>
        <w:spacing w:after="0" w:line="335" w:lineRule="exact"/>
        <w:rPr>
          <w:sz w:val="20"/>
          <w:szCs w:val="20"/>
          <w:color w:val="auto"/>
        </w:rPr>
      </w:pPr>
    </w:p>
    <w:p>
      <w:pPr>
        <w:ind w:right="3439" w:firstLine="603"/>
        <w:spacing w:after="0" w:line="251" w:lineRule="auto"/>
        <w:rPr>
          <w:sz w:val="20"/>
          <w:szCs w:val="20"/>
          <w:color w:val="auto"/>
        </w:rPr>
      </w:pPr>
      <w:r>
        <w:rPr>
          <w:rFonts w:ascii="Courier New" w:cs="Courier New" w:eastAsia="Courier New" w:hAnsi="Courier New"/>
          <w:sz w:val="14"/>
          <w:szCs w:val="14"/>
          <w:color w:val="auto"/>
        </w:rPr>
        <w:t>During 1994 the Company repurchased 366,500 shares of Class B Common Stock in unsolicited transactions at prices no higher than the last sale price on the New York Stock Exchange. Almost all of the repurchased shares were included in trading volume reported on 1994's consolidated tape and accounted for approximately 15 percent of such volume.</w:t>
      </w:r>
    </w:p>
    <w:p>
      <w:pPr>
        <w:spacing w:after="0" w:line="164" w:lineRule="exact"/>
        <w:rPr>
          <w:sz w:val="20"/>
          <w:szCs w:val="20"/>
          <w:color w:val="auto"/>
        </w:rPr>
      </w:pPr>
    </w:p>
    <w:p>
      <w:pPr>
        <w:ind w:right="3519" w:firstLine="603"/>
        <w:spacing w:after="0" w:line="252" w:lineRule="auto"/>
        <w:rPr>
          <w:sz w:val="20"/>
          <w:szCs w:val="20"/>
          <w:color w:val="auto"/>
        </w:rPr>
      </w:pPr>
      <w:r>
        <w:rPr>
          <w:rFonts w:ascii="Courier New" w:cs="Courier New" w:eastAsia="Courier New" w:hAnsi="Courier New"/>
          <w:sz w:val="14"/>
          <w:szCs w:val="14"/>
          <w:color w:val="auto"/>
        </w:rPr>
        <w:t>At February 28, 1995, there were 23 holders of record of the Company's Class A Common Stock and 1,467 holders of record of the Company's Class B Common Stock.</w:t>
      </w:r>
    </w:p>
    <w:p>
      <w:pPr>
        <w:spacing w:after="0" w:line="163" w:lineRule="exact"/>
        <w:rPr>
          <w:sz w:val="20"/>
          <w:szCs w:val="20"/>
          <w:color w:val="auto"/>
        </w:rPr>
      </w:pPr>
    </w:p>
    <w:p>
      <w:pPr>
        <w:ind w:right="3439" w:firstLine="603"/>
        <w:spacing w:after="0" w:line="252" w:lineRule="auto"/>
        <w:rPr>
          <w:sz w:val="20"/>
          <w:szCs w:val="20"/>
          <w:color w:val="auto"/>
        </w:rPr>
      </w:pPr>
      <w:r>
        <w:rPr>
          <w:rFonts w:ascii="Courier New" w:cs="Courier New" w:eastAsia="Courier New" w:hAnsi="Courier New"/>
          <w:sz w:val="14"/>
          <w:szCs w:val="14"/>
          <w:color w:val="auto"/>
        </w:rPr>
        <w:t>Both classes of the Company's Common Stock participate equally as to dividends. Quarterly dividends were paid at the rate of $1.05 during 1994 and 1993.</w:t>
      </w:r>
    </w:p>
    <w:p>
      <w:pPr>
        <w:spacing w:after="0" w:line="16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6.</w:t>
        <w:tab/>
        <w:t>SELECTED FINANCIAL DATA.</w:t>
      </w:r>
    </w:p>
    <w:p>
      <w:pPr>
        <w:spacing w:after="0" w:line="173" w:lineRule="exact"/>
        <w:rPr>
          <w:sz w:val="20"/>
          <w:szCs w:val="20"/>
          <w:color w:val="auto"/>
        </w:rPr>
      </w:pPr>
    </w:p>
    <w:p>
      <w:pPr>
        <w:ind w:right="3599" w:firstLine="603"/>
        <w:spacing w:after="0" w:line="251" w:lineRule="auto"/>
        <w:rPr>
          <w:sz w:val="20"/>
          <w:szCs w:val="20"/>
          <w:color w:val="auto"/>
        </w:rPr>
      </w:pPr>
      <w:r>
        <w:rPr>
          <w:rFonts w:ascii="Courier New" w:cs="Courier New" w:eastAsia="Courier New" w:hAnsi="Courier New"/>
          <w:sz w:val="14"/>
          <w:szCs w:val="14"/>
          <w:color w:val="auto"/>
        </w:rPr>
        <w:t>See the information for the years 1990 through 1994 contained in the table titled "Ten-Year Summary of Selected Historic Financial Data" which is included in this Annual Report on Form 10-K and listed in the index to financial information on page 22 hereof (with only the information for such years to be deemed filed as part of this Annual Report on Form 10-K).</w:t>
      </w:r>
    </w:p>
    <w:p>
      <w:pPr>
        <w:spacing w:after="0" w:line="164" w:lineRule="exact"/>
        <w:rPr>
          <w:sz w:val="20"/>
          <w:szCs w:val="20"/>
          <w:color w:val="auto"/>
        </w:rPr>
      </w:pPr>
    </w:p>
    <w:p>
      <w:pPr>
        <w:ind w:right="3959"/>
        <w:spacing w:after="0" w:line="255" w:lineRule="auto"/>
        <w:rPr>
          <w:sz w:val="20"/>
          <w:szCs w:val="20"/>
          <w:color w:val="auto"/>
        </w:rPr>
      </w:pPr>
      <w:r>
        <w:rPr>
          <w:rFonts w:ascii="Courier New" w:cs="Courier New" w:eastAsia="Courier New" w:hAnsi="Courier New"/>
          <w:sz w:val="14"/>
          <w:szCs w:val="14"/>
          <w:color w:val="auto"/>
        </w:rPr>
        <w:t>ITEM 7. MANAGEMENT'S DISCUSSION AND ANALYSIS OF FINANCIAL CONDITION AND RESULTS OF OPERATIONS.</w:t>
      </w:r>
    </w:p>
    <w:p>
      <w:pPr>
        <w:spacing w:after="0" w:line="160" w:lineRule="exact"/>
        <w:rPr>
          <w:sz w:val="20"/>
          <w:szCs w:val="20"/>
          <w:color w:val="auto"/>
        </w:rPr>
      </w:pPr>
    </w:p>
    <w:p>
      <w:pPr>
        <w:ind w:right="3339" w:firstLine="603"/>
        <w:spacing w:after="0" w:line="252" w:lineRule="auto"/>
        <w:rPr>
          <w:sz w:val="20"/>
          <w:szCs w:val="20"/>
          <w:color w:val="auto"/>
        </w:rPr>
      </w:pPr>
      <w:r>
        <w:rPr>
          <w:rFonts w:ascii="Courier New" w:cs="Courier New" w:eastAsia="Courier New" w:hAnsi="Courier New"/>
          <w:sz w:val="14"/>
          <w:szCs w:val="14"/>
          <w:color w:val="auto"/>
        </w:rPr>
        <w:t>See the information contained under the heading "Management's Discussion and Analysis of Results of Operations and Financial Condition" which is included in this Annual Report on Form 10-K and listed in the index to financial information on page 22 hereof.</w:t>
      </w:r>
    </w:p>
    <w:p>
      <w:pPr>
        <w:spacing w:after="0" w:line="16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8.</w:t>
        <w:tab/>
        <w:t>FINANCIAL STATEMENTS AND SUPPLEMENTARY DATA.</w:t>
      </w:r>
    </w:p>
    <w:p>
      <w:pPr>
        <w:spacing w:after="0" w:line="173" w:lineRule="exact"/>
        <w:rPr>
          <w:sz w:val="20"/>
          <w:szCs w:val="20"/>
          <w:color w:val="auto"/>
        </w:rPr>
      </w:pPr>
    </w:p>
    <w:p>
      <w:pPr>
        <w:ind w:right="3439" w:firstLine="603"/>
        <w:spacing w:after="0" w:line="252" w:lineRule="auto"/>
        <w:rPr>
          <w:sz w:val="20"/>
          <w:szCs w:val="20"/>
          <w:color w:val="auto"/>
        </w:rPr>
      </w:pPr>
      <w:r>
        <w:rPr>
          <w:rFonts w:ascii="Courier New" w:cs="Courier New" w:eastAsia="Courier New" w:hAnsi="Courier New"/>
          <w:sz w:val="14"/>
          <w:szCs w:val="14"/>
          <w:color w:val="auto"/>
        </w:rPr>
        <w:t>See the Company's Consolidated Financial Statements at January 1, 1995, and for the periods then ended, together with the report of Price Waterhouse LLP thereon and the information contained in Note N to said Consolidated Financial Statements titled "Summary of Quarterly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159"/>
          </w:cols>
          <w:pgMar w:left="300" w:top="285"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4"/>
          <w:szCs w:val="14"/>
          <w:color w:val="auto"/>
        </w:rPr>
        <w:t>20</w:t>
      </w:r>
    </w:p>
    <w:p>
      <w:pPr>
        <w:spacing w:after="0" w:line="7" w:lineRule="exact"/>
        <w:rPr>
          <w:sz w:val="20"/>
          <w:szCs w:val="20"/>
          <w:color w:val="auto"/>
        </w:rPr>
      </w:pPr>
    </w:p>
    <w:p>
      <w:pPr>
        <w:ind w:right="3439"/>
        <w:spacing w:after="0" w:line="255" w:lineRule="auto"/>
        <w:rPr>
          <w:sz w:val="20"/>
          <w:szCs w:val="20"/>
          <w:color w:val="auto"/>
        </w:rPr>
      </w:pPr>
      <w:r>
        <w:rPr>
          <w:rFonts w:ascii="Courier New" w:cs="Courier New" w:eastAsia="Courier New" w:hAnsi="Courier New"/>
          <w:sz w:val="14"/>
          <w:szCs w:val="14"/>
          <w:color w:val="auto"/>
        </w:rPr>
        <w:t>(Unaudited)," which are included in this Annual Report on Form 10-K and listed in the index to financial information on page 22 hereof.</w:t>
      </w:r>
    </w:p>
    <w:p>
      <w:pPr>
        <w:spacing w:after="0" w:line="160" w:lineRule="exact"/>
        <w:rPr>
          <w:sz w:val="20"/>
          <w:szCs w:val="20"/>
          <w:color w:val="auto"/>
        </w:rPr>
      </w:pPr>
    </w:p>
    <w:p>
      <w:pPr>
        <w:ind w:right="3959"/>
        <w:spacing w:after="0" w:line="255" w:lineRule="auto"/>
        <w:rPr>
          <w:sz w:val="20"/>
          <w:szCs w:val="20"/>
          <w:color w:val="auto"/>
        </w:rPr>
      </w:pPr>
      <w:r>
        <w:rPr>
          <w:rFonts w:ascii="Courier New" w:cs="Courier New" w:eastAsia="Courier New" w:hAnsi="Courier New"/>
          <w:sz w:val="14"/>
          <w:szCs w:val="14"/>
          <w:color w:val="auto"/>
        </w:rPr>
        <w:t>ITEM 9. CHANGES IN AND DISAGREEMENTS WITH ACCOUNTANTS ON ACCOUNTING AND FINANCIAL DISCLOSURE.</w:t>
      </w:r>
    </w:p>
    <w:p>
      <w:pPr>
        <w:spacing w:after="0" w:line="160"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III</w:t>
      </w:r>
    </w:p>
    <w:p>
      <w:pPr>
        <w:spacing w:after="0" w:line="33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10.</w:t>
        <w:tab/>
        <w:t>DIRECTORS AND EXECUTIVE OFFICERS OF THE REGISTRANT.</w:t>
      </w:r>
    </w:p>
    <w:p>
      <w:pPr>
        <w:spacing w:after="0" w:line="17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The information contained under the heading "Executive Officers" in Item 1 hereof, the information contained under the headings "Nominees for Election by Class A Stockholders" and "Nominees for Election by Class B Stockholders," and the information contained in the last two paragraphs under the heading "Stock Holdings of Certain Beneficial Owners and Management" in the definitive Proxy Statement for the Company's 1995 Annual Meeting of Stockholders is incorporated herein by reference thereto.</w:t>
      </w:r>
    </w:p>
    <w:p>
      <w:pPr>
        <w:spacing w:after="0" w:line="16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11.</w:t>
        <w:tab/>
        <w:t>EXECUTIVE COMPENSATION.</w:t>
      </w:r>
    </w:p>
    <w:p>
      <w:pPr>
        <w:spacing w:after="0" w:line="173" w:lineRule="exact"/>
        <w:rPr>
          <w:sz w:val="20"/>
          <w:szCs w:val="20"/>
          <w:color w:val="auto"/>
        </w:rPr>
      </w:pPr>
    </w:p>
    <w:p>
      <w:pPr>
        <w:ind w:right="3439" w:firstLine="603"/>
        <w:spacing w:after="0" w:line="251" w:lineRule="auto"/>
        <w:rPr>
          <w:sz w:val="20"/>
          <w:szCs w:val="20"/>
          <w:color w:val="auto"/>
        </w:rPr>
      </w:pPr>
      <w:r>
        <w:rPr>
          <w:rFonts w:ascii="Courier New" w:cs="Courier New" w:eastAsia="Courier New" w:hAnsi="Courier New"/>
          <w:sz w:val="14"/>
          <w:szCs w:val="14"/>
          <w:color w:val="auto"/>
        </w:rPr>
        <w:t>The information contained in the first paragraph after the list of nominees under the heading "Nominees for Election by Class B Stockholders" and under the headings "Executive Compensation," "Retirement Plans" and "Compensation Committee Report on Executive Compensation" in the definitive Proxy Statement for the Company's 1995 Annual Meeting of Stockholders is incorporated herein by reference thereto.</w:t>
      </w:r>
    </w:p>
    <w:p>
      <w:pPr>
        <w:spacing w:after="0" w:line="16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12.</w:t>
        <w:tab/>
        <w:t>SECURITY OWNERSHIP OF CERTAIN BENEFICIAL OWNERS AND MANAGEMENT.</w:t>
      </w:r>
    </w:p>
    <w:p>
      <w:pPr>
        <w:spacing w:after="0" w:line="173" w:lineRule="exact"/>
        <w:rPr>
          <w:sz w:val="20"/>
          <w:szCs w:val="20"/>
          <w:color w:val="auto"/>
        </w:rPr>
      </w:pPr>
    </w:p>
    <w:p>
      <w:pPr>
        <w:ind w:right="3519" w:firstLine="603"/>
        <w:spacing w:after="0" w:line="252" w:lineRule="auto"/>
        <w:rPr>
          <w:sz w:val="20"/>
          <w:szCs w:val="20"/>
          <w:color w:val="auto"/>
        </w:rPr>
      </w:pPr>
      <w:r>
        <w:rPr>
          <w:rFonts w:ascii="Courier New" w:cs="Courier New" w:eastAsia="Courier New" w:hAnsi="Courier New"/>
          <w:sz w:val="14"/>
          <w:szCs w:val="14"/>
          <w:color w:val="auto"/>
        </w:rPr>
        <w:t>The information contained under the heading "Stock Holdings of Certain Beneficial Owners and Management" in the definitive Proxy Statement for the Company's 1995 Annual Meeting of Stockholders is incorporated herein by reference thereto.</w:t>
      </w:r>
    </w:p>
    <w:p>
      <w:pPr>
        <w:spacing w:after="0" w:line="16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13.</w:t>
        <w:tab/>
        <w:t>CERTAIN RELATIONSHIPS AND RELATED TRANSACTIONS.</w:t>
      </w:r>
    </w:p>
    <w:p>
      <w:pPr>
        <w:spacing w:after="0" w:line="173" w:lineRule="exact"/>
        <w:rPr>
          <w:sz w:val="20"/>
          <w:szCs w:val="20"/>
          <w:color w:val="auto"/>
        </w:rPr>
      </w:pPr>
    </w:p>
    <w:p>
      <w:pPr>
        <w:ind w:right="3599" w:firstLine="603"/>
        <w:spacing w:after="0" w:line="252" w:lineRule="auto"/>
        <w:rPr>
          <w:sz w:val="20"/>
          <w:szCs w:val="20"/>
          <w:color w:val="auto"/>
        </w:rPr>
      </w:pPr>
      <w:r>
        <w:rPr>
          <w:rFonts w:ascii="Courier New" w:cs="Courier New" w:eastAsia="Courier New" w:hAnsi="Courier New"/>
          <w:sz w:val="14"/>
          <w:szCs w:val="14"/>
          <w:color w:val="auto"/>
        </w:rPr>
        <w:t>The information contained under the heading "Certain Transactions" in the definitive Proxy Statement for the Company's 1995 Annual Meeting of Stockholders is incorporated herein by reference thereto.</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IV</w:t>
      </w:r>
    </w:p>
    <w:p>
      <w:pPr>
        <w:spacing w:after="0" w:line="33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14.</w:t>
        <w:tab/>
        <w:t>EXHIBITS, FINANCIAL STATEMENT SCHEDULES, AND REPORTS ON FORM 8-K.</w:t>
      </w:r>
    </w:p>
    <w:p>
      <w:pPr>
        <w:spacing w:after="0" w:line="173" w:lineRule="exact"/>
        <w:rPr>
          <w:sz w:val="20"/>
          <w:szCs w:val="20"/>
          <w:color w:val="auto"/>
        </w:rPr>
      </w:pPr>
    </w:p>
    <w:p>
      <w:pPr>
        <w:ind w:left="960" w:hanging="349"/>
        <w:spacing w:after="0"/>
        <w:tabs>
          <w:tab w:leader="none" w:pos="9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DOCUMENTS ARE FILED AS PART OF THIS REPORT:</w:t>
      </w:r>
    </w:p>
    <w:p>
      <w:pPr>
        <w:spacing w:after="0" w:line="172" w:lineRule="exact"/>
        <w:rPr>
          <w:rFonts w:ascii="Courier New" w:cs="Courier New" w:eastAsia="Courier New" w:hAnsi="Courier New"/>
          <w:sz w:val="14"/>
          <w:szCs w:val="14"/>
          <w:color w:val="auto"/>
        </w:rPr>
      </w:pPr>
    </w:p>
    <w:p>
      <w:pPr>
        <w:ind w:left="1740" w:hanging="526"/>
        <w:spacing w:after="0"/>
        <w:tabs>
          <w:tab w:leader="none" w:pos="174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and Financial Statement Schedules</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As listed in the index to financial information on page</w:t>
      </w:r>
    </w:p>
    <w:p>
      <w:pPr>
        <w:spacing w:after="0" w:line="7" w:lineRule="exact"/>
        <w:rPr>
          <w:sz w:val="20"/>
          <w:szCs w:val="20"/>
          <w:color w:val="auto"/>
        </w:rPr>
      </w:pPr>
    </w:p>
    <w:p>
      <w:pPr>
        <w:ind w:left="2240" w:hanging="251"/>
        <w:spacing w:after="0"/>
        <w:tabs>
          <w:tab w:leader="none" w:pos="2240"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hereof.</w:t>
      </w:r>
    </w:p>
    <w:p>
      <w:pPr>
        <w:spacing w:after="0" w:line="172" w:lineRule="exact"/>
        <w:rPr>
          <w:rFonts w:ascii="Courier New" w:cs="Courier New" w:eastAsia="Courier New" w:hAnsi="Courier New"/>
          <w:sz w:val="14"/>
          <w:szCs w:val="14"/>
          <w:color w:val="auto"/>
        </w:rPr>
      </w:pPr>
    </w:p>
    <w:p>
      <w:pPr>
        <w:ind w:left="1740" w:hanging="526"/>
        <w:spacing w:after="0"/>
        <w:tabs>
          <w:tab w:leader="none" w:pos="17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As listed in the index to exhibits on page 46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159"/>
          </w:cols>
          <w:pgMar w:left="300" w:top="285"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4"/>
          <w:szCs w:val="14"/>
          <w:color w:val="auto"/>
        </w:rPr>
        <w:t>21</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(b) REPORTS ON FORM 8-K.</w:t>
      </w:r>
    </w:p>
    <w:p>
      <w:pPr>
        <w:spacing w:after="0" w:line="173" w:lineRule="exact"/>
        <w:rPr>
          <w:sz w:val="20"/>
          <w:szCs w:val="20"/>
          <w:color w:val="auto"/>
        </w:rPr>
      </w:pPr>
    </w:p>
    <w:p>
      <w:pPr>
        <w:ind w:right="3439" w:firstLine="1205"/>
        <w:spacing w:after="0" w:line="255" w:lineRule="auto"/>
        <w:rPr>
          <w:sz w:val="20"/>
          <w:szCs w:val="20"/>
          <w:color w:val="auto"/>
        </w:rPr>
      </w:pPr>
      <w:r>
        <w:rPr>
          <w:rFonts w:ascii="Courier New" w:cs="Courier New" w:eastAsia="Courier New" w:hAnsi="Courier New"/>
          <w:sz w:val="14"/>
          <w:szCs w:val="14"/>
          <w:color w:val="auto"/>
        </w:rPr>
        <w:t>No reports on Form 8-K were filed during the last quarter of the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159"/>
          </w:cols>
          <w:pgMar w:left="300" w:top="285"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4"/>
          <w:szCs w:val="14"/>
          <w:color w:val="auto"/>
        </w:rPr>
        <w:t>22</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339" w:firstLine="603"/>
        <w:spacing w:after="0" w:line="252"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 ON MARCH 24, 1995.</w:t>
      </w:r>
    </w:p>
    <w:p>
      <w:pPr>
        <w:spacing w:after="0" w:line="163"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(Registrant)</w:t>
      </w:r>
    </w:p>
    <w:p>
      <w:pPr>
        <w:sectPr>
          <w:pgSz w:w="11900" w:h="16838" w:orient="portrait"/>
          <w:cols w:equalWidth="0" w:num="1">
            <w:col w:w="10159"/>
          </w:cols>
          <w:pgMar w:left="300" w:top="285" w:right="1440" w:bottom="1440" w:gutter="0" w:footer="0" w:header="0"/>
        </w:sectPr>
      </w:pPr>
    </w:p>
    <w:p>
      <w:pPr>
        <w:spacing w:after="0" w:line="338" w:lineRule="exact"/>
        <w:rPr>
          <w:sz w:val="20"/>
          <w:szCs w:val="20"/>
          <w:color w:val="auto"/>
        </w:rPr>
      </w:pPr>
    </w:p>
    <w:p>
      <w:pPr>
        <w:ind w:left="4320"/>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John B. Morse,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John B. Morse, Jr.</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Vice President-Finance</w:t>
      </w:r>
    </w:p>
    <w:p>
      <w:pPr>
        <w:spacing w:after="0" w:line="173" w:lineRule="exact"/>
        <w:rPr>
          <w:sz w:val="20"/>
          <w:szCs w:val="20"/>
          <w:color w:val="auto"/>
        </w:rPr>
      </w:pPr>
    </w:p>
    <w:p>
      <w:pPr>
        <w:sectPr>
          <w:pgSz w:w="11900" w:h="16838" w:orient="portrait"/>
          <w:cols w:equalWidth="0" w:num="2">
            <w:col w:w="4480" w:space="0"/>
            <w:col w:w="5679"/>
          </w:cols>
          <w:pgMar w:left="300" w:top="285" w:right="1440" w:bottom="1440" w:gutter="0" w:footer="0" w:header="0"/>
          <w:type w:val="continuous"/>
        </w:sectPr>
      </w:pPr>
    </w:p>
    <w:p>
      <w:pPr>
        <w:ind w:right="3699" w:firstLine="603"/>
        <w:spacing w:after="0" w:line="250"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REGISTRANT AND IN THE CAPACITIES INDICATED ON MARCH 24, 1995:</w:t>
            </w:r>
          </w:p>
        </w:tc>
        <w:tc>
          <w:tcPr>
            <w:tcW w:w="1900" w:type="dxa"/>
            <w:vAlign w:val="bottom"/>
          </w:tcPr>
          <w:p>
            <w:pPr>
              <w:spacing w:after="0"/>
              <w:rPr>
                <w:sz w:val="14"/>
                <w:szCs w:val="14"/>
                <w:color w:val="auto"/>
              </w:rPr>
            </w:pPr>
          </w:p>
        </w:tc>
      </w:tr>
      <w:tr>
        <w:trPr>
          <w:trHeight w:val="828"/>
        </w:trPr>
        <w:tc>
          <w:tcPr>
            <w:tcW w:w="35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Donald E. Graham</w:t>
            </w:r>
          </w:p>
        </w:tc>
        <w:tc>
          <w:tcPr>
            <w:tcW w:w="3660" w:type="dxa"/>
            <w:vAlign w:val="bottom"/>
            <w:gridSpan w:val="2"/>
          </w:tcPr>
          <w:p>
            <w:pPr>
              <w:jc w:val="center"/>
              <w:ind w:left="568"/>
              <w:spacing w:after="0"/>
              <w:rPr>
                <w:sz w:val="20"/>
                <w:szCs w:val="20"/>
                <w:color w:val="auto"/>
              </w:rPr>
            </w:pPr>
            <w:r>
              <w:rPr>
                <w:rFonts w:ascii="Courier New" w:cs="Courier New" w:eastAsia="Courier New" w:hAnsi="Courier New"/>
                <w:sz w:val="14"/>
                <w:szCs w:val="14"/>
                <w:color w:val="auto"/>
              </w:rPr>
              <w:t>Chairman of the Board and Chief</w:t>
            </w:r>
          </w:p>
        </w:tc>
      </w:tr>
      <w:tr>
        <w:trPr>
          <w:trHeight w:val="166"/>
        </w:trPr>
        <w:tc>
          <w:tcPr>
            <w:tcW w:w="3500" w:type="dxa"/>
            <w:vAlign w:val="bottom"/>
          </w:tcPr>
          <w:p>
            <w:pPr>
              <w:spacing w:after="0"/>
              <w:rPr>
                <w:sz w:val="14"/>
                <w:szCs w:val="14"/>
                <w:color w:val="auto"/>
              </w:rPr>
            </w:pP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Executive</w:t>
            </w:r>
          </w:p>
        </w:tc>
        <w:tc>
          <w:tcPr>
            <w:tcW w:w="1900" w:type="dxa"/>
            <w:vAlign w:val="bottom"/>
          </w:tcPr>
          <w:p>
            <w:pPr>
              <w:spacing w:after="0"/>
              <w:rPr>
                <w:sz w:val="20"/>
                <w:szCs w:val="20"/>
                <w:color w:val="auto"/>
              </w:rPr>
            </w:pPr>
            <w:r>
              <w:rPr>
                <w:rFonts w:ascii="Courier New" w:cs="Courier New" w:eastAsia="Courier New" w:hAnsi="Courier New"/>
                <w:sz w:val="14"/>
                <w:szCs w:val="14"/>
                <w:color w:val="auto"/>
              </w:rPr>
              <w:t>Officer (Principal</w:t>
            </w:r>
          </w:p>
        </w:tc>
      </w:tr>
      <w:tr>
        <w:trPr>
          <w:trHeight w:val="166"/>
        </w:trPr>
        <w:tc>
          <w:tcPr>
            <w:tcW w:w="3500" w:type="dxa"/>
            <w:vAlign w:val="bottom"/>
          </w:tcPr>
          <w:p>
            <w:pPr>
              <w:spacing w:after="0"/>
              <w:rPr>
                <w:sz w:val="14"/>
                <w:szCs w:val="14"/>
                <w:color w:val="auto"/>
              </w:rPr>
            </w:pPr>
          </w:p>
        </w:tc>
        <w:tc>
          <w:tcPr>
            <w:tcW w:w="3660" w:type="dxa"/>
            <w:vAlign w:val="bottom"/>
            <w:gridSpan w:val="2"/>
          </w:tcPr>
          <w:p>
            <w:pPr>
              <w:jc w:val="center"/>
              <w:ind w:left="568"/>
              <w:spacing w:after="0"/>
              <w:rPr>
                <w:sz w:val="20"/>
                <w:szCs w:val="20"/>
                <w:color w:val="auto"/>
              </w:rPr>
            </w:pPr>
            <w:r>
              <w:rPr>
                <w:rFonts w:ascii="Courier New" w:cs="Courier New" w:eastAsia="Courier New" w:hAnsi="Courier New"/>
                <w:sz w:val="14"/>
                <w:szCs w:val="14"/>
                <w:color w:val="auto"/>
              </w:rPr>
              <w:t>Executive Officer) and Director</w:t>
            </w:r>
          </w:p>
        </w:tc>
      </w:tr>
      <w:tr>
        <w:trPr>
          <w:trHeight w:val="331"/>
        </w:trPr>
        <w:tc>
          <w:tcPr>
            <w:tcW w:w="3500" w:type="dxa"/>
            <w:vAlign w:val="bottom"/>
          </w:tcPr>
          <w:p>
            <w:pPr>
              <w:jc w:val="center"/>
              <w:spacing w:after="0"/>
              <w:rPr>
                <w:sz w:val="20"/>
                <w:szCs w:val="20"/>
                <w:color w:val="auto"/>
              </w:rPr>
            </w:pPr>
            <w:r>
              <w:rPr>
                <w:rFonts w:ascii="Courier New" w:cs="Courier New" w:eastAsia="Courier New" w:hAnsi="Courier New"/>
                <w:sz w:val="14"/>
                <w:szCs w:val="14"/>
                <w:color w:val="auto"/>
              </w:rPr>
              <w:t>Alan G. Spoon</w:t>
            </w:r>
          </w:p>
        </w:tc>
        <w:tc>
          <w:tcPr>
            <w:tcW w:w="3660" w:type="dxa"/>
            <w:vAlign w:val="bottom"/>
            <w:gridSpan w:val="2"/>
          </w:tcPr>
          <w:p>
            <w:pPr>
              <w:jc w:val="center"/>
              <w:ind w:left="468"/>
              <w:spacing w:after="0"/>
              <w:rPr>
                <w:sz w:val="20"/>
                <w:szCs w:val="20"/>
                <w:color w:val="auto"/>
              </w:rPr>
            </w:pPr>
            <w:r>
              <w:rPr>
                <w:rFonts w:ascii="Courier New" w:cs="Courier New" w:eastAsia="Courier New" w:hAnsi="Courier New"/>
                <w:sz w:val="14"/>
                <w:szCs w:val="14"/>
                <w:color w:val="auto"/>
              </w:rPr>
              <w:t>President, Chief Operating Officer</w:t>
            </w:r>
          </w:p>
        </w:tc>
      </w:tr>
      <w:tr>
        <w:trPr>
          <w:trHeight w:val="166"/>
        </w:trPr>
        <w:tc>
          <w:tcPr>
            <w:tcW w:w="3500" w:type="dxa"/>
            <w:vAlign w:val="bottom"/>
          </w:tcPr>
          <w:p>
            <w:pPr>
              <w:spacing w:after="0"/>
              <w:rPr>
                <w:sz w:val="14"/>
                <w:szCs w:val="14"/>
                <w:color w:val="auto"/>
              </w:rPr>
            </w:pPr>
          </w:p>
        </w:tc>
        <w:tc>
          <w:tcPr>
            <w:tcW w:w="3660" w:type="dxa"/>
            <w:vAlign w:val="bottom"/>
            <w:gridSpan w:val="2"/>
          </w:tcPr>
          <w:p>
            <w:pPr>
              <w:jc w:val="center"/>
              <w:ind w:left="468"/>
              <w:spacing w:after="0"/>
              <w:rPr>
                <w:sz w:val="20"/>
                <w:szCs w:val="20"/>
                <w:color w:val="auto"/>
              </w:rPr>
            </w:pPr>
            <w:r>
              <w:rPr>
                <w:rFonts w:ascii="Courier New" w:cs="Courier New" w:eastAsia="Courier New" w:hAnsi="Courier New"/>
                <w:sz w:val="14"/>
                <w:szCs w:val="14"/>
                <w:color w:val="auto"/>
              </w:rPr>
              <w:t>and Director</w:t>
            </w:r>
          </w:p>
        </w:tc>
      </w:tr>
      <w:tr>
        <w:trPr>
          <w:trHeight w:val="331"/>
        </w:trPr>
        <w:tc>
          <w:tcPr>
            <w:tcW w:w="35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Katharine Graham</w:t>
            </w:r>
          </w:p>
        </w:tc>
        <w:tc>
          <w:tcPr>
            <w:tcW w:w="3660" w:type="dxa"/>
            <w:vAlign w:val="bottom"/>
            <w:gridSpan w:val="2"/>
          </w:tcPr>
          <w:p>
            <w:pPr>
              <w:jc w:val="center"/>
              <w:ind w:left="568"/>
              <w:spacing w:after="0"/>
              <w:rPr>
                <w:sz w:val="20"/>
                <w:szCs w:val="20"/>
                <w:color w:val="auto"/>
              </w:rPr>
            </w:pPr>
            <w:r>
              <w:rPr>
                <w:rFonts w:ascii="Courier New" w:cs="Courier New" w:eastAsia="Courier New" w:hAnsi="Courier New"/>
                <w:sz w:val="14"/>
                <w:szCs w:val="14"/>
                <w:color w:val="auto"/>
              </w:rPr>
              <w:t>Chairman of the Executive</w:t>
            </w:r>
          </w:p>
        </w:tc>
      </w:tr>
      <w:tr>
        <w:trPr>
          <w:trHeight w:val="166"/>
        </w:trPr>
        <w:tc>
          <w:tcPr>
            <w:tcW w:w="3500" w:type="dxa"/>
            <w:vAlign w:val="bottom"/>
          </w:tcPr>
          <w:p>
            <w:pPr>
              <w:spacing w:after="0"/>
              <w:rPr>
                <w:sz w:val="14"/>
                <w:szCs w:val="14"/>
                <w:color w:val="auto"/>
              </w:rPr>
            </w:pP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Committee of</w:t>
            </w:r>
          </w:p>
        </w:tc>
        <w:tc>
          <w:tcPr>
            <w:tcW w:w="1900" w:type="dxa"/>
            <w:vAlign w:val="bottom"/>
          </w:tcPr>
          <w:p>
            <w:pPr>
              <w:spacing w:after="0"/>
              <w:rPr>
                <w:sz w:val="20"/>
                <w:szCs w:val="20"/>
                <w:color w:val="auto"/>
              </w:rPr>
            </w:pPr>
            <w:r>
              <w:rPr>
                <w:rFonts w:ascii="Courier New" w:cs="Courier New" w:eastAsia="Courier New" w:hAnsi="Courier New"/>
                <w:sz w:val="14"/>
                <w:szCs w:val="14"/>
                <w:color w:val="auto"/>
              </w:rPr>
              <w:t>the Board and Director</w:t>
            </w:r>
          </w:p>
        </w:tc>
      </w:tr>
      <w:tr>
        <w:trPr>
          <w:trHeight w:val="166"/>
        </w:trPr>
        <w:tc>
          <w:tcPr>
            <w:tcW w:w="35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John B. Morse, Jr.</w:t>
            </w:r>
          </w:p>
        </w:tc>
        <w:tc>
          <w:tcPr>
            <w:tcW w:w="3660" w:type="dxa"/>
            <w:vAlign w:val="bottom"/>
            <w:gridSpan w:val="2"/>
          </w:tcPr>
          <w:p>
            <w:pPr>
              <w:jc w:val="center"/>
              <w:ind w:left="548"/>
              <w:spacing w:after="0"/>
              <w:rPr>
                <w:sz w:val="20"/>
                <w:szCs w:val="20"/>
                <w:color w:val="auto"/>
              </w:rPr>
            </w:pPr>
            <w:r>
              <w:rPr>
                <w:rFonts w:ascii="Courier New" w:cs="Courier New" w:eastAsia="Courier New" w:hAnsi="Courier New"/>
                <w:sz w:val="14"/>
                <w:szCs w:val="14"/>
                <w:color w:val="auto"/>
              </w:rPr>
              <w:t>Vice President-Finance (Principal</w:t>
            </w:r>
          </w:p>
        </w:tc>
      </w:tr>
      <w:tr>
        <w:trPr>
          <w:trHeight w:val="166"/>
        </w:trPr>
        <w:tc>
          <w:tcPr>
            <w:tcW w:w="3500" w:type="dxa"/>
            <w:vAlign w:val="bottom"/>
          </w:tcPr>
          <w:p>
            <w:pPr>
              <w:spacing w:after="0"/>
              <w:rPr>
                <w:sz w:val="14"/>
                <w:szCs w:val="14"/>
                <w:color w:val="auto"/>
              </w:rPr>
            </w:pPr>
          </w:p>
        </w:tc>
        <w:tc>
          <w:tcPr>
            <w:tcW w:w="3660" w:type="dxa"/>
            <w:vAlign w:val="bottom"/>
            <w:gridSpan w:val="2"/>
          </w:tcPr>
          <w:p>
            <w:pPr>
              <w:jc w:val="center"/>
              <w:ind w:left="548"/>
              <w:spacing w:after="0"/>
              <w:rPr>
                <w:sz w:val="20"/>
                <w:szCs w:val="20"/>
                <w:color w:val="auto"/>
              </w:rPr>
            </w:pPr>
            <w:r>
              <w:rPr>
                <w:rFonts w:ascii="Courier New" w:cs="Courier New" w:eastAsia="Courier New" w:hAnsi="Courier New"/>
                <w:sz w:val="14"/>
                <w:szCs w:val="14"/>
                <w:color w:val="auto"/>
              </w:rPr>
              <w:t>Financial and Accounting Officer)</w:t>
            </w:r>
          </w:p>
        </w:tc>
      </w:tr>
      <w:tr>
        <w:trPr>
          <w:trHeight w:val="331"/>
        </w:trPr>
        <w:tc>
          <w:tcPr>
            <w:tcW w:w="35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James E. Burke</w:t>
            </w:r>
          </w:p>
        </w:tc>
        <w:tc>
          <w:tcPr>
            <w:tcW w:w="1760" w:type="dxa"/>
            <w:vAlign w:val="bottom"/>
          </w:tcPr>
          <w:p>
            <w:pPr>
              <w:spacing w:after="0"/>
              <w:rPr>
                <w:sz w:val="24"/>
                <w:szCs w:val="24"/>
                <w:color w:val="auto"/>
              </w:rPr>
            </w:pPr>
          </w:p>
        </w:tc>
        <w:tc>
          <w:tcPr>
            <w:tcW w:w="1900" w:type="dxa"/>
            <w:vAlign w:val="bottom"/>
          </w:tcPr>
          <w:p>
            <w:pPr>
              <w:jc w:val="center"/>
              <w:ind w:right="1148"/>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35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Martin Cohen</w:t>
            </w:r>
          </w:p>
        </w:tc>
        <w:tc>
          <w:tcPr>
            <w:tcW w:w="1760" w:type="dxa"/>
            <w:vAlign w:val="bottom"/>
          </w:tcPr>
          <w:p>
            <w:pPr>
              <w:spacing w:after="0"/>
              <w:rPr>
                <w:sz w:val="24"/>
                <w:szCs w:val="24"/>
                <w:color w:val="auto"/>
              </w:rPr>
            </w:pPr>
          </w:p>
        </w:tc>
        <w:tc>
          <w:tcPr>
            <w:tcW w:w="1900" w:type="dxa"/>
            <w:vAlign w:val="bottom"/>
          </w:tcPr>
          <w:p>
            <w:pPr>
              <w:jc w:val="center"/>
              <w:ind w:right="1148"/>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35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George J. Gillespie, III</w:t>
            </w:r>
          </w:p>
        </w:tc>
        <w:tc>
          <w:tcPr>
            <w:tcW w:w="1760" w:type="dxa"/>
            <w:vAlign w:val="bottom"/>
          </w:tcPr>
          <w:p>
            <w:pPr>
              <w:spacing w:after="0"/>
              <w:rPr>
                <w:sz w:val="24"/>
                <w:szCs w:val="24"/>
                <w:color w:val="auto"/>
              </w:rPr>
            </w:pPr>
          </w:p>
        </w:tc>
        <w:tc>
          <w:tcPr>
            <w:tcW w:w="1900" w:type="dxa"/>
            <w:vAlign w:val="bottom"/>
          </w:tcPr>
          <w:p>
            <w:pPr>
              <w:jc w:val="center"/>
              <w:ind w:right="1148"/>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3500" w:type="dxa"/>
            <w:vAlign w:val="bottom"/>
          </w:tcPr>
          <w:p>
            <w:pPr>
              <w:jc w:val="center"/>
              <w:spacing w:after="0"/>
              <w:rPr>
                <w:sz w:val="20"/>
                <w:szCs w:val="20"/>
                <w:color w:val="auto"/>
              </w:rPr>
            </w:pPr>
            <w:r>
              <w:rPr>
                <w:rFonts w:ascii="Courier New" w:cs="Courier New" w:eastAsia="Courier New" w:hAnsi="Courier New"/>
                <w:sz w:val="14"/>
                <w:szCs w:val="14"/>
                <w:color w:val="auto"/>
              </w:rPr>
              <w:t>Ralph E. Gomory</w:t>
            </w:r>
          </w:p>
        </w:tc>
        <w:tc>
          <w:tcPr>
            <w:tcW w:w="1760" w:type="dxa"/>
            <w:vAlign w:val="bottom"/>
          </w:tcPr>
          <w:p>
            <w:pPr>
              <w:spacing w:after="0"/>
              <w:rPr>
                <w:sz w:val="24"/>
                <w:szCs w:val="24"/>
                <w:color w:val="auto"/>
              </w:rPr>
            </w:pPr>
          </w:p>
        </w:tc>
        <w:tc>
          <w:tcPr>
            <w:tcW w:w="1900" w:type="dxa"/>
            <w:vAlign w:val="bottom"/>
          </w:tcPr>
          <w:p>
            <w:pPr>
              <w:jc w:val="center"/>
              <w:ind w:right="1148"/>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35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Donald R. Keough</w:t>
            </w:r>
          </w:p>
        </w:tc>
        <w:tc>
          <w:tcPr>
            <w:tcW w:w="1760" w:type="dxa"/>
            <w:vAlign w:val="bottom"/>
          </w:tcPr>
          <w:p>
            <w:pPr>
              <w:spacing w:after="0"/>
              <w:rPr>
                <w:sz w:val="24"/>
                <w:szCs w:val="24"/>
                <w:color w:val="auto"/>
              </w:rPr>
            </w:pPr>
          </w:p>
        </w:tc>
        <w:tc>
          <w:tcPr>
            <w:tcW w:w="1900" w:type="dxa"/>
            <w:vAlign w:val="bottom"/>
          </w:tcPr>
          <w:p>
            <w:pPr>
              <w:jc w:val="center"/>
              <w:ind w:right="1148"/>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35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Barbara Scott Preiskel</w:t>
            </w:r>
          </w:p>
        </w:tc>
        <w:tc>
          <w:tcPr>
            <w:tcW w:w="1760" w:type="dxa"/>
            <w:vAlign w:val="bottom"/>
          </w:tcPr>
          <w:p>
            <w:pPr>
              <w:spacing w:after="0"/>
              <w:rPr>
                <w:sz w:val="24"/>
                <w:szCs w:val="24"/>
                <w:color w:val="auto"/>
              </w:rPr>
            </w:pPr>
          </w:p>
        </w:tc>
        <w:tc>
          <w:tcPr>
            <w:tcW w:w="1900" w:type="dxa"/>
            <w:vAlign w:val="bottom"/>
          </w:tcPr>
          <w:p>
            <w:pPr>
              <w:jc w:val="center"/>
              <w:ind w:right="1148"/>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35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William J. Ruane</w:t>
            </w:r>
          </w:p>
        </w:tc>
        <w:tc>
          <w:tcPr>
            <w:tcW w:w="1760" w:type="dxa"/>
            <w:vAlign w:val="bottom"/>
          </w:tcPr>
          <w:p>
            <w:pPr>
              <w:spacing w:after="0"/>
              <w:rPr>
                <w:sz w:val="24"/>
                <w:szCs w:val="24"/>
                <w:color w:val="auto"/>
              </w:rPr>
            </w:pPr>
          </w:p>
        </w:tc>
        <w:tc>
          <w:tcPr>
            <w:tcW w:w="1900" w:type="dxa"/>
            <w:vAlign w:val="bottom"/>
          </w:tcPr>
          <w:p>
            <w:pPr>
              <w:jc w:val="center"/>
              <w:ind w:right="1148"/>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35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Richard D. Simmons</w:t>
            </w:r>
          </w:p>
        </w:tc>
        <w:tc>
          <w:tcPr>
            <w:tcW w:w="1760" w:type="dxa"/>
            <w:vAlign w:val="bottom"/>
          </w:tcPr>
          <w:p>
            <w:pPr>
              <w:spacing w:after="0"/>
              <w:rPr>
                <w:sz w:val="24"/>
                <w:szCs w:val="24"/>
                <w:color w:val="auto"/>
              </w:rPr>
            </w:pPr>
          </w:p>
        </w:tc>
        <w:tc>
          <w:tcPr>
            <w:tcW w:w="1900" w:type="dxa"/>
            <w:vAlign w:val="bottom"/>
          </w:tcPr>
          <w:p>
            <w:pPr>
              <w:jc w:val="center"/>
              <w:ind w:right="1148"/>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35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George W. Wilson</w:t>
            </w:r>
          </w:p>
        </w:tc>
        <w:tc>
          <w:tcPr>
            <w:tcW w:w="1760" w:type="dxa"/>
            <w:vAlign w:val="bottom"/>
          </w:tcPr>
          <w:p>
            <w:pPr>
              <w:spacing w:after="0"/>
              <w:rPr>
                <w:sz w:val="24"/>
                <w:szCs w:val="24"/>
                <w:color w:val="auto"/>
              </w:rPr>
            </w:pPr>
          </w:p>
        </w:tc>
        <w:tc>
          <w:tcPr>
            <w:tcW w:w="1900" w:type="dxa"/>
            <w:vAlign w:val="bottom"/>
          </w:tcPr>
          <w:p>
            <w:pPr>
              <w:jc w:val="center"/>
              <w:ind w:right="1148"/>
              <w:spacing w:after="0"/>
              <w:rPr>
                <w:sz w:val="20"/>
                <w:szCs w:val="20"/>
                <w:color w:val="auto"/>
              </w:rPr>
            </w:pPr>
            <w:r>
              <w:rPr>
                <w:rFonts w:ascii="Courier New" w:cs="Courier New" w:eastAsia="Courier New" w:hAnsi="Courier New"/>
                <w:sz w:val="14"/>
                <w:szCs w:val="14"/>
                <w:color w:val="auto"/>
              </w:rPr>
              <w:t>Director</w:t>
            </w:r>
          </w:p>
        </w:tc>
      </w:tr>
      <w:tr>
        <w:trPr>
          <w:trHeight w:val="662"/>
        </w:trPr>
        <w:tc>
          <w:tcPr>
            <w:tcW w:w="3500" w:type="dxa"/>
            <w:vAlign w:val="bottom"/>
          </w:tcPr>
          <w:p>
            <w:pPr>
              <w:spacing w:after="0"/>
              <w:rPr>
                <w:sz w:val="24"/>
                <w:szCs w:val="24"/>
                <w:color w:val="auto"/>
              </w:rPr>
            </w:pPr>
          </w:p>
        </w:tc>
        <w:tc>
          <w:tcPr>
            <w:tcW w:w="366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By   John B. Morse, Jr.</w:t>
            </w:r>
          </w:p>
        </w:tc>
      </w:tr>
      <w:tr>
        <w:trPr>
          <w:trHeight w:val="166"/>
        </w:trPr>
        <w:tc>
          <w:tcPr>
            <w:tcW w:w="3500" w:type="dxa"/>
            <w:vAlign w:val="bottom"/>
          </w:tcPr>
          <w:p>
            <w:pPr>
              <w:spacing w:after="0"/>
              <w:rPr>
                <w:sz w:val="14"/>
                <w:szCs w:val="14"/>
                <w:color w:val="auto"/>
              </w:rPr>
            </w:pPr>
          </w:p>
        </w:tc>
        <w:tc>
          <w:tcPr>
            <w:tcW w:w="3660" w:type="dxa"/>
            <w:vAlign w:val="bottom"/>
            <w:gridSpan w:val="2"/>
          </w:tcPr>
          <w:p>
            <w:pPr>
              <w:jc w:val="center"/>
              <w:ind w:left="468"/>
              <w:spacing w:after="0"/>
              <w:rPr>
                <w:sz w:val="20"/>
                <w:szCs w:val="20"/>
                <w:color w:val="auto"/>
              </w:rPr>
            </w:pPr>
            <w:r>
              <w:rPr>
                <w:rFonts w:ascii="Courier New" w:cs="Courier New" w:eastAsia="Courier New" w:hAnsi="Courier New"/>
                <w:sz w:val="14"/>
                <w:szCs w:val="14"/>
                <w:color w:val="auto"/>
              </w:rPr>
              <w:t>--------------------</w:t>
            </w:r>
          </w:p>
        </w:tc>
      </w:tr>
      <w:tr>
        <w:trPr>
          <w:trHeight w:val="166"/>
        </w:trPr>
        <w:tc>
          <w:tcPr>
            <w:tcW w:w="3500" w:type="dxa"/>
            <w:vAlign w:val="bottom"/>
          </w:tcPr>
          <w:p>
            <w:pPr>
              <w:spacing w:after="0"/>
              <w:rPr>
                <w:sz w:val="14"/>
                <w:szCs w:val="14"/>
                <w:color w:val="auto"/>
              </w:rPr>
            </w:pPr>
          </w:p>
        </w:tc>
        <w:tc>
          <w:tcPr>
            <w:tcW w:w="366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John B. Morse, Jr.</w:t>
            </w:r>
          </w:p>
        </w:tc>
      </w:tr>
      <w:tr>
        <w:trPr>
          <w:trHeight w:val="166"/>
        </w:trPr>
        <w:tc>
          <w:tcPr>
            <w:tcW w:w="3500" w:type="dxa"/>
            <w:vAlign w:val="bottom"/>
          </w:tcPr>
          <w:p>
            <w:pPr>
              <w:spacing w:after="0"/>
              <w:rPr>
                <w:sz w:val="14"/>
                <w:szCs w:val="14"/>
                <w:color w:val="auto"/>
              </w:rPr>
            </w:pPr>
          </w:p>
        </w:tc>
        <w:tc>
          <w:tcPr>
            <w:tcW w:w="36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Attorney-in-Fact</w:t>
            </w:r>
          </w:p>
        </w:tc>
      </w:tr>
    </w:tbl>
    <w:p>
      <w:pPr>
        <w:spacing w:after="0" w:line="170" w:lineRule="exact"/>
        <w:rPr>
          <w:sz w:val="20"/>
          <w:szCs w:val="20"/>
          <w:color w:val="auto"/>
        </w:rPr>
      </w:pPr>
    </w:p>
    <w:p>
      <w:pPr>
        <w:ind w:right="3519" w:firstLine="603"/>
        <w:spacing w:after="0" w:line="251" w:lineRule="auto"/>
        <w:rPr>
          <w:sz w:val="20"/>
          <w:szCs w:val="20"/>
          <w:color w:val="auto"/>
        </w:rPr>
      </w:pPr>
      <w:r>
        <w:rPr>
          <w:rFonts w:ascii="Courier New" w:cs="Courier New" w:eastAsia="Courier New" w:hAnsi="Courier New"/>
          <w:sz w:val="14"/>
          <w:szCs w:val="14"/>
          <w:color w:val="auto"/>
        </w:rPr>
        <w:t>An original power of attorney authorizing Donald E. Graham, Alan G. Spoon, Katharine Graham and John B. Morse, Jr., and each of them, to sign all reports required to be filed by the Registrant pursuant to the Securities Exchange Act of 1934 on behalf of the above-named directors and officers has been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159"/>
          </w:cols>
          <w:pgMar w:left="300" w:top="285" w:right="1440" w:bottom="1440" w:gutter="0" w:footer="0" w:header="0"/>
          <w:type w:val="continuous"/>
        </w:sectPr>
      </w:pPr>
    </w:p>
    <w:bookmarkStart w:id="22" w:name="page23"/>
    <w:bookmarkEnd w:id="22"/>
    <w:p>
      <w:pPr>
        <w:ind w:left="260"/>
        <w:spacing w:after="0"/>
        <w:rPr>
          <w:sz w:val="20"/>
          <w:szCs w:val="20"/>
          <w:color w:val="auto"/>
        </w:rPr>
      </w:pPr>
      <w:r>
        <w:rPr>
          <w:rFonts w:ascii="Courier New" w:cs="Courier New" w:eastAsia="Courier New" w:hAnsi="Courier New"/>
          <w:sz w:val="14"/>
          <w:szCs w:val="14"/>
          <w:color w:val="auto"/>
        </w:rPr>
        <w:t>23</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INDEX TO FINANCIAL INFORMATION</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180" w:type="dxa"/>
            <w:vAlign w:val="bottom"/>
          </w:tcPr>
          <w:p>
            <w:pPr>
              <w:jc w:val="right"/>
              <w:ind w:right="4528"/>
              <w:spacing w:after="0"/>
              <w:rPr>
                <w:sz w:val="20"/>
                <w:szCs w:val="20"/>
                <w:color w:val="auto"/>
              </w:rPr>
            </w:pPr>
            <w:r>
              <w:rPr>
                <w:rFonts w:ascii="Courier New" w:cs="Courier New" w:eastAsia="Courier New" w:hAnsi="Courier New"/>
                <w:sz w:val="14"/>
                <w:szCs w:val="14"/>
                <w:color w:val="auto"/>
              </w:rPr>
              <w:t>THE WASHINGTON POST COMPANY</w:t>
            </w:r>
          </w:p>
        </w:tc>
        <w:tc>
          <w:tcPr>
            <w:tcW w:w="480" w:type="dxa"/>
            <w:vAlign w:val="bottom"/>
          </w:tcPr>
          <w:p>
            <w:pPr>
              <w:spacing w:after="0"/>
              <w:rPr>
                <w:sz w:val="14"/>
                <w:szCs w:val="14"/>
                <w:color w:val="auto"/>
              </w:rPr>
            </w:pPr>
          </w:p>
        </w:tc>
      </w:tr>
      <w:tr>
        <w:trPr>
          <w:trHeight w:val="828"/>
        </w:trPr>
        <w:tc>
          <w:tcPr>
            <w:tcW w:w="918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9180" w:type="dxa"/>
            <w:vAlign w:val="bottom"/>
          </w:tcPr>
          <w:p>
            <w:pPr>
              <w:spacing w:after="0"/>
              <w:rPr>
                <w:sz w:val="14"/>
                <w:szCs w:val="14"/>
                <w:color w:val="auto"/>
              </w:rPr>
            </w:pPr>
          </w:p>
        </w:tc>
        <w:tc>
          <w:tcPr>
            <w:tcW w:w="4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w:t>
            </w:r>
          </w:p>
        </w:tc>
      </w:tr>
      <w:tr>
        <w:trPr>
          <w:trHeight w:val="497"/>
        </w:trPr>
        <w:tc>
          <w:tcPr>
            <w:tcW w:w="9180" w:type="dxa"/>
            <w:vAlign w:val="bottom"/>
          </w:tcPr>
          <w:p>
            <w:pPr>
              <w:spacing w:after="0"/>
              <w:rPr>
                <w:sz w:val="20"/>
                <w:szCs w:val="20"/>
                <w:color w:val="auto"/>
              </w:rPr>
            </w:pPr>
            <w:r>
              <w:rPr>
                <w:rFonts w:ascii="Courier New" w:cs="Courier New" w:eastAsia="Courier New" w:hAnsi="Courier New"/>
                <w:sz w:val="14"/>
                <w:szCs w:val="14"/>
                <w:color w:val="auto"/>
              </w:rPr>
              <w:t>Financial Statements and Schedules:</w:t>
            </w:r>
          </w:p>
        </w:tc>
        <w:tc>
          <w:tcPr>
            <w:tcW w:w="480" w:type="dxa"/>
            <w:vAlign w:val="bottom"/>
          </w:tcPr>
          <w:p>
            <w:pPr>
              <w:spacing w:after="0"/>
              <w:rPr>
                <w:sz w:val="24"/>
                <w:szCs w:val="24"/>
                <w:color w:val="auto"/>
              </w:rPr>
            </w:pPr>
          </w:p>
        </w:tc>
      </w:tr>
      <w:tr>
        <w:trPr>
          <w:trHeight w:val="331"/>
        </w:trPr>
        <w:tc>
          <w:tcPr>
            <w:tcW w:w="9180" w:type="dxa"/>
            <w:vAlign w:val="bottom"/>
          </w:tcPr>
          <w:p>
            <w:pPr>
              <w:ind w:left="780"/>
              <w:spacing w:after="0"/>
              <w:rPr>
                <w:sz w:val="20"/>
                <w:szCs w:val="20"/>
                <w:color w:val="auto"/>
              </w:rPr>
            </w:pPr>
            <w:r>
              <w:rPr>
                <w:rFonts w:ascii="Courier New" w:cs="Courier New" w:eastAsia="Courier New" w:hAnsi="Courier New"/>
                <w:sz w:val="14"/>
                <w:szCs w:val="14"/>
                <w:color w:val="auto"/>
              </w:rPr>
              <w:t>Report of Independent Accountants  . . . . . . . . . . . . . . . . . . . . . . . . . . . . . . .</w:t>
            </w:r>
          </w:p>
        </w:tc>
        <w:tc>
          <w:tcPr>
            <w:tcW w:w="480" w:type="dxa"/>
            <w:vAlign w:val="bottom"/>
          </w:tcPr>
          <w:p>
            <w:pPr>
              <w:jc w:val="center"/>
              <w:ind w:left="48"/>
              <w:spacing w:after="0"/>
              <w:rPr>
                <w:sz w:val="20"/>
                <w:szCs w:val="20"/>
                <w:color w:val="auto"/>
              </w:rPr>
            </w:pPr>
            <w:r>
              <w:rPr>
                <w:rFonts w:ascii="Courier New" w:cs="Courier New" w:eastAsia="Courier New" w:hAnsi="Courier New"/>
                <w:sz w:val="14"/>
                <w:szCs w:val="14"/>
                <w:color w:val="auto"/>
                <w:w w:val="94"/>
              </w:rPr>
              <w:t>23</w:t>
            </w:r>
          </w:p>
        </w:tc>
      </w:tr>
      <w:tr>
        <w:trPr>
          <w:trHeight w:val="331"/>
        </w:trPr>
        <w:tc>
          <w:tcPr>
            <w:tcW w:w="9180" w:type="dxa"/>
            <w:vAlign w:val="bottom"/>
          </w:tcPr>
          <w:p>
            <w:pPr>
              <w:ind w:left="780"/>
              <w:spacing w:after="0"/>
              <w:rPr>
                <w:sz w:val="20"/>
                <w:szCs w:val="20"/>
                <w:color w:val="auto"/>
              </w:rPr>
            </w:pPr>
            <w:r>
              <w:rPr>
                <w:rFonts w:ascii="Courier New" w:cs="Courier New" w:eastAsia="Courier New" w:hAnsi="Courier New"/>
                <w:sz w:val="14"/>
                <w:szCs w:val="14"/>
                <w:color w:val="auto"/>
              </w:rPr>
              <w:t>Consolidated Statements of Income for the Three Fiscal Years</w:t>
            </w:r>
          </w:p>
        </w:tc>
        <w:tc>
          <w:tcPr>
            <w:tcW w:w="480" w:type="dxa"/>
            <w:vAlign w:val="bottom"/>
          </w:tcPr>
          <w:p>
            <w:pPr>
              <w:spacing w:after="0"/>
              <w:rPr>
                <w:sz w:val="24"/>
                <w:szCs w:val="24"/>
                <w:color w:val="auto"/>
              </w:rPr>
            </w:pPr>
          </w:p>
        </w:tc>
      </w:tr>
      <w:tr>
        <w:trPr>
          <w:trHeight w:val="166"/>
        </w:trPr>
        <w:tc>
          <w:tcPr>
            <w:tcW w:w="9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Ended January 1, 1995   . . . . . . . . . . . . . . . . . . . . . . . . . . . . . . . . . . .</w:t>
            </w:r>
          </w:p>
        </w:tc>
        <w:tc>
          <w:tcPr>
            <w:tcW w:w="480" w:type="dxa"/>
            <w:vAlign w:val="bottom"/>
          </w:tcPr>
          <w:p>
            <w:pPr>
              <w:jc w:val="center"/>
              <w:ind w:left="48"/>
              <w:spacing w:after="0"/>
              <w:rPr>
                <w:sz w:val="20"/>
                <w:szCs w:val="20"/>
                <w:color w:val="auto"/>
              </w:rPr>
            </w:pPr>
            <w:r>
              <w:rPr>
                <w:rFonts w:ascii="Courier New" w:cs="Courier New" w:eastAsia="Courier New" w:hAnsi="Courier New"/>
                <w:sz w:val="14"/>
                <w:szCs w:val="14"/>
                <w:color w:val="auto"/>
                <w:w w:val="94"/>
              </w:rPr>
              <w:t>24</w:t>
            </w:r>
          </w:p>
        </w:tc>
      </w:tr>
      <w:tr>
        <w:trPr>
          <w:trHeight w:val="331"/>
        </w:trPr>
        <w:tc>
          <w:tcPr>
            <w:tcW w:w="9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Consolidated Balance Sheets at January 1, 1995 and January 2, 1994   . . . . . . . . . . . . . .</w:t>
            </w:r>
          </w:p>
        </w:tc>
        <w:tc>
          <w:tcPr>
            <w:tcW w:w="480" w:type="dxa"/>
            <w:vAlign w:val="bottom"/>
          </w:tcPr>
          <w:p>
            <w:pPr>
              <w:jc w:val="center"/>
              <w:ind w:left="48"/>
              <w:spacing w:after="0"/>
              <w:rPr>
                <w:sz w:val="20"/>
                <w:szCs w:val="20"/>
                <w:color w:val="auto"/>
              </w:rPr>
            </w:pPr>
            <w:r>
              <w:rPr>
                <w:rFonts w:ascii="Courier New" w:cs="Courier New" w:eastAsia="Courier New" w:hAnsi="Courier New"/>
                <w:sz w:val="14"/>
                <w:szCs w:val="14"/>
                <w:color w:val="auto"/>
                <w:w w:val="94"/>
              </w:rPr>
              <w:t>25</w:t>
            </w:r>
          </w:p>
        </w:tc>
      </w:tr>
      <w:tr>
        <w:trPr>
          <w:trHeight w:val="331"/>
        </w:trPr>
        <w:tc>
          <w:tcPr>
            <w:tcW w:w="9180" w:type="dxa"/>
            <w:vAlign w:val="bottom"/>
          </w:tcPr>
          <w:p>
            <w:pPr>
              <w:ind w:left="780"/>
              <w:spacing w:after="0"/>
              <w:rPr>
                <w:sz w:val="20"/>
                <w:szCs w:val="20"/>
                <w:color w:val="auto"/>
              </w:rPr>
            </w:pPr>
            <w:r>
              <w:rPr>
                <w:rFonts w:ascii="Courier New" w:cs="Courier New" w:eastAsia="Courier New" w:hAnsi="Courier New"/>
                <w:sz w:val="14"/>
                <w:szCs w:val="14"/>
                <w:color w:val="auto"/>
              </w:rPr>
              <w:t>Consolidated Statements of Cash Flows for the Three Fiscal Years</w:t>
            </w:r>
          </w:p>
        </w:tc>
        <w:tc>
          <w:tcPr>
            <w:tcW w:w="480" w:type="dxa"/>
            <w:vAlign w:val="bottom"/>
          </w:tcPr>
          <w:p>
            <w:pPr>
              <w:spacing w:after="0"/>
              <w:rPr>
                <w:sz w:val="24"/>
                <w:szCs w:val="24"/>
                <w:color w:val="auto"/>
              </w:rPr>
            </w:pPr>
          </w:p>
        </w:tc>
      </w:tr>
      <w:tr>
        <w:trPr>
          <w:trHeight w:val="166"/>
        </w:trPr>
        <w:tc>
          <w:tcPr>
            <w:tcW w:w="9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Ended January 1, 1995   . . . . . . . . . . . . . . . . . . . . . . . . . . . . . . . . . . .</w:t>
            </w:r>
          </w:p>
        </w:tc>
        <w:tc>
          <w:tcPr>
            <w:tcW w:w="480" w:type="dxa"/>
            <w:vAlign w:val="bottom"/>
          </w:tcPr>
          <w:p>
            <w:pPr>
              <w:jc w:val="center"/>
              <w:ind w:left="48"/>
              <w:spacing w:after="0"/>
              <w:rPr>
                <w:sz w:val="20"/>
                <w:szCs w:val="20"/>
                <w:color w:val="auto"/>
              </w:rPr>
            </w:pPr>
            <w:r>
              <w:rPr>
                <w:rFonts w:ascii="Courier New" w:cs="Courier New" w:eastAsia="Courier New" w:hAnsi="Courier New"/>
                <w:sz w:val="14"/>
                <w:szCs w:val="14"/>
                <w:color w:val="auto"/>
                <w:w w:val="94"/>
              </w:rPr>
              <w:t>27</w:t>
            </w:r>
          </w:p>
        </w:tc>
      </w:tr>
      <w:tr>
        <w:trPr>
          <w:trHeight w:val="331"/>
        </w:trPr>
        <w:tc>
          <w:tcPr>
            <w:tcW w:w="9180" w:type="dxa"/>
            <w:vAlign w:val="bottom"/>
          </w:tcPr>
          <w:p>
            <w:pPr>
              <w:ind w:left="780"/>
              <w:spacing w:after="0"/>
              <w:rPr>
                <w:sz w:val="20"/>
                <w:szCs w:val="20"/>
                <w:color w:val="auto"/>
              </w:rPr>
            </w:pPr>
            <w:r>
              <w:rPr>
                <w:rFonts w:ascii="Courier New" w:cs="Courier New" w:eastAsia="Courier New" w:hAnsi="Courier New"/>
                <w:sz w:val="14"/>
                <w:szCs w:val="14"/>
                <w:color w:val="auto"/>
              </w:rPr>
              <w:t>Consolidated Statements of Changes in Shareholders' Equity for the Three Fiscal</w:t>
            </w:r>
          </w:p>
        </w:tc>
        <w:tc>
          <w:tcPr>
            <w:tcW w:w="480" w:type="dxa"/>
            <w:vAlign w:val="bottom"/>
          </w:tcPr>
          <w:p>
            <w:pPr>
              <w:spacing w:after="0"/>
              <w:rPr>
                <w:sz w:val="24"/>
                <w:szCs w:val="24"/>
                <w:color w:val="auto"/>
              </w:rPr>
            </w:pPr>
          </w:p>
        </w:tc>
      </w:tr>
      <w:tr>
        <w:trPr>
          <w:trHeight w:val="166"/>
        </w:trPr>
        <w:tc>
          <w:tcPr>
            <w:tcW w:w="9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Years Ended January 1, 1995   . . . . . . . . . . . . . . . . . . . . . . . . . . . . . . . .</w:t>
            </w:r>
          </w:p>
        </w:tc>
        <w:tc>
          <w:tcPr>
            <w:tcW w:w="480" w:type="dxa"/>
            <w:vAlign w:val="bottom"/>
          </w:tcPr>
          <w:p>
            <w:pPr>
              <w:jc w:val="center"/>
              <w:ind w:left="48"/>
              <w:spacing w:after="0"/>
              <w:rPr>
                <w:sz w:val="20"/>
                <w:szCs w:val="20"/>
                <w:color w:val="auto"/>
              </w:rPr>
            </w:pPr>
            <w:r>
              <w:rPr>
                <w:rFonts w:ascii="Courier New" w:cs="Courier New" w:eastAsia="Courier New" w:hAnsi="Courier New"/>
                <w:sz w:val="14"/>
                <w:szCs w:val="14"/>
                <w:color w:val="auto"/>
                <w:w w:val="94"/>
              </w:rPr>
              <w:t>28</w:t>
            </w:r>
          </w:p>
        </w:tc>
      </w:tr>
      <w:tr>
        <w:trPr>
          <w:trHeight w:val="331"/>
        </w:trPr>
        <w:tc>
          <w:tcPr>
            <w:tcW w:w="9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Notes to Consolidated Financial Statements   . . . . . . . . . . . . . . . . . . . . . . . . . .</w:t>
            </w:r>
          </w:p>
        </w:tc>
        <w:tc>
          <w:tcPr>
            <w:tcW w:w="480" w:type="dxa"/>
            <w:vAlign w:val="bottom"/>
          </w:tcPr>
          <w:p>
            <w:pPr>
              <w:jc w:val="center"/>
              <w:ind w:left="48"/>
              <w:spacing w:after="0"/>
              <w:rPr>
                <w:sz w:val="20"/>
                <w:szCs w:val="20"/>
                <w:color w:val="auto"/>
              </w:rPr>
            </w:pPr>
            <w:r>
              <w:rPr>
                <w:rFonts w:ascii="Courier New" w:cs="Courier New" w:eastAsia="Courier New" w:hAnsi="Courier New"/>
                <w:sz w:val="14"/>
                <w:szCs w:val="14"/>
                <w:color w:val="auto"/>
                <w:w w:val="94"/>
              </w:rPr>
              <w:t>29</w:t>
            </w:r>
          </w:p>
        </w:tc>
      </w:tr>
      <w:tr>
        <w:trPr>
          <w:trHeight w:val="331"/>
        </w:trPr>
        <w:tc>
          <w:tcPr>
            <w:tcW w:w="9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Financial Statement Schedules for the Three Fiscal Years Ended January 1, 1995   . . . . . . . .</w:t>
            </w:r>
          </w:p>
        </w:tc>
        <w:tc>
          <w:tcPr>
            <w:tcW w:w="480" w:type="dxa"/>
            <w:vAlign w:val="bottom"/>
          </w:tcPr>
          <w:p>
            <w:pPr>
              <w:jc w:val="center"/>
              <w:ind w:left="48"/>
              <w:spacing w:after="0"/>
              <w:rPr>
                <w:sz w:val="20"/>
                <w:szCs w:val="20"/>
                <w:color w:val="auto"/>
              </w:rPr>
            </w:pPr>
            <w:r>
              <w:rPr>
                <w:rFonts w:ascii="Courier New" w:cs="Courier New" w:eastAsia="Courier New" w:hAnsi="Courier New"/>
                <w:sz w:val="14"/>
                <w:szCs w:val="14"/>
                <w:color w:val="auto"/>
                <w:w w:val="94"/>
              </w:rPr>
              <w:t>39</w:t>
            </w:r>
          </w:p>
        </w:tc>
      </w:tr>
      <w:tr>
        <w:trPr>
          <w:trHeight w:val="331"/>
        </w:trPr>
        <w:tc>
          <w:tcPr>
            <w:tcW w:w="9180" w:type="dxa"/>
            <w:vAlign w:val="bottom"/>
          </w:tcPr>
          <w:p>
            <w:pPr>
              <w:jc w:val="right"/>
              <w:ind w:right="4368"/>
              <w:spacing w:after="0"/>
              <w:rPr>
                <w:sz w:val="20"/>
                <w:szCs w:val="20"/>
                <w:color w:val="auto"/>
              </w:rPr>
            </w:pPr>
            <w:r>
              <w:rPr>
                <w:rFonts w:ascii="Courier New" w:cs="Courier New" w:eastAsia="Courier New" w:hAnsi="Courier New"/>
                <w:sz w:val="14"/>
                <w:szCs w:val="14"/>
                <w:color w:val="auto"/>
              </w:rPr>
              <w:t>II - Valuation and Qualifying Accounts</w:t>
            </w:r>
          </w:p>
        </w:tc>
        <w:tc>
          <w:tcPr>
            <w:tcW w:w="480" w:type="dxa"/>
            <w:vAlign w:val="bottom"/>
          </w:tcPr>
          <w:p>
            <w:pPr>
              <w:spacing w:after="0"/>
              <w:rPr>
                <w:sz w:val="24"/>
                <w:szCs w:val="24"/>
                <w:color w:val="auto"/>
              </w:rPr>
            </w:pPr>
          </w:p>
        </w:tc>
      </w:tr>
      <w:tr>
        <w:trPr>
          <w:trHeight w:val="331"/>
        </w:trPr>
        <w:tc>
          <w:tcPr>
            <w:tcW w:w="9180" w:type="dxa"/>
            <w:vAlign w:val="bottom"/>
          </w:tcPr>
          <w:p>
            <w:pPr>
              <w:spacing w:after="0"/>
              <w:rPr>
                <w:sz w:val="20"/>
                <w:szCs w:val="20"/>
                <w:color w:val="auto"/>
              </w:rPr>
            </w:pPr>
            <w:r>
              <w:rPr>
                <w:rFonts w:ascii="Courier New" w:cs="Courier New" w:eastAsia="Courier New" w:hAnsi="Courier New"/>
                <w:sz w:val="14"/>
                <w:szCs w:val="14"/>
                <w:color w:val="auto"/>
              </w:rPr>
              <w:t>Management's Discussion and Analysis of Results of Operations and Financial</w:t>
            </w:r>
          </w:p>
        </w:tc>
        <w:tc>
          <w:tcPr>
            <w:tcW w:w="480" w:type="dxa"/>
            <w:vAlign w:val="bottom"/>
          </w:tcPr>
          <w:p>
            <w:pPr>
              <w:spacing w:after="0"/>
              <w:rPr>
                <w:sz w:val="24"/>
                <w:szCs w:val="24"/>
                <w:color w:val="auto"/>
              </w:rPr>
            </w:pPr>
          </w:p>
        </w:tc>
      </w:tr>
      <w:tr>
        <w:trPr>
          <w:trHeight w:val="166"/>
        </w:trPr>
        <w:tc>
          <w:tcPr>
            <w:tcW w:w="9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Condition (Unaudited)  . . . . . . . . . . . . . . . . . . . . . . . . . . . . . . . . . . . . .</w:t>
            </w:r>
          </w:p>
        </w:tc>
        <w:tc>
          <w:tcPr>
            <w:tcW w:w="480" w:type="dxa"/>
            <w:vAlign w:val="bottom"/>
          </w:tcPr>
          <w:p>
            <w:pPr>
              <w:jc w:val="center"/>
              <w:ind w:left="48"/>
              <w:spacing w:after="0"/>
              <w:rPr>
                <w:sz w:val="20"/>
                <w:szCs w:val="20"/>
                <w:color w:val="auto"/>
              </w:rPr>
            </w:pPr>
            <w:r>
              <w:rPr>
                <w:rFonts w:ascii="Courier New" w:cs="Courier New" w:eastAsia="Courier New" w:hAnsi="Courier New"/>
                <w:sz w:val="14"/>
                <w:szCs w:val="14"/>
                <w:color w:val="auto"/>
                <w:w w:val="94"/>
              </w:rPr>
              <w:t>40</w:t>
            </w:r>
          </w:p>
        </w:tc>
      </w:tr>
      <w:tr>
        <w:trPr>
          <w:trHeight w:val="331"/>
        </w:trPr>
        <w:tc>
          <w:tcPr>
            <w:tcW w:w="9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Ten-Year Summary of Selected Historical Financial Data (Unaudited)  . . . . . . . . . . . . . . . . . . .</w:t>
            </w:r>
          </w:p>
        </w:tc>
        <w:tc>
          <w:tcPr>
            <w:tcW w:w="480" w:type="dxa"/>
            <w:vAlign w:val="bottom"/>
          </w:tcPr>
          <w:p>
            <w:pPr>
              <w:jc w:val="center"/>
              <w:ind w:left="48"/>
              <w:spacing w:after="0"/>
              <w:rPr>
                <w:sz w:val="20"/>
                <w:szCs w:val="20"/>
                <w:color w:val="auto"/>
              </w:rPr>
            </w:pPr>
            <w:r>
              <w:rPr>
                <w:rFonts w:ascii="Courier New" w:cs="Courier New" w:eastAsia="Courier New" w:hAnsi="Courier New"/>
                <w:sz w:val="14"/>
                <w:szCs w:val="14"/>
                <w:color w:val="auto"/>
                <w:w w:val="94"/>
              </w:rPr>
              <w:t>44</w:t>
            </w:r>
          </w:p>
        </w:tc>
      </w:tr>
    </w:tbl>
    <w:p>
      <w:pPr>
        <w:spacing w:after="0" w:line="335"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39" w:firstLine="603"/>
        <w:spacing w:after="0" w:line="252" w:lineRule="auto"/>
        <w:rPr>
          <w:sz w:val="20"/>
          <w:szCs w:val="20"/>
          <w:color w:val="auto"/>
        </w:rPr>
      </w:pPr>
      <w:r>
        <w:rPr>
          <w:rFonts w:ascii="Courier New" w:cs="Courier New" w:eastAsia="Courier New" w:hAnsi="Courier New"/>
          <w:sz w:val="14"/>
          <w:szCs w:val="14"/>
          <w:color w:val="auto"/>
        </w:rPr>
        <w:t>All other schedules have been omitted either because they are not applicable or because the required information is included in the consolidated financial statements or the notes thereto referred to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159"/>
          </w:cols>
          <w:pgMar w:left="300" w:top="285"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4"/>
          <w:szCs w:val="14"/>
          <w:color w:val="auto"/>
        </w:rPr>
        <w:t>24</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REPORT OF INDEPENDENT ACCOUNTANTS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Shareholders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Washington Post Company</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our opinion, the consolidated financial statements, including the financial statement schedule, referred to under Item 14(a)(i) on page 19 and listed in the index on page 22 present fairly, in all material respects, the financial position of The Washington Post Company and its subsidiaries at January 1, 1995 and January 2, 1994, and the results of their operations and their cash flows for each of the three fiscal years in the period ended January 1, 1995, in conformity with generally accepted accounting principles. These financial statements are the responsibility of the Company's management; our responsibility is to express an opinion on these financial statements based on our audits. We conducted our audits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338"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As discussed in Note E to the financial statements, the Company adopted, effective at the beginning of 1993, Statement of Financial Accounting Standards No. 109, "Accounting for Income Taxes."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WATERHOUSE LLP</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31,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159"/>
          </w:cols>
          <w:pgMar w:left="300" w:top="285"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4"/>
          <w:szCs w:val="14"/>
          <w:color w:val="auto"/>
        </w:rPr>
        <w:t>25</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060"/>
        <w:spacing w:after="0"/>
        <w:rPr>
          <w:sz w:val="20"/>
          <w:szCs w:val="20"/>
          <w:color w:val="auto"/>
        </w:rPr>
      </w:pPr>
      <w:r>
        <w:rPr>
          <w:rFonts w:ascii="Courier New" w:cs="Courier New" w:eastAsia="Courier New" w:hAnsi="Courier New"/>
          <w:sz w:val="14"/>
          <w:szCs w:val="14"/>
          <w:color w:val="auto"/>
        </w:rPr>
        <w:t>CONSOLIDATED</w:t>
      </w:r>
    </w:p>
    <w:p>
      <w:pPr>
        <w:spacing w:after="0" w:line="7" w:lineRule="exact"/>
        <w:rPr>
          <w:sz w:val="20"/>
          <w:szCs w:val="20"/>
          <w:color w:val="auto"/>
        </w:rPr>
      </w:pPr>
    </w:p>
    <w:p>
      <w:pPr>
        <w:jc w:val="center"/>
        <w:ind w:right="-1060"/>
        <w:spacing w:after="0"/>
        <w:rPr>
          <w:sz w:val="20"/>
          <w:szCs w:val="20"/>
          <w:color w:val="auto"/>
        </w:rPr>
      </w:pPr>
      <w:r>
        <w:rPr>
          <w:rFonts w:ascii="Courier New" w:cs="Courier New" w:eastAsia="Courier New" w:hAnsi="Courier New"/>
          <w:sz w:val="14"/>
          <w:szCs w:val="14"/>
          <w:color w:val="auto"/>
        </w:rPr>
        <w:t>STATEMENTS OF INCOME</w:t>
      </w:r>
    </w:p>
    <w:p>
      <w:pPr>
        <w:spacing w:after="0" w:line="7" w:lineRule="exact"/>
        <w:rPr>
          <w:sz w:val="20"/>
          <w:szCs w:val="20"/>
          <w:color w:val="auto"/>
        </w:rPr>
      </w:pPr>
    </w:p>
    <w:p>
      <w:pPr>
        <w:jc w:val="center"/>
        <w:ind w:right="-10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900"/>
        <w:spacing w:after="0"/>
        <w:rPr>
          <w:sz w:val="20"/>
          <w:szCs w:val="20"/>
          <w:color w:val="auto"/>
        </w:rPr>
      </w:pPr>
      <w:r>
        <w:rPr>
          <w:rFonts w:ascii="Courier New" w:cs="Courier New" w:eastAsia="Courier New" w:hAnsi="Courier New"/>
          <w:sz w:val="14"/>
          <w:szCs w:val="14"/>
          <w:color w:val="auto"/>
        </w:rPr>
        <w:t>Fiscal year ended</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520"/>
        <w:spacing w:after="0"/>
        <w:tabs>
          <w:tab w:leader="none" w:pos="7220" w:val="left"/>
          <w:tab w:leader="none" w:pos="9120" w:val="left"/>
        </w:tabs>
        <w:rPr>
          <w:sz w:val="20"/>
          <w:szCs w:val="20"/>
          <w:color w:val="auto"/>
        </w:rPr>
      </w:pPr>
      <w:r>
        <w:rPr>
          <w:rFonts w:ascii="Courier New" w:cs="Courier New" w:eastAsia="Courier New" w:hAnsi="Courier New"/>
          <w:sz w:val="14"/>
          <w:szCs w:val="14"/>
          <w:color w:val="auto"/>
        </w:rPr>
        <w:t>January 1,</w:t>
      </w:r>
      <w:r>
        <w:rPr>
          <w:sz w:val="20"/>
          <w:szCs w:val="20"/>
          <w:color w:val="auto"/>
        </w:rPr>
        <w:tab/>
      </w:r>
      <w:r>
        <w:rPr>
          <w:rFonts w:ascii="Courier New" w:cs="Courier New" w:eastAsia="Courier New" w:hAnsi="Courier New"/>
          <w:sz w:val="14"/>
          <w:szCs w:val="14"/>
          <w:color w:val="auto"/>
        </w:rPr>
        <w:t>January 2,</w:t>
      </w:r>
      <w:r>
        <w:rPr>
          <w:sz w:val="20"/>
          <w:szCs w:val="20"/>
          <w:color w:val="auto"/>
        </w:rPr>
        <w:tab/>
      </w:r>
      <w:r>
        <w:rPr>
          <w:rFonts w:ascii="Courier New" w:cs="Courier New" w:eastAsia="Courier New" w:hAnsi="Courier New"/>
          <w:sz w:val="14"/>
          <w:szCs w:val="14"/>
          <w:color w:val="auto"/>
        </w:rPr>
        <w:t>January 3,</w:t>
      </w:r>
    </w:p>
    <w:p>
      <w:pPr>
        <w:spacing w:after="0" w:line="7" w:lineRule="exact"/>
        <w:rPr>
          <w:sz w:val="20"/>
          <w:szCs w:val="20"/>
          <w:color w:val="auto"/>
        </w:rPr>
      </w:pPr>
    </w:p>
    <w:p>
      <w:pPr>
        <w:spacing w:after="0"/>
        <w:tabs>
          <w:tab w:leader="none" w:pos="5760" w:val="left"/>
          <w:tab w:leader="none" w:pos="7480" w:val="left"/>
          <w:tab w:leader="none" w:pos="9380" w:val="left"/>
        </w:tabs>
        <w:rPr>
          <w:sz w:val="20"/>
          <w:szCs w:val="20"/>
          <w:color w:val="auto"/>
        </w:rPr>
      </w:pPr>
      <w:r>
        <w:rPr>
          <w:rFonts w:ascii="Courier New" w:cs="Courier New" w:eastAsia="Courier New" w:hAnsi="Courier New"/>
          <w:sz w:val="14"/>
          <w:szCs w:val="14"/>
          <w:color w:val="auto"/>
        </w:rPr>
        <w:t>(in thousands, except share amounts)</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OPERATING REVENUES</w:t>
            </w: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Advertising   . . . . . . . . . . . . . . .</w:t>
            </w:r>
          </w:p>
        </w:tc>
        <w:tc>
          <w:tcPr>
            <w:tcW w:w="20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$1,026,672</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913,529</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895,645</w:t>
            </w:r>
          </w:p>
        </w:tc>
      </w:tr>
      <w:tr>
        <w:trPr>
          <w:trHeight w:val="166"/>
        </w:trPr>
        <w:tc>
          <w:tcPr>
            <w:tcW w:w="47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Circulation and subscriber  . . . . . . . .</w:t>
            </w:r>
          </w:p>
        </w:tc>
        <w:tc>
          <w:tcPr>
            <w:tcW w:w="82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438,500</w:t>
            </w:r>
          </w:p>
        </w:tc>
        <w:tc>
          <w:tcPr>
            <w:tcW w:w="440" w:type="dxa"/>
            <w:vAlign w:val="bottom"/>
          </w:tcPr>
          <w:p>
            <w:pPr>
              <w:spacing w:after="0"/>
              <w:rPr>
                <w:sz w:val="14"/>
                <w:szCs w:val="14"/>
                <w:color w:val="auto"/>
              </w:rPr>
            </w:pP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444,385</w:t>
            </w:r>
          </w:p>
        </w:tc>
        <w:tc>
          <w:tcPr>
            <w:tcW w:w="6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436,193</w:t>
            </w:r>
          </w:p>
        </w:tc>
      </w:tr>
      <w:tr>
        <w:trPr>
          <w:trHeight w:val="166"/>
        </w:trPr>
        <w:tc>
          <w:tcPr>
            <w:tcW w:w="47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Other   . . . . . . . . . . . . . . . . . .</w:t>
            </w:r>
          </w:p>
        </w:tc>
        <w:tc>
          <w:tcPr>
            <w:tcW w:w="82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148,806</w:t>
            </w:r>
          </w:p>
        </w:tc>
        <w:tc>
          <w:tcPr>
            <w:tcW w:w="440" w:type="dxa"/>
            <w:vAlign w:val="bottom"/>
          </w:tcPr>
          <w:p>
            <w:pPr>
              <w:spacing w:after="0"/>
              <w:rPr>
                <w:sz w:val="14"/>
                <w:szCs w:val="14"/>
                <w:color w:val="auto"/>
              </w:rPr>
            </w:pP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140,277</w:t>
            </w:r>
          </w:p>
        </w:tc>
        <w:tc>
          <w:tcPr>
            <w:tcW w:w="6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119,029</w:t>
            </w:r>
          </w:p>
        </w:tc>
      </w:tr>
      <w:tr>
        <w:trPr>
          <w:trHeight w:val="166"/>
        </w:trPr>
        <w:tc>
          <w:tcPr>
            <w:tcW w:w="4700" w:type="dxa"/>
            <w:vAlign w:val="bottom"/>
          </w:tcPr>
          <w:p>
            <w:pPr>
              <w:spacing w:after="0"/>
              <w:rPr>
                <w:sz w:val="14"/>
                <w:szCs w:val="14"/>
                <w:color w:val="auto"/>
              </w:rPr>
            </w:pPr>
          </w:p>
        </w:tc>
        <w:tc>
          <w:tcPr>
            <w:tcW w:w="20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1,613,978</w:t>
            </w:r>
          </w:p>
        </w:tc>
        <w:tc>
          <w:tcPr>
            <w:tcW w:w="440" w:type="dxa"/>
            <w:vAlign w:val="bottom"/>
          </w:tcPr>
          <w:p>
            <w:pPr>
              <w:spacing w:after="0"/>
              <w:rPr>
                <w:sz w:val="14"/>
                <w:szCs w:val="14"/>
                <w:color w:val="auto"/>
              </w:rPr>
            </w:pP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1,498,191</w:t>
            </w:r>
          </w:p>
        </w:tc>
        <w:tc>
          <w:tcPr>
            <w:tcW w:w="6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1,450,867</w:t>
            </w:r>
          </w:p>
        </w:tc>
      </w:tr>
      <w:tr>
        <w:trPr>
          <w:trHeight w:val="166"/>
        </w:trPr>
        <w:tc>
          <w:tcPr>
            <w:tcW w:w="4700" w:type="dxa"/>
            <w:vAlign w:val="bottom"/>
          </w:tcPr>
          <w:p>
            <w:pPr>
              <w:spacing w:after="0"/>
              <w:rPr>
                <w:sz w:val="14"/>
                <w:szCs w:val="14"/>
                <w:color w:val="auto"/>
              </w:rPr>
            </w:pPr>
          </w:p>
        </w:tc>
        <w:tc>
          <w:tcPr>
            <w:tcW w:w="20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OPERATING COSTS AND EXPENSES</w:t>
            </w: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Operating   . . . . . . . . . . . . . . .</w:t>
            </w:r>
          </w:p>
        </w:tc>
        <w:tc>
          <w:tcPr>
            <w:tcW w:w="82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861,464</w:t>
            </w:r>
          </w:p>
        </w:tc>
        <w:tc>
          <w:tcPr>
            <w:tcW w:w="440" w:type="dxa"/>
            <w:vAlign w:val="bottom"/>
          </w:tcPr>
          <w:p>
            <w:pPr>
              <w:spacing w:after="0"/>
              <w:rPr>
                <w:sz w:val="14"/>
                <w:szCs w:val="14"/>
                <w:color w:val="auto"/>
              </w:rPr>
            </w:pP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790,256</w:t>
            </w:r>
          </w:p>
        </w:tc>
        <w:tc>
          <w:tcPr>
            <w:tcW w:w="6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787,256</w:t>
            </w:r>
          </w:p>
        </w:tc>
      </w:tr>
      <w:tr>
        <w:trPr>
          <w:trHeight w:val="166"/>
        </w:trPr>
        <w:tc>
          <w:tcPr>
            <w:tcW w:w="47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Selling, general and administrative . . .</w:t>
            </w:r>
          </w:p>
        </w:tc>
        <w:tc>
          <w:tcPr>
            <w:tcW w:w="82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390,296</w:t>
            </w:r>
          </w:p>
        </w:tc>
        <w:tc>
          <w:tcPr>
            <w:tcW w:w="440" w:type="dxa"/>
            <w:vAlign w:val="bottom"/>
          </w:tcPr>
          <w:p>
            <w:pPr>
              <w:spacing w:after="0"/>
              <w:rPr>
                <w:sz w:val="14"/>
                <w:szCs w:val="14"/>
                <w:color w:val="auto"/>
              </w:rPr>
            </w:pP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393,196</w:t>
            </w:r>
          </w:p>
        </w:tc>
        <w:tc>
          <w:tcPr>
            <w:tcW w:w="6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356,799</w:t>
            </w:r>
          </w:p>
        </w:tc>
      </w:tr>
      <w:tr>
        <w:trPr>
          <w:trHeight w:val="166"/>
        </w:trPr>
        <w:tc>
          <w:tcPr>
            <w:tcW w:w="4700" w:type="dxa"/>
            <w:vAlign w:val="bottom"/>
          </w:tcPr>
          <w:p>
            <w:pPr>
              <w:ind w:left="360"/>
              <w:spacing w:after="0"/>
              <w:rPr>
                <w:sz w:val="20"/>
                <w:szCs w:val="20"/>
                <w:color w:val="auto"/>
              </w:rPr>
            </w:pPr>
            <w:r>
              <w:rPr>
                <w:rFonts w:ascii="Courier New" w:cs="Courier New" w:eastAsia="Courier New" w:hAnsi="Courier New"/>
                <w:sz w:val="14"/>
                <w:szCs w:val="14"/>
                <w:color w:val="auto"/>
              </w:rPr>
              <w:t>Depreciation and amortization of property,</w:t>
            </w: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plant, and equipment  . . . . . . . . .</w:t>
            </w:r>
          </w:p>
        </w:tc>
        <w:tc>
          <w:tcPr>
            <w:tcW w:w="82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61,950</w:t>
            </w:r>
          </w:p>
        </w:tc>
        <w:tc>
          <w:tcPr>
            <w:tcW w:w="440" w:type="dxa"/>
            <w:vAlign w:val="bottom"/>
          </w:tcPr>
          <w:p>
            <w:pPr>
              <w:spacing w:after="0"/>
              <w:rPr>
                <w:sz w:val="14"/>
                <w:szCs w:val="14"/>
                <w:color w:val="auto"/>
              </w:rPr>
            </w:pP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59,543</w:t>
            </w:r>
          </w:p>
        </w:tc>
        <w:tc>
          <w:tcPr>
            <w:tcW w:w="6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59,222</w:t>
            </w:r>
          </w:p>
        </w:tc>
      </w:tr>
      <w:tr>
        <w:trPr>
          <w:trHeight w:val="166"/>
        </w:trPr>
        <w:tc>
          <w:tcPr>
            <w:tcW w:w="4700" w:type="dxa"/>
            <w:vAlign w:val="bottom"/>
          </w:tcPr>
          <w:p>
            <w:pPr>
              <w:ind w:left="360"/>
              <w:spacing w:after="0"/>
              <w:rPr>
                <w:sz w:val="20"/>
                <w:szCs w:val="20"/>
                <w:color w:val="auto"/>
              </w:rPr>
            </w:pPr>
            <w:r>
              <w:rPr>
                <w:rFonts w:ascii="Courier New" w:cs="Courier New" w:eastAsia="Courier New" w:hAnsi="Courier New"/>
                <w:sz w:val="14"/>
                <w:szCs w:val="14"/>
                <w:color w:val="auto"/>
              </w:rPr>
              <w:t>Amortization of goodwill and</w:t>
            </w: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other intangibles   . . . . . . . . . .</w:t>
            </w:r>
          </w:p>
        </w:tc>
        <w:tc>
          <w:tcPr>
            <w:tcW w:w="82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25,393</w:t>
            </w:r>
          </w:p>
        </w:tc>
        <w:tc>
          <w:tcPr>
            <w:tcW w:w="440" w:type="dxa"/>
            <w:vAlign w:val="bottom"/>
          </w:tcPr>
          <w:p>
            <w:pPr>
              <w:spacing w:after="0"/>
              <w:rPr>
                <w:sz w:val="14"/>
                <w:szCs w:val="14"/>
                <w:color w:val="auto"/>
              </w:rPr>
            </w:pP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16,216</w:t>
            </w:r>
          </w:p>
        </w:tc>
        <w:tc>
          <w:tcPr>
            <w:tcW w:w="6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15,478</w:t>
            </w:r>
          </w:p>
        </w:tc>
      </w:tr>
      <w:tr>
        <w:trPr>
          <w:trHeight w:val="166"/>
        </w:trPr>
        <w:tc>
          <w:tcPr>
            <w:tcW w:w="4700" w:type="dxa"/>
            <w:vAlign w:val="bottom"/>
          </w:tcPr>
          <w:p>
            <w:pPr>
              <w:spacing w:after="0"/>
              <w:rPr>
                <w:sz w:val="14"/>
                <w:szCs w:val="14"/>
                <w:color w:val="auto"/>
              </w:rPr>
            </w:pPr>
          </w:p>
        </w:tc>
        <w:tc>
          <w:tcPr>
            <w:tcW w:w="20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1,339,103</w:t>
            </w:r>
          </w:p>
        </w:tc>
        <w:tc>
          <w:tcPr>
            <w:tcW w:w="440" w:type="dxa"/>
            <w:vAlign w:val="bottom"/>
          </w:tcPr>
          <w:p>
            <w:pPr>
              <w:spacing w:after="0"/>
              <w:rPr>
                <w:sz w:val="14"/>
                <w:szCs w:val="14"/>
                <w:color w:val="auto"/>
              </w:rPr>
            </w:pP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1,259,211</w:t>
            </w:r>
          </w:p>
        </w:tc>
        <w:tc>
          <w:tcPr>
            <w:tcW w:w="6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1,218,755</w:t>
            </w:r>
          </w:p>
        </w:tc>
      </w:tr>
      <w:tr>
        <w:trPr>
          <w:trHeight w:val="166"/>
        </w:trPr>
        <w:tc>
          <w:tcPr>
            <w:tcW w:w="4700" w:type="dxa"/>
            <w:vAlign w:val="bottom"/>
          </w:tcPr>
          <w:p>
            <w:pPr>
              <w:spacing w:after="0"/>
              <w:rPr>
                <w:sz w:val="14"/>
                <w:szCs w:val="14"/>
                <w:color w:val="auto"/>
              </w:rPr>
            </w:pPr>
          </w:p>
        </w:tc>
        <w:tc>
          <w:tcPr>
            <w:tcW w:w="20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7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INCOME FROM OPERATIONS  . . . . . . . . . . .</w:t>
            </w:r>
          </w:p>
        </w:tc>
        <w:tc>
          <w:tcPr>
            <w:tcW w:w="820" w:type="dxa"/>
            <w:vAlign w:val="bottom"/>
          </w:tcPr>
          <w:p>
            <w:pPr>
              <w:spacing w:after="0"/>
              <w:rPr>
                <w:sz w:val="24"/>
                <w:szCs w:val="2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274,875</w:t>
            </w:r>
          </w:p>
        </w:tc>
        <w:tc>
          <w:tcPr>
            <w:tcW w:w="440" w:type="dxa"/>
            <w:vAlign w:val="bottom"/>
          </w:tcPr>
          <w:p>
            <w:pPr>
              <w:spacing w:after="0"/>
              <w:rPr>
                <w:sz w:val="24"/>
                <w:szCs w:val="24"/>
                <w:color w:val="auto"/>
              </w:rPr>
            </w:pP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238,980</w:t>
            </w:r>
          </w:p>
        </w:tc>
        <w:tc>
          <w:tcPr>
            <w:tcW w:w="64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232,112</w:t>
            </w:r>
          </w:p>
        </w:tc>
      </w:tr>
      <w:tr>
        <w:trPr>
          <w:trHeight w:val="166"/>
        </w:trPr>
        <w:tc>
          <w:tcPr>
            <w:tcW w:w="47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Equity in earnings (losses) of affiliates</w:t>
            </w:r>
          </w:p>
        </w:tc>
        <w:tc>
          <w:tcPr>
            <w:tcW w:w="82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7,325</w:t>
            </w:r>
          </w:p>
        </w:tc>
        <w:tc>
          <w:tcPr>
            <w:tcW w:w="44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(1,994)</w:t>
            </w:r>
          </w:p>
        </w:tc>
        <w:tc>
          <w:tcPr>
            <w:tcW w:w="6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(11,730)</w:t>
            </w:r>
          </w:p>
        </w:tc>
      </w:tr>
      <w:tr>
        <w:trPr>
          <w:trHeight w:val="166"/>
        </w:trPr>
        <w:tc>
          <w:tcPr>
            <w:tcW w:w="47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Interest income   . . . . . . . . . . . .</w:t>
            </w:r>
          </w:p>
        </w:tc>
        <w:tc>
          <w:tcPr>
            <w:tcW w:w="82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9,196</w:t>
            </w:r>
          </w:p>
        </w:tc>
        <w:tc>
          <w:tcPr>
            <w:tcW w:w="440" w:type="dxa"/>
            <w:vAlign w:val="bottom"/>
          </w:tcPr>
          <w:p>
            <w:pPr>
              <w:spacing w:after="0"/>
              <w:rPr>
                <w:sz w:val="14"/>
                <w:szCs w:val="14"/>
                <w:color w:val="auto"/>
              </w:rPr>
            </w:pP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11,085</w:t>
            </w:r>
          </w:p>
        </w:tc>
        <w:tc>
          <w:tcPr>
            <w:tcW w:w="6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11,854</w:t>
            </w:r>
          </w:p>
        </w:tc>
      </w:tr>
      <w:tr>
        <w:trPr>
          <w:trHeight w:val="166"/>
        </w:trPr>
        <w:tc>
          <w:tcPr>
            <w:tcW w:w="47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Interest expense  . . . . . . . . . . . .</w:t>
            </w:r>
          </w:p>
        </w:tc>
        <w:tc>
          <w:tcPr>
            <w:tcW w:w="82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(5,590)</w:t>
            </w:r>
          </w:p>
        </w:tc>
        <w:tc>
          <w:tcPr>
            <w:tcW w:w="44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(4,983)</w:t>
            </w:r>
          </w:p>
        </w:tc>
        <w:tc>
          <w:tcPr>
            <w:tcW w:w="6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(6,385)</w:t>
            </w:r>
          </w:p>
        </w:tc>
      </w:tr>
      <w:tr>
        <w:trPr>
          <w:trHeight w:val="166"/>
        </w:trPr>
        <w:tc>
          <w:tcPr>
            <w:tcW w:w="47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Other income (expense), net   . . . . . .</w:t>
            </w:r>
          </w:p>
        </w:tc>
        <w:tc>
          <w:tcPr>
            <w:tcW w:w="82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1,116</w:t>
            </w:r>
          </w:p>
        </w:tc>
        <w:tc>
          <w:tcPr>
            <w:tcW w:w="440" w:type="dxa"/>
            <w:vAlign w:val="bottom"/>
          </w:tcPr>
          <w:p>
            <w:pPr>
              <w:spacing w:after="0"/>
              <w:rPr>
                <w:sz w:val="14"/>
                <w:szCs w:val="14"/>
                <w:color w:val="auto"/>
              </w:rPr>
            </w:pP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20,379</w:t>
            </w:r>
          </w:p>
        </w:tc>
        <w:tc>
          <w:tcPr>
            <w:tcW w:w="6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(1,655)</w:t>
            </w:r>
          </w:p>
        </w:tc>
      </w:tr>
      <w:tr>
        <w:trPr>
          <w:trHeight w:val="166"/>
        </w:trPr>
        <w:tc>
          <w:tcPr>
            <w:tcW w:w="4700" w:type="dxa"/>
            <w:vAlign w:val="bottom"/>
          </w:tcPr>
          <w:p>
            <w:pPr>
              <w:spacing w:after="0"/>
              <w:rPr>
                <w:sz w:val="14"/>
                <w:szCs w:val="14"/>
                <w:color w:val="auto"/>
              </w:rPr>
            </w:pPr>
          </w:p>
        </w:tc>
        <w:tc>
          <w:tcPr>
            <w:tcW w:w="20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4700" w:type="dxa"/>
            <w:vAlign w:val="bottom"/>
          </w:tcPr>
          <w:p>
            <w:pPr>
              <w:spacing w:after="0"/>
              <w:rPr>
                <w:sz w:val="20"/>
                <w:szCs w:val="20"/>
                <w:color w:val="auto"/>
              </w:rPr>
            </w:pPr>
            <w:r>
              <w:rPr>
                <w:rFonts w:ascii="Courier New" w:cs="Courier New" w:eastAsia="Courier New" w:hAnsi="Courier New"/>
                <w:sz w:val="14"/>
                <w:szCs w:val="14"/>
                <w:color w:val="auto"/>
              </w:rPr>
              <w:t>INCOME BEFORE INCOME TAXES AND</w:t>
            </w: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700" w:type="dxa"/>
            <w:vAlign w:val="bottom"/>
          </w:tcPr>
          <w:p>
            <w:pPr>
              <w:ind w:left="360"/>
              <w:spacing w:after="0"/>
              <w:rPr>
                <w:sz w:val="20"/>
                <w:szCs w:val="20"/>
                <w:color w:val="auto"/>
              </w:rPr>
            </w:pPr>
            <w:r>
              <w:rPr>
                <w:rFonts w:ascii="Courier New" w:cs="Courier New" w:eastAsia="Courier New" w:hAnsi="Courier New"/>
                <w:sz w:val="14"/>
                <w:szCs w:val="14"/>
                <w:color w:val="auto"/>
              </w:rPr>
              <w:t>CUMULATIVE EFFECT OF CHANGE</w:t>
            </w: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IN ACCOUNTING PRINCIPLE   . . . . . . . .</w:t>
            </w:r>
          </w:p>
        </w:tc>
        <w:tc>
          <w:tcPr>
            <w:tcW w:w="82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286,922</w:t>
            </w:r>
          </w:p>
        </w:tc>
        <w:tc>
          <w:tcPr>
            <w:tcW w:w="440" w:type="dxa"/>
            <w:vAlign w:val="bottom"/>
          </w:tcPr>
          <w:p>
            <w:pPr>
              <w:spacing w:after="0"/>
              <w:rPr>
                <w:sz w:val="14"/>
                <w:szCs w:val="14"/>
                <w:color w:val="auto"/>
              </w:rPr>
            </w:pP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263,467</w:t>
            </w:r>
          </w:p>
        </w:tc>
        <w:tc>
          <w:tcPr>
            <w:tcW w:w="6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224,196</w:t>
            </w:r>
          </w:p>
        </w:tc>
      </w:tr>
      <w:tr>
        <w:trPr>
          <w:trHeight w:val="166"/>
        </w:trPr>
        <w:tc>
          <w:tcPr>
            <w:tcW w:w="47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PROVISION FOR INCOME TAXES  . . . . . . . . .</w:t>
            </w:r>
          </w:p>
        </w:tc>
        <w:tc>
          <w:tcPr>
            <w:tcW w:w="82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117,250</w:t>
            </w:r>
          </w:p>
        </w:tc>
        <w:tc>
          <w:tcPr>
            <w:tcW w:w="440" w:type="dxa"/>
            <w:vAlign w:val="bottom"/>
          </w:tcPr>
          <w:p>
            <w:pPr>
              <w:spacing w:after="0"/>
              <w:rPr>
                <w:sz w:val="14"/>
                <w:szCs w:val="14"/>
                <w:color w:val="auto"/>
              </w:rPr>
            </w:pP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109,650</w:t>
            </w:r>
          </w:p>
        </w:tc>
        <w:tc>
          <w:tcPr>
            <w:tcW w:w="6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96,400</w:t>
            </w:r>
          </w:p>
        </w:tc>
      </w:tr>
      <w:tr>
        <w:trPr>
          <w:trHeight w:val="166"/>
        </w:trPr>
        <w:tc>
          <w:tcPr>
            <w:tcW w:w="4700" w:type="dxa"/>
            <w:vAlign w:val="bottom"/>
          </w:tcPr>
          <w:p>
            <w:pPr>
              <w:spacing w:after="0"/>
              <w:rPr>
                <w:sz w:val="14"/>
                <w:szCs w:val="14"/>
                <w:color w:val="auto"/>
              </w:rPr>
            </w:pPr>
          </w:p>
        </w:tc>
        <w:tc>
          <w:tcPr>
            <w:tcW w:w="20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700" w:type="dxa"/>
            <w:vAlign w:val="bottom"/>
          </w:tcPr>
          <w:p>
            <w:pPr>
              <w:spacing w:after="0"/>
              <w:rPr>
                <w:sz w:val="20"/>
                <w:szCs w:val="20"/>
                <w:color w:val="auto"/>
              </w:rPr>
            </w:pPr>
            <w:r>
              <w:rPr>
                <w:rFonts w:ascii="Courier New" w:cs="Courier New" w:eastAsia="Courier New" w:hAnsi="Courier New"/>
                <w:sz w:val="14"/>
                <w:szCs w:val="14"/>
                <w:color w:val="auto"/>
              </w:rPr>
              <w:t>INCOME BEFORE CUMULATIVE EFFECT OF</w:t>
            </w: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7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CHANGE IN ACCOUNTING PRINCIPLE  . . . . .</w:t>
            </w:r>
          </w:p>
        </w:tc>
        <w:tc>
          <w:tcPr>
            <w:tcW w:w="82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169,672</w:t>
            </w:r>
          </w:p>
        </w:tc>
        <w:tc>
          <w:tcPr>
            <w:tcW w:w="440" w:type="dxa"/>
            <w:vAlign w:val="bottom"/>
          </w:tcPr>
          <w:p>
            <w:pPr>
              <w:spacing w:after="0"/>
              <w:rPr>
                <w:sz w:val="14"/>
                <w:szCs w:val="14"/>
                <w:color w:val="auto"/>
              </w:rPr>
            </w:pP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153,817</w:t>
            </w:r>
          </w:p>
        </w:tc>
        <w:tc>
          <w:tcPr>
            <w:tcW w:w="6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127,796</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CUMULATIVE EFFECT OF CHANGE IN METHOD</w:t>
            </w: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OF ACCOUNTING FOR INCOME TAXES  . . . . .</w:t>
            </w:r>
          </w:p>
        </w:tc>
        <w:tc>
          <w:tcPr>
            <w:tcW w:w="82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11,600</w:t>
            </w:r>
          </w:p>
        </w:tc>
        <w:tc>
          <w:tcPr>
            <w:tcW w:w="6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00" w:type="dxa"/>
            <w:vAlign w:val="bottom"/>
          </w:tcPr>
          <w:p>
            <w:pPr>
              <w:spacing w:after="0"/>
              <w:rPr>
                <w:sz w:val="14"/>
                <w:szCs w:val="14"/>
                <w:color w:val="auto"/>
              </w:rPr>
            </w:pPr>
          </w:p>
        </w:tc>
        <w:tc>
          <w:tcPr>
            <w:tcW w:w="20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NET INCOME  . . . . . . . . . . . . . . . . .</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169,672</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165,417</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127,796</w:t>
            </w:r>
          </w:p>
        </w:tc>
      </w:tr>
      <w:tr>
        <w:trPr>
          <w:trHeight w:val="166"/>
        </w:trPr>
        <w:tc>
          <w:tcPr>
            <w:tcW w:w="4700" w:type="dxa"/>
            <w:vAlign w:val="bottom"/>
          </w:tcPr>
          <w:p>
            <w:pPr>
              <w:spacing w:after="0"/>
              <w:rPr>
                <w:sz w:val="14"/>
                <w:szCs w:val="14"/>
                <w:color w:val="auto"/>
              </w:rPr>
            </w:pPr>
          </w:p>
        </w:tc>
        <w:tc>
          <w:tcPr>
            <w:tcW w:w="20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00" w:type="dxa"/>
            <w:vAlign w:val="bottom"/>
          </w:tcPr>
          <w:p>
            <w:pPr>
              <w:ind w:left="360"/>
              <w:spacing w:after="0"/>
              <w:rPr>
                <w:sz w:val="20"/>
                <w:szCs w:val="20"/>
                <w:color w:val="auto"/>
              </w:rPr>
            </w:pPr>
            <w:r>
              <w:rPr>
                <w:rFonts w:ascii="Courier New" w:cs="Courier New" w:eastAsia="Courier New" w:hAnsi="Courier New"/>
                <w:sz w:val="14"/>
                <w:szCs w:val="14"/>
                <w:color w:val="auto"/>
              </w:rPr>
              <w:t>BEFORE CUMULATIVE EFFECT OF CHANGE</w:t>
            </w: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IN ACCOUNTING PRINCIPLE   . . . . . . .</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14.65</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13.10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10.80</w:t>
            </w:r>
          </w:p>
        </w:tc>
      </w:tr>
      <w:tr>
        <w:trPr>
          <w:trHeight w:val="166"/>
        </w:trPr>
        <w:tc>
          <w:tcPr>
            <w:tcW w:w="4700" w:type="dxa"/>
            <w:vAlign w:val="bottom"/>
          </w:tcPr>
          <w:p>
            <w:pPr>
              <w:ind w:left="360"/>
              <w:spacing w:after="0"/>
              <w:rPr>
                <w:sz w:val="20"/>
                <w:szCs w:val="20"/>
                <w:color w:val="auto"/>
              </w:rPr>
            </w:pPr>
            <w:r>
              <w:rPr>
                <w:rFonts w:ascii="Courier New" w:cs="Courier New" w:eastAsia="Courier New" w:hAnsi="Courier New"/>
                <w:sz w:val="14"/>
                <w:szCs w:val="14"/>
                <w:color w:val="auto"/>
              </w:rPr>
              <w:t>CUMULATIVE EFFECT OF CHANGE IN</w:t>
            </w: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ACCOUNTING PRINCIPLE  . . . . . . . . .</w:t>
            </w:r>
          </w:p>
        </w:tc>
        <w:tc>
          <w:tcPr>
            <w:tcW w:w="82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.98</w:t>
            </w:r>
          </w:p>
        </w:tc>
        <w:tc>
          <w:tcPr>
            <w:tcW w:w="6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00" w:type="dxa"/>
            <w:vAlign w:val="bottom"/>
          </w:tcPr>
          <w:p>
            <w:pPr>
              <w:spacing w:after="0"/>
              <w:rPr>
                <w:sz w:val="14"/>
                <w:szCs w:val="14"/>
                <w:color w:val="auto"/>
              </w:rPr>
            </w:pPr>
          </w:p>
        </w:tc>
        <w:tc>
          <w:tcPr>
            <w:tcW w:w="20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NET INCOME  . . . . . . . . . . . . . . . . .</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14.65</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14.08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10.80</w:t>
            </w:r>
          </w:p>
        </w:tc>
      </w:tr>
      <w:tr>
        <w:trPr>
          <w:trHeight w:val="166"/>
        </w:trPr>
        <w:tc>
          <w:tcPr>
            <w:tcW w:w="4700" w:type="dxa"/>
            <w:vAlign w:val="bottom"/>
          </w:tcPr>
          <w:p>
            <w:pPr>
              <w:spacing w:after="0"/>
              <w:rPr>
                <w:sz w:val="14"/>
                <w:szCs w:val="14"/>
                <w:color w:val="auto"/>
              </w:rPr>
            </w:pPr>
          </w:p>
        </w:tc>
        <w:tc>
          <w:tcPr>
            <w:tcW w:w="20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right="3699"/>
        <w:spacing w:after="0" w:line="255" w:lineRule="auto"/>
        <w:rPr>
          <w:sz w:val="20"/>
          <w:szCs w:val="20"/>
          <w:color w:val="auto"/>
        </w:rPr>
      </w:pPr>
      <w:r>
        <w:rPr>
          <w:rFonts w:ascii="Courier New" w:cs="Courier New" w:eastAsia="Courier New" w:hAnsi="Courier New"/>
          <w:sz w:val="14"/>
          <w:szCs w:val="14"/>
          <w:color w:val="auto"/>
        </w:rPr>
        <w:t>The information on pages 29 through 38 is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159"/>
          </w:cols>
          <w:pgMar w:left="300" w:top="285"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4"/>
          <w:szCs w:val="14"/>
          <w:color w:val="auto"/>
        </w:rPr>
        <w:t>26</w:t>
      </w:r>
    </w:p>
    <w:p>
      <w:pPr>
        <w:spacing w:after="0" w:line="338"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CONSOLIDATED BALANCE SHEETS</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January</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January</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4420" w:type="dxa"/>
            <w:vAlign w:val="bottom"/>
          </w:tcPr>
          <w:p>
            <w:pPr>
              <w:spacing w:after="0"/>
              <w:rPr>
                <w:sz w:val="20"/>
                <w:szCs w:val="20"/>
                <w:color w:val="auto"/>
              </w:rPr>
            </w:pPr>
            <w:r>
              <w:rPr>
                <w:rFonts w:ascii="Courier New" w:cs="Courier New" w:eastAsia="Courier New" w:hAnsi="Courier New"/>
                <w:sz w:val="14"/>
                <w:szCs w:val="14"/>
                <w:color w:val="auto"/>
              </w:rPr>
              <w:t>(in thousands, except share amounts)</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c>
          <w:tcPr>
            <w:tcW w:w="2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43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1"/>
        </w:trPr>
        <w:tc>
          <w:tcPr>
            <w:tcW w:w="434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4340" w:type="dxa"/>
            <w:vAlign w:val="bottom"/>
          </w:tcPr>
          <w:p>
            <w:pPr>
              <w:ind w:left="160"/>
              <w:spacing w:after="0"/>
              <w:rPr>
                <w:sz w:val="20"/>
                <w:szCs w:val="20"/>
                <w:color w:val="auto"/>
              </w:rPr>
            </w:pPr>
            <w:r>
              <w:rPr>
                <w:rFonts w:ascii="Courier New" w:cs="Courier New" w:eastAsia="Courier New" w:hAnsi="Courier New"/>
                <w:sz w:val="14"/>
                <w:szCs w:val="14"/>
                <w:color w:val="auto"/>
              </w:rPr>
              <w:t>Cash and cash equivalents  . . . . . . . . . . .</w:t>
            </w:r>
          </w:p>
        </w:tc>
        <w:tc>
          <w:tcPr>
            <w:tcW w:w="11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117,269</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171,512</w:t>
            </w:r>
          </w:p>
        </w:tc>
      </w:tr>
      <w:tr>
        <w:trPr>
          <w:trHeight w:val="166"/>
        </w:trPr>
        <w:tc>
          <w:tcPr>
            <w:tcW w:w="54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Investments in marketable debt securities  . . . .</w:t>
            </w:r>
          </w:p>
        </w:tc>
        <w:tc>
          <w:tcPr>
            <w:tcW w:w="3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24,570</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258,412</w:t>
            </w:r>
          </w:p>
        </w:tc>
      </w:tr>
      <w:tr>
        <w:trPr>
          <w:trHeight w:val="166"/>
        </w:trPr>
        <w:tc>
          <w:tcPr>
            <w:tcW w:w="4340" w:type="dxa"/>
            <w:vAlign w:val="bottom"/>
          </w:tcPr>
          <w:p>
            <w:pPr>
              <w:ind w:left="160"/>
              <w:spacing w:after="0"/>
              <w:rPr>
                <w:sz w:val="20"/>
                <w:szCs w:val="20"/>
                <w:color w:val="auto"/>
              </w:rPr>
            </w:pPr>
            <w:r>
              <w:rPr>
                <w:rFonts w:ascii="Courier New" w:cs="Courier New" w:eastAsia="Courier New" w:hAnsi="Courier New"/>
                <w:sz w:val="14"/>
                <w:szCs w:val="14"/>
                <w:color w:val="auto"/>
              </w:rPr>
              <w:t>Accounts receivable, net   . . . . . . . . . . .</w:t>
            </w:r>
          </w:p>
        </w:tc>
        <w:tc>
          <w:tcPr>
            <w:tcW w:w="11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175,441</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140,518</w:t>
            </w:r>
          </w:p>
        </w:tc>
      </w:tr>
      <w:tr>
        <w:trPr>
          <w:trHeight w:val="166"/>
        </w:trPr>
        <w:tc>
          <w:tcPr>
            <w:tcW w:w="4340" w:type="dxa"/>
            <w:vAlign w:val="bottom"/>
          </w:tcPr>
          <w:p>
            <w:pPr>
              <w:ind w:left="160"/>
              <w:spacing w:after="0"/>
              <w:rPr>
                <w:sz w:val="20"/>
                <w:szCs w:val="20"/>
                <w:color w:val="auto"/>
              </w:rPr>
            </w:pPr>
            <w:r>
              <w:rPr>
                <w:rFonts w:ascii="Courier New" w:cs="Courier New" w:eastAsia="Courier New" w:hAnsi="Courier New"/>
                <w:sz w:val="14"/>
                <w:szCs w:val="14"/>
                <w:color w:val="auto"/>
              </w:rPr>
              <w:t>Inventories  . . . . . . . . . . . . . . . . . .</w:t>
            </w:r>
          </w:p>
        </w:tc>
        <w:tc>
          <w:tcPr>
            <w:tcW w:w="11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20,378</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16,419</w:t>
            </w:r>
          </w:p>
        </w:tc>
      </w:tr>
      <w:tr>
        <w:trPr>
          <w:trHeight w:val="166"/>
        </w:trPr>
        <w:tc>
          <w:tcPr>
            <w:tcW w:w="4340" w:type="dxa"/>
            <w:vAlign w:val="bottom"/>
          </w:tcPr>
          <w:p>
            <w:pPr>
              <w:ind w:left="160"/>
              <w:spacing w:after="0"/>
              <w:rPr>
                <w:sz w:val="20"/>
                <w:szCs w:val="20"/>
                <w:color w:val="auto"/>
              </w:rPr>
            </w:pPr>
            <w:r>
              <w:rPr>
                <w:rFonts w:ascii="Courier New" w:cs="Courier New" w:eastAsia="Courier New" w:hAnsi="Courier New"/>
                <w:sz w:val="14"/>
                <w:szCs w:val="14"/>
                <w:color w:val="auto"/>
              </w:rPr>
              <w:t>Program rights   . . . . . . . . . . . . . . . .</w:t>
            </w:r>
          </w:p>
        </w:tc>
        <w:tc>
          <w:tcPr>
            <w:tcW w:w="11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18,972</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15,460</w:t>
            </w:r>
          </w:p>
        </w:tc>
      </w:tr>
      <w:tr>
        <w:trPr>
          <w:trHeight w:val="166"/>
        </w:trPr>
        <w:tc>
          <w:tcPr>
            <w:tcW w:w="4340" w:type="dxa"/>
            <w:vAlign w:val="bottom"/>
          </w:tcPr>
          <w:p>
            <w:pPr>
              <w:ind w:left="160"/>
              <w:spacing w:after="0"/>
              <w:rPr>
                <w:sz w:val="20"/>
                <w:szCs w:val="20"/>
                <w:color w:val="auto"/>
              </w:rPr>
            </w:pPr>
            <w:r>
              <w:rPr>
                <w:rFonts w:ascii="Courier New" w:cs="Courier New" w:eastAsia="Courier New" w:hAnsi="Courier New"/>
                <w:sz w:val="14"/>
                <w:szCs w:val="14"/>
                <w:color w:val="auto"/>
              </w:rPr>
              <w:t>Other current assets   . . . . . . . . . . . . .</w:t>
            </w:r>
          </w:p>
        </w:tc>
        <w:tc>
          <w:tcPr>
            <w:tcW w:w="11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19,249</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23,253</w:t>
            </w:r>
          </w:p>
        </w:tc>
      </w:tr>
      <w:tr>
        <w:trPr>
          <w:trHeight w:val="166"/>
        </w:trPr>
        <w:tc>
          <w:tcPr>
            <w:tcW w:w="4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375,879</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625,574</w:t>
            </w:r>
          </w:p>
        </w:tc>
      </w:tr>
      <w:tr>
        <w:trPr>
          <w:trHeight w:val="331"/>
        </w:trPr>
        <w:tc>
          <w:tcPr>
            <w:tcW w:w="4340" w:type="dxa"/>
            <w:vAlign w:val="bottom"/>
          </w:tcPr>
          <w:p>
            <w:pPr>
              <w:spacing w:after="0"/>
              <w:rPr>
                <w:sz w:val="20"/>
                <w:szCs w:val="20"/>
                <w:color w:val="auto"/>
              </w:rPr>
            </w:pPr>
            <w:r>
              <w:rPr>
                <w:rFonts w:ascii="Courier New" w:cs="Courier New" w:eastAsia="Courier New" w:hAnsi="Courier New"/>
                <w:sz w:val="14"/>
                <w:szCs w:val="14"/>
                <w:color w:val="auto"/>
              </w:rPr>
              <w:t>INVESTMENTS IN AFFILIATES  . . . . . . . . . . . .</w:t>
            </w:r>
          </w:p>
        </w:tc>
        <w:tc>
          <w:tcPr>
            <w:tcW w:w="11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170,754</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155,251</w:t>
            </w:r>
          </w:p>
        </w:tc>
      </w:tr>
      <w:tr>
        <w:trPr>
          <w:trHeight w:val="331"/>
        </w:trPr>
        <w:tc>
          <w:tcPr>
            <w:tcW w:w="434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4340" w:type="dxa"/>
            <w:vAlign w:val="bottom"/>
          </w:tcPr>
          <w:p>
            <w:pPr>
              <w:ind w:left="160"/>
              <w:spacing w:after="0"/>
              <w:rPr>
                <w:sz w:val="20"/>
                <w:szCs w:val="20"/>
                <w:color w:val="auto"/>
              </w:rPr>
            </w:pPr>
            <w:r>
              <w:rPr>
                <w:rFonts w:ascii="Courier New" w:cs="Courier New" w:eastAsia="Courier New" w:hAnsi="Courier New"/>
                <w:sz w:val="14"/>
                <w:szCs w:val="14"/>
                <w:color w:val="auto"/>
              </w:rPr>
              <w:t>Buildings  . . . . . . . . . . . . . . . . . . .</w:t>
            </w:r>
          </w:p>
        </w:tc>
        <w:tc>
          <w:tcPr>
            <w:tcW w:w="11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185,193</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166,433</w:t>
            </w:r>
          </w:p>
        </w:tc>
      </w:tr>
      <w:tr>
        <w:trPr>
          <w:trHeight w:val="166"/>
        </w:trPr>
        <w:tc>
          <w:tcPr>
            <w:tcW w:w="4340" w:type="dxa"/>
            <w:vAlign w:val="bottom"/>
          </w:tcPr>
          <w:p>
            <w:pPr>
              <w:ind w:left="160"/>
              <w:spacing w:after="0"/>
              <w:rPr>
                <w:sz w:val="20"/>
                <w:szCs w:val="20"/>
                <w:color w:val="auto"/>
              </w:rPr>
            </w:pPr>
            <w:r>
              <w:rPr>
                <w:rFonts w:ascii="Courier New" w:cs="Courier New" w:eastAsia="Courier New" w:hAnsi="Courier New"/>
                <w:sz w:val="14"/>
                <w:szCs w:val="14"/>
                <w:color w:val="auto"/>
              </w:rPr>
              <w:t>Machinery, equipment, and fixtures   . . . . . .</w:t>
            </w:r>
          </w:p>
        </w:tc>
        <w:tc>
          <w:tcPr>
            <w:tcW w:w="11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629,043</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579,423</w:t>
            </w:r>
          </w:p>
        </w:tc>
      </w:tr>
      <w:tr>
        <w:trPr>
          <w:trHeight w:val="166"/>
        </w:trPr>
        <w:tc>
          <w:tcPr>
            <w:tcW w:w="4340" w:type="dxa"/>
            <w:vAlign w:val="bottom"/>
          </w:tcPr>
          <w:p>
            <w:pPr>
              <w:ind w:left="160"/>
              <w:spacing w:after="0"/>
              <w:rPr>
                <w:sz w:val="20"/>
                <w:szCs w:val="20"/>
                <w:color w:val="auto"/>
              </w:rPr>
            </w:pPr>
            <w:r>
              <w:rPr>
                <w:rFonts w:ascii="Courier New" w:cs="Courier New" w:eastAsia="Courier New" w:hAnsi="Courier New"/>
                <w:sz w:val="14"/>
                <w:szCs w:val="14"/>
                <w:color w:val="auto"/>
              </w:rPr>
              <w:t>Leasehold improvements   . . . . . . . . . . . .</w:t>
            </w:r>
          </w:p>
        </w:tc>
        <w:tc>
          <w:tcPr>
            <w:tcW w:w="11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33,287</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29,287</w:t>
            </w:r>
          </w:p>
        </w:tc>
      </w:tr>
      <w:tr>
        <w:trPr>
          <w:trHeight w:val="166"/>
        </w:trPr>
        <w:tc>
          <w:tcPr>
            <w:tcW w:w="4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847,523</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775,143</w:t>
            </w:r>
          </w:p>
        </w:tc>
      </w:tr>
      <w:tr>
        <w:trPr>
          <w:trHeight w:val="166"/>
        </w:trPr>
        <w:tc>
          <w:tcPr>
            <w:tcW w:w="4340" w:type="dxa"/>
            <w:vAlign w:val="bottom"/>
          </w:tcPr>
          <w:p>
            <w:pPr>
              <w:ind w:left="160"/>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11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(499,172)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(469,359)</w:t>
            </w:r>
          </w:p>
        </w:tc>
      </w:tr>
      <w:tr>
        <w:trPr>
          <w:trHeight w:val="166"/>
        </w:trPr>
        <w:tc>
          <w:tcPr>
            <w:tcW w:w="4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348,351</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305,784</w:t>
            </w:r>
          </w:p>
        </w:tc>
      </w:tr>
      <w:tr>
        <w:trPr>
          <w:trHeight w:val="166"/>
        </w:trPr>
        <w:tc>
          <w:tcPr>
            <w:tcW w:w="4340" w:type="dxa"/>
            <w:vAlign w:val="bottom"/>
          </w:tcPr>
          <w:p>
            <w:pPr>
              <w:ind w:left="160"/>
              <w:spacing w:after="0"/>
              <w:rPr>
                <w:sz w:val="20"/>
                <w:szCs w:val="20"/>
                <w:color w:val="auto"/>
              </w:rPr>
            </w:pPr>
            <w:r>
              <w:rPr>
                <w:rFonts w:ascii="Courier New" w:cs="Courier New" w:eastAsia="Courier New" w:hAnsi="Courier New"/>
                <w:sz w:val="14"/>
                <w:szCs w:val="14"/>
                <w:color w:val="auto"/>
              </w:rPr>
              <w:t>Land   . . . . . . . . . . . . . . . . . . . . .</w:t>
            </w:r>
          </w:p>
        </w:tc>
        <w:tc>
          <w:tcPr>
            <w:tcW w:w="11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32,562</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28,799</w:t>
            </w:r>
          </w:p>
        </w:tc>
      </w:tr>
      <w:tr>
        <w:trPr>
          <w:trHeight w:val="166"/>
        </w:trPr>
        <w:tc>
          <w:tcPr>
            <w:tcW w:w="4340" w:type="dxa"/>
            <w:vAlign w:val="bottom"/>
          </w:tcPr>
          <w:p>
            <w:pPr>
              <w:ind w:left="160"/>
              <w:spacing w:after="0"/>
              <w:rPr>
                <w:sz w:val="20"/>
                <w:szCs w:val="20"/>
                <w:color w:val="auto"/>
              </w:rPr>
            </w:pPr>
            <w:r>
              <w:rPr>
                <w:rFonts w:ascii="Courier New" w:cs="Courier New" w:eastAsia="Courier New" w:hAnsi="Courier New"/>
                <w:sz w:val="14"/>
                <w:szCs w:val="14"/>
                <w:color w:val="auto"/>
              </w:rPr>
              <w:t>Construction in progress   . . . . . . . . . . .</w:t>
            </w:r>
          </w:p>
        </w:tc>
        <w:tc>
          <w:tcPr>
            <w:tcW w:w="11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30,483</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29,135</w:t>
            </w:r>
          </w:p>
        </w:tc>
      </w:tr>
      <w:tr>
        <w:trPr>
          <w:trHeight w:val="166"/>
        </w:trPr>
        <w:tc>
          <w:tcPr>
            <w:tcW w:w="4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411,396</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363,718</w:t>
            </w:r>
          </w:p>
        </w:tc>
      </w:tr>
      <w:tr>
        <w:trPr>
          <w:trHeight w:val="166"/>
        </w:trPr>
        <w:tc>
          <w:tcPr>
            <w:tcW w:w="5460" w:type="dxa"/>
            <w:vAlign w:val="bottom"/>
            <w:gridSpan w:val="2"/>
          </w:tcPr>
          <w:p>
            <w:pPr>
              <w:spacing w:after="0"/>
              <w:rPr>
                <w:sz w:val="20"/>
                <w:szCs w:val="20"/>
                <w:color w:val="auto"/>
              </w:rPr>
            </w:pPr>
            <w:r>
              <w:rPr>
                <w:rFonts w:ascii="Courier New" w:cs="Courier New" w:eastAsia="Courier New" w:hAnsi="Courier New"/>
                <w:sz w:val="14"/>
                <w:szCs w:val="14"/>
                <w:color w:val="auto"/>
              </w:rPr>
              <w:t>GOODWILL AND OTHER INTANGIBLES, LESS ACCUMULATED AMORTIZATION</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4340" w:type="dxa"/>
            <w:vAlign w:val="bottom"/>
          </w:tcPr>
          <w:p>
            <w:pPr>
              <w:ind w:left="160"/>
              <w:spacing w:after="0"/>
              <w:rPr>
                <w:sz w:val="20"/>
                <w:szCs w:val="20"/>
                <w:color w:val="auto"/>
              </w:rPr>
            </w:pPr>
            <w:r>
              <w:rPr>
                <w:rFonts w:ascii="Courier New" w:cs="Courier New" w:eastAsia="Courier New" w:hAnsi="Courier New"/>
                <w:sz w:val="14"/>
                <w:szCs w:val="14"/>
                <w:color w:val="auto"/>
              </w:rPr>
              <w:t>OF $155,161 AND $129,768   . . . . . . . . . . .</w:t>
            </w:r>
          </w:p>
        </w:tc>
        <w:tc>
          <w:tcPr>
            <w:tcW w:w="11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512,405</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309,157</w:t>
            </w:r>
          </w:p>
        </w:tc>
      </w:tr>
      <w:tr>
        <w:trPr>
          <w:trHeight w:val="166"/>
        </w:trPr>
        <w:tc>
          <w:tcPr>
            <w:tcW w:w="4340" w:type="dxa"/>
            <w:vAlign w:val="bottom"/>
          </w:tcPr>
          <w:p>
            <w:pPr>
              <w:spacing w:after="0"/>
              <w:rPr>
                <w:sz w:val="20"/>
                <w:szCs w:val="20"/>
                <w:color w:val="auto"/>
              </w:rPr>
            </w:pPr>
            <w:r>
              <w:rPr>
                <w:rFonts w:ascii="Courier New" w:cs="Courier New" w:eastAsia="Courier New" w:hAnsi="Courier New"/>
                <w:sz w:val="14"/>
                <w:szCs w:val="14"/>
                <w:color w:val="auto"/>
              </w:rPr>
              <w:t>DEFERRED CHARGES AND OTHER ASSETS  . . . . . . . .</w:t>
            </w:r>
          </w:p>
        </w:tc>
        <w:tc>
          <w:tcPr>
            <w:tcW w:w="11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226,434</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168,804</w:t>
            </w:r>
          </w:p>
        </w:tc>
      </w:tr>
      <w:tr>
        <w:trPr>
          <w:trHeight w:val="166"/>
        </w:trPr>
        <w:tc>
          <w:tcPr>
            <w:tcW w:w="4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1,696,868</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$1,622,504</w:t>
            </w:r>
          </w:p>
        </w:tc>
      </w:tr>
      <w:tr>
        <w:trPr>
          <w:trHeight w:val="166"/>
        </w:trPr>
        <w:tc>
          <w:tcPr>
            <w:tcW w:w="4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right="3699"/>
        <w:spacing w:after="0" w:line="255" w:lineRule="auto"/>
        <w:rPr>
          <w:sz w:val="20"/>
          <w:szCs w:val="20"/>
          <w:color w:val="auto"/>
        </w:rPr>
      </w:pPr>
      <w:r>
        <w:rPr>
          <w:rFonts w:ascii="Courier New" w:cs="Courier New" w:eastAsia="Courier New" w:hAnsi="Courier New"/>
          <w:sz w:val="14"/>
          <w:szCs w:val="14"/>
          <w:color w:val="auto"/>
        </w:rPr>
        <w:t>The information on pages 29 through 38 is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159"/>
          </w:cols>
          <w:pgMar w:left="300" w:top="285"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4"/>
          <w:szCs w:val="14"/>
          <w:color w:val="auto"/>
        </w:rPr>
        <w:t>27</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CONSOLIDATED BALANCE SHEETS</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January</w:t>
            </w:r>
          </w:p>
        </w:tc>
        <w:tc>
          <w:tcPr>
            <w:tcW w:w="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w:t>
            </w:r>
          </w:p>
        </w:tc>
        <w:tc>
          <w:tcPr>
            <w:tcW w:w="1340" w:type="dxa"/>
            <w:vAlign w:val="bottom"/>
          </w:tcPr>
          <w:p>
            <w:pPr>
              <w:jc w:val="center"/>
              <w:ind w:left="408"/>
              <w:spacing w:after="0"/>
              <w:rPr>
                <w:sz w:val="20"/>
                <w:szCs w:val="20"/>
                <w:color w:val="auto"/>
              </w:rPr>
            </w:pPr>
            <w:r>
              <w:rPr>
                <w:rFonts w:ascii="Courier New" w:cs="Courier New" w:eastAsia="Courier New" w:hAnsi="Courier New"/>
                <w:sz w:val="14"/>
                <w:szCs w:val="14"/>
                <w:color w:val="auto"/>
              </w:rPr>
              <w:t>January 2,</w:t>
            </w:r>
          </w:p>
        </w:tc>
      </w:tr>
      <w:tr>
        <w:trPr>
          <w:trHeight w:val="166"/>
        </w:trPr>
        <w:tc>
          <w:tcPr>
            <w:tcW w:w="4900" w:type="dxa"/>
            <w:vAlign w:val="bottom"/>
          </w:tcPr>
          <w:p>
            <w:pPr>
              <w:spacing w:after="0"/>
              <w:rPr>
                <w:sz w:val="20"/>
                <w:szCs w:val="20"/>
                <w:color w:val="auto"/>
              </w:rPr>
            </w:pPr>
            <w:r>
              <w:rPr>
                <w:rFonts w:ascii="Courier New" w:cs="Courier New" w:eastAsia="Courier New" w:hAnsi="Courier New"/>
                <w:sz w:val="14"/>
                <w:szCs w:val="14"/>
                <w:color w:val="auto"/>
              </w:rPr>
              <w:t>(in thousands, except share amounts)</w:t>
            </w:r>
          </w:p>
        </w:tc>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c>
          <w:tcPr>
            <w:tcW w:w="68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610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1"/>
        </w:trPr>
        <w:tc>
          <w:tcPr>
            <w:tcW w:w="610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6100" w:type="dxa"/>
            <w:vAlign w:val="bottom"/>
          </w:tcPr>
          <w:p>
            <w:pPr>
              <w:ind w:left="160"/>
              <w:spacing w:after="0"/>
              <w:rPr>
                <w:sz w:val="20"/>
                <w:szCs w:val="20"/>
                <w:color w:val="auto"/>
              </w:rPr>
            </w:pPr>
            <w:r>
              <w:rPr>
                <w:rFonts w:ascii="Courier New" w:cs="Courier New" w:eastAsia="Courier New" w:hAnsi="Courier New"/>
                <w:sz w:val="14"/>
                <w:szCs w:val="14"/>
                <w:color w:val="auto"/>
              </w:rPr>
              <w:t>Accounts payable and accrued liabilities . . . . . . . . . . .</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186,129</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163,553</w:t>
            </w:r>
          </w:p>
        </w:tc>
      </w:tr>
      <w:tr>
        <w:trPr>
          <w:trHeight w:val="166"/>
        </w:trPr>
        <w:tc>
          <w:tcPr>
            <w:tcW w:w="6100" w:type="dxa"/>
            <w:vAlign w:val="bottom"/>
          </w:tcPr>
          <w:p>
            <w:pPr>
              <w:ind w:left="160"/>
              <w:spacing w:after="0"/>
              <w:rPr>
                <w:sz w:val="20"/>
                <w:szCs w:val="20"/>
                <w:color w:val="auto"/>
              </w:rPr>
            </w:pPr>
            <w:r>
              <w:rPr>
                <w:rFonts w:ascii="Courier New" w:cs="Courier New" w:eastAsia="Courier New" w:hAnsi="Courier New"/>
                <w:sz w:val="14"/>
                <w:szCs w:val="14"/>
                <w:color w:val="auto"/>
              </w:rPr>
              <w:t>Federal and state income taxes . . . . . . . . . . . . . . . .</w:t>
            </w:r>
          </w:p>
        </w:tc>
        <w:tc>
          <w:tcPr>
            <w:tcW w:w="700" w:type="dxa"/>
            <w:vAlign w:val="bottom"/>
          </w:tcPr>
          <w:p>
            <w:pPr>
              <w:spacing w:after="0"/>
              <w:rPr>
                <w:sz w:val="14"/>
                <w:szCs w:val="14"/>
                <w:color w:val="auto"/>
              </w:rPr>
            </w:pP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6,593</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15,726</w:t>
            </w:r>
          </w:p>
        </w:tc>
      </w:tr>
      <w:tr>
        <w:trPr>
          <w:trHeight w:val="166"/>
        </w:trPr>
        <w:tc>
          <w:tcPr>
            <w:tcW w:w="6100" w:type="dxa"/>
            <w:vAlign w:val="bottom"/>
          </w:tcPr>
          <w:p>
            <w:pPr>
              <w:ind w:left="160"/>
              <w:spacing w:after="0"/>
              <w:rPr>
                <w:sz w:val="20"/>
                <w:szCs w:val="20"/>
                <w:color w:val="auto"/>
              </w:rPr>
            </w:pPr>
            <w:r>
              <w:rPr>
                <w:rFonts w:ascii="Courier New" w:cs="Courier New" w:eastAsia="Courier New" w:hAnsi="Courier New"/>
                <w:sz w:val="14"/>
                <w:szCs w:val="14"/>
                <w:color w:val="auto"/>
              </w:rPr>
              <w:t>Deferred subscription revenue  . . . . . . . . . . . . . . . .</w:t>
            </w:r>
          </w:p>
        </w:tc>
        <w:tc>
          <w:tcPr>
            <w:tcW w:w="700" w:type="dxa"/>
            <w:vAlign w:val="bottom"/>
          </w:tcPr>
          <w:p>
            <w:pPr>
              <w:spacing w:after="0"/>
              <w:rPr>
                <w:sz w:val="14"/>
                <w:szCs w:val="14"/>
                <w:color w:val="auto"/>
              </w:rPr>
            </w:pP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80,351</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79,254</w:t>
            </w:r>
          </w:p>
        </w:tc>
      </w:tr>
      <w:tr>
        <w:trPr>
          <w:trHeight w:val="166"/>
        </w:trPr>
        <w:tc>
          <w:tcPr>
            <w:tcW w:w="6100" w:type="dxa"/>
            <w:vAlign w:val="bottom"/>
          </w:tcPr>
          <w:p>
            <w:pPr>
              <w:spacing w:after="0"/>
              <w:rPr>
                <w:sz w:val="14"/>
                <w:szCs w:val="14"/>
                <w:color w:val="auto"/>
              </w:rPr>
            </w:pPr>
          </w:p>
        </w:tc>
        <w:tc>
          <w:tcPr>
            <w:tcW w:w="198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273,073</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258,533</w:t>
            </w:r>
          </w:p>
        </w:tc>
      </w:tr>
      <w:tr>
        <w:trPr>
          <w:trHeight w:val="331"/>
        </w:trPr>
        <w:tc>
          <w:tcPr>
            <w:tcW w:w="6100" w:type="dxa"/>
            <w:vAlign w:val="bottom"/>
          </w:tcPr>
          <w:p>
            <w:pPr>
              <w:spacing w:after="0"/>
              <w:rPr>
                <w:sz w:val="20"/>
                <w:szCs w:val="20"/>
                <w:color w:val="auto"/>
              </w:rPr>
            </w:pPr>
            <w:r>
              <w:rPr>
                <w:rFonts w:ascii="Courier New" w:cs="Courier New" w:eastAsia="Courier New" w:hAnsi="Courier New"/>
                <w:sz w:val="14"/>
                <w:szCs w:val="14"/>
                <w:color w:val="auto"/>
              </w:rPr>
              <w:t>OTHER LIABILITIES  . . . . . . . . . . . . . . . . . . . . . . .</w:t>
            </w:r>
          </w:p>
        </w:tc>
        <w:tc>
          <w:tcPr>
            <w:tcW w:w="700" w:type="dxa"/>
            <w:vAlign w:val="bottom"/>
          </w:tcPr>
          <w:p>
            <w:pPr>
              <w:spacing w:after="0"/>
              <w:rPr>
                <w:sz w:val="24"/>
                <w:szCs w:val="24"/>
                <w:color w:val="auto"/>
              </w:rPr>
            </w:pP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217,461</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191,088</w:t>
            </w:r>
          </w:p>
        </w:tc>
      </w:tr>
      <w:tr>
        <w:trPr>
          <w:trHeight w:val="331"/>
        </w:trPr>
        <w:tc>
          <w:tcPr>
            <w:tcW w:w="6100" w:type="dxa"/>
            <w:vAlign w:val="bottom"/>
          </w:tcPr>
          <w:p>
            <w:pPr>
              <w:spacing w:after="0"/>
              <w:rPr>
                <w:sz w:val="20"/>
                <w:szCs w:val="20"/>
                <w:color w:val="auto"/>
              </w:rPr>
            </w:pPr>
            <w:r>
              <w:rPr>
                <w:rFonts w:ascii="Courier New" w:cs="Courier New" w:eastAsia="Courier New" w:hAnsi="Courier New"/>
                <w:sz w:val="14"/>
                <w:szCs w:val="14"/>
                <w:color w:val="auto"/>
              </w:rPr>
              <w:t>LONG-TERM DEBT   . . . . . . . . . . . . . . . . . . . . . . . .</w:t>
            </w:r>
          </w:p>
        </w:tc>
        <w:tc>
          <w:tcPr>
            <w:tcW w:w="700" w:type="dxa"/>
            <w:vAlign w:val="bottom"/>
          </w:tcPr>
          <w:p>
            <w:pPr>
              <w:spacing w:after="0"/>
              <w:rPr>
                <w:sz w:val="24"/>
                <w:szCs w:val="24"/>
                <w:color w:val="auto"/>
              </w:rPr>
            </w:pP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50,297</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51,768</w:t>
            </w:r>
          </w:p>
        </w:tc>
      </w:tr>
      <w:tr>
        <w:trPr>
          <w:trHeight w:val="331"/>
        </w:trPr>
        <w:tc>
          <w:tcPr>
            <w:tcW w:w="6100" w:type="dxa"/>
            <w:vAlign w:val="bottom"/>
          </w:tcPr>
          <w:p>
            <w:pPr>
              <w:spacing w:after="0"/>
              <w:rPr>
                <w:sz w:val="20"/>
                <w:szCs w:val="20"/>
                <w:color w:val="auto"/>
              </w:rPr>
            </w:pPr>
            <w:r>
              <w:rPr>
                <w:rFonts w:ascii="Courier New" w:cs="Courier New" w:eastAsia="Courier New" w:hAnsi="Courier New"/>
                <w:sz w:val="14"/>
                <w:szCs w:val="14"/>
                <w:color w:val="auto"/>
              </w:rPr>
              <w:t>DEFERRED INCOME TAXES  . . . . . . . . . . . . . . . . . . . . .</w:t>
            </w:r>
          </w:p>
        </w:tc>
        <w:tc>
          <w:tcPr>
            <w:tcW w:w="700" w:type="dxa"/>
            <w:vAlign w:val="bottom"/>
          </w:tcPr>
          <w:p>
            <w:pPr>
              <w:spacing w:after="0"/>
              <w:rPr>
                <w:sz w:val="24"/>
                <w:szCs w:val="24"/>
                <w:color w:val="auto"/>
              </w:rPr>
            </w:pP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29,104</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33,696</w:t>
            </w:r>
          </w:p>
        </w:tc>
      </w:tr>
      <w:tr>
        <w:trPr>
          <w:trHeight w:val="166"/>
        </w:trPr>
        <w:tc>
          <w:tcPr>
            <w:tcW w:w="6100" w:type="dxa"/>
            <w:vAlign w:val="bottom"/>
          </w:tcPr>
          <w:p>
            <w:pPr>
              <w:spacing w:after="0"/>
              <w:rPr>
                <w:sz w:val="14"/>
                <w:szCs w:val="14"/>
                <w:color w:val="auto"/>
              </w:rPr>
            </w:pPr>
          </w:p>
        </w:tc>
        <w:tc>
          <w:tcPr>
            <w:tcW w:w="198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569,935</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535,085</w:t>
            </w:r>
          </w:p>
        </w:tc>
      </w:tr>
      <w:tr>
        <w:trPr>
          <w:trHeight w:val="166"/>
        </w:trPr>
        <w:tc>
          <w:tcPr>
            <w:tcW w:w="6100" w:type="dxa"/>
            <w:vAlign w:val="bottom"/>
          </w:tcPr>
          <w:p>
            <w:pPr>
              <w:spacing w:after="0"/>
              <w:rPr>
                <w:sz w:val="14"/>
                <w:szCs w:val="14"/>
                <w:color w:val="auto"/>
              </w:rPr>
            </w:pPr>
          </w:p>
        </w:tc>
        <w:tc>
          <w:tcPr>
            <w:tcW w:w="198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10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6100" w:type="dxa"/>
            <w:vAlign w:val="bottom"/>
          </w:tcPr>
          <w:p>
            <w:pPr>
              <w:ind w:left="160"/>
              <w:spacing w:after="0"/>
              <w:rPr>
                <w:sz w:val="20"/>
                <w:szCs w:val="20"/>
                <w:color w:val="auto"/>
              </w:rPr>
            </w:pPr>
            <w:r>
              <w:rPr>
                <w:rFonts w:ascii="Courier New" w:cs="Courier New" w:eastAsia="Courier New" w:hAnsi="Courier New"/>
                <w:sz w:val="14"/>
                <w:szCs w:val="14"/>
                <w:color w:val="auto"/>
              </w:rPr>
              <w:t>Preferred stock, $1 par value, 1,000,000 shares authorized . .</w:t>
            </w:r>
          </w:p>
        </w:tc>
        <w:tc>
          <w:tcPr>
            <w:tcW w:w="700" w:type="dxa"/>
            <w:vAlign w:val="bottom"/>
          </w:tcPr>
          <w:p>
            <w:pPr>
              <w:spacing w:after="0"/>
              <w:rPr>
                <w:sz w:val="14"/>
                <w:szCs w:val="14"/>
                <w:color w:val="auto"/>
              </w:rPr>
            </w:pP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100" w:type="dxa"/>
            <w:vAlign w:val="bottom"/>
          </w:tcPr>
          <w:p>
            <w:pPr>
              <w:ind w:left="160"/>
              <w:spacing w:after="0"/>
              <w:rPr>
                <w:sz w:val="20"/>
                <w:szCs w:val="20"/>
                <w:color w:val="auto"/>
              </w:rPr>
            </w:pPr>
            <w:r>
              <w:rPr>
                <w:rFonts w:ascii="Courier New" w:cs="Courier New" w:eastAsia="Courier New" w:hAnsi="Courier New"/>
                <w:sz w:val="14"/>
                <w:szCs w:val="14"/>
                <w:color w:val="auto"/>
              </w:rPr>
              <w:t>Common stock</w:t>
            </w: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100" w:type="dxa"/>
            <w:vAlign w:val="bottom"/>
          </w:tcPr>
          <w:p>
            <w:pPr>
              <w:ind w:left="340"/>
              <w:spacing w:after="0"/>
              <w:rPr>
                <w:sz w:val="20"/>
                <w:szCs w:val="20"/>
                <w:color w:val="auto"/>
              </w:rPr>
            </w:pPr>
            <w:r>
              <w:rPr>
                <w:rFonts w:ascii="Courier New" w:cs="Courier New" w:eastAsia="Courier New" w:hAnsi="Courier New"/>
                <w:sz w:val="14"/>
                <w:szCs w:val="14"/>
                <w:color w:val="auto"/>
              </w:rPr>
              <w:t>Class A common stock, $1 par value, 7,000,000 shares</w:t>
            </w: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100" w:type="dxa"/>
            <w:vAlign w:val="bottom"/>
          </w:tcPr>
          <w:p>
            <w:pPr>
              <w:ind w:left="520"/>
              <w:spacing w:after="0"/>
              <w:rPr>
                <w:sz w:val="20"/>
                <w:szCs w:val="20"/>
                <w:color w:val="auto"/>
              </w:rPr>
            </w:pPr>
            <w:r>
              <w:rPr>
                <w:rFonts w:ascii="Courier New" w:cs="Courier New" w:eastAsia="Courier New" w:hAnsi="Courier New"/>
                <w:sz w:val="14"/>
                <w:szCs w:val="14"/>
                <w:color w:val="auto"/>
              </w:rPr>
              <w:t>authorized; 1,843,250 shares issued and outstanding  . . .</w:t>
            </w:r>
          </w:p>
        </w:tc>
        <w:tc>
          <w:tcPr>
            <w:tcW w:w="700" w:type="dxa"/>
            <w:vAlign w:val="bottom"/>
          </w:tcPr>
          <w:p>
            <w:pPr>
              <w:spacing w:after="0"/>
              <w:rPr>
                <w:sz w:val="14"/>
                <w:szCs w:val="14"/>
                <w:color w:val="auto"/>
              </w:rPr>
            </w:pP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1,843</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1,843</w:t>
            </w:r>
          </w:p>
        </w:tc>
      </w:tr>
      <w:tr>
        <w:trPr>
          <w:trHeight w:val="166"/>
        </w:trPr>
        <w:tc>
          <w:tcPr>
            <w:tcW w:w="6100" w:type="dxa"/>
            <w:vAlign w:val="bottom"/>
          </w:tcPr>
          <w:p>
            <w:pPr>
              <w:ind w:left="340"/>
              <w:spacing w:after="0"/>
              <w:rPr>
                <w:sz w:val="20"/>
                <w:szCs w:val="20"/>
                <w:color w:val="auto"/>
              </w:rPr>
            </w:pPr>
            <w:r>
              <w:rPr>
                <w:rFonts w:ascii="Courier New" w:cs="Courier New" w:eastAsia="Courier New" w:hAnsi="Courier New"/>
                <w:sz w:val="14"/>
                <w:szCs w:val="14"/>
                <w:color w:val="auto"/>
              </w:rPr>
              <w:t>Class B common stock, $1 par value, 40,000,000 shares</w:t>
            </w: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100" w:type="dxa"/>
            <w:vAlign w:val="bottom"/>
          </w:tcPr>
          <w:p>
            <w:pPr>
              <w:ind w:left="520"/>
              <w:spacing w:after="0"/>
              <w:rPr>
                <w:sz w:val="20"/>
                <w:szCs w:val="20"/>
                <w:color w:val="auto"/>
              </w:rPr>
            </w:pPr>
            <w:r>
              <w:rPr>
                <w:rFonts w:ascii="Courier New" w:cs="Courier New" w:eastAsia="Courier New" w:hAnsi="Courier New"/>
                <w:sz w:val="14"/>
                <w:szCs w:val="14"/>
                <w:color w:val="auto"/>
              </w:rPr>
              <w:t>authorized; 18,156,750 shares issued; 9,502,684 and</w:t>
            </w: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100" w:type="dxa"/>
            <w:vAlign w:val="bottom"/>
          </w:tcPr>
          <w:p>
            <w:pPr>
              <w:ind w:left="520"/>
              <w:spacing w:after="0"/>
              <w:rPr>
                <w:sz w:val="20"/>
                <w:szCs w:val="20"/>
                <w:color w:val="auto"/>
              </w:rPr>
            </w:pPr>
            <w:r>
              <w:rPr>
                <w:rFonts w:ascii="Courier New" w:cs="Courier New" w:eastAsia="Courier New" w:hAnsi="Courier New"/>
                <w:sz w:val="14"/>
                <w:szCs w:val="14"/>
                <w:color w:val="auto"/>
              </w:rPr>
              <w:t>9,870,115 shares outstanding . . . . . . . . . . . . . . .</w:t>
            </w:r>
          </w:p>
        </w:tc>
        <w:tc>
          <w:tcPr>
            <w:tcW w:w="700" w:type="dxa"/>
            <w:vAlign w:val="bottom"/>
          </w:tcPr>
          <w:p>
            <w:pPr>
              <w:spacing w:after="0"/>
              <w:rPr>
                <w:sz w:val="14"/>
                <w:szCs w:val="14"/>
                <w:color w:val="auto"/>
              </w:rPr>
            </w:pP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18,157</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18,157</w:t>
            </w:r>
          </w:p>
        </w:tc>
      </w:tr>
      <w:tr>
        <w:trPr>
          <w:trHeight w:val="166"/>
        </w:trPr>
        <w:tc>
          <w:tcPr>
            <w:tcW w:w="6100" w:type="dxa"/>
            <w:vAlign w:val="bottom"/>
          </w:tcPr>
          <w:p>
            <w:pPr>
              <w:ind w:left="160"/>
              <w:spacing w:after="0"/>
              <w:rPr>
                <w:sz w:val="20"/>
                <w:szCs w:val="20"/>
                <w:color w:val="auto"/>
              </w:rPr>
            </w:pPr>
            <w:r>
              <w:rPr>
                <w:rFonts w:ascii="Courier New" w:cs="Courier New" w:eastAsia="Courier New" w:hAnsi="Courier New"/>
                <w:sz w:val="14"/>
                <w:szCs w:val="14"/>
                <w:color w:val="auto"/>
              </w:rPr>
              <w:t>Capital in excess of par value . . . . . . . . . . . . . . . .</w:t>
            </w:r>
          </w:p>
        </w:tc>
        <w:tc>
          <w:tcPr>
            <w:tcW w:w="700" w:type="dxa"/>
            <w:vAlign w:val="bottom"/>
          </w:tcPr>
          <w:p>
            <w:pPr>
              <w:spacing w:after="0"/>
              <w:rPr>
                <w:sz w:val="14"/>
                <w:szCs w:val="14"/>
                <w:color w:val="auto"/>
              </w:rPr>
            </w:pP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21,273</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21,354</w:t>
            </w:r>
          </w:p>
        </w:tc>
      </w:tr>
      <w:tr>
        <w:trPr>
          <w:trHeight w:val="166"/>
        </w:trPr>
        <w:tc>
          <w:tcPr>
            <w:tcW w:w="6100" w:type="dxa"/>
            <w:vAlign w:val="bottom"/>
          </w:tcPr>
          <w:p>
            <w:pPr>
              <w:ind w:left="160"/>
              <w:spacing w:after="0"/>
              <w:rPr>
                <w:sz w:val="20"/>
                <w:szCs w:val="20"/>
                <w:color w:val="auto"/>
              </w:rPr>
            </w:pPr>
            <w:r>
              <w:rPr>
                <w:rFonts w:ascii="Courier New" w:cs="Courier New" w:eastAsia="Courier New" w:hAnsi="Courier New"/>
                <w:sz w:val="14"/>
                <w:szCs w:val="14"/>
                <w:color w:val="auto"/>
              </w:rPr>
              <w:t>Retained earnings  . . . . . . . . . . . . . . . . . . . . . .</w:t>
            </w:r>
          </w:p>
        </w:tc>
        <w:tc>
          <w:tcPr>
            <w:tcW w:w="700" w:type="dxa"/>
            <w:vAlign w:val="bottom"/>
          </w:tcPr>
          <w:p>
            <w:pPr>
              <w:spacing w:after="0"/>
              <w:rPr>
                <w:sz w:val="14"/>
                <w:szCs w:val="14"/>
                <w:color w:val="auto"/>
              </w:rPr>
            </w:pP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1,691,497</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1,570,546</w:t>
            </w:r>
          </w:p>
        </w:tc>
      </w:tr>
      <w:tr>
        <w:trPr>
          <w:trHeight w:val="166"/>
        </w:trPr>
        <w:tc>
          <w:tcPr>
            <w:tcW w:w="6100" w:type="dxa"/>
            <w:vAlign w:val="bottom"/>
          </w:tcPr>
          <w:p>
            <w:pPr>
              <w:ind w:left="160"/>
              <w:spacing w:after="0"/>
              <w:rPr>
                <w:sz w:val="20"/>
                <w:szCs w:val="20"/>
                <w:color w:val="auto"/>
              </w:rPr>
            </w:pPr>
            <w:r>
              <w:rPr>
                <w:rFonts w:ascii="Courier New" w:cs="Courier New" w:eastAsia="Courier New" w:hAnsi="Courier New"/>
                <w:sz w:val="14"/>
                <w:szCs w:val="14"/>
                <w:color w:val="auto"/>
              </w:rPr>
              <w:t>Cumulative foreign currency translation adjustment . . . . . .</w:t>
            </w:r>
          </w:p>
        </w:tc>
        <w:tc>
          <w:tcPr>
            <w:tcW w:w="700" w:type="dxa"/>
            <w:vAlign w:val="bottom"/>
          </w:tcPr>
          <w:p>
            <w:pPr>
              <w:spacing w:after="0"/>
              <w:rPr>
                <w:sz w:val="14"/>
                <w:szCs w:val="14"/>
                <w:color w:val="auto"/>
              </w:rPr>
            </w:pP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5,328</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2,908</w:t>
            </w:r>
          </w:p>
        </w:tc>
      </w:tr>
      <w:tr>
        <w:trPr>
          <w:trHeight w:val="166"/>
        </w:trPr>
        <w:tc>
          <w:tcPr>
            <w:tcW w:w="6100" w:type="dxa"/>
            <w:vAlign w:val="bottom"/>
          </w:tcPr>
          <w:p>
            <w:pPr>
              <w:ind w:left="160"/>
              <w:spacing w:after="0"/>
              <w:rPr>
                <w:sz w:val="20"/>
                <w:szCs w:val="20"/>
                <w:color w:val="auto"/>
              </w:rPr>
            </w:pPr>
            <w:r>
              <w:rPr>
                <w:rFonts w:ascii="Courier New" w:cs="Courier New" w:eastAsia="Courier New" w:hAnsi="Courier New"/>
                <w:sz w:val="14"/>
                <w:szCs w:val="14"/>
                <w:color w:val="auto"/>
              </w:rPr>
              <w:t>Unrealized gain on available-for-sale securities (net of taxes)</w:t>
            </w:r>
          </w:p>
        </w:tc>
        <w:tc>
          <w:tcPr>
            <w:tcW w:w="700" w:type="dxa"/>
            <w:vAlign w:val="bottom"/>
          </w:tcPr>
          <w:p>
            <w:pPr>
              <w:spacing w:after="0"/>
              <w:rPr>
                <w:sz w:val="14"/>
                <w:szCs w:val="14"/>
                <w:color w:val="auto"/>
              </w:rPr>
            </w:pP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2,933</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100" w:type="dxa"/>
            <w:vAlign w:val="bottom"/>
          </w:tcPr>
          <w:p>
            <w:pPr>
              <w:ind w:left="160"/>
              <w:spacing w:after="0"/>
              <w:rPr>
                <w:sz w:val="20"/>
                <w:szCs w:val="20"/>
                <w:color w:val="auto"/>
              </w:rPr>
            </w:pPr>
            <w:r>
              <w:rPr>
                <w:rFonts w:ascii="Courier New" w:cs="Courier New" w:eastAsia="Courier New" w:hAnsi="Courier New"/>
                <w:sz w:val="14"/>
                <w:szCs w:val="14"/>
                <w:color w:val="auto"/>
              </w:rPr>
              <w:t>Cost of 8,654,066 and 8,286,635 shares of Class B</w:t>
            </w: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100" w:type="dxa"/>
            <w:vAlign w:val="bottom"/>
          </w:tcPr>
          <w:p>
            <w:pPr>
              <w:ind w:left="340"/>
              <w:spacing w:after="0"/>
              <w:rPr>
                <w:sz w:val="20"/>
                <w:szCs w:val="20"/>
                <w:color w:val="auto"/>
              </w:rPr>
            </w:pPr>
            <w:r>
              <w:rPr>
                <w:rFonts w:ascii="Courier New" w:cs="Courier New" w:eastAsia="Courier New" w:hAnsi="Courier New"/>
                <w:sz w:val="14"/>
                <w:szCs w:val="14"/>
                <w:color w:val="auto"/>
              </w:rPr>
              <w:t>common stock held in treasury  . . . . . . . . . . . . . . .</w:t>
            </w:r>
          </w:p>
        </w:tc>
        <w:tc>
          <w:tcPr>
            <w:tcW w:w="700" w:type="dxa"/>
            <w:vAlign w:val="bottom"/>
          </w:tcPr>
          <w:p>
            <w:pPr>
              <w:spacing w:after="0"/>
              <w:rPr>
                <w:sz w:val="14"/>
                <w:szCs w:val="14"/>
                <w:color w:val="auto"/>
              </w:rPr>
            </w:pP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(614,098)</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(527,389)</w:t>
            </w:r>
          </w:p>
        </w:tc>
      </w:tr>
      <w:tr>
        <w:trPr>
          <w:trHeight w:val="166"/>
        </w:trPr>
        <w:tc>
          <w:tcPr>
            <w:tcW w:w="6100" w:type="dxa"/>
            <w:vAlign w:val="bottom"/>
          </w:tcPr>
          <w:p>
            <w:pPr>
              <w:spacing w:after="0"/>
              <w:rPr>
                <w:sz w:val="14"/>
                <w:szCs w:val="14"/>
                <w:color w:val="auto"/>
              </w:rPr>
            </w:pPr>
          </w:p>
        </w:tc>
        <w:tc>
          <w:tcPr>
            <w:tcW w:w="198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1,126,933</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1,087,419</w:t>
            </w:r>
          </w:p>
        </w:tc>
      </w:tr>
      <w:tr>
        <w:trPr>
          <w:trHeight w:val="166"/>
        </w:trPr>
        <w:tc>
          <w:tcPr>
            <w:tcW w:w="6100" w:type="dxa"/>
            <w:vAlign w:val="bottom"/>
          </w:tcPr>
          <w:p>
            <w:pPr>
              <w:spacing w:after="0"/>
              <w:rPr>
                <w:sz w:val="14"/>
                <w:szCs w:val="14"/>
                <w:color w:val="auto"/>
              </w:rPr>
            </w:pPr>
          </w:p>
        </w:tc>
        <w:tc>
          <w:tcPr>
            <w:tcW w:w="198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1,696,868</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$1,622,504</w:t>
            </w:r>
          </w:p>
        </w:tc>
      </w:tr>
      <w:tr>
        <w:trPr>
          <w:trHeight w:val="166"/>
        </w:trPr>
        <w:tc>
          <w:tcPr>
            <w:tcW w:w="6100" w:type="dxa"/>
            <w:vAlign w:val="bottom"/>
          </w:tcPr>
          <w:p>
            <w:pPr>
              <w:spacing w:after="0"/>
              <w:rPr>
                <w:sz w:val="14"/>
                <w:szCs w:val="14"/>
                <w:color w:val="auto"/>
              </w:rPr>
            </w:pPr>
          </w:p>
        </w:tc>
        <w:tc>
          <w:tcPr>
            <w:tcW w:w="198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right="3699"/>
        <w:spacing w:after="0" w:line="255" w:lineRule="auto"/>
        <w:rPr>
          <w:sz w:val="20"/>
          <w:szCs w:val="20"/>
          <w:color w:val="auto"/>
        </w:rPr>
      </w:pPr>
      <w:r>
        <w:rPr>
          <w:rFonts w:ascii="Courier New" w:cs="Courier New" w:eastAsia="Courier New" w:hAnsi="Courier New"/>
          <w:sz w:val="14"/>
          <w:szCs w:val="14"/>
          <w:color w:val="auto"/>
        </w:rPr>
        <w:t>The information on pages 29 through 38 is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159"/>
          </w:cols>
          <w:pgMar w:left="300" w:top="285"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4"/>
          <w:szCs w:val="14"/>
          <w:color w:val="auto"/>
        </w:rPr>
        <w:t>28</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080"/>
        <w:spacing w:after="0"/>
        <w:rPr>
          <w:sz w:val="20"/>
          <w:szCs w:val="20"/>
          <w:color w:val="auto"/>
        </w:rPr>
      </w:pPr>
      <w:r>
        <w:rPr>
          <w:rFonts w:ascii="Courier New" w:cs="Courier New" w:eastAsia="Courier New" w:hAnsi="Courier New"/>
          <w:sz w:val="14"/>
          <w:szCs w:val="14"/>
          <w:color w:val="auto"/>
        </w:rPr>
        <w:t>CONSOLIDATED</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STATEMENTS OF CASH FLOWS</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left="3940"/>
        <w:spacing w:after="0"/>
        <w:rPr>
          <w:sz w:val="20"/>
          <w:szCs w:val="20"/>
          <w:color w:val="auto"/>
        </w:rPr>
      </w:pPr>
      <w:r>
        <w:rPr>
          <w:rFonts w:ascii="Courier New" w:cs="Courier New" w:eastAsia="Courier New" w:hAnsi="Courier New"/>
          <w:sz w:val="14"/>
          <w:szCs w:val="14"/>
          <w:color w:val="auto"/>
        </w:rPr>
        <w:t>Fiscal year ended</w:t>
      </w:r>
    </w:p>
    <w:p>
      <w:pPr>
        <w:spacing w:after="0" w:line="7"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40"/>
        <w:spacing w:after="0"/>
        <w:tabs>
          <w:tab w:leader="none" w:pos="7140" w:val="left"/>
          <w:tab w:leader="none" w:pos="8260" w:val="left"/>
        </w:tabs>
        <w:rPr>
          <w:sz w:val="20"/>
          <w:szCs w:val="20"/>
          <w:color w:val="auto"/>
        </w:rPr>
      </w:pPr>
      <w:r>
        <w:rPr>
          <w:rFonts w:ascii="Courier New" w:cs="Courier New" w:eastAsia="Courier New" w:hAnsi="Courier New"/>
          <w:sz w:val="14"/>
          <w:szCs w:val="14"/>
          <w:color w:val="auto"/>
        </w:rPr>
        <w:t>January 1,</w:t>
      </w:r>
      <w:r>
        <w:rPr>
          <w:sz w:val="20"/>
          <w:szCs w:val="20"/>
          <w:color w:val="auto"/>
        </w:rPr>
        <w:tab/>
      </w:r>
      <w:r>
        <w:rPr>
          <w:rFonts w:ascii="Courier New" w:cs="Courier New" w:eastAsia="Courier New" w:hAnsi="Courier New"/>
          <w:sz w:val="14"/>
          <w:szCs w:val="14"/>
          <w:color w:val="auto"/>
        </w:rPr>
        <w:t>January 2,</w:t>
      </w:r>
      <w:r>
        <w:rPr>
          <w:sz w:val="20"/>
          <w:szCs w:val="20"/>
          <w:color w:val="auto"/>
        </w:rPr>
        <w:tab/>
      </w:r>
      <w:r>
        <w:rPr>
          <w:rFonts w:ascii="Courier New" w:cs="Courier New" w:eastAsia="Courier New" w:hAnsi="Courier New"/>
          <w:sz w:val="14"/>
          <w:szCs w:val="14"/>
          <w:color w:val="auto"/>
        </w:rPr>
        <w:t>January 3,</w:t>
      </w:r>
    </w:p>
    <w:p>
      <w:pPr>
        <w:spacing w:after="0" w:line="7" w:lineRule="exact"/>
        <w:rPr>
          <w:sz w:val="20"/>
          <w:szCs w:val="20"/>
          <w:color w:val="auto"/>
        </w:rPr>
      </w:pPr>
    </w:p>
    <w:p>
      <w:pPr>
        <w:spacing w:after="0"/>
        <w:tabs>
          <w:tab w:leader="none" w:pos="6280" w:val="left"/>
          <w:tab w:leader="none" w:pos="7400" w:val="left"/>
          <w:tab w:leader="none" w:pos="8520" w:val="left"/>
        </w:tabs>
        <w:rPr>
          <w:sz w:val="20"/>
          <w:szCs w:val="20"/>
          <w:color w:val="auto"/>
        </w:rPr>
      </w:pPr>
      <w:r>
        <w:rPr>
          <w:rFonts w:ascii="Courier New" w:cs="Courier New" w:eastAsia="Courier New" w:hAnsi="Courier New"/>
          <w:sz w:val="14"/>
          <w:szCs w:val="14"/>
          <w:color w:val="auto"/>
        </w:rPr>
        <w:t>(in thousands)</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550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Net income   . . . . . . . . . . . . . . . . . . . . . .</w:t>
            </w:r>
          </w:p>
        </w:tc>
        <w:tc>
          <w:tcPr>
            <w:tcW w:w="146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$ 169,672</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$ 165,417</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$ 127,796</w:t>
            </w:r>
          </w:p>
        </w:tc>
      </w:tr>
      <w:tr>
        <w:trPr>
          <w:trHeight w:val="166"/>
        </w:trPr>
        <w:tc>
          <w:tcPr>
            <w:tcW w:w="5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Adjustments to reconcile net income to net cash provided</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500" w:type="dxa"/>
            <w:vAlign w:val="bottom"/>
          </w:tcPr>
          <w:p>
            <w:pPr>
              <w:ind w:left="160"/>
              <w:spacing w:after="0"/>
              <w:rPr>
                <w:sz w:val="20"/>
                <w:szCs w:val="20"/>
                <w:color w:val="auto"/>
              </w:rPr>
            </w:pPr>
            <w:r>
              <w:rPr>
                <w:rFonts w:ascii="Courier New" w:cs="Courier New" w:eastAsia="Courier New" w:hAnsi="Courier New"/>
                <w:sz w:val="14"/>
                <w:szCs w:val="14"/>
                <w:color w:val="auto"/>
              </w:rPr>
              <w:t>by operating activities:</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Cumulative effect of change in accounting principle  .</w:t>
            </w:r>
          </w:p>
        </w:tc>
        <w:tc>
          <w:tcPr>
            <w:tcW w:w="52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(11,600)</w:t>
            </w:r>
          </w:p>
        </w:tc>
        <w:tc>
          <w:tcPr>
            <w:tcW w:w="2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500" w:type="dxa"/>
            <w:vAlign w:val="bottom"/>
          </w:tcPr>
          <w:p>
            <w:pPr>
              <w:ind w:left="340"/>
              <w:spacing w:after="0"/>
              <w:rPr>
                <w:sz w:val="20"/>
                <w:szCs w:val="20"/>
                <w:color w:val="auto"/>
              </w:rPr>
            </w:pPr>
            <w:r>
              <w:rPr>
                <w:rFonts w:ascii="Courier New" w:cs="Courier New" w:eastAsia="Courier New" w:hAnsi="Courier New"/>
                <w:sz w:val="14"/>
                <w:szCs w:val="14"/>
                <w:color w:val="auto"/>
              </w:rPr>
              <w:t>Depreciation and amortization of property,</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plant, and equipment . . . . . . . . . . . . . . . .</w:t>
            </w:r>
          </w:p>
        </w:tc>
        <w:tc>
          <w:tcPr>
            <w:tcW w:w="52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61,950</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59,543</w:t>
            </w:r>
          </w:p>
        </w:tc>
        <w:tc>
          <w:tcPr>
            <w:tcW w:w="2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59,222</w:t>
            </w:r>
          </w:p>
        </w:tc>
      </w:tr>
      <w:tr>
        <w:trPr>
          <w:trHeight w:val="166"/>
        </w:trPr>
        <w:tc>
          <w:tcPr>
            <w:tcW w:w="5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Amortization of goodwill and other intangibles . . . .</w:t>
            </w:r>
          </w:p>
        </w:tc>
        <w:tc>
          <w:tcPr>
            <w:tcW w:w="52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25,393</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16,216</w:t>
            </w:r>
          </w:p>
        </w:tc>
        <w:tc>
          <w:tcPr>
            <w:tcW w:w="2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15,478</w:t>
            </w:r>
          </w:p>
        </w:tc>
      </w:tr>
      <w:tr>
        <w:trPr>
          <w:trHeight w:val="166"/>
        </w:trPr>
        <w:tc>
          <w:tcPr>
            <w:tcW w:w="5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Amortization of program rights . . . . . . . . . . . .</w:t>
            </w:r>
          </w:p>
        </w:tc>
        <w:tc>
          <w:tcPr>
            <w:tcW w:w="52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21,888</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18,927</w:t>
            </w:r>
          </w:p>
        </w:tc>
        <w:tc>
          <w:tcPr>
            <w:tcW w:w="2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20,308</w:t>
            </w:r>
          </w:p>
        </w:tc>
      </w:tr>
      <w:tr>
        <w:trPr>
          <w:trHeight w:val="166"/>
        </w:trPr>
        <w:tc>
          <w:tcPr>
            <w:tcW w:w="5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Provision for doubtful accounts and returns  . . . . .</w:t>
            </w:r>
          </w:p>
        </w:tc>
        <w:tc>
          <w:tcPr>
            <w:tcW w:w="52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57,983</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56,631</w:t>
            </w:r>
          </w:p>
        </w:tc>
        <w:tc>
          <w:tcPr>
            <w:tcW w:w="2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57,629</w:t>
            </w:r>
          </w:p>
        </w:tc>
      </w:tr>
      <w:tr>
        <w:trPr>
          <w:trHeight w:val="166"/>
        </w:trPr>
        <w:tc>
          <w:tcPr>
            <w:tcW w:w="5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Gain from sale of business . . . . . . . . . . . . . .</w:t>
            </w:r>
          </w:p>
        </w:tc>
        <w:tc>
          <w:tcPr>
            <w:tcW w:w="52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(13,371)</w:t>
            </w:r>
          </w:p>
        </w:tc>
        <w:tc>
          <w:tcPr>
            <w:tcW w:w="2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500" w:type="dxa"/>
            <w:vAlign w:val="bottom"/>
          </w:tcPr>
          <w:p>
            <w:pPr>
              <w:ind w:left="340"/>
              <w:spacing w:after="0"/>
              <w:rPr>
                <w:sz w:val="20"/>
                <w:szCs w:val="20"/>
                <w:color w:val="auto"/>
              </w:rPr>
            </w:pPr>
            <w:r>
              <w:rPr>
                <w:rFonts w:ascii="Courier New" w:cs="Courier New" w:eastAsia="Courier New" w:hAnsi="Courier New"/>
                <w:sz w:val="14"/>
                <w:szCs w:val="14"/>
                <w:color w:val="auto"/>
              </w:rPr>
              <w:t>(Decrease) in accrued interest and income taxes payable</w:t>
            </w:r>
          </w:p>
        </w:tc>
        <w:tc>
          <w:tcPr>
            <w:tcW w:w="5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(9,177)</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(5,141)</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(14,162)</w:t>
            </w:r>
          </w:p>
        </w:tc>
      </w:tr>
      <w:tr>
        <w:trPr>
          <w:trHeight w:val="166"/>
        </w:trPr>
        <w:tc>
          <w:tcPr>
            <w:tcW w:w="5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Provision for deferred income taxes  . . . . . . . . .</w:t>
            </w:r>
          </w:p>
        </w:tc>
        <w:tc>
          <w:tcPr>
            <w:tcW w:w="5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(6,882)</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(1,669)</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(1,577)</w:t>
            </w:r>
          </w:p>
        </w:tc>
      </w:tr>
      <w:tr>
        <w:trPr>
          <w:trHeight w:val="166"/>
        </w:trPr>
        <w:tc>
          <w:tcPr>
            <w:tcW w:w="5500" w:type="dxa"/>
            <w:vAlign w:val="bottom"/>
          </w:tcPr>
          <w:p>
            <w:pPr>
              <w:ind w:left="340"/>
              <w:spacing w:after="0"/>
              <w:rPr>
                <w:sz w:val="20"/>
                <w:szCs w:val="20"/>
                <w:color w:val="auto"/>
              </w:rPr>
            </w:pPr>
            <w:r>
              <w:rPr>
                <w:rFonts w:ascii="Courier New" w:cs="Courier New" w:eastAsia="Courier New" w:hAnsi="Courier New"/>
                <w:sz w:val="14"/>
                <w:szCs w:val="14"/>
                <w:color w:val="auto"/>
              </w:rPr>
              <w:t>Change in assets and liabilities:</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(Increase) in accounts receivable  . . . . . . . . .</w:t>
            </w:r>
          </w:p>
        </w:tc>
        <w:tc>
          <w:tcPr>
            <w:tcW w:w="5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(92,526)</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(68,901)</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(47,393)</w:t>
            </w:r>
          </w:p>
        </w:tc>
      </w:tr>
      <w:tr>
        <w:trPr>
          <w:trHeight w:val="166"/>
        </w:trPr>
        <w:tc>
          <w:tcPr>
            <w:tcW w:w="5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(Increase) decrease in inventories . . . . . . . . .</w:t>
            </w:r>
          </w:p>
        </w:tc>
        <w:tc>
          <w:tcPr>
            <w:tcW w:w="5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(3,959)</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3,839</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(695)</w:t>
            </w:r>
          </w:p>
        </w:tc>
      </w:tr>
      <w:tr>
        <w:trPr>
          <w:trHeight w:val="166"/>
        </w:trPr>
        <w:tc>
          <w:tcPr>
            <w:tcW w:w="5500" w:type="dxa"/>
            <w:vAlign w:val="bottom"/>
          </w:tcPr>
          <w:p>
            <w:pPr>
              <w:ind w:left="520"/>
              <w:spacing w:after="0"/>
              <w:rPr>
                <w:sz w:val="20"/>
                <w:szCs w:val="20"/>
                <w:color w:val="auto"/>
              </w:rPr>
            </w:pPr>
            <w:r>
              <w:rPr>
                <w:rFonts w:ascii="Courier New" w:cs="Courier New" w:eastAsia="Courier New" w:hAnsi="Courier New"/>
                <w:sz w:val="14"/>
                <w:szCs w:val="14"/>
                <w:color w:val="auto"/>
              </w:rPr>
              <w:t>Increase (decrease) in accounts payable</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and accrued liabilities  . . . . . . . . . . . . .</w:t>
            </w:r>
          </w:p>
        </w:tc>
        <w:tc>
          <w:tcPr>
            <w:tcW w:w="52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17,376</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(17,054)</w:t>
            </w:r>
          </w:p>
        </w:tc>
        <w:tc>
          <w:tcPr>
            <w:tcW w:w="2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16,102</w:t>
            </w:r>
          </w:p>
        </w:tc>
      </w:tr>
      <w:tr>
        <w:trPr>
          <w:trHeight w:val="166"/>
        </w:trPr>
        <w:tc>
          <w:tcPr>
            <w:tcW w:w="5500" w:type="dxa"/>
            <w:vAlign w:val="bottom"/>
          </w:tcPr>
          <w:p>
            <w:pPr>
              <w:ind w:left="520"/>
              <w:spacing w:after="0"/>
              <w:rPr>
                <w:sz w:val="20"/>
                <w:szCs w:val="20"/>
                <w:color w:val="auto"/>
              </w:rPr>
            </w:pPr>
            <w:r>
              <w:rPr>
                <w:rFonts w:ascii="Courier New" w:cs="Courier New" w:eastAsia="Courier New" w:hAnsi="Courier New"/>
                <w:sz w:val="14"/>
                <w:szCs w:val="14"/>
                <w:color w:val="auto"/>
              </w:rPr>
              <w:t>(Increase) in other assets and other liabilities, net</w:t>
            </w:r>
          </w:p>
        </w:tc>
        <w:tc>
          <w:tcPr>
            <w:tcW w:w="5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(21,148)</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(9,628)</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(14,347)</w:t>
            </w:r>
          </w:p>
        </w:tc>
      </w:tr>
      <w:tr>
        <w:trPr>
          <w:trHeight w:val="166"/>
        </w:trPr>
        <w:tc>
          <w:tcPr>
            <w:tcW w:w="5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Other  . . . . . . . . . . . . . . . . . . . . . . . .</w:t>
            </w:r>
          </w:p>
        </w:tc>
        <w:tc>
          <w:tcPr>
            <w:tcW w:w="52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4,727</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9,440</w:t>
            </w:r>
          </w:p>
        </w:tc>
        <w:tc>
          <w:tcPr>
            <w:tcW w:w="2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23,886</w:t>
            </w:r>
          </w:p>
        </w:tc>
      </w:tr>
      <w:tr>
        <w:trPr>
          <w:trHeight w:val="166"/>
        </w:trPr>
        <w:tc>
          <w:tcPr>
            <w:tcW w:w="5500" w:type="dxa"/>
            <w:vAlign w:val="bottom"/>
          </w:tcPr>
          <w:p>
            <w:pPr>
              <w:spacing w:after="0"/>
              <w:rPr>
                <w:sz w:val="14"/>
                <w:szCs w:val="14"/>
                <w:color w:val="auto"/>
              </w:rPr>
            </w:pPr>
          </w:p>
        </w:tc>
        <w:tc>
          <w:tcPr>
            <w:tcW w:w="146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Net cash provided by operating activities  . . . .</w:t>
            </w:r>
          </w:p>
        </w:tc>
        <w:tc>
          <w:tcPr>
            <w:tcW w:w="52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225,297</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202,649</w:t>
            </w:r>
          </w:p>
        </w:tc>
        <w:tc>
          <w:tcPr>
            <w:tcW w:w="2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242,247</w:t>
            </w:r>
          </w:p>
        </w:tc>
      </w:tr>
      <w:tr>
        <w:trPr>
          <w:trHeight w:val="166"/>
        </w:trPr>
        <w:tc>
          <w:tcPr>
            <w:tcW w:w="5500" w:type="dxa"/>
            <w:vAlign w:val="bottom"/>
          </w:tcPr>
          <w:p>
            <w:pPr>
              <w:spacing w:after="0"/>
              <w:rPr>
                <w:sz w:val="14"/>
                <w:szCs w:val="14"/>
                <w:color w:val="auto"/>
              </w:rPr>
            </w:pPr>
          </w:p>
        </w:tc>
        <w:tc>
          <w:tcPr>
            <w:tcW w:w="146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50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5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Net proceeds from sale of business . . . . . . . . . .</w:t>
            </w:r>
          </w:p>
        </w:tc>
        <w:tc>
          <w:tcPr>
            <w:tcW w:w="52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64,947</w:t>
            </w:r>
          </w:p>
        </w:tc>
        <w:tc>
          <w:tcPr>
            <w:tcW w:w="2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Purchases of property, plant, and equipment  . . . . .</w:t>
            </w:r>
          </w:p>
        </w:tc>
        <w:tc>
          <w:tcPr>
            <w:tcW w:w="5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(74,642)</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(79,139)</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(58,889)</w:t>
            </w:r>
          </w:p>
        </w:tc>
      </w:tr>
      <w:tr>
        <w:trPr>
          <w:trHeight w:val="166"/>
        </w:trPr>
        <w:tc>
          <w:tcPr>
            <w:tcW w:w="5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Purchases of marketable debt securities  . . . . . . .</w:t>
            </w:r>
          </w:p>
        </w:tc>
        <w:tc>
          <w:tcPr>
            <w:tcW w:w="5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(38,994)</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(520,114)</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(533,082)</w:t>
            </w:r>
          </w:p>
        </w:tc>
      </w:tr>
      <w:tr>
        <w:trPr>
          <w:trHeight w:val="166"/>
        </w:trPr>
        <w:tc>
          <w:tcPr>
            <w:tcW w:w="5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Maturities and sales of marketable debt securities . .</w:t>
            </w:r>
          </w:p>
        </w:tc>
        <w:tc>
          <w:tcPr>
            <w:tcW w:w="52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274,776</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509,937</w:t>
            </w:r>
          </w:p>
        </w:tc>
        <w:tc>
          <w:tcPr>
            <w:tcW w:w="2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465,891</w:t>
            </w:r>
          </w:p>
        </w:tc>
      </w:tr>
      <w:tr>
        <w:trPr>
          <w:trHeight w:val="166"/>
        </w:trPr>
        <w:tc>
          <w:tcPr>
            <w:tcW w:w="5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Investments in certain businesses  . . . . . . . . . .</w:t>
            </w:r>
          </w:p>
        </w:tc>
        <w:tc>
          <w:tcPr>
            <w:tcW w:w="5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(281,937)</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(1,591)</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(32,353)</w:t>
            </w:r>
          </w:p>
        </w:tc>
      </w:tr>
      <w:tr>
        <w:trPr>
          <w:trHeight w:val="166"/>
        </w:trPr>
        <w:tc>
          <w:tcPr>
            <w:tcW w:w="5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Payments for program rights  . . . . . . . . . . . . .</w:t>
            </w:r>
          </w:p>
        </w:tc>
        <w:tc>
          <w:tcPr>
            <w:tcW w:w="5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(20,838)</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(20,232)</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(22,013)</w:t>
            </w:r>
          </w:p>
        </w:tc>
      </w:tr>
      <w:tr>
        <w:trPr>
          <w:trHeight w:val="166"/>
        </w:trPr>
        <w:tc>
          <w:tcPr>
            <w:tcW w:w="5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Other  . . . . . . . . . . . . . . . . . . . . . . . .</w:t>
            </w:r>
          </w:p>
        </w:tc>
        <w:tc>
          <w:tcPr>
            <w:tcW w:w="5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(1,124)</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663</w:t>
            </w:r>
          </w:p>
        </w:tc>
        <w:tc>
          <w:tcPr>
            <w:tcW w:w="2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978</w:t>
            </w:r>
          </w:p>
        </w:tc>
      </w:tr>
      <w:tr>
        <w:trPr>
          <w:trHeight w:val="166"/>
        </w:trPr>
        <w:tc>
          <w:tcPr>
            <w:tcW w:w="5500" w:type="dxa"/>
            <w:vAlign w:val="bottom"/>
          </w:tcPr>
          <w:p>
            <w:pPr>
              <w:spacing w:after="0"/>
              <w:rPr>
                <w:sz w:val="14"/>
                <w:szCs w:val="14"/>
                <w:color w:val="auto"/>
              </w:rPr>
            </w:pPr>
          </w:p>
        </w:tc>
        <w:tc>
          <w:tcPr>
            <w:tcW w:w="146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Net cash (used) by investing activities  . . . . .</w:t>
            </w:r>
          </w:p>
        </w:tc>
        <w:tc>
          <w:tcPr>
            <w:tcW w:w="5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(142,759)</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(45,529)</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(179,468)</w:t>
            </w:r>
          </w:p>
        </w:tc>
      </w:tr>
      <w:tr>
        <w:trPr>
          <w:trHeight w:val="166"/>
        </w:trPr>
        <w:tc>
          <w:tcPr>
            <w:tcW w:w="5500" w:type="dxa"/>
            <w:vAlign w:val="bottom"/>
          </w:tcPr>
          <w:p>
            <w:pPr>
              <w:spacing w:after="0"/>
              <w:rPr>
                <w:sz w:val="14"/>
                <w:szCs w:val="14"/>
                <w:color w:val="auto"/>
              </w:rPr>
            </w:pPr>
          </w:p>
        </w:tc>
        <w:tc>
          <w:tcPr>
            <w:tcW w:w="146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50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5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Principal payments on debt . . . . . . . . . . . . . . .</w:t>
            </w:r>
          </w:p>
        </w:tc>
        <w:tc>
          <w:tcPr>
            <w:tcW w:w="5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(1,400)</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(25,000)</w:t>
            </w:r>
          </w:p>
        </w:tc>
      </w:tr>
      <w:tr>
        <w:trPr>
          <w:trHeight w:val="166"/>
        </w:trPr>
        <w:tc>
          <w:tcPr>
            <w:tcW w:w="5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Dividends paid   . . . . . . . . . . . . . . . . . . . .</w:t>
            </w:r>
          </w:p>
        </w:tc>
        <w:tc>
          <w:tcPr>
            <w:tcW w:w="5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(48,721)</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(49,376)</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(49,699)</w:t>
            </w:r>
          </w:p>
        </w:tc>
      </w:tr>
      <w:tr>
        <w:trPr>
          <w:trHeight w:val="166"/>
        </w:trPr>
        <w:tc>
          <w:tcPr>
            <w:tcW w:w="5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Common shares repurchased  . . . . . . . . . . . . . . .</w:t>
            </w:r>
          </w:p>
        </w:tc>
        <w:tc>
          <w:tcPr>
            <w:tcW w:w="5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(86,660)</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(23,133)</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(7,484)</w:t>
            </w:r>
          </w:p>
        </w:tc>
      </w:tr>
      <w:tr>
        <w:trPr>
          <w:trHeight w:val="166"/>
        </w:trPr>
        <w:tc>
          <w:tcPr>
            <w:tcW w:w="5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Other  . . . . . . . . . . . . . . . . . . . . . . . . .</w:t>
            </w:r>
          </w:p>
        </w:tc>
        <w:tc>
          <w:tcPr>
            <w:tcW w:w="52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w:t>
            </w:r>
          </w:p>
        </w:tc>
        <w:tc>
          <w:tcPr>
            <w:tcW w:w="2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w:t>
            </w:r>
          </w:p>
        </w:tc>
      </w:tr>
      <w:tr>
        <w:trPr>
          <w:trHeight w:val="166"/>
        </w:trPr>
        <w:tc>
          <w:tcPr>
            <w:tcW w:w="5500" w:type="dxa"/>
            <w:vAlign w:val="bottom"/>
          </w:tcPr>
          <w:p>
            <w:pPr>
              <w:spacing w:after="0"/>
              <w:rPr>
                <w:sz w:val="14"/>
                <w:szCs w:val="14"/>
                <w:color w:val="auto"/>
              </w:rPr>
            </w:pPr>
          </w:p>
        </w:tc>
        <w:tc>
          <w:tcPr>
            <w:tcW w:w="146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Net cash (used) by financing activities  . . . . .</w:t>
            </w:r>
          </w:p>
        </w:tc>
        <w:tc>
          <w:tcPr>
            <w:tcW w:w="5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(136,781)</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(72,448)</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(82,061)</w:t>
            </w:r>
          </w:p>
        </w:tc>
      </w:tr>
      <w:tr>
        <w:trPr>
          <w:trHeight w:val="166"/>
        </w:trPr>
        <w:tc>
          <w:tcPr>
            <w:tcW w:w="5500" w:type="dxa"/>
            <w:vAlign w:val="bottom"/>
          </w:tcPr>
          <w:p>
            <w:pPr>
              <w:spacing w:after="0"/>
              <w:rPr>
                <w:sz w:val="14"/>
                <w:szCs w:val="14"/>
                <w:color w:val="auto"/>
              </w:rPr>
            </w:pPr>
          </w:p>
        </w:tc>
        <w:tc>
          <w:tcPr>
            <w:tcW w:w="146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NET (DECREASE) INCREASE IN CASH AND CASH EQUIVALENTS . . .</w:t>
            </w:r>
          </w:p>
        </w:tc>
        <w:tc>
          <w:tcPr>
            <w:tcW w:w="52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(54,243)</w:t>
            </w:r>
          </w:p>
        </w:tc>
        <w:tc>
          <w:tcPr>
            <w:tcW w:w="260" w:type="dxa"/>
            <w:vAlign w:val="bottom"/>
          </w:tcPr>
          <w:p>
            <w:pPr>
              <w:spacing w:after="0"/>
              <w:rPr>
                <w:sz w:val="24"/>
                <w:szCs w:val="2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84,672</w:t>
            </w: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(19,282)</w:t>
            </w:r>
          </w:p>
        </w:tc>
      </w:tr>
      <w:tr>
        <w:trPr>
          <w:trHeight w:val="166"/>
        </w:trPr>
        <w:tc>
          <w:tcPr>
            <w:tcW w:w="5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CASH AND CASH EQUIVALENTS AT BEGINNING OF YEAR . . . . . .</w:t>
            </w:r>
          </w:p>
        </w:tc>
        <w:tc>
          <w:tcPr>
            <w:tcW w:w="52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171,512</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86,840</w:t>
            </w:r>
          </w:p>
        </w:tc>
        <w:tc>
          <w:tcPr>
            <w:tcW w:w="2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106,122</w:t>
            </w:r>
          </w:p>
        </w:tc>
      </w:tr>
      <w:tr>
        <w:trPr>
          <w:trHeight w:val="166"/>
        </w:trPr>
        <w:tc>
          <w:tcPr>
            <w:tcW w:w="5500" w:type="dxa"/>
            <w:vAlign w:val="bottom"/>
          </w:tcPr>
          <w:p>
            <w:pPr>
              <w:spacing w:after="0"/>
              <w:rPr>
                <w:sz w:val="14"/>
                <w:szCs w:val="14"/>
                <w:color w:val="auto"/>
              </w:rPr>
            </w:pPr>
          </w:p>
        </w:tc>
        <w:tc>
          <w:tcPr>
            <w:tcW w:w="146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CASH AND CASH EQUIVALENTS AT END OF YEAR . . . . . . . . .</w:t>
            </w:r>
          </w:p>
        </w:tc>
        <w:tc>
          <w:tcPr>
            <w:tcW w:w="146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$ 117,269</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$ 171,512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86,840</w:t>
            </w:r>
          </w:p>
        </w:tc>
      </w:tr>
      <w:tr>
        <w:trPr>
          <w:trHeight w:val="166"/>
        </w:trPr>
        <w:tc>
          <w:tcPr>
            <w:tcW w:w="5500" w:type="dxa"/>
            <w:vAlign w:val="bottom"/>
          </w:tcPr>
          <w:p>
            <w:pPr>
              <w:spacing w:after="0"/>
              <w:rPr>
                <w:sz w:val="14"/>
                <w:szCs w:val="14"/>
                <w:color w:val="auto"/>
              </w:rPr>
            </w:pPr>
          </w:p>
        </w:tc>
        <w:tc>
          <w:tcPr>
            <w:tcW w:w="146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5500" w:type="dxa"/>
            <w:vAlign w:val="bottom"/>
          </w:tcPr>
          <w:p>
            <w:pPr>
              <w:spacing w:after="0"/>
              <w:rPr>
                <w:sz w:val="20"/>
                <w:szCs w:val="20"/>
                <w:color w:val="auto"/>
              </w:rPr>
            </w:pPr>
            <w:r>
              <w:rPr>
                <w:rFonts w:ascii="Courier New" w:cs="Courier New" w:eastAsia="Courier New" w:hAnsi="Courier New"/>
                <w:sz w:val="14"/>
                <w:szCs w:val="14"/>
                <w:color w:val="auto"/>
              </w:rPr>
              <w:t>SUPPLEMENTAL CASH FLOW INFORMATION:</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5500" w:type="dxa"/>
            <w:vAlign w:val="bottom"/>
          </w:tcPr>
          <w:p>
            <w:pPr>
              <w:ind w:left="160"/>
              <w:spacing w:after="0"/>
              <w:rPr>
                <w:sz w:val="20"/>
                <w:szCs w:val="20"/>
                <w:color w:val="auto"/>
              </w:rPr>
            </w:pPr>
            <w:r>
              <w:rPr>
                <w:rFonts w:ascii="Courier New" w:cs="Courier New" w:eastAsia="Courier New" w:hAnsi="Courier New"/>
                <w:sz w:val="14"/>
                <w:szCs w:val="14"/>
                <w:color w:val="auto"/>
              </w:rPr>
              <w:t>Cash paid during the year for:</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Income taxes . . . . . . . . . . . . . . . . . . . . .</w:t>
            </w:r>
          </w:p>
        </w:tc>
        <w:tc>
          <w:tcPr>
            <w:tcW w:w="146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$ 134,700</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$ 110,300</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$ 110,700</w:t>
            </w:r>
          </w:p>
        </w:tc>
      </w:tr>
      <w:tr>
        <w:trPr>
          <w:trHeight w:val="166"/>
        </w:trPr>
        <w:tc>
          <w:tcPr>
            <w:tcW w:w="5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Interest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5,200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7,200</w:t>
            </w:r>
          </w:p>
        </w:tc>
      </w:tr>
      <w:tr>
        <w:trPr>
          <w:trHeight w:val="166"/>
        </w:trPr>
        <w:tc>
          <w:tcPr>
            <w:tcW w:w="5500" w:type="dxa"/>
            <w:vAlign w:val="bottom"/>
          </w:tcPr>
          <w:p>
            <w:pPr>
              <w:spacing w:after="0"/>
              <w:rPr>
                <w:sz w:val="20"/>
                <w:szCs w:val="20"/>
                <w:color w:val="auto"/>
              </w:rPr>
            </w:pPr>
            <w:r>
              <w:rPr>
                <w:rFonts w:ascii="Courier New" w:cs="Courier New" w:eastAsia="Courier New" w:hAnsi="Courier New"/>
                <w:sz w:val="14"/>
                <w:szCs w:val="14"/>
                <w:color w:val="auto"/>
              </w:rPr>
              <w:t>NONCASH INVESTING ACTIVITIES:</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Program rights acquired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30,200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25,200</w:t>
            </w:r>
          </w:p>
        </w:tc>
      </w:tr>
    </w:tbl>
    <w:p>
      <w:pPr>
        <w:spacing w:after="0" w:line="335" w:lineRule="exact"/>
        <w:rPr>
          <w:sz w:val="20"/>
          <w:szCs w:val="20"/>
          <w:color w:val="auto"/>
        </w:rPr>
      </w:pPr>
    </w:p>
    <w:p>
      <w:pPr>
        <w:ind w:right="3699"/>
        <w:spacing w:after="0" w:line="255" w:lineRule="auto"/>
        <w:rPr>
          <w:sz w:val="20"/>
          <w:szCs w:val="20"/>
          <w:color w:val="auto"/>
        </w:rPr>
      </w:pPr>
      <w:r>
        <w:rPr>
          <w:rFonts w:ascii="Courier New" w:cs="Courier New" w:eastAsia="Courier New" w:hAnsi="Courier New"/>
          <w:sz w:val="14"/>
          <w:szCs w:val="14"/>
          <w:color w:val="auto"/>
        </w:rPr>
        <w:t>The information on pages 29 through 38 is an integral part of the financial statements.</w:t>
      </w:r>
    </w:p>
    <w:p>
      <w:pPr>
        <w:sectPr>
          <w:pgSz w:w="11900" w:h="16838" w:orient="portrait"/>
          <w:cols w:equalWidth="0" w:num="1">
            <w:col w:w="10159"/>
          </w:cols>
          <w:pgMar w:left="30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159"/>
          </w:cols>
          <w:pgMar w:left="300" w:top="285" w:right="1440" w:bottom="1440" w:gutter="0" w:footer="0" w:header="0"/>
          <w:type w:val="continuous"/>
        </w:sectPr>
      </w:pPr>
    </w:p>
    <w:bookmarkStart w:id="28" w:name="page29"/>
    <w:bookmarkEnd w:id="28"/>
    <w:p>
      <w:pPr>
        <w:ind w:left="260"/>
        <w:spacing w:after="0"/>
        <w:rPr>
          <w:sz w:val="20"/>
          <w:szCs w:val="20"/>
          <w:color w:val="auto"/>
        </w:rPr>
      </w:pPr>
      <w:r>
        <w:rPr>
          <w:rFonts w:ascii="Courier New" w:cs="Courier New" w:eastAsia="Courier New" w:hAnsi="Courier New"/>
          <w:sz w:val="14"/>
          <w:szCs w:val="14"/>
          <w:color w:val="auto"/>
        </w:rPr>
        <w:t>29</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CONSOLIDATED STATEMENTS OF</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CHANGES IN SHAREHOLDERS' EQUITY</w:t>
      </w:r>
    </w:p>
    <w:p>
      <w:pPr>
        <w:spacing w:after="0" w:line="7"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Cumulative</w:t>
            </w:r>
          </w:p>
        </w:tc>
        <w:tc>
          <w:tcPr>
            <w:tcW w:w="11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Unrealized</w:t>
            </w:r>
          </w:p>
        </w:tc>
        <w:tc>
          <w:tcPr>
            <w:tcW w:w="760" w:type="dxa"/>
            <w:vAlign w:val="bottom"/>
          </w:tcPr>
          <w:p>
            <w:pPr>
              <w:spacing w:after="0"/>
              <w:rPr>
                <w:sz w:val="14"/>
                <w:szCs w:val="14"/>
                <w:color w:val="auto"/>
              </w:rPr>
            </w:pPr>
          </w:p>
        </w:tc>
      </w:tr>
      <w:tr>
        <w:trPr>
          <w:trHeight w:val="166"/>
        </w:trPr>
        <w:tc>
          <w:tcPr>
            <w:tcW w:w="38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80" w:type="dxa"/>
            <w:vAlign w:val="bottom"/>
          </w:tcPr>
          <w:p>
            <w:pPr>
              <w:ind w:left="1080"/>
              <w:spacing w:after="0"/>
              <w:rPr>
                <w:sz w:val="20"/>
                <w:szCs w:val="20"/>
                <w:color w:val="auto"/>
              </w:rPr>
            </w:pPr>
            <w:r>
              <w:rPr>
                <w:rFonts w:ascii="Courier New" w:cs="Courier New" w:eastAsia="Courier New" w:hAnsi="Courier New"/>
                <w:sz w:val="14"/>
                <w:szCs w:val="14"/>
                <w:color w:val="auto"/>
              </w:rPr>
              <w:t>Foreign</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Gain on</w:t>
            </w:r>
          </w:p>
        </w:tc>
        <w:tc>
          <w:tcPr>
            <w:tcW w:w="760" w:type="dxa"/>
            <w:vAlign w:val="bottom"/>
          </w:tcPr>
          <w:p>
            <w:pPr>
              <w:spacing w:after="0"/>
              <w:rPr>
                <w:sz w:val="14"/>
                <w:szCs w:val="14"/>
                <w:color w:val="auto"/>
              </w:rPr>
            </w:pPr>
          </w:p>
        </w:tc>
      </w:tr>
      <w:tr>
        <w:trPr>
          <w:trHeight w:val="166"/>
        </w:trPr>
        <w:tc>
          <w:tcPr>
            <w:tcW w:w="38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Class A</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Class B</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Capital in</w:t>
            </w:r>
          </w:p>
        </w:tc>
        <w:tc>
          <w:tcPr>
            <w:tcW w:w="2080" w:type="dxa"/>
            <w:vAlign w:val="bottom"/>
          </w:tcPr>
          <w:p>
            <w:pPr>
              <w:ind w:left="1080"/>
              <w:spacing w:after="0"/>
              <w:rPr>
                <w:sz w:val="20"/>
                <w:szCs w:val="20"/>
                <w:color w:val="auto"/>
              </w:rPr>
            </w:pPr>
            <w:r>
              <w:rPr>
                <w:rFonts w:ascii="Courier New" w:cs="Courier New" w:eastAsia="Courier New" w:hAnsi="Courier New"/>
                <w:sz w:val="14"/>
                <w:szCs w:val="14"/>
                <w:color w:val="auto"/>
              </w:rPr>
              <w:t>Currency</w:t>
            </w:r>
          </w:p>
        </w:tc>
        <w:tc>
          <w:tcPr>
            <w:tcW w:w="11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Available-</w:t>
            </w:r>
          </w:p>
        </w:tc>
        <w:tc>
          <w:tcPr>
            <w:tcW w:w="760" w:type="dxa"/>
            <w:vAlign w:val="bottom"/>
          </w:tcPr>
          <w:p>
            <w:pPr>
              <w:spacing w:after="0"/>
              <w:rPr>
                <w:sz w:val="14"/>
                <w:szCs w:val="14"/>
                <w:color w:val="auto"/>
              </w:rPr>
            </w:pPr>
          </w:p>
        </w:tc>
      </w:tr>
      <w:tr>
        <w:trPr>
          <w:trHeight w:val="166"/>
        </w:trPr>
        <w:tc>
          <w:tcPr>
            <w:tcW w:w="388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Common</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Common</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Excess of</w:t>
            </w:r>
          </w:p>
        </w:tc>
        <w:tc>
          <w:tcPr>
            <w:tcW w:w="2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Retained Translation</w:t>
            </w:r>
          </w:p>
        </w:tc>
        <w:tc>
          <w:tcPr>
            <w:tcW w:w="1160" w:type="dxa"/>
            <w:vAlign w:val="bottom"/>
          </w:tcPr>
          <w:p>
            <w:pPr>
              <w:jc w:val="center"/>
              <w:ind w:left="48"/>
              <w:spacing w:after="0"/>
              <w:rPr>
                <w:sz w:val="20"/>
                <w:szCs w:val="20"/>
                <w:color w:val="auto"/>
              </w:rPr>
            </w:pPr>
            <w:r>
              <w:rPr>
                <w:rFonts w:ascii="Courier New" w:cs="Courier New" w:eastAsia="Courier New" w:hAnsi="Courier New"/>
                <w:sz w:val="14"/>
                <w:szCs w:val="14"/>
                <w:color w:val="auto"/>
              </w:rPr>
              <w:t>For-Sale</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w w:val="98"/>
              </w:rPr>
              <w:t>Treasury</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(in thousands, except share amounts)</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Stock</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Stock</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Par Value</w:t>
            </w:r>
          </w:p>
        </w:tc>
        <w:tc>
          <w:tcPr>
            <w:tcW w:w="2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Earnings  Adjustment</w:t>
            </w:r>
          </w:p>
        </w:tc>
        <w:tc>
          <w:tcPr>
            <w:tcW w:w="11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Securities</w:t>
            </w: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Stock</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BALANCE DECEMBER 29, 1991  . . . . . . . . . . . .</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$1,843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$18,157</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$18,725</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$1,376,408</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$6,870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$(497,718)</w:t>
            </w:r>
          </w:p>
        </w:tc>
      </w:tr>
      <w:tr>
        <w:trPr>
          <w:trHeight w:val="166"/>
        </w:trPr>
        <w:tc>
          <w:tcPr>
            <w:tcW w:w="4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Net income for the year  . . . . . . . . . . . .</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127,796</w:t>
            </w: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6"/>
        </w:trPr>
        <w:tc>
          <w:tcPr>
            <w:tcW w:w="4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Dividends -- $4.20 per share . . . . . . . . . .</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(49,699)</w:t>
            </w: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6"/>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Repurchase of 33,949 shares of</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6"/>
        </w:trPr>
        <w:tc>
          <w:tcPr>
            <w:tcW w:w="4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Class B common stock . . . . . . . . . . . . .</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(7,484)</w:t>
            </w:r>
          </w:p>
        </w:tc>
      </w:tr>
      <w:tr>
        <w:trPr>
          <w:trHeight w:val="166"/>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Issuance of 304 shares of Class B</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6"/>
        </w:trPr>
        <w:tc>
          <w:tcPr>
            <w:tcW w:w="4480" w:type="dxa"/>
            <w:vAlign w:val="bottom"/>
          </w:tcPr>
          <w:p>
            <w:pPr>
              <w:ind w:left="360"/>
              <w:spacing w:after="0"/>
              <w:rPr>
                <w:sz w:val="20"/>
                <w:szCs w:val="20"/>
                <w:color w:val="auto"/>
              </w:rPr>
            </w:pPr>
            <w:r>
              <w:rPr>
                <w:rFonts w:ascii="Courier New" w:cs="Courier New" w:eastAsia="Courier New" w:hAnsi="Courier New"/>
                <w:sz w:val="14"/>
                <w:szCs w:val="14"/>
                <w:color w:val="auto"/>
              </w:rPr>
              <w:t>common stock, net of restricted</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6"/>
        </w:trPr>
        <w:tc>
          <w:tcPr>
            <w:tcW w:w="4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stock award forfeitures  . . . . . . . . . . .</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r>
      <w:tr>
        <w:trPr>
          <w:trHeight w:val="166"/>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Change in foreign currency</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6"/>
        </w:trPr>
        <w:tc>
          <w:tcPr>
            <w:tcW w:w="4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translation adjustment . . . . . . . . . . . .</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(1,931)</w:t>
            </w: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6"/>
        </w:trPr>
        <w:tc>
          <w:tcPr>
            <w:tcW w:w="4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Other  . . . . . . . . . . . . . . . . . . . . .</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6"/>
        </w:trPr>
        <w:tc>
          <w:tcPr>
            <w:tcW w:w="44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BALANCE JANUARY 3, 1993  . . . . . . . . . . . . .</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1,843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18,157</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18,747</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1,454,505</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4,939</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(505,186)</w:t>
            </w:r>
          </w:p>
        </w:tc>
      </w:tr>
      <w:tr>
        <w:trPr>
          <w:trHeight w:val="166"/>
        </w:trPr>
        <w:tc>
          <w:tcPr>
            <w:tcW w:w="4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Net income for the year  . . . . . . . . . . . .</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165,417</w:t>
            </w: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6"/>
        </w:trPr>
        <w:tc>
          <w:tcPr>
            <w:tcW w:w="4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Dividends -- $4.20 per share . . . . . . . . . .</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(49,376)</w:t>
            </w: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6"/>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Repurchase of 99,800 shares of</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6"/>
        </w:trPr>
        <w:tc>
          <w:tcPr>
            <w:tcW w:w="4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Class B common stock . . . . . . . . . . . . .</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(23,133)</w:t>
            </w:r>
          </w:p>
        </w:tc>
      </w:tr>
      <w:tr>
        <w:trPr>
          <w:trHeight w:val="166"/>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Issuance of 15,030 shares of</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6"/>
        </w:trPr>
        <w:tc>
          <w:tcPr>
            <w:tcW w:w="4480" w:type="dxa"/>
            <w:vAlign w:val="bottom"/>
          </w:tcPr>
          <w:p>
            <w:pPr>
              <w:ind w:left="360"/>
              <w:spacing w:after="0"/>
              <w:rPr>
                <w:sz w:val="20"/>
                <w:szCs w:val="20"/>
                <w:color w:val="auto"/>
              </w:rPr>
            </w:pPr>
            <w:r>
              <w:rPr>
                <w:rFonts w:ascii="Courier New" w:cs="Courier New" w:eastAsia="Courier New" w:hAnsi="Courier New"/>
                <w:sz w:val="14"/>
                <w:szCs w:val="14"/>
                <w:color w:val="auto"/>
              </w:rPr>
              <w:t>Class B common stock, net</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6"/>
        </w:trPr>
        <w:tc>
          <w:tcPr>
            <w:tcW w:w="4480" w:type="dxa"/>
            <w:vAlign w:val="bottom"/>
          </w:tcPr>
          <w:p>
            <w:pPr>
              <w:ind w:left="360"/>
              <w:spacing w:after="0"/>
              <w:rPr>
                <w:sz w:val="20"/>
                <w:szCs w:val="20"/>
                <w:color w:val="auto"/>
              </w:rPr>
            </w:pPr>
            <w:r>
              <w:rPr>
                <w:rFonts w:ascii="Courier New" w:cs="Courier New" w:eastAsia="Courier New" w:hAnsi="Courier New"/>
                <w:sz w:val="14"/>
                <w:szCs w:val="14"/>
                <w:color w:val="auto"/>
              </w:rPr>
              <w:t>of restricted stock award</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6"/>
        </w:trPr>
        <w:tc>
          <w:tcPr>
            <w:tcW w:w="4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forfeitures  . . . . . . . . . . . . . . . . .</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2,480</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930</w:t>
            </w:r>
          </w:p>
        </w:tc>
      </w:tr>
      <w:tr>
        <w:trPr>
          <w:trHeight w:val="166"/>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Change in foreign currency</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6"/>
        </w:trPr>
        <w:tc>
          <w:tcPr>
            <w:tcW w:w="4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translation adjustment . . . . . . . . . . . .</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(2,031)</w:t>
            </w: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6"/>
        </w:trPr>
        <w:tc>
          <w:tcPr>
            <w:tcW w:w="4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Other  . . . . . . . . . . . . . . . . . . . . .</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127</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6"/>
        </w:trPr>
        <w:tc>
          <w:tcPr>
            <w:tcW w:w="44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BALANCE JANUARY 2, 1994  . . . . . . . . . . . . .</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1,843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18,157</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21,354</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1,570,546</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2,908</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(527,389)</w:t>
            </w:r>
          </w:p>
        </w:tc>
      </w:tr>
      <w:tr>
        <w:trPr>
          <w:trHeight w:val="166"/>
        </w:trPr>
        <w:tc>
          <w:tcPr>
            <w:tcW w:w="4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Net income for the year  . . . . . . . . . . . .</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169,672</w:t>
            </w: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6"/>
        </w:trPr>
        <w:tc>
          <w:tcPr>
            <w:tcW w:w="4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Dividends -- $4.20 per share . . . . . . . . . .</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(48,721)</w:t>
            </w: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6"/>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Repurchase of 366,500 shares</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6"/>
        </w:trPr>
        <w:tc>
          <w:tcPr>
            <w:tcW w:w="4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of Class B common stock  . . . . . . . . . . .</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(86,660)</w:t>
            </w:r>
          </w:p>
        </w:tc>
      </w:tr>
      <w:tr>
        <w:trPr>
          <w:trHeight w:val="166"/>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Restricted stock award</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6"/>
        </w:trPr>
        <w:tc>
          <w:tcPr>
            <w:tcW w:w="4480" w:type="dxa"/>
            <w:vAlign w:val="bottom"/>
          </w:tcPr>
          <w:p>
            <w:pPr>
              <w:ind w:left="360"/>
              <w:spacing w:after="0"/>
              <w:rPr>
                <w:sz w:val="20"/>
                <w:szCs w:val="20"/>
                <w:color w:val="auto"/>
              </w:rPr>
            </w:pPr>
            <w:r>
              <w:rPr>
                <w:rFonts w:ascii="Courier New" w:cs="Courier New" w:eastAsia="Courier New" w:hAnsi="Courier New"/>
                <w:sz w:val="14"/>
                <w:szCs w:val="14"/>
                <w:color w:val="auto"/>
              </w:rPr>
              <w:t>forfeitures of 931 shares, net</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6"/>
        </w:trPr>
        <w:tc>
          <w:tcPr>
            <w:tcW w:w="4480" w:type="dxa"/>
            <w:vAlign w:val="bottom"/>
          </w:tcPr>
          <w:p>
            <w:pPr>
              <w:ind w:left="360"/>
              <w:spacing w:after="0"/>
              <w:rPr>
                <w:sz w:val="20"/>
                <w:szCs w:val="20"/>
                <w:color w:val="auto"/>
              </w:rPr>
            </w:pPr>
            <w:r>
              <w:rPr>
                <w:rFonts w:ascii="Courier New" w:cs="Courier New" w:eastAsia="Courier New" w:hAnsi="Courier New"/>
                <w:sz w:val="14"/>
                <w:szCs w:val="14"/>
                <w:color w:val="auto"/>
              </w:rPr>
              <w:t>of issuance of Class B</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6"/>
        </w:trPr>
        <w:tc>
          <w:tcPr>
            <w:tcW w:w="4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common stock . . . . . . . . . . . . . . . . .</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166"/>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Change in foreign currency</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6"/>
        </w:trPr>
        <w:tc>
          <w:tcPr>
            <w:tcW w:w="4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translation adjustment . . . . . . . . . . . .</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2,420</w:t>
            </w: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6"/>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Unrealized gain on available-for-sale</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6"/>
        </w:trPr>
        <w:tc>
          <w:tcPr>
            <w:tcW w:w="4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securities (net of taxes)  . . . . . . . . . .</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2,933</w:t>
            </w:r>
          </w:p>
        </w:tc>
        <w:tc>
          <w:tcPr>
            <w:tcW w:w="1100" w:type="dxa"/>
            <w:vAlign w:val="bottom"/>
          </w:tcPr>
          <w:p>
            <w:pPr>
              <w:spacing w:after="0"/>
              <w:rPr>
                <w:sz w:val="14"/>
                <w:szCs w:val="14"/>
                <w:color w:val="auto"/>
              </w:rPr>
            </w:pPr>
          </w:p>
        </w:tc>
      </w:tr>
      <w:tr>
        <w:trPr>
          <w:trHeight w:val="166"/>
        </w:trPr>
        <w:tc>
          <w:tcPr>
            <w:tcW w:w="4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Other  . . . . . . . . . . . . . . . . . . . . .</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6"/>
        </w:trPr>
        <w:tc>
          <w:tcPr>
            <w:tcW w:w="44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BALANCE JANUARY 1, 1995  . . . . . . . . . . . . .</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$1,843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$18,157</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$21,273</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$1,691,497</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$5,328</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$2,933</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$(614,098)</w:t>
            </w:r>
          </w:p>
        </w:tc>
      </w:tr>
      <w:tr>
        <w:trPr>
          <w:trHeight w:val="166"/>
        </w:trPr>
        <w:tc>
          <w:tcPr>
            <w:tcW w:w="44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4800" w:firstLine="86"/>
        <w:spacing w:after="0" w:line="255" w:lineRule="auto"/>
        <w:rPr>
          <w:sz w:val="20"/>
          <w:szCs w:val="20"/>
          <w:color w:val="auto"/>
        </w:rPr>
      </w:pPr>
      <w:r>
        <w:rPr>
          <w:rFonts w:ascii="Courier New" w:cs="Courier New" w:eastAsia="Courier New" w:hAnsi="Courier New"/>
          <w:sz w:val="14"/>
          <w:szCs w:val="14"/>
          <w:color w:val="auto"/>
        </w:rPr>
        <w:t>The information on pages 29 through 38 is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1360"/>
          </w:cols>
          <w:pgMar w:left="300" w:top="285" w:right="239"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4"/>
          <w:szCs w:val="14"/>
          <w:color w:val="auto"/>
        </w:rPr>
        <w:t>30</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right"/>
        <w:ind w:right="5839"/>
        <w:spacing w:after="0"/>
        <w:rPr>
          <w:sz w:val="20"/>
          <w:szCs w:val="20"/>
          <w:color w:val="auto"/>
        </w:rPr>
      </w:pPr>
      <w:r>
        <w:rPr>
          <w:rFonts w:ascii="Courier New" w:cs="Courier New" w:eastAsia="Courier New" w:hAnsi="Courier New"/>
          <w:sz w:val="14"/>
          <w:szCs w:val="14"/>
          <w:color w:val="auto"/>
        </w:rPr>
        <w:t>NOTES TO CONSOLIDATED</w:t>
      </w:r>
    </w:p>
    <w:p>
      <w:pPr>
        <w:spacing w:after="0" w:line="7" w:lineRule="exact"/>
        <w:rPr>
          <w:sz w:val="20"/>
          <w:szCs w:val="20"/>
          <w:color w:val="auto"/>
        </w:rPr>
      </w:pPr>
    </w:p>
    <w:p>
      <w:pPr>
        <w:jc w:val="right"/>
        <w:ind w:right="5839"/>
        <w:spacing w:after="0"/>
        <w:rPr>
          <w:sz w:val="20"/>
          <w:szCs w:val="20"/>
          <w:color w:val="auto"/>
        </w:rPr>
      </w:pPr>
      <w:r>
        <w:rPr>
          <w:rFonts w:ascii="Courier New" w:cs="Courier New" w:eastAsia="Courier New" w:hAnsi="Courier New"/>
          <w:sz w:val="14"/>
          <w:szCs w:val="14"/>
          <w:color w:val="auto"/>
        </w:rPr>
        <w:t>FINANCIAL STATEMENTS</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SUMMARY OF SIGNIFICANT ACCOUNTING POLICIES</w:t>
      </w:r>
    </w:p>
    <w:p>
      <w:pPr>
        <w:spacing w:after="0" w:line="173" w:lineRule="exact"/>
        <w:rPr>
          <w:sz w:val="20"/>
          <w:szCs w:val="20"/>
          <w:color w:val="auto"/>
        </w:rPr>
      </w:pPr>
    </w:p>
    <w:p>
      <w:pPr>
        <w:jc w:val="both"/>
        <w:ind w:right="3439"/>
        <w:spacing w:after="0" w:line="252" w:lineRule="auto"/>
        <w:rPr>
          <w:sz w:val="20"/>
          <w:szCs w:val="20"/>
          <w:color w:val="auto"/>
        </w:rPr>
      </w:pPr>
      <w:r>
        <w:rPr>
          <w:rFonts w:ascii="Courier New" w:cs="Courier New" w:eastAsia="Courier New" w:hAnsi="Courier New"/>
          <w:sz w:val="14"/>
          <w:szCs w:val="14"/>
          <w:color w:val="auto"/>
        </w:rPr>
        <w:t>The Washington Post Company ("the company") operates principally in four areas of the media business: newspaper publishing, television broadcasting, magazine publishing, and cable television. Segment data is set forth in Note M.</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FISCAL YEAR. The company reports on a 52-53 week fiscal year ending on the Sunday nearest December 31. The fiscal years 1994 and 1993, which ended January 1, 1995, and January 2, 1994, respectively, included 52 weeks, while 1992 included 53 weeks. With the exception of the newspaper publishing operations, subsidiaries of the company report on a calendar-year basis.</w:t>
      </w:r>
    </w:p>
    <w:p>
      <w:pPr>
        <w:spacing w:after="0" w:line="164" w:lineRule="exact"/>
        <w:rPr>
          <w:sz w:val="20"/>
          <w:szCs w:val="20"/>
          <w:color w:val="auto"/>
        </w:rPr>
      </w:pPr>
    </w:p>
    <w:p>
      <w:pPr>
        <w:ind w:right="3439"/>
        <w:spacing w:after="0" w:line="252" w:lineRule="auto"/>
        <w:rPr>
          <w:sz w:val="20"/>
          <w:szCs w:val="20"/>
          <w:color w:val="auto"/>
        </w:rPr>
      </w:pPr>
      <w:r>
        <w:rPr>
          <w:rFonts w:ascii="Courier New" w:cs="Courier New" w:eastAsia="Courier New" w:hAnsi="Courier New"/>
          <w:sz w:val="14"/>
          <w:szCs w:val="14"/>
          <w:color w:val="auto"/>
        </w:rPr>
        <w:t>PRINCIPLES OF CONSOLIDATION. The accompanying financial statements include the accounts of the company and its subsidiaries; significant intercompany transactions have been eliminated.</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CASH EQUIVALENTS. Short-term investments with maturities of 90 days or less are considered cash equivalents. The carrying amount reported approximates fair value.</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INVESTMENTS IN MARKETABLE SECURITIES. Marketable securities held to maturity consist of debt instruments that mature over 90 days from the purchase date and are stated at cost plus accrued interest. Other investments in marketable equity securities available for sale are classified in "Deferred charges and other assets" in the Consolidated Balance Sheets. In accordance with Statement of Financial Accounting Standards No. 115 (SFAS No. 115), any unrealized gains or losses (net of taxes) relating to such investments are included as a separate component of Shareholders' Equity.</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INVENTORIES. Inventories are valued at the lower of cost or market. Cost of newsprint is determined by the first-in, first-out method, and cost of magazine paper is determined by the specific-cost method.</w:t>
      </w:r>
    </w:p>
    <w:p>
      <w:pPr>
        <w:spacing w:after="0" w:line="16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INVESTMENTS IN AFFILIATES. The company uses the equity method of accounting for its investments in and earnings or losses of affiliates.</w:t>
      </w:r>
    </w:p>
    <w:p>
      <w:pPr>
        <w:spacing w:after="0" w:line="16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PROPERTY, PLANT, AND EQUIPMENT. Property, plant, and equipment is recorded at cost and includes interest capitalized in connection with major long-term construction projects. Replacements and major improvements are capitalized; maintenance and repairs are charged to operations as incurred.</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Depreciation is calculated using the straight-line method over the estimated useful lives of the property, plant, and equipment: 3 to 12 years for machinery and equipment, 20 to 50 years for buildings, and 5 to 20 years for land improvements. The costs of leasehold improvements are amortized over the lesser of the useful lives or the terms of the respective leases.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GOODWILL AND OTHER INTANGIBLES. Goodwill and other intangibles represent the unamortized excess of the cost of acquiring subsidiary companies over the fair values of such companies' net tangible assets at the dates of acquisition. Goodwill and other intangibles acquired prior to October 30, 1970, the effective date of Accounting Principles Board Opinion No. 17, are not being amortized because in the opinion of the company there has been no diminution of the value of such assets. Goodwill and other intangibles acquired subsequently are being amortized by use of the straight-line method over various periods up to 40 years.</w:t>
      </w:r>
    </w:p>
    <w:p>
      <w:pPr>
        <w:spacing w:after="0" w:line="329"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DEFERRED PROGRAM RIGHTS. The broadcast subsidiaries are parties to agreements that entitle them to show syndicated and other programs on television. The unamortized cost of these rights and the liability for future payments under these agreements are included in the Consolidated Balance Sheets. The unamortized cost is charged to operations using accelerated or straight-line rates for syndicated programs and accelerated amortization rates for other programs.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DEFERRED SUBSCRIPTION REVENUE AND MAGAZINE SUBSCRIPTION PROCUREMENT COSTS. Deferred subscription revenue, which primarily represents amounts received from customers in advance of magazine and newspaper deliveries, is included in revenues over the subscription term. Deferred subscription revenue to be earned after one year is included in "Other Liabilities" in the Consolidated Balance Sheets. Subscription procurement costs are charged to operations as incurred.</w:t>
      </w:r>
    </w:p>
    <w:p>
      <w:pPr>
        <w:spacing w:after="0" w:line="33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INCOME TAXES. The 1994 and 1993 provisions for income taxes have been determined under Statement of Financial Accounting Standards No. 109, "Accounting for Income Taxes" (SFAS No. 109), which requires the use of the asset and liability approach. Under this approach, deferred taxes represent the expected future tax consequences of temporary differences between the carrying amounts and tax bases of assets and liabilities.</w:t>
      </w:r>
    </w:p>
    <w:p>
      <w:pPr>
        <w:spacing w:after="0" w:line="164"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Prior to 1993 the provision for income taxes was determined under Accounting Principles Board (APB) Opinion No. 11, which required use of the deferred method.</w:t>
      </w:r>
    </w:p>
    <w:p>
      <w:pPr>
        <w:sectPr>
          <w:pgSz w:w="11900" w:h="16838" w:orient="portrait"/>
          <w:cols w:equalWidth="0" w:num="1">
            <w:col w:w="10159"/>
          </w:cols>
          <w:pgMar w:left="300" w:top="28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159"/>
          </w:cols>
          <w:pgMar w:left="300" w:top="285" w:right="1440" w:bottom="0" w:gutter="0" w:footer="0" w:header="0"/>
          <w:type w:val="continuous"/>
        </w:sectPr>
      </w:pPr>
    </w:p>
    <w:bookmarkStart w:id="30" w:name="page31"/>
    <w:bookmarkEnd w:id="30"/>
    <w:p>
      <w:pPr>
        <w:ind w:left="260"/>
        <w:spacing w:after="0"/>
        <w:rPr>
          <w:sz w:val="20"/>
          <w:szCs w:val="20"/>
          <w:color w:val="auto"/>
        </w:rPr>
      </w:pPr>
      <w:r>
        <w:rPr>
          <w:rFonts w:ascii="Courier New" w:cs="Courier New" w:eastAsia="Courier New" w:hAnsi="Courier New"/>
          <w:sz w:val="14"/>
          <w:szCs w:val="14"/>
          <w:color w:val="auto"/>
        </w:rPr>
        <w:t>31</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Under that method, the provision for income taxes was based on pre-tax financial income, which differed from taxable income because certain elements of income and expense were reflected in different periods for financial accounting and tax purposes. Deferred taxes were provided on these timing differences using the tax rate in effect when the timing differences originated, and the effects of reversing timing differences were reflected at those historical tax rates.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FOREIGN CURRENCY TRANSLATION. Gains and losses on foreign currency transactions and the translation of the accounts of the company's foreign operations where the U.S. dollar is the functional currency are recognized currently in the Consolidated Statements of Income. Gains and losses on translation of the accounts of the company's foreign operations where the local currency is the functional currency and the company's equity investments in its foreign affiliates are accumulated and reported separately in the "Cumulative foreign currency translation adjustment" in the Consolidated Balance Sheets.</w:t>
      </w:r>
    </w:p>
    <w:p>
      <w:pPr>
        <w:spacing w:after="0" w:line="163" w:lineRule="exact"/>
        <w:rPr>
          <w:sz w:val="20"/>
          <w:szCs w:val="20"/>
          <w:color w:val="auto"/>
        </w:rPr>
      </w:pPr>
    </w:p>
    <w:p>
      <w:pPr>
        <w:ind w:right="3439"/>
        <w:spacing w:after="0" w:line="252" w:lineRule="auto"/>
        <w:rPr>
          <w:sz w:val="20"/>
          <w:szCs w:val="20"/>
          <w:color w:val="auto"/>
        </w:rPr>
      </w:pPr>
      <w:r>
        <w:rPr>
          <w:rFonts w:ascii="Courier New" w:cs="Courier New" w:eastAsia="Courier New" w:hAnsi="Courier New"/>
          <w:sz w:val="14"/>
          <w:szCs w:val="14"/>
          <w:color w:val="auto"/>
        </w:rPr>
        <w:t>POSTRETIREMENT BENEFITS OTHER THAN PENSIONS. The company provides certain health care and life insurance benefits for retired employees. The expected cost of providing these postretirement benefits is accrued over the years that employees render services.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 INVESTMENTS IN MARKETABLE DEBT SECURITIES</w:t>
      </w:r>
    </w:p>
    <w:p>
      <w:pPr>
        <w:spacing w:after="0" w:line="173" w:lineRule="exact"/>
        <w:rPr>
          <w:sz w:val="20"/>
          <w:szCs w:val="20"/>
          <w:color w:val="auto"/>
        </w:rPr>
      </w:pPr>
    </w:p>
    <w:p>
      <w:pPr>
        <w:ind w:right="3699"/>
        <w:spacing w:after="0" w:line="255" w:lineRule="auto"/>
        <w:rPr>
          <w:sz w:val="20"/>
          <w:szCs w:val="20"/>
          <w:color w:val="auto"/>
        </w:rPr>
      </w:pPr>
      <w:r>
        <w:rPr>
          <w:rFonts w:ascii="Courier New" w:cs="Courier New" w:eastAsia="Courier New" w:hAnsi="Courier New"/>
          <w:sz w:val="14"/>
          <w:szCs w:val="14"/>
          <w:color w:val="auto"/>
        </w:rPr>
        <w:t>The company's marketable debt securities at January 1, 1995, and January 2, 1994, include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tabs>
          <w:tab w:leader="none" w:pos="4900" w:val="left"/>
        </w:tabs>
        <w:rPr>
          <w:sz w:val="20"/>
          <w:szCs w:val="20"/>
          <w:color w:val="auto"/>
        </w:rPr>
      </w:pP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740" w:type="dxa"/>
            <w:vAlign w:val="bottom"/>
          </w:tcPr>
          <w:p>
            <w:pPr>
              <w:jc w:val="right"/>
              <w:ind w:right="1028"/>
              <w:spacing w:after="0"/>
              <w:rPr>
                <w:sz w:val="20"/>
                <w:szCs w:val="20"/>
                <w:color w:val="auto"/>
              </w:rPr>
            </w:pPr>
            <w:r>
              <w:rPr>
                <w:rFonts w:ascii="Courier New" w:cs="Courier New" w:eastAsia="Courier New" w:hAnsi="Courier New"/>
                <w:sz w:val="14"/>
                <w:szCs w:val="14"/>
                <w:color w:val="auto"/>
              </w:rPr>
              <w:t>U.S. Government and</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2740" w:type="dxa"/>
            <w:vAlign w:val="bottom"/>
          </w:tcPr>
          <w:p>
            <w:pPr>
              <w:jc w:val="right"/>
              <w:ind w:right="1028"/>
              <w:spacing w:after="0"/>
              <w:rPr>
                <w:sz w:val="20"/>
                <w:szCs w:val="20"/>
                <w:color w:val="auto"/>
              </w:rPr>
            </w:pPr>
            <w:r>
              <w:rPr>
                <w:rFonts w:ascii="Courier New" w:cs="Courier New" w:eastAsia="Courier New" w:hAnsi="Courier New"/>
                <w:sz w:val="14"/>
                <w:szCs w:val="14"/>
                <w:color w:val="auto"/>
              </w:rPr>
              <w:t>Government agency</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2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obligations  . . . . . .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9,844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$237,655</w:t>
            </w:r>
          </w:p>
        </w:tc>
      </w:tr>
      <w:tr>
        <w:trPr>
          <w:trHeight w:val="166"/>
        </w:trPr>
        <w:tc>
          <w:tcPr>
            <w:tcW w:w="2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Commercial paper   . . . . .</w:t>
            </w:r>
          </w:p>
        </w:tc>
        <w:tc>
          <w:tcPr>
            <w:tcW w:w="44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14,726</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20,757</w:t>
            </w:r>
          </w:p>
        </w:tc>
      </w:tr>
      <w:tr>
        <w:trPr>
          <w:trHeight w:val="166"/>
        </w:trPr>
        <w:tc>
          <w:tcPr>
            <w:tcW w:w="2740" w:type="dxa"/>
            <w:vAlign w:val="bottom"/>
          </w:tcPr>
          <w:p>
            <w:pPr>
              <w:spacing w:after="0"/>
              <w:rPr>
                <w:sz w:val="14"/>
                <w:szCs w:val="14"/>
                <w:color w:val="auto"/>
              </w:rPr>
            </w:pPr>
          </w:p>
        </w:tc>
        <w:tc>
          <w:tcPr>
            <w:tcW w:w="14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7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24,570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$258,412</w:t>
            </w:r>
          </w:p>
        </w:tc>
      </w:tr>
      <w:tr>
        <w:trPr>
          <w:trHeight w:val="166"/>
        </w:trPr>
        <w:tc>
          <w:tcPr>
            <w:tcW w:w="2740" w:type="dxa"/>
            <w:vAlign w:val="bottom"/>
          </w:tcPr>
          <w:p>
            <w:pPr>
              <w:spacing w:after="0"/>
              <w:rPr>
                <w:sz w:val="14"/>
                <w:szCs w:val="14"/>
                <w:color w:val="auto"/>
              </w:rPr>
            </w:pPr>
          </w:p>
        </w:tc>
        <w:tc>
          <w:tcPr>
            <w:tcW w:w="14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 ACCOUNTS RECEIVABLE AND ACCOUNTS PAYABLE AND ACCRUED LIABILITIES</w:t>
      </w:r>
    </w:p>
    <w:p>
      <w:pPr>
        <w:spacing w:after="0" w:line="173" w:lineRule="exact"/>
        <w:rPr>
          <w:sz w:val="20"/>
          <w:szCs w:val="20"/>
          <w:color w:val="auto"/>
        </w:rPr>
      </w:pPr>
    </w:p>
    <w:p>
      <w:pPr>
        <w:ind w:right="3699"/>
        <w:spacing w:after="0" w:line="255" w:lineRule="auto"/>
        <w:rPr>
          <w:sz w:val="20"/>
          <w:szCs w:val="20"/>
          <w:color w:val="auto"/>
        </w:rPr>
      </w:pPr>
      <w:r>
        <w:rPr>
          <w:rFonts w:ascii="Courier New" w:cs="Courier New" w:eastAsia="Courier New" w:hAnsi="Courier New"/>
          <w:sz w:val="14"/>
          <w:szCs w:val="14"/>
          <w:color w:val="auto"/>
        </w:rPr>
        <w:t>Accounts receivable at January 1, 1995, and January 2, 1994, consist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tabs>
          <w:tab w:leader="none" w:pos="5060" w:val="left"/>
        </w:tabs>
        <w:rPr>
          <w:sz w:val="20"/>
          <w:szCs w:val="20"/>
          <w:color w:val="auto"/>
        </w:rPr>
      </w:pP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260" w:type="dxa"/>
            <w:vAlign w:val="bottom"/>
          </w:tcPr>
          <w:p>
            <w:pPr>
              <w:spacing w:after="0"/>
              <w:rPr>
                <w:sz w:val="20"/>
                <w:szCs w:val="20"/>
                <w:color w:val="auto"/>
              </w:rPr>
            </w:pPr>
            <w:r>
              <w:rPr>
                <w:rFonts w:ascii="Courier New" w:cs="Courier New" w:eastAsia="Courier New" w:hAnsi="Courier New"/>
                <w:sz w:val="14"/>
                <w:szCs w:val="14"/>
                <w:color w:val="auto"/>
              </w:rPr>
              <w:t>Accounts receivable, less</w:t>
            </w: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60" w:type="dxa"/>
            <w:vAlign w:val="bottom"/>
          </w:tcPr>
          <w:p>
            <w:pPr>
              <w:ind w:left="160"/>
              <w:spacing w:after="0"/>
              <w:rPr>
                <w:sz w:val="20"/>
                <w:szCs w:val="20"/>
                <w:color w:val="auto"/>
              </w:rPr>
            </w:pPr>
            <w:r>
              <w:rPr>
                <w:rFonts w:ascii="Courier New" w:cs="Courier New" w:eastAsia="Courier New" w:hAnsi="Courier New"/>
                <w:sz w:val="14"/>
                <w:szCs w:val="14"/>
                <w:color w:val="auto"/>
              </w:rPr>
              <w:t>estimated returns, doubtful</w:t>
            </w: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60" w:type="dxa"/>
            <w:vAlign w:val="bottom"/>
          </w:tcPr>
          <w:p>
            <w:pPr>
              <w:ind w:left="160"/>
              <w:spacing w:after="0"/>
              <w:rPr>
                <w:sz w:val="20"/>
                <w:szCs w:val="20"/>
                <w:color w:val="auto"/>
              </w:rPr>
            </w:pPr>
            <w:r>
              <w:rPr>
                <w:rFonts w:ascii="Courier New" w:cs="Courier New" w:eastAsia="Courier New" w:hAnsi="Courier New"/>
                <w:sz w:val="14"/>
                <w:szCs w:val="14"/>
                <w:color w:val="auto"/>
              </w:rPr>
              <w:t>accounts and allowances</w:t>
            </w: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60" w:type="dxa"/>
            <w:vAlign w:val="bottom"/>
          </w:tcPr>
          <w:p>
            <w:pPr>
              <w:ind w:left="160"/>
              <w:spacing w:after="0"/>
              <w:rPr>
                <w:sz w:val="20"/>
                <w:szCs w:val="20"/>
                <w:color w:val="auto"/>
              </w:rPr>
            </w:pPr>
            <w:r>
              <w:rPr>
                <w:rFonts w:ascii="Courier New" w:cs="Courier New" w:eastAsia="Courier New" w:hAnsi="Courier New"/>
                <w:sz w:val="14"/>
                <w:szCs w:val="14"/>
                <w:color w:val="auto"/>
              </w:rPr>
              <w:t>of $39,943 and $38,602 . . . . . .</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$165,352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$129,976</w:t>
            </w:r>
          </w:p>
        </w:tc>
      </w:tr>
      <w:tr>
        <w:trPr>
          <w:trHeight w:val="166"/>
        </w:trPr>
        <w:tc>
          <w:tcPr>
            <w:tcW w:w="3260" w:type="dxa"/>
            <w:vAlign w:val="bottom"/>
          </w:tcPr>
          <w:p>
            <w:pPr>
              <w:spacing w:after="0"/>
              <w:rPr>
                <w:sz w:val="20"/>
                <w:szCs w:val="20"/>
                <w:color w:val="auto"/>
              </w:rPr>
            </w:pPr>
            <w:r>
              <w:rPr>
                <w:rFonts w:ascii="Courier New" w:cs="Courier New" w:eastAsia="Courier New" w:hAnsi="Courier New"/>
                <w:sz w:val="14"/>
                <w:szCs w:val="14"/>
                <w:color w:val="auto"/>
              </w:rPr>
              <w:t>Other  . . . . . . . . . . . . . . .</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10,089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10,542</w:t>
            </w:r>
          </w:p>
        </w:tc>
      </w:tr>
      <w:tr>
        <w:trPr>
          <w:trHeight w:val="166"/>
        </w:trPr>
        <w:tc>
          <w:tcPr>
            <w:tcW w:w="32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$175,441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$140,518</w:t>
            </w:r>
          </w:p>
        </w:tc>
      </w:tr>
      <w:tr>
        <w:trPr>
          <w:trHeight w:val="166"/>
        </w:trPr>
        <w:tc>
          <w:tcPr>
            <w:tcW w:w="32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right="3699"/>
        <w:spacing w:after="0" w:line="255" w:lineRule="auto"/>
        <w:rPr>
          <w:sz w:val="20"/>
          <w:szCs w:val="20"/>
          <w:color w:val="auto"/>
        </w:rPr>
      </w:pPr>
      <w:r>
        <w:rPr>
          <w:rFonts w:ascii="Courier New" w:cs="Courier New" w:eastAsia="Courier New" w:hAnsi="Courier New"/>
          <w:sz w:val="14"/>
          <w:szCs w:val="14"/>
          <w:color w:val="auto"/>
        </w:rPr>
        <w:t>Accounts payable and accrued liabilities at January 1, 1995, and January 2, 1994, consist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80"/>
        <w:spacing w:after="0"/>
        <w:tabs>
          <w:tab w:leader="none" w:pos="6440" w:val="left"/>
        </w:tabs>
        <w:rPr>
          <w:sz w:val="20"/>
          <w:szCs w:val="20"/>
          <w:color w:val="auto"/>
        </w:rPr>
      </w:pP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Accounts payable and</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3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accrued expenses . . . . . . . . . . . .</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99,106</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$ 91,831</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Accrued payroll and</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3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related benefits . . . . . . . . . . . .</w:t>
            </w:r>
          </w:p>
        </w:tc>
        <w:tc>
          <w:tcPr>
            <w:tcW w:w="38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40,143</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31,747</w:t>
            </w:r>
          </w:p>
        </w:tc>
      </w:tr>
      <w:tr>
        <w:trPr>
          <w:trHeight w:val="166"/>
        </w:trPr>
        <w:tc>
          <w:tcPr>
            <w:tcW w:w="3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Accrued interest expense . . . . . . . . .</w:t>
            </w:r>
          </w:p>
        </w:tc>
        <w:tc>
          <w:tcPr>
            <w:tcW w:w="38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4,246</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4,437</w:t>
            </w:r>
          </w:p>
        </w:tc>
      </w:tr>
      <w:tr>
        <w:trPr>
          <w:trHeight w:val="166"/>
        </w:trPr>
        <w:tc>
          <w:tcPr>
            <w:tcW w:w="3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Deferred tuition revenue . . . . . . . . .</w:t>
            </w:r>
          </w:p>
        </w:tc>
        <w:tc>
          <w:tcPr>
            <w:tcW w:w="38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14,752</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12,564</w:t>
            </w:r>
          </w:p>
        </w:tc>
      </w:tr>
      <w:tr>
        <w:trPr>
          <w:trHeight w:val="166"/>
        </w:trPr>
        <w:tc>
          <w:tcPr>
            <w:tcW w:w="3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Film contracts payable . . . . . . . . . .</w:t>
            </w:r>
          </w:p>
        </w:tc>
        <w:tc>
          <w:tcPr>
            <w:tcW w:w="38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18,408</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14,978</w:t>
            </w:r>
          </w:p>
        </w:tc>
      </w:tr>
      <w:tr>
        <w:trPr>
          <w:trHeight w:val="166"/>
        </w:trPr>
        <w:tc>
          <w:tcPr>
            <w:tcW w:w="3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Due to affiliates (newsprint)  . . . . . .</w:t>
            </w:r>
          </w:p>
        </w:tc>
        <w:tc>
          <w:tcPr>
            <w:tcW w:w="38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9,474</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7,996</w:t>
            </w:r>
          </w:p>
        </w:tc>
      </w:tr>
      <w:tr>
        <w:trPr>
          <w:trHeight w:val="166"/>
        </w:trPr>
        <w:tc>
          <w:tcPr>
            <w:tcW w:w="3920" w:type="dxa"/>
            <w:vAlign w:val="bottom"/>
          </w:tcPr>
          <w:p>
            <w:pPr>
              <w:spacing w:after="0"/>
              <w:rPr>
                <w:sz w:val="14"/>
                <w:szCs w:val="14"/>
                <w:color w:val="auto"/>
              </w:rPr>
            </w:pPr>
          </w:p>
        </w:tc>
        <w:tc>
          <w:tcPr>
            <w:tcW w:w="15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8"/>
              </w:rPr>
              <w:t>186,129</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$163,553</w:t>
            </w:r>
          </w:p>
        </w:tc>
      </w:tr>
      <w:tr>
        <w:trPr>
          <w:trHeight w:val="166"/>
        </w:trPr>
        <w:tc>
          <w:tcPr>
            <w:tcW w:w="3920" w:type="dxa"/>
            <w:vAlign w:val="bottom"/>
          </w:tcPr>
          <w:p>
            <w:pPr>
              <w:spacing w:after="0"/>
              <w:rPr>
                <w:sz w:val="14"/>
                <w:szCs w:val="14"/>
                <w:color w:val="auto"/>
              </w:rPr>
            </w:pPr>
          </w:p>
        </w:tc>
        <w:tc>
          <w:tcPr>
            <w:tcW w:w="15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 INVESTMENTS IN AFFILIATES</w:t>
      </w:r>
    </w:p>
    <w:p>
      <w:pPr>
        <w:spacing w:after="0" w:line="17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The company's investments in affiliates at January 1, 1995, and January 2, 1994, include the following (in thousands):</w:t>
      </w:r>
    </w:p>
    <w:p>
      <w:pPr>
        <w:sectPr>
          <w:pgSz w:w="11900" w:h="16838" w:orient="portrait"/>
          <w:cols w:equalWidth="0" w:num="1">
            <w:col w:w="10159"/>
          </w:cols>
          <w:pgMar w:left="300" w:top="285" w:right="1440" w:bottom="0" w:gutter="0" w:footer="0" w:header="0"/>
        </w:sectPr>
      </w:pPr>
    </w:p>
    <w:bookmarkStart w:id="31" w:name="page32"/>
    <w:bookmarkEnd w:id="31"/>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580"/>
        <w:spacing w:after="0"/>
        <w:tabs>
          <w:tab w:leader="none" w:pos="6440" w:val="left"/>
        </w:tabs>
        <w:rPr>
          <w:sz w:val="20"/>
          <w:szCs w:val="20"/>
          <w:color w:val="auto"/>
        </w:rPr>
      </w:pP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Cowles Media Company . . . . . . . . . . .</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$ 81,514</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$ 80,786</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Newsprint mills  . . . . . . . . . . . . .</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60,782</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50,172</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Other  . . . . . . . . . . . . . . . . . .</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28,458</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24,293</w:t>
            </w:r>
          </w:p>
        </w:tc>
      </w:tr>
      <w:tr>
        <w:trPr>
          <w:trHeight w:val="166"/>
        </w:trPr>
        <w:tc>
          <w:tcPr>
            <w:tcW w:w="3960" w:type="dxa"/>
            <w:vAlign w:val="bottom"/>
          </w:tcPr>
          <w:p>
            <w:pPr>
              <w:spacing w:after="0"/>
              <w:rPr>
                <w:sz w:val="14"/>
                <w:szCs w:val="14"/>
                <w:color w:val="auto"/>
              </w:rPr>
            </w:pP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60" w:type="dxa"/>
            <w:vAlign w:val="bottom"/>
          </w:tcPr>
          <w:p>
            <w:pPr>
              <w:spacing w:after="0"/>
              <w:rPr>
                <w:sz w:val="14"/>
                <w:szCs w:val="14"/>
                <w:color w:val="auto"/>
              </w:rPr>
            </w:pP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$170,754</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$155,251</w:t>
            </w:r>
          </w:p>
        </w:tc>
      </w:tr>
      <w:tr>
        <w:trPr>
          <w:trHeight w:val="166"/>
        </w:trPr>
        <w:tc>
          <w:tcPr>
            <w:tcW w:w="3960" w:type="dxa"/>
            <w:vAlign w:val="bottom"/>
          </w:tcPr>
          <w:p>
            <w:pPr>
              <w:spacing w:after="0"/>
              <w:rPr>
                <w:sz w:val="14"/>
                <w:szCs w:val="14"/>
                <w:color w:val="auto"/>
              </w:rPr>
            </w:pP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company's investments in affiliates includes a 28 percent interest in the stock of Cowles Media Company, which owns and operates the Minneapolis Star Tribune and several other smaller properties.</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company's interest in newsprint mills includes a 49 percent interest in the common stock of Bowater Mersey Paper Company Limited, which owns and operates a newsprint mill in Nova Scotia; a 35 percent limited partnership interest in Bear Island Paper Company, which owns and operates a newsprint mill near Richmond, Virginia; and a 35 percent limited partnership interest in Bear Island Timberlands Company, which owns timberland and supplies Bear Island Paper Company with a major portion of its wood requirements. In 1993 and 1992 the company's ownership of Bear Island Timberlands Company and Bear Island Paper Company was a one-third limited partnership interest in each company. Operating costs and expenses of the company include newsprint supplied by Bowater, Inc. (parent to Bowater Mersey Paper Company), and Bear Island Paper Company and used in operations, the cost of which was approximately $53,200,000 in 1994, $52,500,000 in 1993, and $51,000,000 in 1992.</w:t>
      </w:r>
    </w:p>
    <w:p>
      <w:pPr>
        <w:spacing w:after="0" w:line="171"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The company's other investments represent a 50 percent common stock interest in the International Herald Tribune newspaper, published near Paris, France, and a 50 percent common stock interest in the Los Angeles Times-Washington Post News Service, Inc.</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159"/>
          </w:cols>
          <w:pgMar w:left="300" w:top="473" w:right="1440" w:bottom="1440" w:gutter="0" w:footer="0" w:header="0"/>
        </w:sectPr>
      </w:pPr>
    </w:p>
    <w:bookmarkStart w:id="32" w:name="page33"/>
    <w:bookmarkEnd w:id="32"/>
    <w:p>
      <w:pPr>
        <w:spacing w:after="0" w:line="3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32</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699"/>
        <w:spacing w:after="0" w:line="255" w:lineRule="auto"/>
        <w:rPr>
          <w:sz w:val="20"/>
          <w:szCs w:val="20"/>
          <w:color w:val="auto"/>
        </w:rPr>
      </w:pPr>
      <w:r>
        <w:rPr>
          <w:rFonts w:ascii="Courier New" w:cs="Courier New" w:eastAsia="Courier New" w:hAnsi="Courier New"/>
          <w:sz w:val="14"/>
          <w:szCs w:val="14"/>
          <w:color w:val="auto"/>
        </w:rPr>
        <w:t>Summarized financial data for the affiliates' operations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840"/>
        <w:spacing w:after="0"/>
        <w:tabs>
          <w:tab w:leader="none" w:pos="6180" w:val="left"/>
          <w:tab w:leader="none" w:pos="7480" w:val="left"/>
        </w:tabs>
        <w:rPr>
          <w:sz w:val="20"/>
          <w:szCs w:val="20"/>
          <w:color w:val="auto"/>
        </w:rPr>
      </w:pP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FINANCIAL POSITION</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000" w:type="dxa"/>
            <w:vAlign w:val="bottom"/>
          </w:tcPr>
          <w:p>
            <w:pPr>
              <w:spacing w:after="0"/>
              <w:rPr>
                <w:sz w:val="20"/>
                <w:szCs w:val="20"/>
                <w:color w:val="auto"/>
              </w:rPr>
            </w:pPr>
            <w:r>
              <w:rPr>
                <w:rFonts w:ascii="Courier New" w:cs="Courier New" w:eastAsia="Courier New" w:hAnsi="Courier New"/>
                <w:sz w:val="14"/>
                <w:szCs w:val="14"/>
                <w:color w:val="auto"/>
              </w:rPr>
              <w:t>Working capital  . . . . . . . . . . . . .</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(125,667)</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(67,923)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(119,505)</w:t>
            </w:r>
          </w:p>
        </w:tc>
      </w:tr>
      <w:tr>
        <w:trPr>
          <w:trHeight w:val="166"/>
        </w:trPr>
        <w:tc>
          <w:tcPr>
            <w:tcW w:w="4000" w:type="dxa"/>
            <w:vAlign w:val="bottom"/>
          </w:tcPr>
          <w:p>
            <w:pPr>
              <w:spacing w:after="0"/>
              <w:rPr>
                <w:sz w:val="20"/>
                <w:szCs w:val="20"/>
                <w:color w:val="auto"/>
              </w:rPr>
            </w:pPr>
            <w:r>
              <w:rPr>
                <w:rFonts w:ascii="Courier New" w:cs="Courier New" w:eastAsia="Courier New" w:hAnsi="Courier New"/>
                <w:sz w:val="14"/>
                <w:szCs w:val="14"/>
                <w:color w:val="auto"/>
              </w:rPr>
              <w:t>Property, plant,</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000" w:type="dxa"/>
            <w:vAlign w:val="bottom"/>
          </w:tcPr>
          <w:p>
            <w:pPr>
              <w:ind w:left="160"/>
              <w:spacing w:after="0"/>
              <w:rPr>
                <w:sz w:val="20"/>
                <w:szCs w:val="20"/>
                <w:color w:val="auto"/>
              </w:rPr>
            </w:pPr>
            <w:r>
              <w:rPr>
                <w:rFonts w:ascii="Courier New" w:cs="Courier New" w:eastAsia="Courier New" w:hAnsi="Courier New"/>
                <w:sz w:val="14"/>
                <w:szCs w:val="14"/>
                <w:color w:val="auto"/>
              </w:rPr>
              <w:t>and equipment  . . . . . . . . . . . . .</w:t>
            </w:r>
          </w:p>
        </w:tc>
        <w:tc>
          <w:tcPr>
            <w:tcW w:w="48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407,235</w:t>
            </w:r>
          </w:p>
        </w:tc>
        <w:tc>
          <w:tcPr>
            <w:tcW w:w="40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422,606</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436,620</w:t>
            </w:r>
          </w:p>
        </w:tc>
      </w:tr>
      <w:tr>
        <w:trPr>
          <w:trHeight w:val="166"/>
        </w:trPr>
        <w:tc>
          <w:tcPr>
            <w:tcW w:w="4000" w:type="dxa"/>
            <w:vAlign w:val="bottom"/>
          </w:tcPr>
          <w:p>
            <w:pPr>
              <w:spacing w:after="0"/>
              <w:rPr>
                <w:sz w:val="20"/>
                <w:szCs w:val="20"/>
                <w:color w:val="auto"/>
              </w:rPr>
            </w:pPr>
            <w:r>
              <w:rPr>
                <w:rFonts w:ascii="Courier New" w:cs="Courier New" w:eastAsia="Courier New" w:hAnsi="Courier New"/>
                <w:sz w:val="14"/>
                <w:szCs w:val="14"/>
                <w:color w:val="auto"/>
              </w:rPr>
              <w:t>Total assets   . . . . . . . . . . . . . .</w:t>
            </w:r>
          </w:p>
        </w:tc>
        <w:tc>
          <w:tcPr>
            <w:tcW w:w="48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749,165</w:t>
            </w:r>
          </w:p>
        </w:tc>
        <w:tc>
          <w:tcPr>
            <w:tcW w:w="40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732,940</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718,352</w:t>
            </w:r>
          </w:p>
        </w:tc>
      </w:tr>
      <w:tr>
        <w:trPr>
          <w:trHeight w:val="166"/>
        </w:trPr>
        <w:tc>
          <w:tcPr>
            <w:tcW w:w="4000" w:type="dxa"/>
            <w:vAlign w:val="bottom"/>
          </w:tcPr>
          <w:p>
            <w:pPr>
              <w:spacing w:after="0"/>
              <w:rPr>
                <w:sz w:val="20"/>
                <w:szCs w:val="20"/>
                <w:color w:val="auto"/>
              </w:rPr>
            </w:pPr>
            <w:r>
              <w:rPr>
                <w:rFonts w:ascii="Courier New" w:cs="Courier New" w:eastAsia="Courier New" w:hAnsi="Courier New"/>
                <w:sz w:val="14"/>
                <w:szCs w:val="14"/>
                <w:color w:val="auto"/>
              </w:rPr>
              <w:t>Long-term debt   . . . . . . . . . . . . .</w:t>
            </w:r>
          </w:p>
        </w:tc>
        <w:tc>
          <w:tcPr>
            <w:tcW w:w="48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180,988</w:t>
            </w:r>
          </w:p>
        </w:tc>
        <w:tc>
          <w:tcPr>
            <w:tcW w:w="40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200,105</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197,203</w:t>
            </w:r>
          </w:p>
        </w:tc>
      </w:tr>
      <w:tr>
        <w:trPr>
          <w:trHeight w:val="166"/>
        </w:trPr>
        <w:tc>
          <w:tcPr>
            <w:tcW w:w="4000" w:type="dxa"/>
            <w:vAlign w:val="bottom"/>
          </w:tcPr>
          <w:p>
            <w:pPr>
              <w:spacing w:after="0"/>
              <w:rPr>
                <w:sz w:val="20"/>
                <w:szCs w:val="20"/>
                <w:color w:val="auto"/>
              </w:rPr>
            </w:pPr>
            <w:r>
              <w:rPr>
                <w:rFonts w:ascii="Courier New" w:cs="Courier New" w:eastAsia="Courier New" w:hAnsi="Courier New"/>
                <w:sz w:val="14"/>
                <w:szCs w:val="14"/>
                <w:color w:val="auto"/>
              </w:rPr>
              <w:t>Net equity   . . . . . . . . . . . . . . .</w:t>
            </w:r>
          </w:p>
        </w:tc>
        <w:tc>
          <w:tcPr>
            <w:tcW w:w="48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213,484</w:t>
            </w:r>
          </w:p>
        </w:tc>
        <w:tc>
          <w:tcPr>
            <w:tcW w:w="40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172,332</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175,618</w:t>
            </w:r>
          </w:p>
        </w:tc>
      </w:tr>
      <w:tr>
        <w:trPr>
          <w:trHeight w:val="331"/>
        </w:trPr>
        <w:tc>
          <w:tcPr>
            <w:tcW w:w="4000" w:type="dxa"/>
            <w:vAlign w:val="bottom"/>
          </w:tcPr>
          <w:p>
            <w:pPr>
              <w:spacing w:after="0"/>
              <w:rPr>
                <w:sz w:val="20"/>
                <w:szCs w:val="20"/>
                <w:color w:val="auto"/>
              </w:rPr>
            </w:pPr>
            <w:r>
              <w:rPr>
                <w:rFonts w:ascii="Courier New" w:cs="Courier New" w:eastAsia="Courier New" w:hAnsi="Courier New"/>
                <w:sz w:val="14"/>
                <w:szCs w:val="14"/>
                <w:color w:val="auto"/>
              </w:rPr>
              <w:t>RESULTS OF OPERATIONS</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000" w:type="dxa"/>
            <w:vAlign w:val="bottom"/>
          </w:tcPr>
          <w:p>
            <w:pPr>
              <w:spacing w:after="0"/>
              <w:rPr>
                <w:sz w:val="20"/>
                <w:szCs w:val="20"/>
                <w:color w:val="auto"/>
              </w:rPr>
            </w:pPr>
            <w:r>
              <w:rPr>
                <w:rFonts w:ascii="Courier New" w:cs="Courier New" w:eastAsia="Courier New" w:hAnsi="Courier New"/>
                <w:sz w:val="14"/>
                <w:szCs w:val="14"/>
                <w:color w:val="auto"/>
              </w:rPr>
              <w:t>Operating revenues . . . . . . . . . . . .</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766,232</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610,617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650,194</w:t>
            </w:r>
          </w:p>
        </w:tc>
      </w:tr>
      <w:tr>
        <w:trPr>
          <w:trHeight w:val="166"/>
        </w:trPr>
        <w:tc>
          <w:tcPr>
            <w:tcW w:w="4000" w:type="dxa"/>
            <w:vAlign w:val="bottom"/>
          </w:tcPr>
          <w:p>
            <w:pPr>
              <w:spacing w:after="0"/>
              <w:rPr>
                <w:sz w:val="20"/>
                <w:szCs w:val="20"/>
                <w:color w:val="auto"/>
              </w:rPr>
            </w:pPr>
            <w:r>
              <w:rPr>
                <w:rFonts w:ascii="Courier New" w:cs="Courier New" w:eastAsia="Courier New" w:hAnsi="Courier New"/>
                <w:sz w:val="14"/>
                <w:szCs w:val="14"/>
                <w:color w:val="auto"/>
              </w:rPr>
              <w:t>Operating income   . . . . . . . . . . . .</w:t>
            </w:r>
          </w:p>
        </w:tc>
        <w:tc>
          <w:tcPr>
            <w:tcW w:w="48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46,741</w:t>
            </w:r>
          </w:p>
        </w:tc>
        <w:tc>
          <w:tcPr>
            <w:tcW w:w="40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43,569</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20,500</w:t>
            </w:r>
          </w:p>
        </w:tc>
      </w:tr>
      <w:tr>
        <w:trPr>
          <w:trHeight w:val="166"/>
        </w:trPr>
        <w:tc>
          <w:tcPr>
            <w:tcW w:w="4000" w:type="dxa"/>
            <w:vAlign w:val="bottom"/>
          </w:tcPr>
          <w:p>
            <w:pPr>
              <w:spacing w:after="0"/>
              <w:rPr>
                <w:sz w:val="20"/>
                <w:szCs w:val="20"/>
                <w:color w:val="auto"/>
              </w:rPr>
            </w:pPr>
            <w:r>
              <w:rPr>
                <w:rFonts w:ascii="Courier New" w:cs="Courier New" w:eastAsia="Courier New" w:hAnsi="Courier New"/>
                <w:sz w:val="14"/>
                <w:szCs w:val="14"/>
                <w:color w:val="auto"/>
              </w:rPr>
              <w:t>Net income (loss)  . . . . . . . . . . . .</w:t>
            </w:r>
          </w:p>
        </w:tc>
        <w:tc>
          <w:tcPr>
            <w:tcW w:w="48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29,235</w:t>
            </w:r>
          </w:p>
        </w:tc>
        <w:tc>
          <w:tcPr>
            <w:tcW w:w="40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7,218</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(13,175)</w:t>
            </w:r>
          </w:p>
        </w:tc>
      </w:tr>
    </w:tbl>
    <w:p>
      <w:pPr>
        <w:spacing w:after="0" w:line="335" w:lineRule="exact"/>
        <w:rPr>
          <w:sz w:val="20"/>
          <w:szCs w:val="20"/>
          <w:color w:val="auto"/>
        </w:rPr>
      </w:pPr>
    </w:p>
    <w:p>
      <w:pPr>
        <w:ind w:right="4039" w:firstLine="86"/>
        <w:spacing w:after="0" w:line="255" w:lineRule="auto"/>
        <w:rPr>
          <w:sz w:val="20"/>
          <w:szCs w:val="20"/>
          <w:color w:val="auto"/>
        </w:rPr>
      </w:pPr>
      <w:r>
        <w:rPr>
          <w:rFonts w:ascii="Courier New" w:cs="Courier New" w:eastAsia="Courier New" w:hAnsi="Courier New"/>
          <w:sz w:val="14"/>
          <w:szCs w:val="14"/>
          <w:color w:val="auto"/>
        </w:rPr>
        <w:t>The following table summarizes the status and results of the company's investments in affiliates (in thousands):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120"/>
        <w:spacing w:after="0"/>
        <w:tabs>
          <w:tab w:leader="none" w:pos="7400" w:val="left"/>
        </w:tabs>
        <w:rPr>
          <w:sz w:val="20"/>
          <w:szCs w:val="20"/>
          <w:color w:val="auto"/>
        </w:rPr>
      </w:pP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4740" w:type="dxa"/>
            <w:vAlign w:val="bottom"/>
          </w:tcPr>
          <w:p>
            <w:pPr>
              <w:spacing w:after="0"/>
              <w:rPr>
                <w:sz w:val="20"/>
                <w:szCs w:val="20"/>
                <w:color w:val="auto"/>
              </w:rPr>
            </w:pPr>
            <w:r>
              <w:rPr>
                <w:rFonts w:ascii="Courier New" w:cs="Courier New" w:eastAsia="Courier New" w:hAnsi="Courier New"/>
                <w:sz w:val="14"/>
                <w:szCs w:val="14"/>
                <w:color w:val="auto"/>
              </w:rPr>
              <w:t>Beginning investment . . . . . . . . . . .</w:t>
            </w: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$155,251</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$162,410</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Additional investment  . . . . . . . . . .</w:t>
            </w: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8,750</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Equity in earnings (losses)  . . . . . . .</w:t>
            </w: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7,325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Dividends and</w:t>
            </w:r>
          </w:p>
        </w:tc>
        <w:tc>
          <w:tcPr>
            <w:tcW w:w="2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740" w:type="dxa"/>
            <w:vAlign w:val="bottom"/>
          </w:tcPr>
          <w:p>
            <w:pPr>
              <w:ind w:left="160"/>
              <w:spacing w:after="0"/>
              <w:rPr>
                <w:sz w:val="20"/>
                <w:szCs w:val="20"/>
                <w:color w:val="auto"/>
              </w:rPr>
            </w:pPr>
            <w:r>
              <w:rPr>
                <w:rFonts w:ascii="Courier New" w:cs="Courier New" w:eastAsia="Courier New" w:hAnsi="Courier New"/>
                <w:sz w:val="14"/>
                <w:szCs w:val="14"/>
                <w:color w:val="auto"/>
              </w:rPr>
              <w:t>distributions received . . . . . . . . .</w:t>
            </w:r>
          </w:p>
        </w:tc>
        <w:tc>
          <w:tcPr>
            <w:tcW w:w="2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(2,992)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(2,743)</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Foreign currency translation . . . . . . .</w:t>
            </w: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2,420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(2,422)</w:t>
            </w:r>
          </w:p>
        </w:tc>
      </w:tr>
      <w:tr>
        <w:trPr>
          <w:trHeight w:val="166"/>
        </w:trPr>
        <w:tc>
          <w:tcPr>
            <w:tcW w:w="4740" w:type="dxa"/>
            <w:vAlign w:val="bottom"/>
          </w:tcPr>
          <w:p>
            <w:pPr>
              <w:spacing w:after="0"/>
              <w:rPr>
                <w:sz w:val="14"/>
                <w:szCs w:val="14"/>
                <w:color w:val="auto"/>
              </w:rPr>
            </w:pP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Ending investment  . . . . . . . . . . . .</w:t>
            </w: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$170,754</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$155,251</w:t>
            </w:r>
          </w:p>
        </w:tc>
      </w:tr>
      <w:tr>
        <w:trPr>
          <w:trHeight w:val="166"/>
        </w:trPr>
        <w:tc>
          <w:tcPr>
            <w:tcW w:w="4740" w:type="dxa"/>
            <w:vAlign w:val="bottom"/>
          </w:tcPr>
          <w:p>
            <w:pPr>
              <w:spacing w:after="0"/>
              <w:rPr>
                <w:sz w:val="14"/>
                <w:szCs w:val="14"/>
                <w:color w:val="auto"/>
              </w:rPr>
            </w:pP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firstLine="86"/>
        <w:spacing w:after="0" w:line="251" w:lineRule="auto"/>
        <w:rPr>
          <w:sz w:val="20"/>
          <w:szCs w:val="20"/>
          <w:color w:val="auto"/>
        </w:rPr>
      </w:pPr>
      <w:r>
        <w:rPr>
          <w:rFonts w:ascii="Courier New" w:cs="Courier New" w:eastAsia="Courier New" w:hAnsi="Courier New"/>
          <w:sz w:val="14"/>
          <w:szCs w:val="14"/>
          <w:color w:val="auto"/>
        </w:rPr>
        <w:t>At January 1, 1995, the unamortized excess of the company's investments over its equity in the underlying net assets of its affiliates at the dates of acquisition was approximately $84,900,000. Amortization included in "Equity in earnings (losses) of affiliates" in the accompanying Consolidated Statements of Income was $2,600,000 for the years ended January 1, 1995, January 2, 1994, and January 3, 1993.</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 INCOME TAXES</w:t>
      </w:r>
    </w:p>
    <w:p>
      <w:pPr>
        <w:spacing w:after="0" w:line="173" w:lineRule="exact"/>
        <w:rPr>
          <w:sz w:val="20"/>
          <w:szCs w:val="20"/>
          <w:color w:val="auto"/>
        </w:rPr>
      </w:pPr>
    </w:p>
    <w:p>
      <w:pPr>
        <w:ind w:right="3339" w:firstLine="86"/>
        <w:spacing w:after="0" w:line="251" w:lineRule="auto"/>
        <w:rPr>
          <w:sz w:val="20"/>
          <w:szCs w:val="20"/>
          <w:color w:val="auto"/>
        </w:rPr>
      </w:pPr>
      <w:r>
        <w:rPr>
          <w:rFonts w:ascii="Courier New" w:cs="Courier New" w:eastAsia="Courier New" w:hAnsi="Courier New"/>
          <w:sz w:val="14"/>
          <w:szCs w:val="14"/>
          <w:color w:val="auto"/>
        </w:rPr>
        <w:t>In 1994 and 1993 income taxes are based on the provisions of SFAS No. 109, "Accounting for Income Taxes," which was adopted at the beginning of 1993. The cumulative effect of adopting this standard was an increase in 1993 net income of $11,600,000 and is shown on the Consolidated Statements of Income as the cumulative effect of a change in accounting principle. Financial statements for years prior to 1993 were not restated, and the 1992 information shown below was determined under the provisions of APB Opinion No. 11.</w:t>
      </w:r>
    </w:p>
    <w:p>
      <w:pPr>
        <w:spacing w:after="0" w:line="16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The provision for income taxes consists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660"/>
        <w:spacing w:after="0"/>
        <w:tabs>
          <w:tab w:leader="none" w:pos="5840" w:val="left"/>
        </w:tabs>
        <w:rPr>
          <w:sz w:val="20"/>
          <w:szCs w:val="20"/>
          <w:color w:val="auto"/>
        </w:rPr>
      </w:pPr>
      <w:r>
        <w:rPr>
          <w:rFonts w:ascii="Courier New" w:cs="Courier New" w:eastAsia="Courier New" w:hAnsi="Courier New"/>
          <w:sz w:val="14"/>
          <w:szCs w:val="14"/>
          <w:color w:val="auto"/>
        </w:rPr>
        <w:t>Current</w:t>
      </w:r>
      <w:r>
        <w:rPr>
          <w:sz w:val="20"/>
          <w:szCs w:val="20"/>
          <w:color w:val="auto"/>
        </w:rPr>
        <w:tab/>
      </w:r>
      <w:r>
        <w:rPr>
          <w:rFonts w:ascii="Courier New" w:cs="Courier New" w:eastAsia="Courier New" w:hAnsi="Courier New"/>
          <w:sz w:val="14"/>
          <w:szCs w:val="14"/>
          <w:color w:val="auto"/>
        </w:rPr>
        <w:t>Deferred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1994</w:t>
            </w:r>
          </w:p>
        </w:tc>
        <w:tc>
          <w:tcPr>
            <w:tcW w:w="1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U.S. Federal  . . . . . . . . . . . . . .</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$103,182</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$(6,356)</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Foreign . . . . . . . . . . . . . . . . .</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509</w:t>
            </w:r>
          </w:p>
        </w:tc>
        <w:tc>
          <w:tcPr>
            <w:tcW w:w="4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323</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State and local . . . . . . . . . . . . .</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20,441</w:t>
            </w:r>
          </w:p>
        </w:tc>
        <w:tc>
          <w:tcPr>
            <w:tcW w:w="4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(849)</w:t>
            </w:r>
          </w:p>
        </w:tc>
      </w:tr>
      <w:tr>
        <w:trPr>
          <w:trHeight w:val="166"/>
        </w:trPr>
        <w:tc>
          <w:tcPr>
            <w:tcW w:w="396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6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$124,132</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$(6,882)</w:t>
            </w:r>
          </w:p>
        </w:tc>
      </w:tr>
      <w:tr>
        <w:trPr>
          <w:trHeight w:val="166"/>
        </w:trPr>
        <w:tc>
          <w:tcPr>
            <w:tcW w:w="396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960" w:type="dxa"/>
            <w:vAlign w:val="bottom"/>
          </w:tcPr>
          <w:p>
            <w:pPr>
              <w:spacing w:after="0"/>
              <w:rPr>
                <w:sz w:val="20"/>
                <w:szCs w:val="20"/>
                <w:color w:val="auto"/>
              </w:rPr>
            </w:pPr>
            <w:r>
              <w:rPr>
                <w:rFonts w:ascii="Courier New" w:cs="Courier New" w:eastAsia="Courier New" w:hAnsi="Courier New"/>
                <w:sz w:val="14"/>
                <w:szCs w:val="14"/>
                <w:color w:val="auto"/>
              </w:rPr>
              <w:t>1993</w:t>
            </w: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U.S. Federal  . . . . . . . . . . . . . .</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$ 85,082</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(535)</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Foreign . . . . . . . . . . . . . . . . .</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6,913</w:t>
            </w:r>
          </w:p>
        </w:tc>
        <w:tc>
          <w:tcPr>
            <w:tcW w:w="4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(657)</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State and local . . . . . . . . . . . . .</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19,324</w:t>
            </w:r>
          </w:p>
        </w:tc>
        <w:tc>
          <w:tcPr>
            <w:tcW w:w="4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(477)</w:t>
            </w:r>
          </w:p>
        </w:tc>
      </w:tr>
      <w:tr>
        <w:trPr>
          <w:trHeight w:val="166"/>
        </w:trPr>
        <w:tc>
          <w:tcPr>
            <w:tcW w:w="396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6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$111,319</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$(1,669)</w:t>
            </w:r>
          </w:p>
        </w:tc>
      </w:tr>
      <w:tr>
        <w:trPr>
          <w:trHeight w:val="166"/>
        </w:trPr>
        <w:tc>
          <w:tcPr>
            <w:tcW w:w="396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960" w:type="dxa"/>
            <w:vAlign w:val="bottom"/>
          </w:tcPr>
          <w:p>
            <w:pPr>
              <w:spacing w:after="0"/>
              <w:rPr>
                <w:sz w:val="20"/>
                <w:szCs w:val="20"/>
                <w:color w:val="auto"/>
              </w:rPr>
            </w:pPr>
            <w:r>
              <w:rPr>
                <w:rFonts w:ascii="Courier New" w:cs="Courier New" w:eastAsia="Courier New" w:hAnsi="Courier New"/>
                <w:sz w:val="14"/>
                <w:szCs w:val="14"/>
                <w:color w:val="auto"/>
              </w:rPr>
              <w:t>1992</w:t>
            </w: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U.S. Federal  . . . . . . . . . . . . . .</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$ 79,380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(295)</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Foreign . . . . . . . . . . . . . . . . .</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488</w:t>
            </w:r>
          </w:p>
        </w:tc>
        <w:tc>
          <w:tcPr>
            <w:tcW w:w="4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(1,219)</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State and local . . . . . . . . . . . . .</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18,109</w:t>
            </w:r>
          </w:p>
        </w:tc>
        <w:tc>
          <w:tcPr>
            <w:tcW w:w="4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166"/>
        </w:trPr>
        <w:tc>
          <w:tcPr>
            <w:tcW w:w="396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6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$ 97,977</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$(1,577)</w:t>
            </w:r>
          </w:p>
        </w:tc>
      </w:tr>
      <w:tr>
        <w:trPr>
          <w:trHeight w:val="166"/>
        </w:trPr>
        <w:tc>
          <w:tcPr>
            <w:tcW w:w="396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ectPr>
          <w:pgSz w:w="11900" w:h="16875" w:orient="portrait"/>
          <w:cols w:equalWidth="0" w:num="1">
            <w:col w:w="10159"/>
          </w:cols>
          <w:pgMar w:left="300" w:top="285" w:right="1440" w:bottom="0" w:gutter="0" w:footer="0" w:header="0"/>
        </w:sectPr>
      </w:pPr>
    </w:p>
    <w:bookmarkStart w:id="33" w:name="page34"/>
    <w:bookmarkEnd w:id="33"/>
    <w:p>
      <w:pPr>
        <w:ind w:right="3519"/>
        <w:spacing w:after="0" w:line="255" w:lineRule="auto"/>
        <w:rPr>
          <w:sz w:val="20"/>
          <w:szCs w:val="20"/>
          <w:color w:val="auto"/>
        </w:rPr>
      </w:pPr>
      <w:r>
        <w:rPr>
          <w:rFonts w:ascii="Courier New" w:cs="Courier New" w:eastAsia="Courier New" w:hAnsi="Courier New"/>
          <w:sz w:val="14"/>
          <w:szCs w:val="14"/>
          <w:color w:val="auto"/>
        </w:rPr>
        <w:t>During 1993 the company sold its cable franchises in the United Kingdom. This transaction increased 1993 foreign taxes by approximately $6,800,000.</w:t>
      </w:r>
    </w:p>
    <w:p>
      <w:pPr>
        <w:spacing w:after="0" w:line="160" w:lineRule="exact"/>
        <w:rPr>
          <w:sz w:val="20"/>
          <w:szCs w:val="20"/>
          <w:color w:val="auto"/>
        </w:rPr>
      </w:pPr>
    </w:p>
    <w:p>
      <w:pPr>
        <w:ind w:right="3439"/>
        <w:spacing w:after="0" w:line="252" w:lineRule="auto"/>
        <w:rPr>
          <w:sz w:val="20"/>
          <w:szCs w:val="20"/>
          <w:color w:val="auto"/>
        </w:rPr>
      </w:pPr>
      <w:r>
        <w:rPr>
          <w:rFonts w:ascii="Courier New" w:cs="Courier New" w:eastAsia="Courier New" w:hAnsi="Courier New"/>
          <w:sz w:val="14"/>
          <w:szCs w:val="14"/>
          <w:color w:val="auto"/>
        </w:rPr>
        <w:t>The provision for income taxes exceeds the amount of income tax determined by applying the U.S. Federal statutory rate of 35 percent in 1994 and 1993 and 34 percent in 1992 to income before taxes as a result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840"/>
        <w:spacing w:after="0"/>
        <w:tabs>
          <w:tab w:leader="none" w:pos="6020" w:val="left"/>
          <w:tab w:leader="none" w:pos="7300" w:val="left"/>
        </w:tabs>
        <w:rPr>
          <w:sz w:val="20"/>
          <w:szCs w:val="20"/>
          <w:color w:val="auto"/>
        </w:rPr>
      </w:pP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180" w:type="dxa"/>
            <w:vAlign w:val="bottom"/>
          </w:tcPr>
          <w:p>
            <w:pPr>
              <w:spacing w:after="0"/>
              <w:rPr>
                <w:sz w:val="20"/>
                <w:szCs w:val="20"/>
                <w:color w:val="auto"/>
              </w:rPr>
            </w:pPr>
            <w:r>
              <w:rPr>
                <w:rFonts w:ascii="Courier New" w:cs="Courier New" w:eastAsia="Courier New" w:hAnsi="Courier New"/>
                <w:sz w:val="14"/>
                <w:szCs w:val="14"/>
                <w:color w:val="auto"/>
              </w:rPr>
              <w:t>U.S. Federal</w:t>
            </w:r>
          </w:p>
        </w:tc>
        <w:tc>
          <w:tcPr>
            <w:tcW w:w="2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180" w:type="dxa"/>
            <w:vAlign w:val="bottom"/>
          </w:tcPr>
          <w:p>
            <w:pPr>
              <w:ind w:left="180"/>
              <w:spacing w:after="0"/>
              <w:rPr>
                <w:sz w:val="20"/>
                <w:szCs w:val="20"/>
                <w:color w:val="auto"/>
              </w:rPr>
            </w:pPr>
            <w:r>
              <w:rPr>
                <w:rFonts w:ascii="Courier New" w:cs="Courier New" w:eastAsia="Courier New" w:hAnsi="Courier New"/>
                <w:sz w:val="14"/>
                <w:szCs w:val="14"/>
                <w:color w:val="auto"/>
              </w:rPr>
              <w:t>statutory taxes . . . . . . . . . .</w:t>
            </w:r>
          </w:p>
        </w:tc>
        <w:tc>
          <w:tcPr>
            <w:tcW w:w="22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.$100,423</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$ 92,213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$76,226</w:t>
            </w:r>
          </w:p>
        </w:tc>
      </w:tr>
      <w:tr>
        <w:trPr>
          <w:trHeight w:val="166"/>
        </w:trPr>
        <w:tc>
          <w:tcPr>
            <w:tcW w:w="3180" w:type="dxa"/>
            <w:vAlign w:val="bottom"/>
          </w:tcPr>
          <w:p>
            <w:pPr>
              <w:spacing w:after="0"/>
              <w:rPr>
                <w:sz w:val="20"/>
                <w:szCs w:val="20"/>
                <w:color w:val="auto"/>
              </w:rPr>
            </w:pPr>
            <w:r>
              <w:rPr>
                <w:rFonts w:ascii="Courier New" w:cs="Courier New" w:eastAsia="Courier New" w:hAnsi="Courier New"/>
                <w:sz w:val="14"/>
                <w:szCs w:val="14"/>
                <w:color w:val="auto"/>
              </w:rPr>
              <w:t>State and local taxes</w:t>
            </w:r>
          </w:p>
        </w:tc>
        <w:tc>
          <w:tcPr>
            <w:tcW w:w="2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180" w:type="dxa"/>
            <w:vAlign w:val="bottom"/>
          </w:tcPr>
          <w:p>
            <w:pPr>
              <w:ind w:left="180"/>
              <w:spacing w:after="0"/>
              <w:rPr>
                <w:sz w:val="20"/>
                <w:szCs w:val="20"/>
                <w:color w:val="auto"/>
              </w:rPr>
            </w:pPr>
            <w:r>
              <w:rPr>
                <w:rFonts w:ascii="Courier New" w:cs="Courier New" w:eastAsia="Courier New" w:hAnsi="Courier New"/>
                <w:sz w:val="14"/>
                <w:szCs w:val="14"/>
                <w:color w:val="auto"/>
              </w:rPr>
              <w:t>net of U.S. Federal</w:t>
            </w:r>
          </w:p>
        </w:tc>
        <w:tc>
          <w:tcPr>
            <w:tcW w:w="2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180" w:type="dxa"/>
            <w:vAlign w:val="bottom"/>
          </w:tcPr>
          <w:p>
            <w:pPr>
              <w:ind w:left="180"/>
              <w:spacing w:after="0"/>
              <w:rPr>
                <w:sz w:val="20"/>
                <w:szCs w:val="20"/>
                <w:color w:val="auto"/>
              </w:rPr>
            </w:pPr>
            <w:r>
              <w:rPr>
                <w:rFonts w:ascii="Courier New" w:cs="Courier New" w:eastAsia="Courier New" w:hAnsi="Courier New"/>
                <w:sz w:val="14"/>
                <w:szCs w:val="14"/>
                <w:color w:val="auto"/>
              </w:rPr>
              <w:t>income tax</w:t>
            </w:r>
          </w:p>
        </w:tc>
        <w:tc>
          <w:tcPr>
            <w:tcW w:w="2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180" w:type="dxa"/>
            <w:vAlign w:val="bottom"/>
          </w:tcPr>
          <w:p>
            <w:pPr>
              <w:ind w:left="180"/>
              <w:spacing w:after="0"/>
              <w:rPr>
                <w:sz w:val="20"/>
                <w:szCs w:val="20"/>
                <w:color w:val="auto"/>
              </w:rPr>
            </w:pPr>
            <w:r>
              <w:rPr>
                <w:rFonts w:ascii="Courier New" w:cs="Courier New" w:eastAsia="Courier New" w:hAnsi="Courier New"/>
                <w:sz w:val="14"/>
                <w:szCs w:val="14"/>
                <w:color w:val="auto"/>
              </w:rPr>
              <w:t>benefit . . . . . . . . . . . . . .</w:t>
            </w:r>
          </w:p>
        </w:tc>
        <w:tc>
          <w:tcPr>
            <w:tcW w:w="22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.12,735</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12,251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11,911</w:t>
            </w:r>
          </w:p>
        </w:tc>
      </w:tr>
      <w:tr>
        <w:trPr>
          <w:trHeight w:val="166"/>
        </w:trPr>
        <w:tc>
          <w:tcPr>
            <w:tcW w:w="3180" w:type="dxa"/>
            <w:vAlign w:val="bottom"/>
          </w:tcPr>
          <w:p>
            <w:pPr>
              <w:spacing w:after="0"/>
              <w:rPr>
                <w:sz w:val="20"/>
                <w:szCs w:val="20"/>
                <w:color w:val="auto"/>
              </w:rPr>
            </w:pPr>
            <w:r>
              <w:rPr>
                <w:rFonts w:ascii="Courier New" w:cs="Courier New" w:eastAsia="Courier New" w:hAnsi="Courier New"/>
                <w:sz w:val="14"/>
                <w:szCs w:val="14"/>
                <w:color w:val="auto"/>
              </w:rPr>
              <w:t>Amortization of goodwill</w:t>
            </w:r>
          </w:p>
        </w:tc>
        <w:tc>
          <w:tcPr>
            <w:tcW w:w="2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180" w:type="dxa"/>
            <w:vAlign w:val="bottom"/>
          </w:tcPr>
          <w:p>
            <w:pPr>
              <w:ind w:left="180"/>
              <w:spacing w:after="0"/>
              <w:rPr>
                <w:sz w:val="20"/>
                <w:szCs w:val="20"/>
                <w:color w:val="auto"/>
              </w:rPr>
            </w:pPr>
            <w:r>
              <w:rPr>
                <w:rFonts w:ascii="Courier New" w:cs="Courier New" w:eastAsia="Courier New" w:hAnsi="Courier New"/>
                <w:sz w:val="14"/>
                <w:szCs w:val="14"/>
                <w:color w:val="auto"/>
              </w:rPr>
              <w:t>not deductible</w:t>
            </w:r>
          </w:p>
        </w:tc>
        <w:tc>
          <w:tcPr>
            <w:tcW w:w="2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180" w:type="dxa"/>
            <w:vAlign w:val="bottom"/>
          </w:tcPr>
          <w:p>
            <w:pPr>
              <w:ind w:left="180"/>
              <w:spacing w:after="0"/>
              <w:rPr>
                <w:sz w:val="20"/>
                <w:szCs w:val="20"/>
                <w:color w:val="auto"/>
              </w:rPr>
            </w:pPr>
            <w:r>
              <w:rPr>
                <w:rFonts w:ascii="Courier New" w:cs="Courier New" w:eastAsia="Courier New" w:hAnsi="Courier New"/>
                <w:sz w:val="14"/>
                <w:szCs w:val="14"/>
                <w:color w:val="auto"/>
              </w:rPr>
              <w:t>for income tax</w:t>
            </w:r>
          </w:p>
        </w:tc>
        <w:tc>
          <w:tcPr>
            <w:tcW w:w="2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180" w:type="dxa"/>
            <w:vAlign w:val="bottom"/>
          </w:tcPr>
          <w:p>
            <w:pPr>
              <w:ind w:left="180"/>
              <w:spacing w:after="0"/>
              <w:rPr>
                <w:sz w:val="20"/>
                <w:szCs w:val="20"/>
                <w:color w:val="auto"/>
              </w:rPr>
            </w:pPr>
            <w:r>
              <w:rPr>
                <w:rFonts w:ascii="Courier New" w:cs="Courier New" w:eastAsia="Courier New" w:hAnsi="Courier New"/>
                <w:sz w:val="14"/>
                <w:szCs w:val="14"/>
                <w:color w:val="auto"/>
              </w:rPr>
              <w:t>purposes  . . . . . . . . . . . . .</w:t>
            </w:r>
          </w:p>
        </w:tc>
        <w:tc>
          <w:tcPr>
            <w:tcW w:w="2200" w:type="dxa"/>
            <w:vAlign w:val="bottom"/>
          </w:tcPr>
          <w:p>
            <w:pPr>
              <w:jc w:val="right"/>
              <w:ind w:right="248"/>
              <w:spacing w:after="0"/>
              <w:rPr>
                <w:sz w:val="20"/>
                <w:szCs w:val="20"/>
                <w:color w:val="auto"/>
              </w:rPr>
            </w:pPr>
            <w:r>
              <w:rPr>
                <w:rFonts w:ascii="Courier New" w:cs="Courier New" w:eastAsia="Courier New" w:hAnsi="Courier New"/>
                <w:sz w:val="14"/>
                <w:szCs w:val="14"/>
                <w:color w:val="auto"/>
                <w:w w:val="99"/>
              </w:rPr>
              <w:t>. .3,146</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2,433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2,922</w:t>
            </w:r>
          </w:p>
        </w:tc>
      </w:tr>
      <w:tr>
        <w:trPr>
          <w:trHeight w:val="166"/>
        </w:trPr>
        <w:tc>
          <w:tcPr>
            <w:tcW w:w="3180" w:type="dxa"/>
            <w:vAlign w:val="bottom"/>
          </w:tcPr>
          <w:p>
            <w:pPr>
              <w:spacing w:after="0"/>
              <w:rPr>
                <w:sz w:val="20"/>
                <w:szCs w:val="20"/>
                <w:color w:val="auto"/>
              </w:rPr>
            </w:pPr>
            <w:r>
              <w:rPr>
                <w:rFonts w:ascii="Courier New" w:cs="Courier New" w:eastAsia="Courier New" w:hAnsi="Courier New"/>
                <w:sz w:val="14"/>
                <w:szCs w:val="14"/>
                <w:color w:val="auto"/>
              </w:rPr>
              <w:t>Other . . . . . . . . . . . . . . . .</w:t>
            </w:r>
          </w:p>
        </w:tc>
        <w:tc>
          <w:tcPr>
            <w:tcW w:w="22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.946</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2,753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5,341</w:t>
            </w:r>
          </w:p>
        </w:tc>
      </w:tr>
      <w:tr>
        <w:trPr>
          <w:trHeight w:val="166"/>
        </w:trPr>
        <w:tc>
          <w:tcPr>
            <w:tcW w:w="3180" w:type="dxa"/>
            <w:vAlign w:val="bottom"/>
          </w:tcPr>
          <w:p>
            <w:pPr>
              <w:spacing w:after="0"/>
              <w:rPr>
                <w:sz w:val="20"/>
                <w:szCs w:val="20"/>
                <w:color w:val="auto"/>
              </w:rPr>
            </w:pPr>
            <w:r>
              <w:rPr>
                <w:rFonts w:ascii="Courier New" w:cs="Courier New" w:eastAsia="Courier New" w:hAnsi="Courier New"/>
                <w:sz w:val="14"/>
                <w:szCs w:val="14"/>
                <w:color w:val="auto"/>
              </w:rPr>
              <w:t>Provision for</w:t>
            </w:r>
          </w:p>
        </w:tc>
        <w:tc>
          <w:tcPr>
            <w:tcW w:w="22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80" w:type="dxa"/>
            <w:vAlign w:val="bottom"/>
          </w:tcPr>
          <w:p>
            <w:pPr>
              <w:ind w:left="180"/>
              <w:spacing w:after="0"/>
              <w:rPr>
                <w:sz w:val="20"/>
                <w:szCs w:val="20"/>
                <w:color w:val="auto"/>
              </w:rPr>
            </w:pPr>
            <w:r>
              <w:rPr>
                <w:rFonts w:ascii="Courier New" w:cs="Courier New" w:eastAsia="Courier New" w:hAnsi="Courier New"/>
                <w:sz w:val="14"/>
                <w:szCs w:val="14"/>
                <w:color w:val="auto"/>
              </w:rPr>
              <w:t>income taxes  . . . . . . . . . . .</w:t>
            </w:r>
          </w:p>
        </w:tc>
        <w:tc>
          <w:tcPr>
            <w:tcW w:w="22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.$117,250</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$109,650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$96,400</w:t>
            </w:r>
          </w:p>
        </w:tc>
      </w:tr>
      <w:tr>
        <w:trPr>
          <w:trHeight w:val="166"/>
        </w:trPr>
        <w:tc>
          <w:tcPr>
            <w:tcW w:w="3180" w:type="dxa"/>
            <w:vAlign w:val="bottom"/>
          </w:tcPr>
          <w:p>
            <w:pPr>
              <w:spacing w:after="0"/>
              <w:rPr>
                <w:sz w:val="14"/>
                <w:szCs w:val="14"/>
                <w:color w:val="auto"/>
              </w:rPr>
            </w:pPr>
          </w:p>
        </w:tc>
        <w:tc>
          <w:tcPr>
            <w:tcW w:w="22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828"/>
        </w:trPr>
        <w:tc>
          <w:tcPr>
            <w:tcW w:w="3180" w:type="dxa"/>
            <w:vAlign w:val="bottom"/>
          </w:tcPr>
          <w:p>
            <w:pPr>
              <w:spacing w:after="0"/>
              <w:rPr>
                <w:sz w:val="24"/>
                <w:szCs w:val="24"/>
                <w:color w:val="auto"/>
              </w:rPr>
            </w:pPr>
          </w:p>
        </w:tc>
        <w:tc>
          <w:tcPr>
            <w:tcW w:w="2200" w:type="dxa"/>
            <w:vAlign w:val="bottom"/>
          </w:tcPr>
          <w:p>
            <w:pPr>
              <w:jc w:val="right"/>
              <w:ind w:right="1968"/>
              <w:spacing w:after="0"/>
              <w:rPr>
                <w:sz w:val="20"/>
                <w:szCs w:val="20"/>
                <w:color w:val="auto"/>
              </w:rPr>
            </w:pPr>
            <w:r>
              <w:rPr>
                <w:rFonts w:ascii="Courier New" w:cs="Courier New" w:eastAsia="Courier New" w:hAnsi="Courier New"/>
                <w:sz w:val="14"/>
                <w:szCs w:val="14"/>
                <w:color w:val="auto"/>
                <w:w w:val="94"/>
              </w:rPr>
              <w:t>31</w:t>
            </w: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159"/>
          </w:cols>
          <w:pgMar w:left="300" w:top="473" w:right="1440" w:bottom="1440" w:gutter="0" w:footer="0" w:header="0"/>
        </w:sectPr>
      </w:pPr>
    </w:p>
    <w:bookmarkStart w:id="34" w:name="page35"/>
    <w:bookmarkEnd w:id="34"/>
    <w:p>
      <w:pPr>
        <w:spacing w:after="0" w:line="3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33</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39"/>
        <w:spacing w:after="0" w:line="255" w:lineRule="auto"/>
        <w:rPr>
          <w:sz w:val="20"/>
          <w:szCs w:val="20"/>
          <w:color w:val="auto"/>
        </w:rPr>
      </w:pPr>
      <w:r>
        <w:rPr>
          <w:rFonts w:ascii="Courier New" w:cs="Courier New" w:eastAsia="Courier New" w:hAnsi="Courier New"/>
          <w:sz w:val="14"/>
          <w:szCs w:val="14"/>
          <w:color w:val="auto"/>
        </w:rPr>
        <w:t>Deferred income taxes at January 1, 1995, and January 2, 1994, consists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200"/>
        <w:spacing w:after="0"/>
        <w:tabs>
          <w:tab w:leader="none" w:pos="7480" w:val="left"/>
        </w:tabs>
        <w:rPr>
          <w:sz w:val="20"/>
          <w:szCs w:val="20"/>
          <w:color w:val="auto"/>
        </w:rPr>
      </w:pP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Accrued postretirement</w:t>
            </w:r>
          </w:p>
        </w:tc>
        <w:tc>
          <w:tcPr>
            <w:tcW w:w="2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70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benefits  . . . . . . . . . . . . . . .</w:t>
            </w:r>
          </w:p>
        </w:tc>
        <w:tc>
          <w:tcPr>
            <w:tcW w:w="2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$45,568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$42,336</w:t>
            </w:r>
          </w:p>
        </w:tc>
      </w:tr>
      <w:tr>
        <w:trPr>
          <w:trHeight w:val="166"/>
        </w:trPr>
        <w:tc>
          <w:tcPr>
            <w:tcW w:w="470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Other benefit obligations . . . . . . . .</w:t>
            </w:r>
          </w:p>
        </w:tc>
        <w:tc>
          <w:tcPr>
            <w:tcW w:w="2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22,903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17,760</w:t>
            </w:r>
          </w:p>
        </w:tc>
      </w:tr>
      <w:tr>
        <w:trPr>
          <w:trHeight w:val="166"/>
        </w:trPr>
        <w:tc>
          <w:tcPr>
            <w:tcW w:w="470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Accounts receivable . . . . . . . . . . .</w:t>
            </w:r>
          </w:p>
        </w:tc>
        <w:tc>
          <w:tcPr>
            <w:tcW w:w="2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6,559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6,368</w:t>
            </w:r>
          </w:p>
        </w:tc>
      </w:tr>
      <w:tr>
        <w:trPr>
          <w:trHeight w:val="166"/>
        </w:trPr>
        <w:tc>
          <w:tcPr>
            <w:tcW w:w="470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Other . . . . . . . . . . . . . . . . . .</w:t>
            </w:r>
          </w:p>
        </w:tc>
        <w:tc>
          <w:tcPr>
            <w:tcW w:w="2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7,664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3,855</w:t>
            </w:r>
          </w:p>
        </w:tc>
      </w:tr>
      <w:tr>
        <w:trPr>
          <w:trHeight w:val="166"/>
        </w:trPr>
        <w:tc>
          <w:tcPr>
            <w:tcW w:w="4700" w:type="dxa"/>
            <w:vAlign w:val="bottom"/>
          </w:tcPr>
          <w:p>
            <w:pPr>
              <w:spacing w:after="0"/>
              <w:rPr>
                <w:sz w:val="14"/>
                <w:szCs w:val="14"/>
                <w:color w:val="auto"/>
              </w:rPr>
            </w:pPr>
          </w:p>
        </w:tc>
        <w:tc>
          <w:tcPr>
            <w:tcW w:w="2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70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Deferred tax asset  . . . . . . . . . . .</w:t>
            </w:r>
          </w:p>
        </w:tc>
        <w:tc>
          <w:tcPr>
            <w:tcW w:w="2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$82,694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$70,319</w:t>
            </w:r>
          </w:p>
        </w:tc>
      </w:tr>
      <w:tr>
        <w:trPr>
          <w:trHeight w:val="166"/>
        </w:trPr>
        <w:tc>
          <w:tcPr>
            <w:tcW w:w="4700" w:type="dxa"/>
            <w:vAlign w:val="bottom"/>
          </w:tcPr>
          <w:p>
            <w:pPr>
              <w:spacing w:after="0"/>
              <w:rPr>
                <w:sz w:val="14"/>
                <w:szCs w:val="14"/>
                <w:color w:val="auto"/>
              </w:rPr>
            </w:pPr>
          </w:p>
        </w:tc>
        <w:tc>
          <w:tcPr>
            <w:tcW w:w="2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Property, plant,</w:t>
            </w:r>
          </w:p>
        </w:tc>
        <w:tc>
          <w:tcPr>
            <w:tcW w:w="2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70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and equipment . . . . . . . . . . . . .</w:t>
            </w:r>
          </w:p>
        </w:tc>
        <w:tc>
          <w:tcPr>
            <w:tcW w:w="2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$44,250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$48,275</w:t>
            </w:r>
          </w:p>
        </w:tc>
      </w:tr>
      <w:tr>
        <w:trPr>
          <w:trHeight w:val="166"/>
        </w:trPr>
        <w:tc>
          <w:tcPr>
            <w:tcW w:w="470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Prepaid pension cost  . . . . . . . . . .</w:t>
            </w:r>
          </w:p>
        </w:tc>
        <w:tc>
          <w:tcPr>
            <w:tcW w:w="2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48,732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39,769</w:t>
            </w:r>
          </w:p>
        </w:tc>
      </w:tr>
      <w:tr>
        <w:trPr>
          <w:trHeight w:val="166"/>
        </w:trPr>
        <w:tc>
          <w:tcPr>
            <w:tcW w:w="470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Affiliate operations  . . . . . . . . . .</w:t>
            </w:r>
          </w:p>
        </w:tc>
        <w:tc>
          <w:tcPr>
            <w:tcW w:w="2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12,671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12,211</w:t>
            </w:r>
          </w:p>
        </w:tc>
      </w:tr>
      <w:tr>
        <w:trPr>
          <w:trHeight w:val="166"/>
        </w:trPr>
        <w:tc>
          <w:tcPr>
            <w:tcW w:w="470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Investment tax credit . . . . . . . . . .</w:t>
            </w:r>
          </w:p>
        </w:tc>
        <w:tc>
          <w:tcPr>
            <w:tcW w:w="2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3,013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3,760</w:t>
            </w:r>
          </w:p>
        </w:tc>
      </w:tr>
      <w:tr>
        <w:trPr>
          <w:trHeight w:val="166"/>
        </w:trPr>
        <w:tc>
          <w:tcPr>
            <w:tcW w:w="470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Other . . . . . . . . . . . . . . . . . .</w:t>
            </w:r>
          </w:p>
        </w:tc>
        <w:tc>
          <w:tcPr>
            <w:tcW w:w="2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3,132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700" w:type="dxa"/>
            <w:vAlign w:val="bottom"/>
          </w:tcPr>
          <w:p>
            <w:pPr>
              <w:spacing w:after="0"/>
              <w:rPr>
                <w:sz w:val="14"/>
                <w:szCs w:val="14"/>
                <w:color w:val="auto"/>
              </w:rPr>
            </w:pPr>
          </w:p>
        </w:tc>
        <w:tc>
          <w:tcPr>
            <w:tcW w:w="2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70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Deferred tax liability  . . . . . . . . .</w:t>
            </w:r>
          </w:p>
        </w:tc>
        <w:tc>
          <w:tcPr>
            <w:tcW w:w="2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111,798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104,015</w:t>
            </w:r>
          </w:p>
        </w:tc>
      </w:tr>
      <w:tr>
        <w:trPr>
          <w:trHeight w:val="166"/>
        </w:trPr>
        <w:tc>
          <w:tcPr>
            <w:tcW w:w="4700" w:type="dxa"/>
            <w:vAlign w:val="bottom"/>
          </w:tcPr>
          <w:p>
            <w:pPr>
              <w:spacing w:after="0"/>
              <w:rPr>
                <w:sz w:val="14"/>
                <w:szCs w:val="14"/>
                <w:color w:val="auto"/>
              </w:rPr>
            </w:pPr>
          </w:p>
        </w:tc>
        <w:tc>
          <w:tcPr>
            <w:tcW w:w="2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70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Deferred income taxes . . . . . . . . . .</w:t>
            </w:r>
          </w:p>
        </w:tc>
        <w:tc>
          <w:tcPr>
            <w:tcW w:w="2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$29,104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$33,696</w:t>
            </w:r>
          </w:p>
        </w:tc>
      </w:tr>
      <w:tr>
        <w:trPr>
          <w:trHeight w:val="166"/>
        </w:trPr>
        <w:tc>
          <w:tcPr>
            <w:tcW w:w="4700" w:type="dxa"/>
            <w:vAlign w:val="bottom"/>
          </w:tcPr>
          <w:p>
            <w:pPr>
              <w:spacing w:after="0"/>
              <w:rPr>
                <w:sz w:val="14"/>
                <w:szCs w:val="14"/>
                <w:color w:val="auto"/>
              </w:rPr>
            </w:pPr>
          </w:p>
        </w:tc>
        <w:tc>
          <w:tcPr>
            <w:tcW w:w="2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1992 the deferred tax benefit resulted principally from the excess of financial statement depreciation over tax depreciation, $1,738,000, and accrued postretirement benefit expense, $4,138,000. These amounts were offset by deferred tax expense of $7,469,000 resulting from net pension credits in excess of contributions.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 DEBT</w:t>
      </w:r>
    </w:p>
    <w:p>
      <w:pPr>
        <w:spacing w:after="0" w:line="17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Long-term debt of the company as of January 1, 1995, and January 2, 1994, is summarized as follows (in thousands):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860"/>
        <w:spacing w:after="0"/>
        <w:tabs>
          <w:tab w:leader="none" w:pos="7400" w:val="left"/>
        </w:tabs>
        <w:rPr>
          <w:sz w:val="20"/>
          <w:szCs w:val="20"/>
          <w:color w:val="auto"/>
        </w:rPr>
      </w:pP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560" w:type="dxa"/>
            <w:vAlign w:val="bottom"/>
          </w:tcPr>
          <w:p>
            <w:pPr>
              <w:spacing w:after="0"/>
              <w:rPr>
                <w:sz w:val="20"/>
                <w:szCs w:val="20"/>
                <w:color w:val="auto"/>
              </w:rPr>
            </w:pPr>
            <w:r>
              <w:rPr>
                <w:rFonts w:ascii="Courier New" w:cs="Courier New" w:eastAsia="Courier New" w:hAnsi="Courier New"/>
                <w:sz w:val="14"/>
                <w:szCs w:val="14"/>
                <w:color w:val="auto"/>
              </w:rPr>
              <w:t>10.1 percent unsecured</w:t>
            </w:r>
          </w:p>
        </w:tc>
        <w:tc>
          <w:tcPr>
            <w:tcW w:w="20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4560" w:type="dxa"/>
            <w:vAlign w:val="bottom"/>
          </w:tcPr>
          <w:p>
            <w:pPr>
              <w:ind w:left="180"/>
              <w:spacing w:after="0"/>
              <w:rPr>
                <w:sz w:val="20"/>
                <w:szCs w:val="20"/>
                <w:color w:val="auto"/>
              </w:rPr>
            </w:pPr>
            <w:r>
              <w:rPr>
                <w:rFonts w:ascii="Courier New" w:cs="Courier New" w:eastAsia="Courier New" w:hAnsi="Courier New"/>
                <w:sz w:val="14"/>
                <w:szCs w:val="14"/>
                <w:color w:val="auto"/>
              </w:rPr>
              <w:t>European Currency Unit notes,</w:t>
            </w:r>
          </w:p>
        </w:tc>
        <w:tc>
          <w:tcPr>
            <w:tcW w:w="20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4560" w:type="dxa"/>
            <w:vAlign w:val="bottom"/>
          </w:tcPr>
          <w:p>
            <w:pPr>
              <w:ind w:left="180"/>
              <w:spacing w:after="0"/>
              <w:rPr>
                <w:sz w:val="20"/>
                <w:szCs w:val="20"/>
                <w:color w:val="auto"/>
              </w:rPr>
            </w:pPr>
            <w:r>
              <w:rPr>
                <w:rFonts w:ascii="Courier New" w:cs="Courier New" w:eastAsia="Courier New" w:hAnsi="Courier New"/>
                <w:sz w:val="14"/>
                <w:szCs w:val="14"/>
                <w:color w:val="auto"/>
              </w:rPr>
              <w:t>$50,000,000 face amount</w:t>
            </w:r>
          </w:p>
        </w:tc>
        <w:tc>
          <w:tcPr>
            <w:tcW w:w="20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4560" w:type="dxa"/>
            <w:vAlign w:val="bottom"/>
          </w:tcPr>
          <w:p>
            <w:pPr>
              <w:ind w:left="180"/>
              <w:spacing w:after="0"/>
              <w:rPr>
                <w:sz w:val="20"/>
                <w:szCs w:val="20"/>
                <w:color w:val="auto"/>
              </w:rPr>
            </w:pPr>
            <w:r>
              <w:rPr>
                <w:rFonts w:ascii="Courier New" w:cs="Courier New" w:eastAsia="Courier New" w:hAnsi="Courier New"/>
                <w:sz w:val="14"/>
                <w:szCs w:val="14"/>
                <w:color w:val="auto"/>
              </w:rPr>
              <w:t>due in 1996 . . . . . . . . . . . . . .</w:t>
            </w: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$50,297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$50,368</w:t>
            </w:r>
          </w:p>
        </w:tc>
      </w:tr>
      <w:tr>
        <w:trPr>
          <w:trHeight w:val="166"/>
        </w:trPr>
        <w:tc>
          <w:tcPr>
            <w:tcW w:w="4560" w:type="dxa"/>
            <w:vAlign w:val="bottom"/>
          </w:tcPr>
          <w:p>
            <w:pPr>
              <w:spacing w:after="0"/>
              <w:rPr>
                <w:sz w:val="20"/>
                <w:szCs w:val="20"/>
                <w:color w:val="auto"/>
              </w:rPr>
            </w:pPr>
            <w:r>
              <w:rPr>
                <w:rFonts w:ascii="Courier New" w:cs="Courier New" w:eastAsia="Courier New" w:hAnsi="Courier New"/>
                <w:sz w:val="14"/>
                <w:szCs w:val="14"/>
                <w:color w:val="auto"/>
              </w:rPr>
              <w:t>10.875 percent unsecured</w:t>
            </w:r>
          </w:p>
        </w:tc>
        <w:tc>
          <w:tcPr>
            <w:tcW w:w="20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4560" w:type="dxa"/>
            <w:vAlign w:val="bottom"/>
          </w:tcPr>
          <w:p>
            <w:pPr>
              <w:ind w:left="180"/>
              <w:spacing w:after="0"/>
              <w:rPr>
                <w:sz w:val="20"/>
                <w:szCs w:val="20"/>
                <w:color w:val="auto"/>
              </w:rPr>
            </w:pPr>
            <w:r>
              <w:rPr>
                <w:rFonts w:ascii="Courier New" w:cs="Courier New" w:eastAsia="Courier New" w:hAnsi="Courier New"/>
                <w:sz w:val="14"/>
                <w:szCs w:val="14"/>
                <w:color w:val="auto"/>
              </w:rPr>
              <w:t>Eurodollar notes, $1,400,000</w:t>
            </w:r>
          </w:p>
        </w:tc>
        <w:tc>
          <w:tcPr>
            <w:tcW w:w="20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4560" w:type="dxa"/>
            <w:vAlign w:val="bottom"/>
          </w:tcPr>
          <w:p>
            <w:pPr>
              <w:ind w:left="180"/>
              <w:spacing w:after="0"/>
              <w:rPr>
                <w:sz w:val="20"/>
                <w:szCs w:val="20"/>
                <w:color w:val="auto"/>
              </w:rPr>
            </w:pPr>
            <w:r>
              <w:rPr>
                <w:rFonts w:ascii="Courier New" w:cs="Courier New" w:eastAsia="Courier New" w:hAnsi="Courier New"/>
                <w:sz w:val="14"/>
                <w:szCs w:val="14"/>
                <w:color w:val="auto"/>
              </w:rPr>
              <w:t>face amount due in 1995 . . . . . . . .</w:t>
            </w: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1,400</w:t>
            </w:r>
          </w:p>
        </w:tc>
      </w:tr>
      <w:tr>
        <w:trPr>
          <w:trHeight w:val="166"/>
        </w:trPr>
        <w:tc>
          <w:tcPr>
            <w:tcW w:w="4560" w:type="dxa"/>
            <w:vAlign w:val="bottom"/>
          </w:tcPr>
          <w:p>
            <w:pPr>
              <w:spacing w:after="0"/>
              <w:rPr>
                <w:sz w:val="14"/>
                <w:szCs w:val="14"/>
                <w:color w:val="auto"/>
              </w:rPr>
            </w:pP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560" w:type="dxa"/>
            <w:vAlign w:val="bottom"/>
          </w:tcPr>
          <w:p>
            <w:pPr>
              <w:spacing w:after="0"/>
              <w:rPr>
                <w:sz w:val="14"/>
                <w:szCs w:val="14"/>
                <w:color w:val="auto"/>
              </w:rPr>
            </w:pP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$50,297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$51,768</w:t>
            </w:r>
          </w:p>
        </w:tc>
      </w:tr>
      <w:tr>
        <w:trPr>
          <w:trHeight w:val="166"/>
        </w:trPr>
        <w:tc>
          <w:tcPr>
            <w:tcW w:w="4560" w:type="dxa"/>
            <w:vAlign w:val="bottom"/>
          </w:tcPr>
          <w:p>
            <w:pPr>
              <w:spacing w:after="0"/>
              <w:rPr>
                <w:sz w:val="14"/>
                <w:szCs w:val="14"/>
                <w:color w:val="auto"/>
              </w:rPr>
            </w:pP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 CAPITAL STOCK, STOCK OPTIONS AND STOCK AWARDS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CAPITAL STOCK. Each share of Class A common stock and Class B common stock participates equally in dividends. The Class B stock has limited voting rights and as a class has the right to elect 30 percent of the Board of Directors; the Class A stock has unlimited voting rights including the right to elect a majority of the Board of Directors.</w:t>
      </w:r>
    </w:p>
    <w:p>
      <w:pPr>
        <w:spacing w:after="0" w:line="164"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During 1994 and 1993 the company purchased a total of 366,500 and 99,800 shares, respectively, of its Class B common stock at a cost of approximately $86,660,000 and $23,133,000.</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STOCK OPTIONS. The Employee Stock Option Plan, which was adopted in 1971 and amended in 1993, reserves 1,900,000 shares of the company's Class B common stock for options to be granted under the plan. The purchase price of the shares covered by an option cannot be less than the fair value on the granting date. At January 1, 1995, there were 662,950 shares reserved for issuance under the Stock Option Plan, of which 164,500 shares were subject to options outstanding and 498,450 shares were available for future grants.</w:t>
      </w:r>
    </w:p>
    <w:p>
      <w:pPr>
        <w:spacing w:after="0" w:line="164"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Changes in options outstanding for the years ended January 1, 1995, and January 2, 1994, were as follows: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4740" w:type="dxa"/>
        <w:tblCellMar>
          <w:top w:w="0" w:type="dxa"/>
          <w:left w:w="0" w:type="dxa"/>
          <w:bottom w:w="0" w:type="dxa"/>
          <w:right w:w="0" w:type="dxa"/>
        </w:tblCellMar>
      </w:tblPr>
      <w:tr>
        <w:trPr>
          <w:trHeight w:val="162"/>
        </w:trPr>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1994</w:t>
            </w:r>
          </w:p>
        </w:tc>
        <w:tc>
          <w:tcPr>
            <w:tcW w:w="940" w:type="dxa"/>
            <w:vAlign w:val="bottom"/>
          </w:tcPr>
          <w:p>
            <w:pPr>
              <w:spacing w:after="0"/>
              <w:rPr>
                <w:sz w:val="14"/>
                <w:szCs w:val="14"/>
                <w:color w:val="auto"/>
              </w:rPr>
            </w:pPr>
          </w:p>
        </w:tc>
        <w:tc>
          <w:tcPr>
            <w:tcW w:w="10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1993</w:t>
            </w:r>
          </w:p>
        </w:tc>
        <w:tc>
          <w:tcPr>
            <w:tcW w:w="900" w:type="dxa"/>
            <w:vAlign w:val="bottom"/>
          </w:tcPr>
          <w:p>
            <w:pPr>
              <w:spacing w:after="0"/>
              <w:rPr>
                <w:sz w:val="14"/>
                <w:szCs w:val="14"/>
                <w:color w:val="auto"/>
              </w:rPr>
            </w:pPr>
          </w:p>
        </w:tc>
      </w:tr>
      <w:tr>
        <w:trPr>
          <w:trHeight w:val="166"/>
        </w:trPr>
        <w:tc>
          <w:tcPr>
            <w:tcW w:w="42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38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Number</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Average</w:t>
            </w:r>
          </w:p>
        </w:tc>
        <w:tc>
          <w:tcPr>
            <w:tcW w:w="10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Number</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1380" w:type="dxa"/>
            <w:vAlign w:val="bottom"/>
          </w:tcPr>
          <w:p>
            <w:pPr>
              <w:jc w:val="center"/>
              <w:ind w:right="788"/>
              <w:spacing w:after="0"/>
              <w:rPr>
                <w:sz w:val="20"/>
                <w:szCs w:val="20"/>
                <w:color w:val="auto"/>
              </w:rPr>
            </w:pPr>
            <w:r>
              <w:rPr>
                <w:rFonts w:ascii="Courier New" w:cs="Courier New" w:eastAsia="Courier New" w:hAnsi="Courier New"/>
                <w:sz w:val="14"/>
                <w:szCs w:val="14"/>
                <w:color w:val="auto"/>
                <w:w w:val="94"/>
              </w:rPr>
              <w:t>Of</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Option</w:t>
            </w:r>
          </w:p>
        </w:tc>
        <w:tc>
          <w:tcPr>
            <w:tcW w:w="100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4"/>
              </w:rPr>
              <w:t>Of</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Option</w:t>
            </w:r>
          </w:p>
        </w:tc>
      </w:tr>
      <w:tr>
        <w:trPr>
          <w:trHeight w:val="166"/>
        </w:trPr>
        <w:tc>
          <w:tcPr>
            <w:tcW w:w="138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Shares</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Price</w:t>
            </w:r>
          </w:p>
        </w:tc>
        <w:tc>
          <w:tcPr>
            <w:tcW w:w="10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Shares</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Price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72" w:orient="portrait"/>
          <w:cols w:equalWidth="0" w:num="1">
            <w:col w:w="10159"/>
          </w:cols>
          <w:pgMar w:left="300" w:top="285" w:right="1440" w:bottom="0" w:gutter="0" w:footer="0" w:header="0"/>
        </w:sectPr>
      </w:pPr>
    </w:p>
    <w:bookmarkStart w:id="35" w:name="page36"/>
    <w:bookmarkEnd w:id="35"/>
    <w:tbl>
      <w:tblPr>
        <w:tblLayout w:type="fixed"/>
        <w:tblInd w:w="180" w:type="dxa"/>
        <w:tblCellMar>
          <w:top w:w="0" w:type="dxa"/>
          <w:left w:w="0" w:type="dxa"/>
          <w:bottom w:w="0" w:type="dxa"/>
          <w:right w:w="0" w:type="dxa"/>
        </w:tblCellMar>
      </w:tblPr>
      <w:tr>
        <w:trPr>
          <w:trHeight w:val="162"/>
        </w:trPr>
        <w:tc>
          <w:tcPr>
            <w:tcW w:w="4000" w:type="dxa"/>
            <w:vAlign w:val="bottom"/>
          </w:tcPr>
          <w:p>
            <w:pPr>
              <w:jc w:val="right"/>
              <w:ind w:right="3148"/>
              <w:spacing w:after="0"/>
              <w:rPr>
                <w:sz w:val="20"/>
                <w:szCs w:val="20"/>
                <w:color w:val="auto"/>
              </w:rPr>
            </w:pPr>
            <w:r>
              <w:rPr>
                <w:rFonts w:ascii="Courier New" w:cs="Courier New" w:eastAsia="Courier New" w:hAnsi="Courier New"/>
                <w:sz w:val="14"/>
                <w:szCs w:val="14"/>
                <w:color w:val="auto"/>
              </w:rPr>
              <w:t>Beginning</w:t>
            </w: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0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of year . . . . . . . . . . . . . . . .</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155,000</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$255.95</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143,000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$256.88</w:t>
            </w:r>
          </w:p>
        </w:tc>
      </w:tr>
      <w:tr>
        <w:trPr>
          <w:trHeight w:val="166"/>
        </w:trPr>
        <w:tc>
          <w:tcPr>
            <w:tcW w:w="40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Granted . . . . . . . . . . . . . . . .</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12,000</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242.00</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12,500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239.88</w:t>
            </w:r>
          </w:p>
        </w:tc>
      </w:tr>
      <w:tr>
        <w:trPr>
          <w:trHeight w:val="166"/>
        </w:trPr>
        <w:tc>
          <w:tcPr>
            <w:tcW w:w="40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Exercised . . . . . . . . . . . . . . .</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121.50</w:t>
            </w:r>
          </w:p>
        </w:tc>
      </w:tr>
      <w:tr>
        <w:trPr>
          <w:trHeight w:val="166"/>
        </w:trPr>
        <w:tc>
          <w:tcPr>
            <w:tcW w:w="40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Canceled  . . . . . . . . . . . . . . .</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(2,500)</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231.70</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00" w:type="dxa"/>
            <w:vAlign w:val="bottom"/>
          </w:tcPr>
          <w:p>
            <w:pPr>
              <w:spacing w:after="0"/>
              <w:rPr>
                <w:sz w:val="14"/>
                <w:szCs w:val="14"/>
                <w:color w:val="auto"/>
              </w:rPr>
            </w:pP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End of year  . . . . . . . . . . . . . .</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164,500</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$255.35</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155,000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$255.95</w:t>
            </w:r>
          </w:p>
        </w:tc>
      </w:tr>
      <w:tr>
        <w:trPr>
          <w:trHeight w:val="166"/>
        </w:trPr>
        <w:tc>
          <w:tcPr>
            <w:tcW w:w="4000" w:type="dxa"/>
            <w:vAlign w:val="bottom"/>
          </w:tcPr>
          <w:p>
            <w:pPr>
              <w:spacing w:after="0"/>
              <w:rPr>
                <w:sz w:val="14"/>
                <w:szCs w:val="14"/>
                <w:color w:val="auto"/>
              </w:rPr>
            </w:pP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r>
    </w:tbl>
    <w:p>
      <w:pPr>
        <w:spacing w:after="0" w:line="33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Of the shares covered by options outstanding at the end of 1994, 77,750 are now exercisable, 16,750 will become exercisable in 1995, 10,875 will become exercisable in 1996, 6,125 will become exercisable in 1997, 3,000 will become exercisable in 1998, and 50,000 will become exercisable in 1999.</w:t>
      </w:r>
    </w:p>
    <w:p>
      <w:pPr>
        <w:spacing w:after="0" w:line="162" w:lineRule="exact"/>
        <w:rPr>
          <w:sz w:val="20"/>
          <w:szCs w:val="20"/>
          <w:color w:val="auto"/>
        </w:rPr>
      </w:pPr>
    </w:p>
    <w:p>
      <w:pPr>
        <w:ind w:right="3439"/>
        <w:spacing w:after="0" w:line="251" w:lineRule="auto"/>
        <w:rPr>
          <w:sz w:val="20"/>
          <w:szCs w:val="20"/>
          <w:color w:val="auto"/>
        </w:rPr>
      </w:pPr>
      <w:r>
        <w:rPr>
          <w:rFonts w:ascii="Courier New" w:cs="Courier New" w:eastAsia="Courier New" w:hAnsi="Courier New"/>
          <w:sz w:val="14"/>
          <w:szCs w:val="14"/>
          <w:color w:val="auto"/>
        </w:rPr>
        <w:t>STOCK AWARDS. In 1982 the company adopted a Long-Term Incentive Compensation Plan that, among other provisions, authorizes the awarding of stock to key employees. Stock awards made under the Incentive Compensation Plan are subject to the general restriction that stock awarded to a participant will be forfeited and revert to company ownership if the participant's employment terminates before the end of a specified period of service to the company. At January 1, 1995, there were 138,597 shares reserved for issuance under the Incentive Compensation Plan. Of this number, 26,860 shares were subject to awards outstanding and 111,737 shares were available for future awards. Activity related to stock awards for the years ended January 1, 1995, and January 2, 1994, was as follows: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520"/>
        <w:spacing w:after="0"/>
        <w:tabs>
          <w:tab w:leader="none" w:pos="8000" w:val="left"/>
        </w:tabs>
        <w:rPr>
          <w:sz w:val="20"/>
          <w:szCs w:val="20"/>
          <w:color w:val="auto"/>
        </w:rPr>
      </w:pP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740"/>
        <w:spacing w:after="0"/>
        <w:tabs>
          <w:tab w:leader="none" w:pos="6280" w:val="left"/>
          <w:tab w:leader="none" w:pos="7220" w:val="left"/>
          <w:tab w:leader="none" w:pos="8340" w:val="left"/>
        </w:tabs>
        <w:rPr>
          <w:sz w:val="20"/>
          <w:szCs w:val="20"/>
          <w:color w:val="auto"/>
        </w:rPr>
      </w:pP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Average</w:t>
      </w:r>
      <w:r>
        <w:rPr>
          <w:sz w:val="20"/>
          <w:szCs w:val="20"/>
          <w:color w:val="auto"/>
        </w:rPr>
        <w:tab/>
      </w: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Average</w:t>
      </w:r>
    </w:p>
    <w:p>
      <w:pPr>
        <w:spacing w:after="0" w:line="7" w:lineRule="exact"/>
        <w:rPr>
          <w:sz w:val="20"/>
          <w:szCs w:val="20"/>
          <w:color w:val="auto"/>
        </w:rPr>
      </w:pPr>
    </w:p>
    <w:p>
      <w:pPr>
        <w:ind w:left="4920"/>
        <w:spacing w:after="0"/>
        <w:tabs>
          <w:tab w:leader="none" w:pos="6360" w:val="left"/>
          <w:tab w:leader="none" w:pos="7400" w:val="left"/>
          <w:tab w:leader="none" w:pos="8420" w:val="left"/>
        </w:tabs>
        <w:rPr>
          <w:sz w:val="20"/>
          <w:szCs w:val="20"/>
          <w:color w:val="auto"/>
        </w:rPr>
      </w:pPr>
      <w:r>
        <w:rPr>
          <w:rFonts w:ascii="Courier New" w:cs="Courier New" w:eastAsia="Courier New" w:hAnsi="Courier New"/>
          <w:sz w:val="14"/>
          <w:szCs w:val="14"/>
          <w:color w:val="auto"/>
        </w:rPr>
        <w:t>Of</w:t>
      </w:r>
      <w:r>
        <w:rPr>
          <w:sz w:val="20"/>
          <w:szCs w:val="20"/>
          <w:color w:val="auto"/>
        </w:rPr>
        <w:tab/>
      </w:r>
      <w:r>
        <w:rPr>
          <w:rFonts w:ascii="Courier New" w:cs="Courier New" w:eastAsia="Courier New" w:hAnsi="Courier New"/>
          <w:sz w:val="14"/>
          <w:szCs w:val="14"/>
          <w:color w:val="auto"/>
        </w:rPr>
        <w:t>Award</w:t>
      </w:r>
      <w:r>
        <w:rPr>
          <w:sz w:val="20"/>
          <w:szCs w:val="20"/>
          <w:color w:val="auto"/>
        </w:rPr>
        <w:tab/>
      </w:r>
      <w:r>
        <w:rPr>
          <w:rFonts w:ascii="Courier New" w:cs="Courier New" w:eastAsia="Courier New" w:hAnsi="Courier New"/>
          <w:sz w:val="14"/>
          <w:szCs w:val="14"/>
          <w:color w:val="auto"/>
        </w:rPr>
        <w:t>Of</w:t>
      </w:r>
      <w:r>
        <w:rPr>
          <w:sz w:val="20"/>
          <w:szCs w:val="20"/>
          <w:color w:val="auto"/>
        </w:rPr>
        <w:tab/>
      </w:r>
      <w:r>
        <w:rPr>
          <w:rFonts w:ascii="Courier New" w:cs="Courier New" w:eastAsia="Courier New" w:hAnsi="Courier New"/>
          <w:sz w:val="14"/>
          <w:szCs w:val="14"/>
          <w:color w:val="auto"/>
        </w:rPr>
        <w:t>Award</w:t>
      </w:r>
    </w:p>
    <w:p>
      <w:pPr>
        <w:spacing w:after="0" w:line="7" w:lineRule="exact"/>
        <w:rPr>
          <w:sz w:val="20"/>
          <w:szCs w:val="20"/>
          <w:color w:val="auto"/>
        </w:rPr>
      </w:pPr>
    </w:p>
    <w:p>
      <w:pPr>
        <w:ind w:left="4740"/>
        <w:spacing w:after="0"/>
        <w:tabs>
          <w:tab w:leader="none" w:pos="6360" w:val="left"/>
          <w:tab w:leader="none" w:pos="7220" w:val="left"/>
          <w:tab w:leader="none" w:pos="8420"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Price</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Price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040" w:type="dxa"/>
            <w:vAlign w:val="bottom"/>
          </w:tcPr>
          <w:p>
            <w:pPr>
              <w:spacing w:after="0"/>
              <w:rPr>
                <w:sz w:val="20"/>
                <w:szCs w:val="20"/>
                <w:color w:val="auto"/>
              </w:rPr>
            </w:pPr>
            <w:r>
              <w:rPr>
                <w:rFonts w:ascii="Courier New" w:cs="Courier New" w:eastAsia="Courier New" w:hAnsi="Courier New"/>
                <w:sz w:val="14"/>
                <w:szCs w:val="14"/>
                <w:color w:val="auto"/>
              </w:rPr>
              <w:t>Awards Outstanding</w:t>
            </w:r>
          </w:p>
        </w:tc>
        <w:tc>
          <w:tcPr>
            <w:tcW w:w="1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040" w:type="dxa"/>
            <w:vAlign w:val="bottom"/>
          </w:tcPr>
          <w:p>
            <w:pPr>
              <w:spacing w:after="0"/>
              <w:rPr>
                <w:sz w:val="20"/>
                <w:szCs w:val="20"/>
                <w:color w:val="auto"/>
              </w:rPr>
            </w:pPr>
            <w:r>
              <w:rPr>
                <w:rFonts w:ascii="Courier New" w:cs="Courier New" w:eastAsia="Courier New" w:hAnsi="Courier New"/>
                <w:sz w:val="14"/>
                <w:szCs w:val="14"/>
                <w:color w:val="auto"/>
              </w:rPr>
              <w:t>Beginning</w:t>
            </w:r>
          </w:p>
        </w:tc>
        <w:tc>
          <w:tcPr>
            <w:tcW w:w="1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0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of year . . . . . . . . . . . . . . . .</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27,955</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$214.61</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24,765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$202.99</w:t>
            </w:r>
          </w:p>
        </w:tc>
      </w:tr>
      <w:tr>
        <w:trPr>
          <w:trHeight w:val="166"/>
        </w:trPr>
        <w:tc>
          <w:tcPr>
            <w:tcW w:w="40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Awarded . . . . . . . . . . . . . . . .</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472</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237.84</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15,437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228.67</w:t>
            </w:r>
          </w:p>
        </w:tc>
      </w:tr>
      <w:tr>
        <w:trPr>
          <w:trHeight w:val="166"/>
        </w:trPr>
        <w:tc>
          <w:tcPr>
            <w:tcW w:w="40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Vested  . . . . . . . . . . . . . . . .</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(284)</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201.79</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(11,340)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209.05</w:t>
            </w:r>
          </w:p>
        </w:tc>
      </w:tr>
      <w:tr>
        <w:trPr>
          <w:trHeight w:val="166"/>
        </w:trPr>
        <w:tc>
          <w:tcPr>
            <w:tcW w:w="40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Forfeited . . . . . . . . . . . . . . .</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(1,283)</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222.05</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206.35</w:t>
            </w:r>
          </w:p>
        </w:tc>
      </w:tr>
      <w:tr>
        <w:trPr>
          <w:trHeight w:val="166"/>
        </w:trPr>
        <w:tc>
          <w:tcPr>
            <w:tcW w:w="4040" w:type="dxa"/>
            <w:vAlign w:val="bottom"/>
          </w:tcPr>
          <w:p>
            <w:pPr>
              <w:spacing w:after="0"/>
              <w:rPr>
                <w:sz w:val="14"/>
                <w:szCs w:val="14"/>
                <w:color w:val="auto"/>
              </w:rPr>
            </w:pP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r>
      <w:tr>
        <w:trPr>
          <w:trHeight w:val="166"/>
        </w:trPr>
        <w:tc>
          <w:tcPr>
            <w:tcW w:w="40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End of year . . . . . . . . . . . . . . .</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26,860</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$214.79</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27,955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$214.61</w:t>
            </w:r>
          </w:p>
        </w:tc>
      </w:tr>
      <w:tr>
        <w:trPr>
          <w:trHeight w:val="166"/>
        </w:trPr>
        <w:tc>
          <w:tcPr>
            <w:tcW w:w="4040" w:type="dxa"/>
            <w:vAlign w:val="bottom"/>
          </w:tcPr>
          <w:p>
            <w:pPr>
              <w:spacing w:after="0"/>
              <w:rPr>
                <w:sz w:val="14"/>
                <w:szCs w:val="14"/>
                <w:color w:val="auto"/>
              </w:rPr>
            </w:pP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159"/>
          </w:cols>
          <w:pgMar w:left="300" w:top="307"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4"/>
          <w:szCs w:val="14"/>
          <w:color w:val="auto"/>
        </w:rPr>
        <w:t>34</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For the share awards outstanding at January 1, 1995, the aforementioned restriction will lapse in January 1995 for 12,144 shares and in January 1997 for 14,716 shares.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AVERAGE NUMBER OF SHARES OUTSTANDING. Earnings per share are based on the weighted average number of shares of common stock outstanding during each year, adjusted for the dilutive effect of shares issuable under outstanding stock options, and awards made under the Incentive Compensation Plan. The average number of shares outstanding was 11,582,000 for 1994, 11,750,000 for 1993, and 11,830,000 for 1992.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 RETIREMENT PLANS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and its subsidiaries have various funded and unfunded pension and incentive savings plans and in addition contribute to several multi-employer plans on behalf of certain union-represented employee groups. Substantially all of the company's employees, including some located in foreign countries, are covered by these plans. Pension (benefit) cost for all retirement plans combined was $(1,600,000) in 1994, $(2,300,000) in 1993, and $5,200,000 in 1992. Included in 1992 are costs of $8,300,000 related to a new deferred compensation arrangement at The Washington Post newspaper.</w:t>
      </w:r>
    </w:p>
    <w:p>
      <w:pPr>
        <w:spacing w:after="0" w:line="163" w:lineRule="exact"/>
        <w:rPr>
          <w:sz w:val="20"/>
          <w:szCs w:val="20"/>
          <w:color w:val="auto"/>
        </w:rPr>
      </w:pPr>
    </w:p>
    <w:p>
      <w:pPr>
        <w:ind w:right="3439"/>
        <w:spacing w:after="0" w:line="252" w:lineRule="auto"/>
        <w:rPr>
          <w:sz w:val="20"/>
          <w:szCs w:val="20"/>
          <w:color w:val="auto"/>
        </w:rPr>
      </w:pPr>
      <w:r>
        <w:rPr>
          <w:rFonts w:ascii="Courier New" w:cs="Courier New" w:eastAsia="Courier New" w:hAnsi="Courier New"/>
          <w:sz w:val="14"/>
          <w:szCs w:val="14"/>
          <w:color w:val="auto"/>
        </w:rPr>
        <w:t>The costs for the company's defined benefit pension plans are actuarially determined and include amortization of prior service costs over various periods, generally not exceeding 20 years. The company's policy is to fund the costs accrued for its defined benefit plans.</w:t>
      </w:r>
    </w:p>
    <w:p>
      <w:pPr>
        <w:spacing w:after="0" w:line="162"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following table sets forth the funded status of the defined benefit plans and amounts recognized in "Deferred charges and other assets" in the Consolidated Balance Sheets at January 1, 1995, and January 2, 1994 (in thousands):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840"/>
        <w:spacing w:after="0"/>
        <w:tabs>
          <w:tab w:leader="none" w:pos="6360" w:val="left"/>
        </w:tabs>
        <w:rPr>
          <w:sz w:val="20"/>
          <w:szCs w:val="20"/>
          <w:color w:val="auto"/>
        </w:rPr>
      </w:pP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Actuarial present value of</w:t>
            </w:r>
          </w:p>
        </w:tc>
        <w:tc>
          <w:tcPr>
            <w:tcW w:w="16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accumulated plan benefits</w:t>
            </w:r>
          </w:p>
        </w:tc>
        <w:tc>
          <w:tcPr>
            <w:tcW w:w="16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920" w:type="dxa"/>
            <w:vAlign w:val="bottom"/>
          </w:tcPr>
          <w:p>
            <w:pPr>
              <w:ind w:left="260"/>
              <w:spacing w:after="0"/>
              <w:rPr>
                <w:sz w:val="20"/>
                <w:szCs w:val="20"/>
                <w:color w:val="auto"/>
              </w:rPr>
            </w:pPr>
            <w:r>
              <w:rPr>
                <w:rFonts w:ascii="Courier New" w:cs="Courier New" w:eastAsia="Courier New" w:hAnsi="Courier New"/>
                <w:sz w:val="14"/>
                <w:szCs w:val="14"/>
                <w:color w:val="auto"/>
              </w:rPr>
              <w:t>including vested benefits of</w:t>
            </w:r>
          </w:p>
        </w:tc>
        <w:tc>
          <w:tcPr>
            <w:tcW w:w="16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$162,068 and $142,706 . . . . . . . . .</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$ 167,341</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$ 151,200</w:t>
            </w:r>
          </w:p>
        </w:tc>
      </w:tr>
      <w:tr>
        <w:trPr>
          <w:trHeight w:val="166"/>
        </w:trPr>
        <w:tc>
          <w:tcPr>
            <w:tcW w:w="3920" w:type="dxa"/>
            <w:vAlign w:val="bottom"/>
          </w:tcPr>
          <w:p>
            <w:pPr>
              <w:spacing w:after="0"/>
              <w:rPr>
                <w:sz w:val="14"/>
                <w:szCs w:val="14"/>
                <w:color w:val="auto"/>
              </w:rPr>
            </w:pP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Plan assets at fair value,</w:t>
            </w:r>
          </w:p>
        </w:tc>
        <w:tc>
          <w:tcPr>
            <w:tcW w:w="16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primarily listed securities . . . . . .</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$ 455,456</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$ 454,741</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Projected benefit</w:t>
            </w:r>
          </w:p>
        </w:tc>
        <w:tc>
          <w:tcPr>
            <w:tcW w:w="16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obligation for service</w:t>
            </w:r>
          </w:p>
        </w:tc>
        <w:tc>
          <w:tcPr>
            <w:tcW w:w="16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rendered to date  . . . . . . . . . . .</w:t>
            </w:r>
          </w:p>
        </w:tc>
        <w:tc>
          <w:tcPr>
            <w:tcW w:w="16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(206,870)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(187,490)</w:t>
            </w:r>
          </w:p>
        </w:tc>
      </w:tr>
      <w:tr>
        <w:trPr>
          <w:trHeight w:val="166"/>
        </w:trPr>
        <w:tc>
          <w:tcPr>
            <w:tcW w:w="3920" w:type="dxa"/>
            <w:vAlign w:val="bottom"/>
          </w:tcPr>
          <w:p>
            <w:pPr>
              <w:spacing w:after="0"/>
              <w:rPr>
                <w:sz w:val="14"/>
                <w:szCs w:val="14"/>
                <w:color w:val="auto"/>
              </w:rPr>
            </w:pP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Plan assets in excess</w:t>
            </w:r>
          </w:p>
        </w:tc>
        <w:tc>
          <w:tcPr>
            <w:tcW w:w="16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of projected</w:t>
            </w:r>
          </w:p>
        </w:tc>
        <w:tc>
          <w:tcPr>
            <w:tcW w:w="16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benefit obligation  . . . . . . . . . .</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248,586</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267,251</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Prior service cost not</w:t>
            </w:r>
          </w:p>
        </w:tc>
        <w:tc>
          <w:tcPr>
            <w:tcW w:w="16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yet recognized in periodic</w:t>
            </w:r>
          </w:p>
        </w:tc>
        <w:tc>
          <w:tcPr>
            <w:tcW w:w="16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pension cost  . . . . . . . . . . . . .</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13,317</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15,697</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Less unrecognized net</w:t>
            </w:r>
          </w:p>
        </w:tc>
        <w:tc>
          <w:tcPr>
            <w:tcW w:w="16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gain from past</w:t>
            </w:r>
          </w:p>
        </w:tc>
        <w:tc>
          <w:tcPr>
            <w:tcW w:w="16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experience different</w:t>
            </w:r>
          </w:p>
        </w:tc>
        <w:tc>
          <w:tcPr>
            <w:tcW w:w="16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from that assumed . . . . . . . . . . .</w:t>
            </w:r>
          </w:p>
        </w:tc>
        <w:tc>
          <w:tcPr>
            <w:tcW w:w="16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(79,795)</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(114,212)</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Less unrecognized net</w:t>
            </w:r>
          </w:p>
        </w:tc>
        <w:tc>
          <w:tcPr>
            <w:tcW w:w="16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asset (transition amount)</w:t>
            </w:r>
          </w:p>
        </w:tc>
        <w:tc>
          <w:tcPr>
            <w:tcW w:w="16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being recognized over</w:t>
            </w:r>
          </w:p>
        </w:tc>
        <w:tc>
          <w:tcPr>
            <w:tcW w:w="16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approximately 17 years  . . . . . . . .</w:t>
            </w:r>
          </w:p>
        </w:tc>
        <w:tc>
          <w:tcPr>
            <w:tcW w:w="16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(61,268)</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(68,933)</w:t>
            </w:r>
          </w:p>
        </w:tc>
      </w:tr>
      <w:tr>
        <w:trPr>
          <w:trHeight w:val="166"/>
        </w:trPr>
        <w:tc>
          <w:tcPr>
            <w:tcW w:w="3920" w:type="dxa"/>
            <w:vAlign w:val="bottom"/>
          </w:tcPr>
          <w:p>
            <w:pPr>
              <w:spacing w:after="0"/>
              <w:rPr>
                <w:sz w:val="14"/>
                <w:szCs w:val="14"/>
                <w:color w:val="auto"/>
              </w:rPr>
            </w:pP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Prepaid pension cost  . . . . . . . . . .</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$ 120,840</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99,803</w:t>
            </w:r>
          </w:p>
        </w:tc>
      </w:tr>
      <w:tr>
        <w:trPr>
          <w:trHeight w:val="166"/>
        </w:trPr>
        <w:tc>
          <w:tcPr>
            <w:tcW w:w="3920" w:type="dxa"/>
            <w:vAlign w:val="bottom"/>
          </w:tcPr>
          <w:p>
            <w:pPr>
              <w:spacing w:after="0"/>
              <w:rPr>
                <w:sz w:val="14"/>
                <w:szCs w:val="14"/>
                <w:color w:val="auto"/>
              </w:rPr>
            </w:pP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439" w:firstLine="172"/>
        <w:spacing w:after="0" w:line="255" w:lineRule="auto"/>
        <w:rPr>
          <w:sz w:val="20"/>
          <w:szCs w:val="20"/>
          <w:color w:val="auto"/>
        </w:rPr>
      </w:pPr>
      <w:r>
        <w:rPr>
          <w:rFonts w:ascii="Courier New" w:cs="Courier New" w:eastAsia="Courier New" w:hAnsi="Courier New"/>
          <w:sz w:val="14"/>
          <w:szCs w:val="14"/>
          <w:color w:val="auto"/>
        </w:rPr>
        <w:t>The net pension credit for the years ended January 1, 1995, January 2, 1994, and January 3, 1993, includes the following components (in thousands):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840"/>
        <w:spacing w:after="0"/>
        <w:tabs>
          <w:tab w:leader="none" w:pos="6360" w:val="left"/>
          <w:tab w:leader="none" w:pos="7480" w:val="left"/>
        </w:tabs>
        <w:rPr>
          <w:sz w:val="20"/>
          <w:szCs w:val="20"/>
          <w:color w:val="auto"/>
        </w:rPr>
      </w:pP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Service cost for</w:t>
            </w: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960" w:type="dxa"/>
            <w:vAlign w:val="bottom"/>
          </w:tcPr>
          <w:p>
            <w:pPr>
              <w:ind w:left="180"/>
              <w:spacing w:after="0"/>
              <w:rPr>
                <w:sz w:val="20"/>
                <w:szCs w:val="20"/>
                <w:color w:val="auto"/>
              </w:rPr>
            </w:pPr>
            <w:r>
              <w:rPr>
                <w:rFonts w:ascii="Courier New" w:cs="Courier New" w:eastAsia="Courier New" w:hAnsi="Courier New"/>
                <w:sz w:val="14"/>
                <w:szCs w:val="14"/>
                <w:color w:val="auto"/>
              </w:rPr>
              <w:t>benefits earned</w:t>
            </w: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960" w:type="dxa"/>
            <w:vAlign w:val="bottom"/>
          </w:tcPr>
          <w:p>
            <w:pPr>
              <w:ind w:left="180"/>
              <w:spacing w:after="0"/>
              <w:rPr>
                <w:sz w:val="20"/>
                <w:szCs w:val="20"/>
                <w:color w:val="auto"/>
              </w:rPr>
            </w:pPr>
            <w:r>
              <w:rPr>
                <w:rFonts w:ascii="Courier New" w:cs="Courier New" w:eastAsia="Courier New" w:hAnsi="Courier New"/>
                <w:sz w:val="14"/>
                <w:szCs w:val="14"/>
                <w:color w:val="auto"/>
              </w:rPr>
              <w:t>during the period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9,117</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8,805</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8,312</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Interest cost on</w:t>
            </w: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960" w:type="dxa"/>
            <w:vAlign w:val="bottom"/>
          </w:tcPr>
          <w:p>
            <w:pPr>
              <w:ind w:left="180"/>
              <w:spacing w:after="0"/>
              <w:rPr>
                <w:sz w:val="20"/>
                <w:szCs w:val="20"/>
                <w:color w:val="auto"/>
              </w:rPr>
            </w:pPr>
            <w:r>
              <w:rPr>
                <w:rFonts w:ascii="Courier New" w:cs="Courier New" w:eastAsia="Courier New" w:hAnsi="Courier New"/>
                <w:sz w:val="14"/>
                <w:szCs w:val="14"/>
                <w:color w:val="auto"/>
              </w:rPr>
              <w:t>projected benefit</w:t>
            </w: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960" w:type="dxa"/>
            <w:vAlign w:val="bottom"/>
          </w:tcPr>
          <w:p>
            <w:pPr>
              <w:ind w:left="180"/>
              <w:spacing w:after="0"/>
              <w:rPr>
                <w:sz w:val="20"/>
                <w:szCs w:val="20"/>
                <w:color w:val="auto"/>
              </w:rPr>
            </w:pPr>
            <w:r>
              <w:rPr>
                <w:rFonts w:ascii="Courier New" w:cs="Courier New" w:eastAsia="Courier New" w:hAnsi="Courier New"/>
                <w:sz w:val="14"/>
                <w:szCs w:val="14"/>
                <w:color w:val="auto"/>
              </w:rPr>
              <w:t>obligation  . . . . . . . . . . . . . .</w:t>
            </w:r>
          </w:p>
        </w:tc>
        <w:tc>
          <w:tcPr>
            <w:tcW w:w="52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14,022</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12,683</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11,700</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Actual return on</w:t>
            </w: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960" w:type="dxa"/>
            <w:vAlign w:val="bottom"/>
          </w:tcPr>
          <w:p>
            <w:pPr>
              <w:ind w:left="180"/>
              <w:spacing w:after="0"/>
              <w:rPr>
                <w:sz w:val="20"/>
                <w:szCs w:val="20"/>
                <w:color w:val="auto"/>
              </w:rPr>
            </w:pPr>
            <w:r>
              <w:rPr>
                <w:rFonts w:ascii="Courier New" w:cs="Courier New" w:eastAsia="Courier New" w:hAnsi="Courier New"/>
                <w:sz w:val="14"/>
                <w:szCs w:val="14"/>
                <w:color w:val="auto"/>
              </w:rPr>
              <w:t>plan assets . . . . . . . . . . . . . .</w:t>
            </w:r>
          </w:p>
        </w:tc>
        <w:tc>
          <w:tcPr>
            <w:tcW w:w="52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(7,211)</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(35,086)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(29,388)</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Net amortization</w:t>
            </w: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960" w:type="dxa"/>
            <w:vAlign w:val="bottom"/>
          </w:tcPr>
          <w:p>
            <w:pPr>
              <w:ind w:left="180"/>
              <w:spacing w:after="0"/>
              <w:rPr>
                <w:sz w:val="20"/>
                <w:szCs w:val="20"/>
                <w:color w:val="auto"/>
              </w:rPr>
            </w:pPr>
            <w:r>
              <w:rPr>
                <w:rFonts w:ascii="Courier New" w:cs="Courier New" w:eastAsia="Courier New" w:hAnsi="Courier New"/>
                <w:sz w:val="14"/>
                <w:szCs w:val="14"/>
                <w:color w:val="auto"/>
              </w:rPr>
              <w:t>and deferral  . . . . . . . . . . . . .</w:t>
            </w:r>
          </w:p>
        </w:tc>
        <w:tc>
          <w:tcPr>
            <w:tcW w:w="52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(36,751)</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(5,839)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(8,185)</w:t>
            </w:r>
          </w:p>
        </w:tc>
      </w:tr>
      <w:tr>
        <w:trPr>
          <w:trHeight w:val="166"/>
        </w:trPr>
        <w:tc>
          <w:tcPr>
            <w:tcW w:w="3960" w:type="dxa"/>
            <w:vAlign w:val="bottom"/>
          </w:tcPr>
          <w:p>
            <w:pPr>
              <w:spacing w:after="0"/>
              <w:rPr>
                <w:sz w:val="14"/>
                <w:szCs w:val="14"/>
                <w:color w:val="auto"/>
              </w:rPr>
            </w:pPr>
          </w:p>
        </w:tc>
        <w:tc>
          <w:tcPr>
            <w:tcW w:w="16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Net pension credit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(20,823)</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$(19,437)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$(17,561)</w:t>
            </w:r>
          </w:p>
        </w:tc>
      </w:tr>
      <w:tr>
        <w:trPr>
          <w:trHeight w:val="166"/>
        </w:trPr>
        <w:tc>
          <w:tcPr>
            <w:tcW w:w="3960" w:type="dxa"/>
            <w:vAlign w:val="bottom"/>
          </w:tcPr>
          <w:p>
            <w:pPr>
              <w:spacing w:after="0"/>
              <w:rPr>
                <w:sz w:val="14"/>
                <w:szCs w:val="14"/>
                <w:color w:val="auto"/>
              </w:rPr>
            </w:pPr>
          </w:p>
        </w:tc>
        <w:tc>
          <w:tcPr>
            <w:tcW w:w="16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159"/>
          </w:cols>
          <w:pgMar w:left="300" w:top="285" w:right="1440" w:bottom="0" w:gutter="0" w:footer="0" w:header="0"/>
        </w:sectPr>
      </w:pPr>
    </w:p>
    <w:bookmarkStart w:id="37" w:name="page38"/>
    <w:bookmarkEnd w:id="37"/>
    <w:p>
      <w:pPr>
        <w:ind w:right="3339"/>
        <w:spacing w:after="0" w:line="251" w:lineRule="auto"/>
        <w:rPr>
          <w:sz w:val="20"/>
          <w:szCs w:val="20"/>
          <w:color w:val="auto"/>
        </w:rPr>
      </w:pPr>
      <w:r>
        <w:rPr>
          <w:rFonts w:ascii="Courier New" w:cs="Courier New" w:eastAsia="Courier New" w:hAnsi="Courier New"/>
          <w:sz w:val="14"/>
          <w:szCs w:val="14"/>
          <w:color w:val="auto"/>
        </w:rPr>
        <w:t>The weighted average discount rate and rate of increase in future compensation levels used for 1994, 1993, and 1992 in determining the actuarial present value of the projected benefit obligation were 7.5 percent and 4 percent, respectively. The expected long-term rate of return on assets was 9 percent in 1994, 1993, and 1992.</w:t>
      </w:r>
    </w:p>
    <w:p>
      <w:pPr>
        <w:spacing w:after="0" w:line="164" w:lineRule="exact"/>
        <w:rPr>
          <w:sz w:val="20"/>
          <w:szCs w:val="20"/>
          <w:color w:val="auto"/>
        </w:rPr>
      </w:pPr>
    </w:p>
    <w:p>
      <w:pPr>
        <w:ind w:right="3699"/>
        <w:spacing w:after="0" w:line="252" w:lineRule="auto"/>
        <w:rPr>
          <w:sz w:val="20"/>
          <w:szCs w:val="20"/>
          <w:color w:val="auto"/>
        </w:rPr>
      </w:pPr>
      <w:r>
        <w:rPr>
          <w:rFonts w:ascii="Courier New" w:cs="Courier New" w:eastAsia="Courier New" w:hAnsi="Courier New"/>
          <w:sz w:val="14"/>
          <w:szCs w:val="14"/>
          <w:color w:val="auto"/>
        </w:rPr>
        <w:t>Contributions to multi-employer pension plans, which are generally based on hours worked, amounted to $1,700,000 in 1994, $1,900,000 in 1993, and $1,500,000 in 1992.</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costs of unfunded retirement plans are charged to expense when accrued. The company's liability for such plans, which is included in "Other Liabilities" in the Consolidated Balance Sheets, was $48,700,000 at January 1, 1995, and $45,000,000 at January 2, 1994.</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POSTRETIREMENT BENEFITS OTHER THAN PENSIONS</w:t>
      </w:r>
    </w:p>
    <w:p>
      <w:pPr>
        <w:spacing w:after="0" w:line="17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The company and its subsidiaries provide health care and life insurance benefits to certain retired employees. These employees become eligible for benefits after meeting minimum age and service requirements.</w:t>
      </w:r>
    </w:p>
    <w:p>
      <w:pPr>
        <w:spacing w:after="0" w:line="16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following table sets forth the amounts included in "Other Liabilities" in the Consolidated Balance Sheets at January 1, 1995, and January 2, 1994 (in thousands):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920"/>
        <w:spacing w:after="0"/>
        <w:tabs>
          <w:tab w:leader="none" w:pos="6440" w:val="left"/>
        </w:tabs>
        <w:rPr>
          <w:sz w:val="20"/>
          <w:szCs w:val="20"/>
          <w:color w:val="auto"/>
        </w:rPr>
      </w:pP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Accumulated postretirement</w:t>
            </w: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benefit obligation:</w:t>
            </w: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Retirees  . . . . . . . . . . . . . . . . .</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$ 50,737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$46,987</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Fully eligible active</w:t>
            </w: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140" w:type="dxa"/>
            <w:vAlign w:val="bottom"/>
          </w:tcPr>
          <w:p>
            <w:pPr>
              <w:ind w:left="340"/>
              <w:spacing w:after="0"/>
              <w:rPr>
                <w:sz w:val="20"/>
                <w:szCs w:val="20"/>
                <w:color w:val="auto"/>
              </w:rPr>
            </w:pPr>
            <w:r>
              <w:rPr>
                <w:rFonts w:ascii="Courier New" w:cs="Courier New" w:eastAsia="Courier New" w:hAnsi="Courier New"/>
                <w:sz w:val="14"/>
                <w:szCs w:val="14"/>
                <w:color w:val="auto"/>
              </w:rPr>
              <w:t>plan participants . . . . . . . . . . . .</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6,936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6,423</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Other active plan participants  . . . . . .</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44,194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40,927</w:t>
            </w:r>
          </w:p>
        </w:tc>
      </w:tr>
      <w:tr>
        <w:trPr>
          <w:trHeight w:val="166"/>
        </w:trPr>
        <w:tc>
          <w:tcPr>
            <w:tcW w:w="4140" w:type="dxa"/>
            <w:vAlign w:val="bottom"/>
          </w:tcPr>
          <w:p>
            <w:pPr>
              <w:spacing w:after="0"/>
              <w:rPr>
                <w:sz w:val="14"/>
                <w:szCs w:val="14"/>
                <w:color w:val="auto"/>
              </w:rPr>
            </w:pP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14"/>
                <w:szCs w:val="14"/>
                <w:color w:val="auto"/>
              </w:rPr>
            </w:pP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101,867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94,337</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Unrecognized prior service costs</w:t>
            </w: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arising from plan amendments  . . . . . . .</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2,143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2,357</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Unrecognized net gain from</w:t>
            </w: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past experience different</w:t>
            </w: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from that assumed.  . . . . . . . . . . . .</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739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739</w:t>
            </w:r>
          </w:p>
        </w:tc>
      </w:tr>
      <w:tr>
        <w:trPr>
          <w:trHeight w:val="166"/>
        </w:trPr>
        <w:tc>
          <w:tcPr>
            <w:tcW w:w="4140" w:type="dxa"/>
            <w:vAlign w:val="bottom"/>
          </w:tcPr>
          <w:p>
            <w:pPr>
              <w:spacing w:after="0"/>
              <w:rPr>
                <w:sz w:val="14"/>
                <w:szCs w:val="14"/>
                <w:color w:val="auto"/>
              </w:rPr>
            </w:pP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Accrued postretirement</w:t>
            </w: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benefit cost  . . . . . . . . . . . . . . .</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$104,749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$97,433</w:t>
            </w:r>
          </w:p>
        </w:tc>
      </w:tr>
      <w:tr>
        <w:trPr>
          <w:trHeight w:val="166"/>
        </w:trPr>
        <w:tc>
          <w:tcPr>
            <w:tcW w:w="4140" w:type="dxa"/>
            <w:vAlign w:val="bottom"/>
          </w:tcPr>
          <w:p>
            <w:pPr>
              <w:spacing w:after="0"/>
              <w:rPr>
                <w:sz w:val="14"/>
                <w:szCs w:val="14"/>
                <w:color w:val="auto"/>
              </w:rPr>
            </w:pP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159"/>
          </w:cols>
          <w:pgMar w:left="300" w:top="141" w:right="1440" w:bottom="1440" w:gutter="0" w:footer="0" w:header="0"/>
        </w:sectPr>
      </w:pPr>
    </w:p>
    <w:bookmarkStart w:id="38" w:name="page39"/>
    <w:bookmarkEnd w:id="38"/>
    <w:p>
      <w:pPr>
        <w:spacing w:after="0" w:line="3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35</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Net periodic postretirement benefit cost for the years ended January 1, 1995, January 2, 1994, and January 3, 1993, includes the following components (in thousands):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840"/>
        <w:spacing w:after="0"/>
        <w:tabs>
          <w:tab w:leader="none" w:pos="6440" w:val="left"/>
          <w:tab w:leader="none" w:pos="7480" w:val="left"/>
        </w:tabs>
        <w:rPr>
          <w:sz w:val="20"/>
          <w:szCs w:val="20"/>
          <w:color w:val="auto"/>
        </w:rPr>
      </w:pP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for</w:t>
            </w: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1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benefits earned</w:t>
            </w: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080" w:type="dxa"/>
            <w:vAlign w:val="bottom"/>
          </w:tcPr>
          <w:p>
            <w:pPr>
              <w:ind w:left="180"/>
              <w:spacing w:after="0"/>
              <w:rPr>
                <w:sz w:val="20"/>
                <w:szCs w:val="20"/>
                <w:color w:val="auto"/>
              </w:rPr>
            </w:pPr>
            <w:r>
              <w:rPr>
                <w:rFonts w:ascii="Courier New" w:cs="Courier New" w:eastAsia="Courier New" w:hAnsi="Courier New"/>
                <w:sz w:val="14"/>
                <w:szCs w:val="14"/>
                <w:color w:val="auto"/>
              </w:rPr>
              <w:t>during the</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period . . . . . . . . . . . . .</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3,373</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$ 2,894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$ 3,029</w:t>
            </w:r>
          </w:p>
        </w:tc>
      </w:tr>
      <w:tr>
        <w:trPr>
          <w:trHeight w:val="166"/>
        </w:trPr>
        <w:tc>
          <w:tcPr>
            <w:tcW w:w="4180" w:type="dxa"/>
            <w:vAlign w:val="bottom"/>
            <w:gridSpan w:val="2"/>
          </w:tcPr>
          <w:p>
            <w:pPr>
              <w:spacing w:after="0"/>
              <w:rPr>
                <w:sz w:val="20"/>
                <w:szCs w:val="20"/>
                <w:color w:val="auto"/>
              </w:rPr>
            </w:pPr>
            <w:r>
              <w:rPr>
                <w:rFonts w:ascii="Courier New" w:cs="Courier New" w:eastAsia="Courier New" w:hAnsi="Courier New"/>
                <w:sz w:val="14"/>
                <w:szCs w:val="14"/>
                <w:color w:val="auto"/>
              </w:rPr>
              <w:t>Interest cost on</w:t>
            </w: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1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accumulated post-</w:t>
            </w: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080" w:type="dxa"/>
            <w:vAlign w:val="bottom"/>
          </w:tcPr>
          <w:p>
            <w:pPr>
              <w:ind w:left="180"/>
              <w:spacing w:after="0"/>
              <w:rPr>
                <w:sz w:val="20"/>
                <w:szCs w:val="20"/>
                <w:color w:val="auto"/>
              </w:rPr>
            </w:pPr>
            <w:r>
              <w:rPr>
                <w:rFonts w:ascii="Courier New" w:cs="Courier New" w:eastAsia="Courier New" w:hAnsi="Courier New"/>
                <w:sz w:val="14"/>
                <w:szCs w:val="14"/>
                <w:color w:val="auto"/>
              </w:rPr>
              <w:t>retirement</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benefit</w:t>
            </w: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080" w:type="dxa"/>
            <w:vAlign w:val="bottom"/>
          </w:tcPr>
          <w:p>
            <w:pPr>
              <w:ind w:left="180"/>
              <w:spacing w:after="0"/>
              <w:rPr>
                <w:sz w:val="20"/>
                <w:szCs w:val="20"/>
                <w:color w:val="auto"/>
              </w:rPr>
            </w:pPr>
            <w:r>
              <w:rPr>
                <w:rFonts w:ascii="Courier New" w:cs="Courier New" w:eastAsia="Courier New" w:hAnsi="Courier New"/>
                <w:sz w:val="14"/>
                <w:szCs w:val="14"/>
                <w:color w:val="auto"/>
              </w:rPr>
              <w:t>obligation</w:t>
            </w:r>
          </w:p>
        </w:tc>
        <w:tc>
          <w:tcPr>
            <w:tcW w:w="3100" w:type="dxa"/>
            <w:vAlign w:val="bottom"/>
          </w:tcPr>
          <w:p>
            <w:pPr>
              <w:ind w:left="120"/>
              <w:spacing w:after="0"/>
              <w:rPr>
                <w:sz w:val="20"/>
                <w:szCs w:val="20"/>
                <w:color w:val="auto"/>
              </w:rPr>
            </w:pPr>
            <w:r>
              <w:rPr>
                <w:rFonts w:ascii="Courier New" w:cs="Courier New" w:eastAsia="Courier New" w:hAnsi="Courier New"/>
                <w:sz w:val="14"/>
                <w:szCs w:val="14"/>
                <w:color w:val="auto"/>
              </w:rPr>
              <w:t>. . . . . . . . . . . . . . . .</w:t>
            </w:r>
          </w:p>
        </w:tc>
        <w:tc>
          <w:tcPr>
            <w:tcW w:w="38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7,419</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6,880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6,853</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Amortization</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of prior</w:t>
            </w: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1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service costs . . . . . . . . . . . . . . .</w:t>
            </w:r>
          </w:p>
        </w:tc>
        <w:tc>
          <w:tcPr>
            <w:tcW w:w="38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(214)</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r>
        <w:trPr>
          <w:trHeight w:val="166"/>
        </w:trPr>
        <w:tc>
          <w:tcPr>
            <w:tcW w:w="4180" w:type="dxa"/>
            <w:vAlign w:val="bottom"/>
            <w:gridSpan w:val="2"/>
          </w:tcPr>
          <w:p>
            <w:pPr>
              <w:spacing w:after="0"/>
              <w:rPr>
                <w:sz w:val="20"/>
                <w:szCs w:val="20"/>
                <w:color w:val="auto"/>
              </w:rPr>
            </w:pPr>
            <w:r>
              <w:rPr>
                <w:rFonts w:ascii="Courier New" w:cs="Courier New" w:eastAsia="Courier New" w:hAnsi="Courier New"/>
                <w:sz w:val="14"/>
                <w:szCs w:val="14"/>
                <w:color w:val="auto"/>
              </w:rPr>
              <w:t>Curtailment gain  . . . . . . . . . . . . . .</w:t>
            </w:r>
          </w:p>
        </w:tc>
        <w:tc>
          <w:tcPr>
            <w:tcW w:w="38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(5,963)</w:t>
            </w:r>
          </w:p>
        </w:tc>
      </w:tr>
      <w:tr>
        <w:trPr>
          <w:trHeight w:val="166"/>
        </w:trPr>
        <w:tc>
          <w:tcPr>
            <w:tcW w:w="10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Net periodic</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post-</w:t>
            </w: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080" w:type="dxa"/>
            <w:vAlign w:val="bottom"/>
          </w:tcPr>
          <w:p>
            <w:pPr>
              <w:ind w:left="180"/>
              <w:spacing w:after="0"/>
              <w:rPr>
                <w:sz w:val="20"/>
                <w:szCs w:val="20"/>
                <w:color w:val="auto"/>
              </w:rPr>
            </w:pPr>
            <w:r>
              <w:rPr>
                <w:rFonts w:ascii="Courier New" w:cs="Courier New" w:eastAsia="Courier New" w:hAnsi="Courier New"/>
                <w:sz w:val="14"/>
                <w:szCs w:val="14"/>
                <w:color w:val="auto"/>
              </w:rPr>
              <w:t>retirement</w:t>
            </w:r>
          </w:p>
        </w:tc>
        <w:tc>
          <w:tcPr>
            <w:tcW w:w="3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1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benefit cost  . . . . . . . . . . . . . . .</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9"/>
              </w:rPr>
              <w:t>10,578</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$ 9,560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$ 3,858</w:t>
            </w:r>
          </w:p>
        </w:tc>
      </w:tr>
      <w:tr>
        <w:trPr>
          <w:trHeight w:val="166"/>
        </w:trPr>
        <w:tc>
          <w:tcPr>
            <w:tcW w:w="10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curtailment gain of $6,000,000 relates to the termination in December 1992 of one of the company's health care plans at The Washington Post newspaper. The terminated plan has been replaced by a deferred payment arrangement and a related expense of $8,300,000 was recognized as a result of this change (see Note H).</w:t>
      </w:r>
    </w:p>
    <w:p>
      <w:pPr>
        <w:spacing w:after="0" w:line="32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For both 1994 and 1993 the accumulated postretirement benefit obligation was determined using a discount rate of 8 percent and a health care cost trend rate of approximately 14 percent for pre-age-65 benefits, decreasing to 6.5 percent in the year 2022 and thereafter; and rates of approximately 11 to 14 percent for post-age-65 benefits, decreasing to 6.5 percent in the year 2022 and thereafter.</w:t>
      </w:r>
    </w:p>
    <w:p>
      <w:pPr>
        <w:spacing w:after="0" w:line="330"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The company's policy is to fund the above-mentioned benefits as claims and premiums are paid.</w:t>
      </w:r>
    </w:p>
    <w:p>
      <w:pPr>
        <w:spacing w:after="0" w:line="16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effect on the accumulated postretirement benefit obligation at January 1, 1995, of a 1 percent increase each year in the health care cost trend rate used would result in increases of approximately $16,800,000 in the obligation and $2,000,000 in the aggregate service and interest components of the 1994 expense.</w:t>
      </w:r>
    </w:p>
    <w:p>
      <w:pPr>
        <w:spacing w:after="0" w:line="327" w:lineRule="exact"/>
        <w:rPr>
          <w:sz w:val="20"/>
          <w:szCs w:val="20"/>
          <w:color w:val="auto"/>
        </w:rPr>
      </w:pPr>
    </w:p>
    <w:p>
      <w:pPr>
        <w:ind w:right="3699"/>
        <w:spacing w:after="0" w:line="255" w:lineRule="auto"/>
        <w:rPr>
          <w:sz w:val="20"/>
          <w:szCs w:val="20"/>
          <w:color w:val="auto"/>
        </w:rPr>
      </w:pPr>
      <w:r>
        <w:rPr>
          <w:rFonts w:ascii="Courier New" w:cs="Courier New" w:eastAsia="Courier New" w:hAnsi="Courier New"/>
          <w:sz w:val="14"/>
          <w:szCs w:val="14"/>
          <w:color w:val="auto"/>
        </w:rPr>
        <w:t>The cash expenditures for postretirement benefits were $3,262,000 for 1994, $2,830,000 in 1993, and $2,560,000 in 1992.</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LEASE COMMITMENTS</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The company leases primarily real property under operating agreements. Many of the leases contain renewal options and escalation clauses that require payments of additional rent to the extent of increases in the related operating costs.</w:t>
      </w:r>
    </w:p>
    <w:p>
      <w:pPr>
        <w:spacing w:after="0" w:line="163"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At January 1, 1995, future minimum rental payments under noncancelable operating leases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1995  . . . . . . . .</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$ 18,105</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1996  . . . . . . . .</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15,498</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1997  . . . . . . . .</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12,766</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1998  . . . . . . . .</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9,858</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1999  . . . . . . . .</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8,295</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Thereafter  . . . . .</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37,617</w:t>
            </w:r>
          </w:p>
        </w:tc>
      </w:tr>
      <w:tr>
        <w:trPr>
          <w:trHeight w:val="166"/>
        </w:trPr>
        <w:tc>
          <w:tcPr>
            <w:tcW w:w="25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$102,139</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4219"/>
        <w:spacing w:after="0" w:line="255" w:lineRule="auto"/>
        <w:rPr>
          <w:sz w:val="20"/>
          <w:szCs w:val="20"/>
          <w:color w:val="auto"/>
        </w:rPr>
      </w:pPr>
      <w:r>
        <w:rPr>
          <w:rFonts w:ascii="Courier New" w:cs="Courier New" w:eastAsia="Courier New" w:hAnsi="Courier New"/>
          <w:sz w:val="14"/>
          <w:szCs w:val="14"/>
          <w:color w:val="auto"/>
        </w:rPr>
        <w:t>Minimum payments have not been reduced by minimum sublease rentals of $5,300,000 due in the future under noncancelable subleases.</w:t>
      </w:r>
    </w:p>
    <w:p>
      <w:pPr>
        <w:spacing w:after="0" w:line="160" w:lineRule="exact"/>
        <w:rPr>
          <w:sz w:val="20"/>
          <w:szCs w:val="20"/>
          <w:color w:val="auto"/>
        </w:rPr>
      </w:pPr>
    </w:p>
    <w:p>
      <w:pPr>
        <w:ind w:right="3439"/>
        <w:spacing w:after="0" w:line="252" w:lineRule="auto"/>
        <w:rPr>
          <w:sz w:val="20"/>
          <w:szCs w:val="20"/>
          <w:color w:val="auto"/>
        </w:rPr>
      </w:pPr>
      <w:r>
        <w:rPr>
          <w:rFonts w:ascii="Courier New" w:cs="Courier New" w:eastAsia="Courier New" w:hAnsi="Courier New"/>
          <w:sz w:val="14"/>
          <w:szCs w:val="14"/>
          <w:color w:val="auto"/>
        </w:rPr>
        <w:t>Rent expense under operating leases included in operating costs and expenses was approximately $22,600,000 in 1994, $22,200,000 in 1993, and $21,500,000 in 1992. Sublease income was approximately $1,500,000 in 1994, and 1,300,000 in 1993 and 1992.</w:t>
      </w:r>
    </w:p>
    <w:p>
      <w:pPr>
        <w:spacing w:after="0" w:line="162" w:lineRule="exact"/>
        <w:rPr>
          <w:sz w:val="20"/>
          <w:szCs w:val="20"/>
          <w:color w:val="auto"/>
        </w:rPr>
      </w:pPr>
    </w:p>
    <w:p>
      <w:pPr>
        <w:ind w:right="3439"/>
        <w:spacing w:after="0" w:line="251" w:lineRule="auto"/>
        <w:rPr>
          <w:sz w:val="20"/>
          <w:szCs w:val="20"/>
          <w:color w:val="auto"/>
        </w:rPr>
      </w:pPr>
      <w:r>
        <w:rPr>
          <w:rFonts w:ascii="Courier New" w:cs="Courier New" w:eastAsia="Courier New" w:hAnsi="Courier New"/>
          <w:sz w:val="14"/>
          <w:szCs w:val="14"/>
          <w:color w:val="auto"/>
        </w:rPr>
        <w:t>In 1993 the company entered into a lease agreement under which certain costs were paid for through a restricted funding mechanism. At January 2, 1994, $6,900,000 included in "Cash and cash equivalents" in the accompanying Consolidated Balance Sheets was restricted under the provisions of the funding arrangement. The provisions of this funding arrangement were satisfied during 1994 and, accordingly, there are no such restrictions on cash at January 1, 1995.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 ACQUISITIONS AND DISPOSITIONS</w:t>
      </w:r>
    </w:p>
    <w:p>
      <w:pPr>
        <w:sectPr>
          <w:pgSz w:w="11900" w:h="16872" w:orient="portrait"/>
          <w:cols w:equalWidth="0" w:num="1">
            <w:col w:w="10159"/>
          </w:cols>
          <w:pgMar w:left="300" w:top="285" w:right="1440" w:bottom="0" w:gutter="0" w:footer="0" w:header="0"/>
        </w:sectPr>
      </w:pPr>
    </w:p>
    <w:bookmarkStart w:id="39" w:name="page40"/>
    <w:bookmarkEnd w:id="39"/>
    <w:p>
      <w:pPr>
        <w:ind w:right="3339"/>
        <w:spacing w:after="0" w:line="251" w:lineRule="auto"/>
        <w:rPr>
          <w:sz w:val="20"/>
          <w:szCs w:val="20"/>
          <w:color w:val="auto"/>
        </w:rPr>
      </w:pPr>
      <w:r>
        <w:rPr>
          <w:rFonts w:ascii="Courier New" w:cs="Courier New" w:eastAsia="Courier New" w:hAnsi="Courier New"/>
          <w:sz w:val="14"/>
          <w:szCs w:val="14"/>
          <w:color w:val="auto"/>
        </w:rPr>
        <w:t>In April 1994 the company acquired substantially all of the assets comprising the businesses of television stations KPRC-TV, the NBC affiliate in Houston, Texas, and KSAT-TV, the ABC affiliate in San Antonio, Texas, for approximately $253,000,000 in cash, including related expenses. The transaction was accounted for as a purchase and the results of operations of the television stations were included with those of the company for the period subsequent to the date of acquisition.</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following statements present the company's unaudited pro forma condensed consolidated income statements for the years ended January 1, 1995, and January 2, 1994, as if the acquisition of the television stations had occurred at the beginning of each year. Amounts reflect an allocation of the purchase price to the acquired net tangible assets, with the excess being amortized over a period of 20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159"/>
          </w:cols>
          <w:pgMar w:left="300" w:top="307"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4"/>
          <w:szCs w:val="14"/>
          <w:color w:val="auto"/>
        </w:rPr>
        <w:t>36</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revenues and results of operations presented in the pro forma income statements do not necessarily reflect the results of operations that would actually have been obtained if the acquisition had occurred at the beginning of each year.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60"/>
        <w:spacing w:after="0"/>
        <w:rPr>
          <w:sz w:val="20"/>
          <w:szCs w:val="20"/>
          <w:color w:val="auto"/>
        </w:rPr>
      </w:pPr>
      <w:r>
        <w:rPr>
          <w:rFonts w:ascii="Courier New" w:cs="Courier New" w:eastAsia="Courier New" w:hAnsi="Courier New"/>
          <w:sz w:val="14"/>
          <w:szCs w:val="14"/>
          <w:color w:val="auto"/>
        </w:rPr>
        <w:t>Pro Forma Income Statements</w:t>
      </w:r>
    </w:p>
    <w:p>
      <w:pPr>
        <w:spacing w:after="0" w:line="7" w:lineRule="exact"/>
        <w:rPr>
          <w:sz w:val="20"/>
          <w:szCs w:val="20"/>
          <w:color w:val="auto"/>
        </w:rPr>
      </w:pPr>
    </w:p>
    <w:p>
      <w:pPr>
        <w:jc w:val="center"/>
        <w:ind w:right="-880"/>
        <w:spacing w:after="0"/>
        <w:rPr>
          <w:sz w:val="20"/>
          <w:szCs w:val="20"/>
          <w:color w:val="auto"/>
        </w:rPr>
      </w:pPr>
      <w:r>
        <w:rPr>
          <w:rFonts w:ascii="Courier New" w:cs="Courier New" w:eastAsia="Courier New" w:hAnsi="Courier New"/>
          <w:sz w:val="14"/>
          <w:szCs w:val="14"/>
          <w:color w:val="auto"/>
        </w:rPr>
        <w:t>For the Year Ended</w:t>
      </w:r>
    </w:p>
    <w:p>
      <w:pPr>
        <w:spacing w:after="0" w:line="7" w:lineRule="exact"/>
        <w:rPr>
          <w:sz w:val="20"/>
          <w:szCs w:val="20"/>
          <w:color w:val="auto"/>
        </w:rPr>
      </w:pPr>
    </w:p>
    <w:p>
      <w:pPr>
        <w:jc w:val="center"/>
        <w:ind w:right="-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 thousands, except</w:t>
      </w:r>
    </w:p>
    <w:p>
      <w:pPr>
        <w:spacing w:after="0" w:line="7" w:lineRule="exact"/>
        <w:rPr>
          <w:sz w:val="20"/>
          <w:szCs w:val="20"/>
          <w:color w:val="auto"/>
        </w:rPr>
      </w:pPr>
    </w:p>
    <w:p>
      <w:pPr>
        <w:ind w:left="180"/>
        <w:spacing w:after="0"/>
        <w:tabs>
          <w:tab w:leader="none" w:pos="4120" w:val="left"/>
          <w:tab w:leader="none" w:pos="5680" w:val="left"/>
        </w:tabs>
        <w:rPr>
          <w:sz w:val="20"/>
          <w:szCs w:val="20"/>
          <w:color w:val="auto"/>
        </w:rPr>
      </w:pPr>
      <w:r>
        <w:rPr>
          <w:rFonts w:ascii="Courier New" w:cs="Courier New" w:eastAsia="Courier New" w:hAnsi="Courier New"/>
          <w:sz w:val="14"/>
          <w:szCs w:val="14"/>
          <w:color w:val="auto"/>
        </w:rPr>
        <w:t>per share amounts)</w:t>
      </w:r>
      <w:r>
        <w:rPr>
          <w:sz w:val="20"/>
          <w:szCs w:val="20"/>
          <w:color w:val="auto"/>
        </w:rPr>
        <w:tab/>
      </w:r>
      <w:r>
        <w:rPr>
          <w:rFonts w:ascii="Courier New" w:cs="Courier New" w:eastAsia="Courier New" w:hAnsi="Courier New"/>
          <w:sz w:val="14"/>
          <w:szCs w:val="14"/>
          <w:color w:val="auto"/>
        </w:rPr>
        <w:t>January 1, 1995</w:t>
      </w:r>
      <w:r>
        <w:rPr>
          <w:sz w:val="20"/>
          <w:szCs w:val="20"/>
          <w:color w:val="auto"/>
        </w:rPr>
        <w:tab/>
      </w:r>
      <w:r>
        <w:rPr>
          <w:rFonts w:ascii="Courier New" w:cs="Courier New" w:eastAsia="Courier New" w:hAnsi="Courier New"/>
          <w:sz w:val="14"/>
          <w:szCs w:val="14"/>
          <w:color w:val="auto"/>
        </w:rPr>
        <w:t>January 2, 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Operating revenues  . . . . . . . . . . . .</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$1,633,345</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$1,563,052</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Net income  . . . . . . . . . . . . . . . .</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$169,865</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$168,614</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Earnings per share  . . . . . . . . . . . .</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$14.67</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$14.35</w:t>
            </w:r>
          </w:p>
        </w:tc>
      </w:tr>
    </w:tbl>
    <w:p>
      <w:pPr>
        <w:spacing w:after="0" w:line="335" w:lineRule="exact"/>
        <w:rPr>
          <w:sz w:val="20"/>
          <w:szCs w:val="20"/>
          <w:color w:val="auto"/>
        </w:rPr>
      </w:pPr>
    </w:p>
    <w:p>
      <w:pPr>
        <w:ind w:right="3439"/>
        <w:spacing w:after="0" w:line="251" w:lineRule="auto"/>
        <w:rPr>
          <w:sz w:val="20"/>
          <w:szCs w:val="20"/>
          <w:color w:val="auto"/>
        </w:rPr>
      </w:pPr>
      <w:r>
        <w:rPr>
          <w:rFonts w:ascii="Courier New" w:cs="Courier New" w:eastAsia="Courier New" w:hAnsi="Courier New"/>
          <w:sz w:val="14"/>
          <w:szCs w:val="14"/>
          <w:color w:val="auto"/>
        </w:rPr>
        <w:t>In May 1994 the company acquired an 80 percent interest in Mammoth Micro Productions, a producer and publisher of multimedia CD-ROM titles for approximately $23,000,000 in cash, including related expenses. The transaction was accounted for as a purchase and, accordingly, the assets and liabilities have been recorded at their estimated fair values at the date of acquisition. The excess of cost over the fair value of net assets acquired is being amortized over a period of 5 years. Results of operations of the acquired business were included with those of the company for the period subsequent to the date of acquisition.</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September 1993 the company sold its cable franchises in the United Kingdom. The related gain of $20,175,000 before giving effect to taxes of $6,804,000 is included in "Other income (expense), net" in the accompanying Consolidated Statements of Income. This transaction increased earnings by $1.14 per share in 1993.</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During 1992 the company expended approximately $32,000,000, including related expenses, for investments in new businesses. These included a cable system in Mississippi; PASS Sports, a company that provides sports programming in the Detroit area; and continued investment in personal communications services (PCS) technology development. The company also made additional investments in The Gazette Newspapers, Inc., which increased the company's ownership to 84 percent in 1992 and 100 percent in 1993. The acquisitions were accounted for using the purchase method, as described above, with the excess of the cost over the fair value of net assets acquired being amortized over periods up to 40 years.</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January 1995 the company sold substantially all of its 70 percent limited partnership interest in American Personal Communications (APC) to APC, Inc., and others, for approximately $33,000,000, retaining a 1.5 percent limited partnership interest. APC net assets of approximately $19,000,000 are included in "Deferred charges and other assets" in the January 1, 1995 Consolidated Balance Sheet.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 CONTINGENCIES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and its subsidiaries are parties to various civil lawsuits that have arisen in the ordinary course of their businesses, including actions for libel and invasion of privacy. Management does not believe that any litigation pending against the company will have a material adverse effect on its business or financial condition.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 BUSINESS SEGMENTS</w:t>
      </w:r>
    </w:p>
    <w:p>
      <w:pPr>
        <w:spacing w:after="0" w:line="173" w:lineRule="exact"/>
        <w:rPr>
          <w:sz w:val="20"/>
          <w:szCs w:val="20"/>
          <w:color w:val="auto"/>
        </w:rPr>
      </w:pPr>
    </w:p>
    <w:p>
      <w:pPr>
        <w:ind w:right="3439"/>
        <w:spacing w:after="0" w:line="252" w:lineRule="auto"/>
        <w:rPr>
          <w:sz w:val="20"/>
          <w:szCs w:val="20"/>
          <w:color w:val="auto"/>
        </w:rPr>
      </w:pPr>
      <w:r>
        <w:rPr>
          <w:rFonts w:ascii="Courier New" w:cs="Courier New" w:eastAsia="Courier New" w:hAnsi="Courier New"/>
          <w:sz w:val="14"/>
          <w:szCs w:val="14"/>
          <w:color w:val="auto"/>
        </w:rPr>
        <w:t>The company operates principally in four areas of the communications industry: newspaper publishing, television broadcasting, magazine publishing and cable television.</w:t>
      </w:r>
    </w:p>
    <w:p>
      <w:pPr>
        <w:spacing w:after="0" w:line="16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Newspaper operations involve the publication of newspapers in the Washington, D.C., area and Everett, Washington, and newsprint warehousing and recycling facilities.</w:t>
      </w:r>
    </w:p>
    <w:p>
      <w:pPr>
        <w:spacing w:after="0" w:line="163" w:lineRule="exact"/>
        <w:rPr>
          <w:sz w:val="20"/>
          <w:szCs w:val="20"/>
          <w:color w:val="auto"/>
        </w:rPr>
      </w:pPr>
    </w:p>
    <w:p>
      <w:pPr>
        <w:ind w:right="3439"/>
        <w:spacing w:after="0" w:line="252" w:lineRule="auto"/>
        <w:rPr>
          <w:sz w:val="20"/>
          <w:szCs w:val="20"/>
          <w:color w:val="auto"/>
        </w:rPr>
      </w:pPr>
      <w:r>
        <w:rPr>
          <w:rFonts w:ascii="Courier New" w:cs="Courier New" w:eastAsia="Courier New" w:hAnsi="Courier New"/>
          <w:sz w:val="14"/>
          <w:szCs w:val="14"/>
          <w:color w:val="auto"/>
        </w:rPr>
        <w:t>Broadcast operations are conducted primarily through six VHF television stations. All stations are network-affiliated, with revenues derived primarily from sales of advertising time.</w:t>
      </w:r>
    </w:p>
    <w:p>
      <w:pPr>
        <w:spacing w:after="0" w:line="163" w:lineRule="exact"/>
        <w:rPr>
          <w:sz w:val="20"/>
          <w:szCs w:val="20"/>
          <w:color w:val="auto"/>
        </w:rPr>
      </w:pPr>
    </w:p>
    <w:p>
      <w:pPr>
        <w:ind w:right="3699"/>
        <w:spacing w:after="0" w:line="252" w:lineRule="auto"/>
        <w:rPr>
          <w:sz w:val="20"/>
          <w:szCs w:val="20"/>
          <w:color w:val="auto"/>
        </w:rPr>
      </w:pPr>
      <w:r>
        <w:rPr>
          <w:rFonts w:ascii="Courier New" w:cs="Courier New" w:eastAsia="Courier New" w:hAnsi="Courier New"/>
          <w:sz w:val="14"/>
          <w:szCs w:val="14"/>
          <w:color w:val="auto"/>
        </w:rPr>
        <w:t>Magazine operations consist of the publication of a weekly news magazine, Newsweek, which has one domestic and three international editions. Revenues from both newspaper and magazine publishing operations are derived from advertising and, to a lesser extent, from circulation.</w:t>
      </w:r>
    </w:p>
    <w:p>
      <w:pPr>
        <w:spacing w:after="0" w:line="162"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Cable television operations consist of over 50 cable systems offering basic cable and pay television services to more than 498,000 subscribers in 15 midwestern, western, and southern states. Prior to September 1993, cable television operations also included services provided in the United Kingdom. The principal source of revenues is monthly subscription fees charged for services.</w:t>
      </w:r>
    </w:p>
    <w:p>
      <w:pPr>
        <w:spacing w:after="0" w:line="164" w:lineRule="exact"/>
        <w:rPr>
          <w:sz w:val="20"/>
          <w:szCs w:val="20"/>
          <w:color w:val="auto"/>
        </w:rPr>
      </w:pPr>
    </w:p>
    <w:p>
      <w:pPr>
        <w:ind w:right="3439"/>
        <w:spacing w:after="0" w:line="251" w:lineRule="auto"/>
        <w:rPr>
          <w:sz w:val="20"/>
          <w:szCs w:val="20"/>
          <w:color w:val="auto"/>
        </w:rPr>
      </w:pPr>
      <w:r>
        <w:rPr>
          <w:rFonts w:ascii="Courier New" w:cs="Courier New" w:eastAsia="Courier New" w:hAnsi="Courier New"/>
          <w:sz w:val="14"/>
          <w:szCs w:val="14"/>
          <w:color w:val="auto"/>
        </w:rPr>
        <w:t>Other Businesses include the operations of a database publishing company, a regional sports cable system, a wireless telephone system, educational centers engaged in preparing students for admissions tests and licensing examinations (including the preparation and publishing of training materials), and a producer and publisher of CD-ROM titles.</w:t>
      </w:r>
    </w:p>
    <w:p>
      <w:pPr>
        <w:sectPr>
          <w:pgSz w:w="11900" w:h="16838" w:orient="portrait"/>
          <w:cols w:equalWidth="0" w:num="1">
            <w:col w:w="10159"/>
          </w:cols>
          <w:pgMar w:left="300" w:top="285" w:right="1440" w:bottom="0" w:gutter="0" w:footer="0" w:header="0"/>
        </w:sectPr>
      </w:pPr>
    </w:p>
    <w:bookmarkStart w:id="41" w:name="page42"/>
    <w:bookmarkEnd w:id="41"/>
    <w:p>
      <w:pPr>
        <w:ind w:right="3339"/>
        <w:spacing w:after="0" w:line="251" w:lineRule="auto"/>
        <w:rPr>
          <w:sz w:val="20"/>
          <w:szCs w:val="20"/>
          <w:color w:val="auto"/>
        </w:rPr>
      </w:pPr>
      <w:r>
        <w:rPr>
          <w:rFonts w:ascii="Courier New" w:cs="Courier New" w:eastAsia="Courier New" w:hAnsi="Courier New"/>
          <w:sz w:val="14"/>
          <w:szCs w:val="14"/>
          <w:color w:val="auto"/>
        </w:rPr>
        <w:t>Income from operations is the excess of operating revenues over operating expenses including corporate expenses, which are allocated to operations of the segments. In computing income from operations by segment, the effects of equity in earnings of affiliates, interest income, interest expense, other income and expense items, and income taxes are not included.</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Identifiable assets by segment are those assets used in the company's operations in each business segment. Investments in affiliates are discussed in Note D. Corporate assets are principally cash and cash equivalents and investments in marketable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159"/>
          </w:cols>
          <w:pgMar w:left="300" w:top="141"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4"/>
          <w:szCs w:val="14"/>
          <w:color w:val="auto"/>
        </w:rPr>
        <w:t>37</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580"/>
        <w:spacing w:after="0"/>
        <w:tabs>
          <w:tab w:leader="none" w:pos="6700" w:val="left"/>
          <w:tab w:leader="none" w:pos="7820" w:val="left"/>
          <w:tab w:leader="none" w:pos="8780" w:val="left"/>
        </w:tabs>
        <w:rPr>
          <w:sz w:val="20"/>
          <w:szCs w:val="20"/>
          <w:color w:val="auto"/>
        </w:rPr>
      </w:pPr>
      <w:r>
        <w:rPr>
          <w:rFonts w:ascii="Courier New" w:cs="Courier New" w:eastAsia="Courier New" w:hAnsi="Courier New"/>
          <w:sz w:val="14"/>
          <w:szCs w:val="14"/>
          <w:color w:val="auto"/>
        </w:rPr>
        <w:t>Newspaper</w:t>
      </w:r>
      <w:r>
        <w:rPr>
          <w:sz w:val="20"/>
          <w:szCs w:val="20"/>
          <w:color w:val="auto"/>
        </w:rPr>
        <w:tab/>
      </w:r>
      <w:r>
        <w:rPr>
          <w:rFonts w:ascii="Courier New" w:cs="Courier New" w:eastAsia="Courier New" w:hAnsi="Courier New"/>
          <w:sz w:val="14"/>
          <w:szCs w:val="14"/>
          <w:color w:val="auto"/>
        </w:rPr>
        <w:t>Magazine</w:t>
      </w:r>
      <w:r>
        <w:rPr>
          <w:sz w:val="20"/>
          <w:szCs w:val="20"/>
          <w:color w:val="auto"/>
        </w:rPr>
        <w:tab/>
      </w:r>
      <w:r>
        <w:rPr>
          <w:rFonts w:ascii="Courier New" w:cs="Courier New" w:eastAsia="Courier New" w:hAnsi="Courier New"/>
          <w:sz w:val="14"/>
          <w:szCs w:val="14"/>
          <w:color w:val="auto"/>
        </w:rPr>
        <w:t>Cable</w:t>
      </w:r>
      <w:r>
        <w:rPr>
          <w:sz w:val="20"/>
          <w:szCs w:val="20"/>
          <w:color w:val="auto"/>
        </w:rPr>
        <w:tab/>
      </w:r>
      <w:r>
        <w:rPr>
          <w:rFonts w:ascii="Courier New" w:cs="Courier New" w:eastAsia="Courier New" w:hAnsi="Courier New"/>
          <w:sz w:val="14"/>
          <w:szCs w:val="14"/>
          <w:color w:val="auto"/>
        </w:rPr>
        <w:t>Other</w:t>
      </w:r>
    </w:p>
    <w:p>
      <w:pPr>
        <w:spacing w:after="0" w:line="7" w:lineRule="exact"/>
        <w:rPr>
          <w:sz w:val="20"/>
          <w:szCs w:val="20"/>
          <w:color w:val="auto"/>
        </w:rPr>
      </w:pPr>
    </w:p>
    <w:p>
      <w:pPr>
        <w:ind w:left="180"/>
        <w:spacing w:after="0"/>
        <w:tabs>
          <w:tab w:leader="none" w:pos="4460" w:val="left"/>
          <w:tab w:leader="none" w:pos="5500" w:val="left"/>
          <w:tab w:leader="none" w:pos="8600" w:val="left"/>
          <w:tab w:leader="none" w:pos="9900" w:val="left"/>
        </w:tabs>
        <w:rPr>
          <w:sz w:val="20"/>
          <w:szCs w:val="20"/>
          <w:color w:val="auto"/>
        </w:rPr>
      </w:pPr>
      <w:r>
        <w:rPr>
          <w:rFonts w:ascii="Courier New" w:cs="Courier New" w:eastAsia="Courier New" w:hAnsi="Courier New"/>
          <w:sz w:val="14"/>
          <w:szCs w:val="14"/>
          <w:color w:val="auto"/>
        </w:rPr>
        <w:t>(in thousands)</w:t>
      </w:r>
      <w:r>
        <w:rPr>
          <w:sz w:val="20"/>
          <w:szCs w:val="20"/>
          <w:color w:val="auto"/>
        </w:rPr>
        <w:tab/>
      </w:r>
      <w:r>
        <w:rPr>
          <w:rFonts w:ascii="Courier New" w:cs="Courier New" w:eastAsia="Courier New" w:hAnsi="Courier New"/>
          <w:sz w:val="14"/>
          <w:szCs w:val="14"/>
          <w:color w:val="auto"/>
        </w:rPr>
        <w:t>Publishing</w:t>
        <w:tab/>
        <w:t>Broadcasting Publishing Television</w:t>
        <w:tab/>
        <w:t>Businesses</w:t>
      </w:r>
      <w:r>
        <w:rPr>
          <w:sz w:val="20"/>
          <w:szCs w:val="20"/>
          <w:color w:val="auto"/>
        </w:rPr>
        <w:tab/>
      </w:r>
      <w:r>
        <w:rPr>
          <w:rFonts w:ascii="Courier New" w:cs="Courier New" w:eastAsia="Courier New" w:hAnsi="Courier New"/>
          <w:sz w:val="14"/>
          <w:szCs w:val="14"/>
          <w:color w:val="auto"/>
        </w:rPr>
        <w:t>Consolidated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1994</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Operating revenues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717,280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260,252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337,602</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$182,140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8"/>
              </w:rPr>
              <w:t>116,704</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$1,613,978</w:t>
            </w:r>
          </w:p>
        </w:tc>
      </w:tr>
      <w:tr>
        <w:trPr>
          <w:trHeight w:val="166"/>
        </w:trPr>
        <w:tc>
          <w:tcPr>
            <w:tcW w:w="4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Income from operations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134,415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107,656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14,159</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$ 41,464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(22,819)</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274,875</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Equity in earnings of affiliates  . . . . .</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7,325</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Interest expense  . . . . . . . . . . . . .</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(5,590)</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Other income, net . . . . . . . . . . . . .</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10,312</w:t>
            </w:r>
          </w:p>
        </w:tc>
      </w:tr>
      <w:tr>
        <w:trPr>
          <w:trHeight w:val="166"/>
        </w:trPr>
        <w:tc>
          <w:tcPr>
            <w:tcW w:w="4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Income before income taxes  . . . . . . . .</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286,922</w:t>
            </w:r>
          </w:p>
        </w:tc>
      </w:tr>
      <w:tr>
        <w:trPr>
          <w:trHeight w:val="166"/>
        </w:trPr>
        <w:tc>
          <w:tcPr>
            <w:tcW w:w="4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Identifiable assets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349,194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425,789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187,052</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$326,645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8"/>
              </w:rPr>
              <w:t>100,028</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$1,388,708</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Investments in affiliates . . . . . . . . .</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170,754</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Corporate assets  . . . . . . . . . . . . .</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137,406</w:t>
            </w:r>
          </w:p>
        </w:tc>
      </w:tr>
      <w:tr>
        <w:trPr>
          <w:trHeight w:val="166"/>
        </w:trPr>
        <w:tc>
          <w:tcPr>
            <w:tcW w:w="4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ind w:left="340"/>
              <w:spacing w:after="0"/>
              <w:rPr>
                <w:sz w:val="20"/>
                <w:szCs w:val="20"/>
                <w:color w:val="auto"/>
              </w:rPr>
            </w:pPr>
            <w:r>
              <w:rPr>
                <w:rFonts w:ascii="Courier New" w:cs="Courier New" w:eastAsia="Courier New" w:hAnsi="Courier New"/>
                <w:sz w:val="14"/>
                <w:szCs w:val="14"/>
                <w:color w:val="auto"/>
              </w:rPr>
              <w:t>Total assets  . . . . . . . . . . . . . .</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$1,696,868</w:t>
            </w:r>
          </w:p>
        </w:tc>
      </w:tr>
      <w:tr>
        <w:trPr>
          <w:trHeight w:val="166"/>
        </w:trPr>
        <w:tc>
          <w:tcPr>
            <w:tcW w:w="4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 amortization</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140" w:type="dxa"/>
            <w:vAlign w:val="bottom"/>
          </w:tcPr>
          <w:p>
            <w:pPr>
              <w:ind w:left="340"/>
              <w:spacing w:after="0"/>
              <w:rPr>
                <w:sz w:val="20"/>
                <w:szCs w:val="20"/>
                <w:color w:val="auto"/>
              </w:rPr>
            </w:pPr>
            <w:r>
              <w:rPr>
                <w:rFonts w:ascii="Courier New" w:cs="Courier New" w:eastAsia="Courier New" w:hAnsi="Courier New"/>
                <w:sz w:val="14"/>
                <w:szCs w:val="14"/>
                <w:color w:val="auto"/>
              </w:rPr>
              <w:t>of property, plant,</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140" w:type="dxa"/>
            <w:vAlign w:val="bottom"/>
          </w:tcPr>
          <w:p>
            <w:pPr>
              <w:ind w:left="340"/>
              <w:spacing w:after="0"/>
              <w:rPr>
                <w:sz w:val="20"/>
                <w:szCs w:val="20"/>
                <w:color w:val="auto"/>
              </w:rPr>
            </w:pPr>
            <w:r>
              <w:rPr>
                <w:rFonts w:ascii="Courier New" w:cs="Courier New" w:eastAsia="Courier New" w:hAnsi="Courier New"/>
                <w:sz w:val="14"/>
                <w:szCs w:val="14"/>
                <w:color w:val="auto"/>
              </w:rPr>
              <w:t>and equipment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18,086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8,123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5,075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$ 26,912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3,754</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61,950</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Amortization of goodwill</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140" w:type="dxa"/>
            <w:vAlign w:val="bottom"/>
          </w:tcPr>
          <w:p>
            <w:pPr>
              <w:ind w:left="340"/>
              <w:spacing w:after="0"/>
              <w:rPr>
                <w:sz w:val="20"/>
                <w:szCs w:val="20"/>
                <w:color w:val="auto"/>
              </w:rPr>
            </w:pPr>
            <w:r>
              <w:rPr>
                <w:rFonts w:ascii="Courier New" w:cs="Courier New" w:eastAsia="Courier New" w:hAnsi="Courier New"/>
                <w:sz w:val="14"/>
                <w:szCs w:val="14"/>
                <w:color w:val="auto"/>
              </w:rPr>
              <w:t>and other intangibles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7,725</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$ 12,149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4,719</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25,393</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Capital expenditures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20,681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8,881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23,028</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$ 18,860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3,192</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74,642</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1993</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Operating revenues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692,287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177,415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332,506</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$185,721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8"/>
              </w:rPr>
              <w:t>110,262</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$1,498,191</w:t>
            </w:r>
          </w:p>
        </w:tc>
      </w:tr>
      <w:tr>
        <w:trPr>
          <w:trHeight w:val="166"/>
        </w:trPr>
        <w:tc>
          <w:tcPr>
            <w:tcW w:w="4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Income (loss) from operations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123,151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65,306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18,011</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$ 41,618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(9,106)</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238,980</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Equity in losses of affiliates  . . . . . .</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Interest expense  . . . . . . . . . . . . .</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(4,983)</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Other income, net . . . . . . . . . . . . .</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31,464</w:t>
            </w:r>
          </w:p>
        </w:tc>
      </w:tr>
      <w:tr>
        <w:trPr>
          <w:trHeight w:val="166"/>
        </w:trPr>
        <w:tc>
          <w:tcPr>
            <w:tcW w:w="4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Income before income taxes  . . . . . . . .</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263,467</w:t>
            </w:r>
          </w:p>
        </w:tc>
      </w:tr>
      <w:tr>
        <w:trPr>
          <w:trHeight w:val="166"/>
        </w:trPr>
        <w:tc>
          <w:tcPr>
            <w:tcW w:w="4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Identifiable assets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329,799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144,622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152,462</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$416,589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71,059</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$1,114,531</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Investments in affiliates . . . . . . . . .</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155,251</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Corporate assets  . . . . . . . . . . . . .</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352,722</w:t>
            </w:r>
          </w:p>
        </w:tc>
      </w:tr>
      <w:tr>
        <w:trPr>
          <w:trHeight w:val="166"/>
        </w:trPr>
        <w:tc>
          <w:tcPr>
            <w:tcW w:w="4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ind w:left="340"/>
              <w:spacing w:after="0"/>
              <w:rPr>
                <w:sz w:val="20"/>
                <w:szCs w:val="20"/>
                <w:color w:val="auto"/>
              </w:rPr>
            </w:pPr>
            <w:r>
              <w:rPr>
                <w:rFonts w:ascii="Courier New" w:cs="Courier New" w:eastAsia="Courier New" w:hAnsi="Courier New"/>
                <w:sz w:val="14"/>
                <w:szCs w:val="14"/>
                <w:color w:val="auto"/>
              </w:rPr>
              <w:t>Total assets  . . . . . . . . . . . . . .</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$1,622,504</w:t>
            </w:r>
          </w:p>
        </w:tc>
      </w:tr>
      <w:tr>
        <w:trPr>
          <w:trHeight w:val="166"/>
        </w:trPr>
        <w:tc>
          <w:tcPr>
            <w:tcW w:w="4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140" w:type="dxa"/>
            <w:vAlign w:val="bottom"/>
          </w:tcPr>
          <w:p>
            <w:pPr>
              <w:ind w:left="340"/>
              <w:spacing w:after="0"/>
              <w:rPr>
                <w:sz w:val="20"/>
                <w:szCs w:val="20"/>
                <w:color w:val="auto"/>
              </w:rPr>
            </w:pPr>
            <w:r>
              <w:rPr>
                <w:rFonts w:ascii="Courier New" w:cs="Courier New" w:eastAsia="Courier New" w:hAnsi="Courier New"/>
                <w:sz w:val="14"/>
                <w:szCs w:val="14"/>
                <w:color w:val="auto"/>
              </w:rPr>
              <w:t>amortization of property,</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140" w:type="dxa"/>
            <w:vAlign w:val="bottom"/>
          </w:tcPr>
          <w:p>
            <w:pPr>
              <w:ind w:left="340"/>
              <w:spacing w:after="0"/>
              <w:rPr>
                <w:sz w:val="20"/>
                <w:szCs w:val="20"/>
                <w:color w:val="auto"/>
              </w:rPr>
            </w:pPr>
            <w:r>
              <w:rPr>
                <w:rFonts w:ascii="Courier New" w:cs="Courier New" w:eastAsia="Courier New" w:hAnsi="Courier New"/>
                <w:sz w:val="14"/>
                <w:szCs w:val="14"/>
                <w:color w:val="auto"/>
              </w:rPr>
              <w:t>plant, and equipment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16,768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5,276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6,266</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$ 28,052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3,181</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59,543</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Amortization of goodwill</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140" w:type="dxa"/>
            <w:vAlign w:val="bottom"/>
          </w:tcPr>
          <w:p>
            <w:pPr>
              <w:ind w:left="340"/>
              <w:spacing w:after="0"/>
              <w:rPr>
                <w:sz w:val="20"/>
                <w:szCs w:val="20"/>
                <w:color w:val="auto"/>
              </w:rPr>
            </w:pPr>
            <w:r>
              <w:rPr>
                <w:rFonts w:ascii="Courier New" w:cs="Courier New" w:eastAsia="Courier New" w:hAnsi="Courier New"/>
                <w:sz w:val="14"/>
                <w:szCs w:val="14"/>
                <w:color w:val="auto"/>
              </w:rPr>
              <w:t>and other intangibles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670</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$ 12,247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2,499</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16,216</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Capital expenditures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24,422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6,599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4,472</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$ 38,802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4,844</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79,139</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1992</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Operating revenues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677,645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162,154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347,067</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$174,098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89,903</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$1,450,867</w:t>
            </w:r>
          </w:p>
        </w:tc>
      </w:tr>
      <w:tr>
        <w:trPr>
          <w:trHeight w:val="166"/>
        </w:trPr>
        <w:tc>
          <w:tcPr>
            <w:tcW w:w="4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Income (loss) from operations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120,794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54,568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23,882</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$ 38,967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(6,099)</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232,112</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Equity in losses of affiliates  . . . . . .</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(11,730)</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Interest expense  . . . . . . . . . . . . .</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(6,385)</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Other income, net . . . . . . . . . . . . .</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10,199</w:t>
            </w:r>
          </w:p>
        </w:tc>
      </w:tr>
      <w:tr>
        <w:trPr>
          <w:trHeight w:val="166"/>
        </w:trPr>
        <w:tc>
          <w:tcPr>
            <w:tcW w:w="4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Income before income taxes  . . . . . . . .</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224,196</w:t>
            </w:r>
          </w:p>
        </w:tc>
      </w:tr>
      <w:tr>
        <w:trPr>
          <w:trHeight w:val="166"/>
        </w:trPr>
        <w:tc>
          <w:tcPr>
            <w:tcW w:w="4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Identifiable assets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315,522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143,357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141,008</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$397,504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77,365</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$1,074,756</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Investments in affiliates . . . . . . . . .</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162,410</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Corporate assets  . . . . . . . . . . . . .</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330,955</w:t>
            </w:r>
          </w:p>
        </w:tc>
      </w:tr>
      <w:tr>
        <w:trPr>
          <w:trHeight w:val="166"/>
        </w:trPr>
        <w:tc>
          <w:tcPr>
            <w:tcW w:w="4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ind w:left="340"/>
              <w:spacing w:after="0"/>
              <w:rPr>
                <w:sz w:val="20"/>
                <w:szCs w:val="20"/>
                <w:color w:val="auto"/>
              </w:rPr>
            </w:pPr>
            <w:r>
              <w:rPr>
                <w:rFonts w:ascii="Courier New" w:cs="Courier New" w:eastAsia="Courier New" w:hAnsi="Courier New"/>
                <w:sz w:val="14"/>
                <w:szCs w:val="14"/>
                <w:color w:val="auto"/>
              </w:rPr>
              <w:t>Total assets  . . . . . . . . . . . . . .</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$1,568,121</w:t>
            </w:r>
          </w:p>
        </w:tc>
      </w:tr>
      <w:tr>
        <w:trPr>
          <w:trHeight w:val="166"/>
        </w:trPr>
        <w:tc>
          <w:tcPr>
            <w:tcW w:w="4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140" w:type="dxa"/>
            <w:vAlign w:val="bottom"/>
          </w:tcPr>
          <w:p>
            <w:pPr>
              <w:ind w:left="340"/>
              <w:spacing w:after="0"/>
              <w:rPr>
                <w:sz w:val="20"/>
                <w:szCs w:val="20"/>
                <w:color w:val="auto"/>
              </w:rPr>
            </w:pPr>
            <w:r>
              <w:rPr>
                <w:rFonts w:ascii="Courier New" w:cs="Courier New" w:eastAsia="Courier New" w:hAnsi="Courier New"/>
                <w:sz w:val="14"/>
                <w:szCs w:val="14"/>
                <w:color w:val="auto"/>
              </w:rPr>
              <w:t>amortization of property,</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140" w:type="dxa"/>
            <w:vAlign w:val="bottom"/>
          </w:tcPr>
          <w:p>
            <w:pPr>
              <w:ind w:left="340"/>
              <w:spacing w:after="0"/>
              <w:rPr>
                <w:sz w:val="20"/>
                <w:szCs w:val="20"/>
                <w:color w:val="auto"/>
              </w:rPr>
            </w:pPr>
            <w:r>
              <w:rPr>
                <w:rFonts w:ascii="Courier New" w:cs="Courier New" w:eastAsia="Courier New" w:hAnsi="Courier New"/>
                <w:sz w:val="14"/>
                <w:szCs w:val="14"/>
                <w:color w:val="auto"/>
              </w:rPr>
              <w:t>plant, and equipment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16,724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6,289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6,252</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$ 26,994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2,963</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59,222</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Amortization of goodwill</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140" w:type="dxa"/>
            <w:vAlign w:val="bottom"/>
          </w:tcPr>
          <w:p>
            <w:pPr>
              <w:ind w:left="340"/>
              <w:spacing w:after="0"/>
              <w:rPr>
                <w:sz w:val="20"/>
                <w:szCs w:val="20"/>
                <w:color w:val="auto"/>
              </w:rPr>
            </w:pPr>
            <w:r>
              <w:rPr>
                <w:rFonts w:ascii="Courier New" w:cs="Courier New" w:eastAsia="Courier New" w:hAnsi="Courier New"/>
                <w:sz w:val="14"/>
                <w:szCs w:val="14"/>
                <w:color w:val="auto"/>
              </w:rPr>
              <w:t>and other intangibles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664</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$ 11,574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2,495</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15,478</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Capital expenditures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13,653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2,844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2,732</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$ 36,900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2,760</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58,889</w:t>
            </w:r>
          </w:p>
        </w:tc>
      </w:tr>
    </w:tbl>
    <w:p>
      <w:pPr>
        <w:spacing w:after="0" w:line="200" w:lineRule="exact"/>
        <w:rPr>
          <w:sz w:val="20"/>
          <w:szCs w:val="20"/>
          <w:color w:val="auto"/>
        </w:rPr>
      </w:pPr>
    </w:p>
    <w:p>
      <w:pPr>
        <w:sectPr>
          <w:pgSz w:w="11900" w:h="16838" w:orient="portrait"/>
          <w:cols w:equalWidth="0" w:num="1">
            <w:col w:w="11120"/>
          </w:cols>
          <w:pgMar w:left="300" w:top="285"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1120"/>
          </w:cols>
          <w:pgMar w:left="300" w:top="285" w:right="479" w:bottom="1440" w:gutter="0" w:footer="0" w:header="0"/>
          <w:type w:val="continuous"/>
        </w:sectPr>
      </w:pPr>
    </w:p>
    <w:bookmarkStart w:id="43" w:name="page44"/>
    <w:bookmarkEnd w:id="43"/>
    <w:p>
      <w:pPr>
        <w:ind w:left="260"/>
        <w:spacing w:after="0"/>
        <w:rPr>
          <w:sz w:val="20"/>
          <w:szCs w:val="20"/>
          <w:color w:val="auto"/>
        </w:rPr>
      </w:pPr>
      <w:r>
        <w:rPr>
          <w:rFonts w:ascii="Courier New" w:cs="Courier New" w:eastAsia="Courier New" w:hAnsi="Courier New"/>
          <w:sz w:val="14"/>
          <w:szCs w:val="14"/>
          <w:color w:val="auto"/>
        </w:rPr>
        <w:t>38</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 SUMMARY OF QUARTERLY OPERATING RESULTS (UNAUDITED)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Quarterly results of operations for the years ended January 1, 1995,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 1994, are as follows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left="6200"/>
        <w:spacing w:after="0"/>
        <w:tabs>
          <w:tab w:leader="none" w:pos="860" w:val="left"/>
          <w:tab w:leader="none" w:pos="760" w:val="left"/>
          <w:tab w:leader="none" w:pos="660" w:val="left"/>
        </w:tabs>
        <w:rPr>
          <w:sz w:val="20"/>
          <w:szCs w:val="20"/>
          <w:color w:val="auto"/>
        </w:rPr>
      </w:pPr>
      <w:r>
        <w:rPr>
          <w:rFonts w:ascii="Courier New" w:cs="Courier New" w:eastAsia="Courier New" w:hAnsi="Courier New"/>
          <w:sz w:val="14"/>
          <w:szCs w:val="14"/>
          <w:color w:val="auto"/>
        </w:rPr>
        <w:t>First</w:t>
      </w:r>
      <w:r>
        <w:rPr>
          <w:sz w:val="20"/>
          <w:szCs w:val="20"/>
          <w:color w:val="auto"/>
        </w:rPr>
        <w:tab/>
      </w:r>
      <w:r>
        <w:rPr>
          <w:rFonts w:ascii="Courier New" w:cs="Courier New" w:eastAsia="Courier New" w:hAnsi="Courier New"/>
          <w:sz w:val="14"/>
          <w:szCs w:val="14"/>
          <w:color w:val="auto"/>
        </w:rPr>
        <w:t>Second</w:t>
      </w:r>
      <w:r>
        <w:rPr>
          <w:sz w:val="20"/>
          <w:szCs w:val="20"/>
          <w:color w:val="auto"/>
        </w:rPr>
        <w:tab/>
      </w:r>
      <w:r>
        <w:rPr>
          <w:rFonts w:ascii="Courier New" w:cs="Courier New" w:eastAsia="Courier New" w:hAnsi="Courier New"/>
          <w:sz w:val="14"/>
          <w:szCs w:val="14"/>
          <w:color w:val="auto"/>
        </w:rPr>
        <w:t>Third</w:t>
      </w:r>
      <w:r>
        <w:rPr>
          <w:sz w:val="20"/>
          <w:szCs w:val="20"/>
          <w:color w:val="auto"/>
        </w:rPr>
        <w:tab/>
      </w:r>
      <w:r>
        <w:rPr>
          <w:rFonts w:ascii="Courier New" w:cs="Courier New" w:eastAsia="Courier New" w:hAnsi="Courier New"/>
          <w:sz w:val="14"/>
          <w:szCs w:val="14"/>
          <w:color w:val="auto"/>
        </w:rPr>
        <w:t>Fourth</w:t>
      </w:r>
    </w:p>
    <w:p>
      <w:pPr>
        <w:spacing w:after="0" w:line="7" w:lineRule="exact"/>
        <w:rPr>
          <w:sz w:val="20"/>
          <w:szCs w:val="20"/>
          <w:color w:val="auto"/>
        </w:rPr>
      </w:pPr>
    </w:p>
    <w:p>
      <w:pPr>
        <w:jc w:val="center"/>
        <w:ind w:left="6200"/>
        <w:spacing w:after="0"/>
        <w:tabs>
          <w:tab w:leader="none" w:pos="660" w:val="left"/>
          <w:tab w:leader="none" w:pos="680" w:val="left"/>
          <w:tab w:leader="none" w:pos="580" w:val="left"/>
        </w:tabs>
        <w:rPr>
          <w:sz w:val="20"/>
          <w:szCs w:val="20"/>
          <w:color w:val="auto"/>
        </w:rPr>
      </w:pP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5820" w:type="dxa"/>
            <w:vAlign w:val="bottom"/>
          </w:tcPr>
          <w:p>
            <w:pPr>
              <w:spacing w:after="0"/>
              <w:rPr>
                <w:sz w:val="20"/>
                <w:szCs w:val="20"/>
                <w:color w:val="auto"/>
              </w:rPr>
            </w:pPr>
            <w:r>
              <w:rPr>
                <w:rFonts w:ascii="Courier New" w:cs="Courier New" w:eastAsia="Courier New" w:hAnsi="Courier New"/>
                <w:sz w:val="14"/>
                <w:szCs w:val="14"/>
                <w:color w:val="auto"/>
              </w:rPr>
              <w:t>1994</w:t>
            </w: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Operating revenues</w:t>
            </w: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5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Advertising . . . . . . . . . . . . . . . . . . . . . . . . .</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$212,195</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$261,682</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$245,042</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$307,752</w:t>
            </w:r>
          </w:p>
        </w:tc>
      </w:tr>
      <w:tr>
        <w:trPr>
          <w:trHeight w:val="166"/>
        </w:trPr>
        <w:tc>
          <w:tcPr>
            <w:tcW w:w="5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Circulation and subscriber  . . . . . . . . . . . . . . . . .</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109,165</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110,098</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107,522</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111,715</w:t>
            </w:r>
          </w:p>
        </w:tc>
      </w:tr>
      <w:tr>
        <w:trPr>
          <w:trHeight w:val="166"/>
        </w:trPr>
        <w:tc>
          <w:tcPr>
            <w:tcW w:w="5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Other . . . . . . . . . . . . . . . . . . . . . . . . . . . .</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37,094</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33,033</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47,262</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31,417</w:t>
            </w:r>
          </w:p>
        </w:tc>
      </w:tr>
      <w:tr>
        <w:trPr>
          <w:trHeight w:val="166"/>
        </w:trPr>
        <w:tc>
          <w:tcPr>
            <w:tcW w:w="5820" w:type="dxa"/>
            <w:vAlign w:val="bottom"/>
          </w:tcPr>
          <w:p>
            <w:pPr>
              <w:spacing w:after="0"/>
              <w:rPr>
                <w:sz w:val="14"/>
                <w:szCs w:val="14"/>
                <w:color w:val="auto"/>
              </w:rPr>
            </w:pP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spacing w:after="0"/>
              <w:rPr>
                <w:sz w:val="14"/>
                <w:szCs w:val="14"/>
                <w:color w:val="auto"/>
              </w:rPr>
            </w:pP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358,454</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404,813</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399,826</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450,884</w:t>
            </w:r>
          </w:p>
        </w:tc>
      </w:tr>
      <w:tr>
        <w:trPr>
          <w:trHeight w:val="166"/>
        </w:trPr>
        <w:tc>
          <w:tcPr>
            <w:tcW w:w="5820" w:type="dxa"/>
            <w:vAlign w:val="bottom"/>
          </w:tcPr>
          <w:p>
            <w:pPr>
              <w:spacing w:after="0"/>
              <w:rPr>
                <w:sz w:val="14"/>
                <w:szCs w:val="14"/>
                <w:color w:val="auto"/>
              </w:rPr>
            </w:pP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Operating costs and expenses</w:t>
            </w: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Operating . . . . . . . . . . . . . . . . . . . . . . . . . .</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199,553</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216,229</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215,295</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230,386</w:t>
            </w:r>
          </w:p>
        </w:tc>
      </w:tr>
      <w:tr>
        <w:trPr>
          <w:trHeight w:val="166"/>
        </w:trPr>
        <w:tc>
          <w:tcPr>
            <w:tcW w:w="5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Selling, general and administrative . . . . . . . . . . . . .</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88,957</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97,160</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95,045</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109,134</w:t>
            </w:r>
          </w:p>
        </w:tc>
      </w:tr>
      <w:tr>
        <w:trPr>
          <w:trHeight w:val="166"/>
        </w:trPr>
        <w:tc>
          <w:tcPr>
            <w:tcW w:w="5820" w:type="dxa"/>
            <w:vAlign w:val="bottom"/>
          </w:tcPr>
          <w:p>
            <w:pPr>
              <w:jc w:val="right"/>
              <w:ind w:right="2828"/>
              <w:spacing w:after="0"/>
              <w:rPr>
                <w:sz w:val="20"/>
                <w:szCs w:val="20"/>
                <w:color w:val="auto"/>
              </w:rPr>
            </w:pPr>
            <w:r>
              <w:rPr>
                <w:rFonts w:ascii="Courier New" w:cs="Courier New" w:eastAsia="Courier New" w:hAnsi="Courier New"/>
                <w:sz w:val="14"/>
                <w:szCs w:val="14"/>
                <w:color w:val="auto"/>
              </w:rPr>
              <w:t>Depreciation and amortization of</w:t>
            </w: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property, plant and equipment . . . . . . . . . . . . . . .</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14,710</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15,360</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15,663</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16,217</w:t>
            </w:r>
          </w:p>
        </w:tc>
      </w:tr>
      <w:tr>
        <w:trPr>
          <w:trHeight w:val="166"/>
        </w:trPr>
        <w:tc>
          <w:tcPr>
            <w:tcW w:w="5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Amortization of goodwill and other intangibles  . . . . . . .</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4,031</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6,502</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7,570</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7,290</w:t>
            </w:r>
          </w:p>
        </w:tc>
      </w:tr>
      <w:tr>
        <w:trPr>
          <w:trHeight w:val="166"/>
        </w:trPr>
        <w:tc>
          <w:tcPr>
            <w:tcW w:w="5820" w:type="dxa"/>
            <w:vAlign w:val="bottom"/>
          </w:tcPr>
          <w:p>
            <w:pPr>
              <w:spacing w:after="0"/>
              <w:rPr>
                <w:sz w:val="14"/>
                <w:szCs w:val="14"/>
                <w:color w:val="auto"/>
              </w:rPr>
            </w:pP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spacing w:after="0"/>
              <w:rPr>
                <w:sz w:val="14"/>
                <w:szCs w:val="14"/>
                <w:color w:val="auto"/>
              </w:rPr>
            </w:pP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307,251</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335,251</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333,573</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363,027</w:t>
            </w:r>
          </w:p>
        </w:tc>
      </w:tr>
      <w:tr>
        <w:trPr>
          <w:trHeight w:val="166"/>
        </w:trPr>
        <w:tc>
          <w:tcPr>
            <w:tcW w:w="5820" w:type="dxa"/>
            <w:vAlign w:val="bottom"/>
          </w:tcPr>
          <w:p>
            <w:pPr>
              <w:spacing w:after="0"/>
              <w:rPr>
                <w:sz w:val="14"/>
                <w:szCs w:val="14"/>
                <w:color w:val="auto"/>
              </w:rPr>
            </w:pP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Income from operations  . . . . . . . . . . . . . . . . . . . .</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51,203</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69,562</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66,253</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87,857</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Equity in earnings (losses) earnings of affiliates  . . . . .</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(5,385)</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2,211</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11,091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(592)</w:t>
            </w:r>
          </w:p>
        </w:tc>
      </w:tr>
      <w:tr>
        <w:trPr>
          <w:trHeight w:val="166"/>
        </w:trPr>
        <w:tc>
          <w:tcPr>
            <w:tcW w:w="5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Interest income . . . . . . . . . . . . . . . . . . . . . . .</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3,565</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2,030</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1,427</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2,174</w:t>
            </w:r>
          </w:p>
        </w:tc>
      </w:tr>
      <w:tr>
        <w:trPr>
          <w:trHeight w:val="166"/>
        </w:trPr>
        <w:tc>
          <w:tcPr>
            <w:tcW w:w="5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Interest expense  . . . . . . . . . . . . . . . . . . . . . .</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(1,435)</w:t>
            </w:r>
          </w:p>
        </w:tc>
        <w:tc>
          <w:tcPr>
            <w:tcW w:w="3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(1,413)</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(1,332)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(1,410)</w:t>
            </w:r>
          </w:p>
        </w:tc>
      </w:tr>
      <w:tr>
        <w:trPr>
          <w:trHeight w:val="166"/>
        </w:trPr>
        <w:tc>
          <w:tcPr>
            <w:tcW w:w="5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Other . . . . . . . . . . . . . . . . . . . . . . . . . . . .</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2,604</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5820" w:type="dxa"/>
            <w:vAlign w:val="bottom"/>
          </w:tcPr>
          <w:p>
            <w:pPr>
              <w:spacing w:after="0"/>
              <w:rPr>
                <w:sz w:val="14"/>
                <w:szCs w:val="14"/>
                <w:color w:val="auto"/>
              </w:rPr>
            </w:pP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Income before income taxes. . . . . . . . . . . . . . . . . . .</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50,552</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72,392</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77,947</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86,031</w:t>
            </w:r>
          </w:p>
        </w:tc>
      </w:tr>
      <w:tr>
        <w:trPr>
          <w:trHeight w:val="166"/>
        </w:trPr>
        <w:tc>
          <w:tcPr>
            <w:tcW w:w="5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Provision for income taxes. . . . . . . . . . . . . . . . . . .</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21,740</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31,135</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30,495</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33,880</w:t>
            </w:r>
          </w:p>
        </w:tc>
      </w:tr>
      <w:tr>
        <w:trPr>
          <w:trHeight w:val="166"/>
        </w:trPr>
        <w:tc>
          <w:tcPr>
            <w:tcW w:w="5820" w:type="dxa"/>
            <w:vAlign w:val="bottom"/>
          </w:tcPr>
          <w:p>
            <w:pPr>
              <w:spacing w:after="0"/>
              <w:rPr>
                <w:sz w:val="14"/>
                <w:szCs w:val="14"/>
                <w:color w:val="auto"/>
              </w:rPr>
            </w:pP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Net income  . . . . . . . . . . . . . . . . . . . . . . . . . .</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$ 28,812</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$ 41,257</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$ 47,452</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$ 52,151</w:t>
            </w:r>
          </w:p>
        </w:tc>
      </w:tr>
      <w:tr>
        <w:trPr>
          <w:trHeight w:val="166"/>
        </w:trPr>
        <w:tc>
          <w:tcPr>
            <w:tcW w:w="5820" w:type="dxa"/>
            <w:vAlign w:val="bottom"/>
          </w:tcPr>
          <w:p>
            <w:pPr>
              <w:spacing w:after="0"/>
              <w:rPr>
                <w:sz w:val="14"/>
                <w:szCs w:val="14"/>
                <w:color w:val="auto"/>
              </w:rPr>
            </w:pP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Earnings per share  . . . . . . . . . . . . . . . . . . . . . .</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2.46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3.54</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4.13</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4.56</w:t>
            </w:r>
          </w:p>
        </w:tc>
      </w:tr>
      <w:tr>
        <w:trPr>
          <w:trHeight w:val="166"/>
        </w:trPr>
        <w:tc>
          <w:tcPr>
            <w:tcW w:w="5820" w:type="dxa"/>
            <w:vAlign w:val="bottom"/>
          </w:tcPr>
          <w:p>
            <w:pPr>
              <w:spacing w:after="0"/>
              <w:rPr>
                <w:sz w:val="14"/>
                <w:szCs w:val="14"/>
                <w:color w:val="auto"/>
              </w:rPr>
            </w:pP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Average number of shares outstanding  . . . . . . . . . . . . .</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11,720</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11,667</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11,492</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11,447</w:t>
            </w:r>
          </w:p>
        </w:tc>
      </w:tr>
    </w:tbl>
    <w:p>
      <w:pPr>
        <w:spacing w:after="0" w:line="335" w:lineRule="exact"/>
        <w:rPr>
          <w:sz w:val="20"/>
          <w:szCs w:val="20"/>
          <w:color w:val="auto"/>
        </w:rPr>
      </w:pPr>
    </w:p>
    <w:p>
      <w:pPr>
        <w:ind w:right="4220"/>
        <w:spacing w:after="0" w:line="255" w:lineRule="auto"/>
        <w:rPr>
          <w:sz w:val="20"/>
          <w:szCs w:val="20"/>
          <w:color w:val="auto"/>
        </w:rPr>
      </w:pPr>
      <w:r>
        <w:rPr>
          <w:rFonts w:ascii="Courier New" w:cs="Courier New" w:eastAsia="Courier New" w:hAnsi="Courier New"/>
          <w:sz w:val="14"/>
          <w:szCs w:val="14"/>
          <w:color w:val="auto"/>
        </w:rPr>
        <w:t>The sum of the four quarters may not necessarily be equal to the annual amounts reported in the Consolidated Statements of Income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1040"/>
          </w:cols>
          <w:pgMar w:left="300" w:top="285" w:right="559"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4"/>
          <w:szCs w:val="14"/>
          <w:color w:val="auto"/>
        </w:rPr>
        <w:t>39</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left="5520"/>
        <w:spacing w:after="0"/>
        <w:tabs>
          <w:tab w:leader="none" w:pos="580" w:val="left"/>
          <w:tab w:leader="none" w:pos="1020" w:val="left"/>
          <w:tab w:leader="none" w:pos="680" w:val="left"/>
        </w:tabs>
        <w:rPr>
          <w:sz w:val="20"/>
          <w:szCs w:val="20"/>
          <w:color w:val="auto"/>
        </w:rPr>
      </w:pPr>
      <w:r>
        <w:rPr>
          <w:rFonts w:ascii="Courier New" w:cs="Courier New" w:eastAsia="Courier New" w:hAnsi="Courier New"/>
          <w:sz w:val="14"/>
          <w:szCs w:val="14"/>
          <w:color w:val="auto"/>
        </w:rPr>
        <w:t>First</w:t>
      </w:r>
      <w:r>
        <w:rPr>
          <w:sz w:val="20"/>
          <w:szCs w:val="20"/>
          <w:color w:val="auto"/>
        </w:rPr>
        <w:tab/>
      </w:r>
      <w:r>
        <w:rPr>
          <w:rFonts w:ascii="Courier New" w:cs="Courier New" w:eastAsia="Courier New" w:hAnsi="Courier New"/>
          <w:sz w:val="14"/>
          <w:szCs w:val="14"/>
          <w:color w:val="auto"/>
        </w:rPr>
        <w:t>Second</w:t>
      </w:r>
      <w:r>
        <w:rPr>
          <w:sz w:val="20"/>
          <w:szCs w:val="20"/>
          <w:color w:val="auto"/>
        </w:rPr>
        <w:tab/>
      </w:r>
      <w:r>
        <w:rPr>
          <w:rFonts w:ascii="Courier New" w:cs="Courier New" w:eastAsia="Courier New" w:hAnsi="Courier New"/>
          <w:sz w:val="14"/>
          <w:szCs w:val="14"/>
          <w:color w:val="auto"/>
        </w:rPr>
        <w:t>Third</w:t>
      </w:r>
      <w:r>
        <w:rPr>
          <w:sz w:val="20"/>
          <w:szCs w:val="20"/>
          <w:color w:val="auto"/>
        </w:rPr>
        <w:tab/>
      </w:r>
      <w:r>
        <w:rPr>
          <w:rFonts w:ascii="Courier New" w:cs="Courier New" w:eastAsia="Courier New" w:hAnsi="Courier New"/>
          <w:sz w:val="14"/>
          <w:szCs w:val="14"/>
          <w:color w:val="auto"/>
        </w:rPr>
        <w:t>Fourth</w:t>
      </w:r>
    </w:p>
    <w:p>
      <w:pPr>
        <w:spacing w:after="0" w:line="7" w:lineRule="exact"/>
        <w:rPr>
          <w:sz w:val="20"/>
          <w:szCs w:val="20"/>
          <w:color w:val="auto"/>
        </w:rPr>
      </w:pPr>
    </w:p>
    <w:p>
      <w:pPr>
        <w:jc w:val="center"/>
        <w:ind w:left="5500"/>
        <w:spacing w:after="0"/>
        <w:tabs>
          <w:tab w:leader="none" w:pos="400" w:val="left"/>
          <w:tab w:leader="none" w:pos="940" w:val="left"/>
          <w:tab w:leader="none" w:pos="580" w:val="left"/>
        </w:tabs>
        <w:rPr>
          <w:sz w:val="20"/>
          <w:szCs w:val="20"/>
          <w:color w:val="auto"/>
        </w:rPr>
      </w:pP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5640" w:type="dxa"/>
            <w:vAlign w:val="bottom"/>
          </w:tcPr>
          <w:p>
            <w:pPr>
              <w:spacing w:after="0"/>
              <w:rPr>
                <w:sz w:val="20"/>
                <w:szCs w:val="20"/>
                <w:color w:val="auto"/>
              </w:rPr>
            </w:pPr>
            <w:r>
              <w:rPr>
                <w:rFonts w:ascii="Courier New" w:cs="Courier New" w:eastAsia="Courier New" w:hAnsi="Courier New"/>
                <w:sz w:val="14"/>
                <w:szCs w:val="14"/>
                <w:color w:val="auto"/>
              </w:rPr>
              <w:t>1993</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640" w:type="dxa"/>
            <w:vAlign w:val="bottom"/>
          </w:tcPr>
          <w:p>
            <w:pPr>
              <w:spacing w:after="0"/>
              <w:rPr>
                <w:sz w:val="20"/>
                <w:szCs w:val="20"/>
                <w:color w:val="auto"/>
              </w:rPr>
            </w:pPr>
            <w:r>
              <w:rPr>
                <w:rFonts w:ascii="Courier New" w:cs="Courier New" w:eastAsia="Courier New" w:hAnsi="Courier New"/>
                <w:sz w:val="14"/>
                <w:szCs w:val="14"/>
                <w:color w:val="auto"/>
              </w:rPr>
              <w:t>Operating revenues</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Advertising . . . . . . . . . . . . . . . . . . . . . . . . .</w:t>
            </w:r>
          </w:p>
        </w:tc>
        <w:tc>
          <w:tcPr>
            <w:tcW w:w="30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$214,602</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$233,078</w:t>
            </w:r>
          </w:p>
        </w:tc>
        <w:tc>
          <w:tcPr>
            <w:tcW w:w="26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$208,972</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$256,877</w:t>
            </w:r>
          </w:p>
        </w:tc>
      </w:tr>
      <w:tr>
        <w:trPr>
          <w:trHeight w:val="166"/>
        </w:trPr>
        <w:tc>
          <w:tcPr>
            <w:tcW w:w="5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Circulation and subscriber  . . . . . . . . . . . . . . . . .</w:t>
            </w:r>
          </w:p>
        </w:tc>
        <w:tc>
          <w:tcPr>
            <w:tcW w:w="30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113,428</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112,779</w:t>
            </w:r>
          </w:p>
        </w:tc>
        <w:tc>
          <w:tcPr>
            <w:tcW w:w="26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110,091</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108,087</w:t>
            </w:r>
          </w:p>
        </w:tc>
      </w:tr>
      <w:tr>
        <w:trPr>
          <w:trHeight w:val="166"/>
        </w:trPr>
        <w:tc>
          <w:tcPr>
            <w:tcW w:w="5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Other . . . . . . . . . . . . . . . . . . . . . . . . . . . .</w:t>
            </w:r>
          </w:p>
        </w:tc>
        <w:tc>
          <w:tcPr>
            <w:tcW w:w="30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33,676</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30,848</w:t>
            </w:r>
          </w:p>
        </w:tc>
        <w:tc>
          <w:tcPr>
            <w:tcW w:w="26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45,059</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30,694</w:t>
            </w:r>
          </w:p>
        </w:tc>
      </w:tr>
      <w:tr>
        <w:trPr>
          <w:trHeight w:val="166"/>
        </w:trPr>
        <w:tc>
          <w:tcPr>
            <w:tcW w:w="5640" w:type="dxa"/>
            <w:vAlign w:val="bottom"/>
          </w:tcPr>
          <w:p>
            <w:pPr>
              <w:spacing w:after="0"/>
              <w:rPr>
                <w:sz w:val="14"/>
                <w:szCs w:val="14"/>
                <w:color w:val="auto"/>
              </w:rPr>
            </w:pPr>
          </w:p>
        </w:tc>
        <w:tc>
          <w:tcPr>
            <w:tcW w:w="124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361,706</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376,705</w:t>
            </w:r>
          </w:p>
        </w:tc>
        <w:tc>
          <w:tcPr>
            <w:tcW w:w="26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364,122</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395,658</w:t>
            </w:r>
          </w:p>
        </w:tc>
      </w:tr>
      <w:tr>
        <w:trPr>
          <w:trHeight w:val="166"/>
        </w:trPr>
        <w:tc>
          <w:tcPr>
            <w:tcW w:w="5640" w:type="dxa"/>
            <w:vAlign w:val="bottom"/>
          </w:tcPr>
          <w:p>
            <w:pPr>
              <w:spacing w:after="0"/>
              <w:rPr>
                <w:sz w:val="14"/>
                <w:szCs w:val="14"/>
                <w:color w:val="auto"/>
              </w:rPr>
            </w:pPr>
          </w:p>
        </w:tc>
        <w:tc>
          <w:tcPr>
            <w:tcW w:w="124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640" w:type="dxa"/>
            <w:vAlign w:val="bottom"/>
          </w:tcPr>
          <w:p>
            <w:pPr>
              <w:spacing w:after="0"/>
              <w:rPr>
                <w:sz w:val="20"/>
                <w:szCs w:val="20"/>
                <w:color w:val="auto"/>
              </w:rPr>
            </w:pPr>
            <w:r>
              <w:rPr>
                <w:rFonts w:ascii="Courier New" w:cs="Courier New" w:eastAsia="Courier New" w:hAnsi="Courier New"/>
                <w:sz w:val="14"/>
                <w:szCs w:val="14"/>
                <w:color w:val="auto"/>
              </w:rPr>
              <w:t>Operating costs and expenses</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Operating . . . . . . . . . . . . . . . . . . . . . . . . . .</w:t>
            </w:r>
          </w:p>
        </w:tc>
        <w:tc>
          <w:tcPr>
            <w:tcW w:w="30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195,083</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193,597</w:t>
            </w:r>
          </w:p>
        </w:tc>
        <w:tc>
          <w:tcPr>
            <w:tcW w:w="26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199,287</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202,289</w:t>
            </w:r>
          </w:p>
        </w:tc>
      </w:tr>
      <w:tr>
        <w:trPr>
          <w:trHeight w:val="166"/>
        </w:trPr>
        <w:tc>
          <w:tcPr>
            <w:tcW w:w="5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Selling, general and administrative . . . . . . . . . . . . .</w:t>
            </w:r>
          </w:p>
        </w:tc>
        <w:tc>
          <w:tcPr>
            <w:tcW w:w="30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97,783</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99,949</w:t>
            </w:r>
          </w:p>
        </w:tc>
        <w:tc>
          <w:tcPr>
            <w:tcW w:w="26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92,224</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103,240</w:t>
            </w:r>
          </w:p>
        </w:tc>
      </w:tr>
      <w:tr>
        <w:trPr>
          <w:trHeight w:val="166"/>
        </w:trPr>
        <w:tc>
          <w:tcPr>
            <w:tcW w:w="564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 amortization of property,</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plant and equipment . . . . . . . . . . . . . . . . . . . .</w:t>
            </w:r>
          </w:p>
        </w:tc>
        <w:tc>
          <w:tcPr>
            <w:tcW w:w="30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14,982</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15,100</w:t>
            </w:r>
          </w:p>
        </w:tc>
        <w:tc>
          <w:tcPr>
            <w:tcW w:w="26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14,773</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14,688</w:t>
            </w:r>
          </w:p>
        </w:tc>
      </w:tr>
      <w:tr>
        <w:trPr>
          <w:trHeight w:val="166"/>
        </w:trPr>
        <w:tc>
          <w:tcPr>
            <w:tcW w:w="5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Amortization of goodwill and other intangibles  . . . . . . .</w:t>
            </w:r>
          </w:p>
        </w:tc>
        <w:tc>
          <w:tcPr>
            <w:tcW w:w="30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4,067</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4,058</w:t>
            </w:r>
          </w:p>
        </w:tc>
        <w:tc>
          <w:tcPr>
            <w:tcW w:w="26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4,058</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4,033</w:t>
            </w:r>
          </w:p>
        </w:tc>
      </w:tr>
      <w:tr>
        <w:trPr>
          <w:trHeight w:val="166"/>
        </w:trPr>
        <w:tc>
          <w:tcPr>
            <w:tcW w:w="5640" w:type="dxa"/>
            <w:vAlign w:val="bottom"/>
          </w:tcPr>
          <w:p>
            <w:pPr>
              <w:spacing w:after="0"/>
              <w:rPr>
                <w:sz w:val="14"/>
                <w:szCs w:val="14"/>
                <w:color w:val="auto"/>
              </w:rPr>
            </w:pPr>
          </w:p>
        </w:tc>
        <w:tc>
          <w:tcPr>
            <w:tcW w:w="124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311,915</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312,704</w:t>
            </w:r>
          </w:p>
        </w:tc>
        <w:tc>
          <w:tcPr>
            <w:tcW w:w="26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310,342</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324,250</w:t>
            </w:r>
          </w:p>
        </w:tc>
      </w:tr>
      <w:tr>
        <w:trPr>
          <w:trHeight w:val="166"/>
        </w:trPr>
        <w:tc>
          <w:tcPr>
            <w:tcW w:w="5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Income from operations  . . . . . . . . . . . . . . . . . . . .</w:t>
            </w:r>
          </w:p>
        </w:tc>
        <w:tc>
          <w:tcPr>
            <w:tcW w:w="30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49,791</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64,001</w:t>
            </w:r>
          </w:p>
        </w:tc>
        <w:tc>
          <w:tcPr>
            <w:tcW w:w="26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53,780</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71,408</w:t>
            </w:r>
          </w:p>
        </w:tc>
      </w:tr>
      <w:tr>
        <w:trPr>
          <w:trHeight w:val="166"/>
        </w:trPr>
        <w:tc>
          <w:tcPr>
            <w:tcW w:w="5640" w:type="dxa"/>
            <w:vAlign w:val="bottom"/>
          </w:tcPr>
          <w:p>
            <w:pPr>
              <w:spacing w:after="0"/>
              <w:rPr>
                <w:sz w:val="14"/>
                <w:szCs w:val="14"/>
                <w:color w:val="auto"/>
              </w:rPr>
            </w:pPr>
          </w:p>
        </w:tc>
        <w:tc>
          <w:tcPr>
            <w:tcW w:w="124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64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Equity in earnings (losses) of affiliates . . . . . . . . . .</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(1,795)</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(591)</w:t>
            </w:r>
          </w:p>
        </w:tc>
        <w:tc>
          <w:tcPr>
            <w:tcW w:w="26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403</w:t>
            </w:r>
          </w:p>
        </w:tc>
      </w:tr>
      <w:tr>
        <w:trPr>
          <w:trHeight w:val="166"/>
        </w:trPr>
        <w:tc>
          <w:tcPr>
            <w:tcW w:w="5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Interest income . . . . . . . . . . . . . . . . . . . . . . .</w:t>
            </w:r>
          </w:p>
        </w:tc>
        <w:tc>
          <w:tcPr>
            <w:tcW w:w="30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2,606</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2,488</w:t>
            </w:r>
          </w:p>
        </w:tc>
        <w:tc>
          <w:tcPr>
            <w:tcW w:w="26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2,653</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3,338</w:t>
            </w:r>
          </w:p>
        </w:tc>
      </w:tr>
      <w:tr>
        <w:trPr>
          <w:trHeight w:val="166"/>
        </w:trPr>
        <w:tc>
          <w:tcPr>
            <w:tcW w:w="5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Interest expense  . . . . . . . . . . . . . . . . . . . . . .</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(1,446)</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(985)</w:t>
            </w:r>
          </w:p>
        </w:tc>
        <w:tc>
          <w:tcPr>
            <w:tcW w:w="26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(1,029)</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(1,523)</w:t>
            </w:r>
          </w:p>
        </w:tc>
      </w:tr>
      <w:tr>
        <w:trPr>
          <w:trHeight w:val="166"/>
        </w:trPr>
        <w:tc>
          <w:tcPr>
            <w:tcW w:w="5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Other . . . . . . . . . . . . . . . . . . . . . . . . . . . .</w:t>
            </w:r>
          </w:p>
        </w:tc>
        <w:tc>
          <w:tcPr>
            <w:tcW w:w="30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(51</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638</w:t>
            </w:r>
          </w:p>
        </w:tc>
        <w:tc>
          <w:tcPr>
            <w:tcW w:w="26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20,500</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(708)</w:t>
            </w:r>
          </w:p>
        </w:tc>
      </w:tr>
      <w:tr>
        <w:trPr>
          <w:trHeight w:val="166"/>
        </w:trPr>
        <w:tc>
          <w:tcPr>
            <w:tcW w:w="5640" w:type="dxa"/>
            <w:vAlign w:val="bottom"/>
          </w:tcPr>
          <w:p>
            <w:pPr>
              <w:spacing w:after="0"/>
              <w:rPr>
                <w:sz w:val="14"/>
                <w:szCs w:val="14"/>
                <w:color w:val="auto"/>
              </w:rPr>
            </w:pPr>
          </w:p>
        </w:tc>
        <w:tc>
          <w:tcPr>
            <w:tcW w:w="124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640" w:type="dxa"/>
            <w:vAlign w:val="bottom"/>
          </w:tcPr>
          <w:p>
            <w:pPr>
              <w:spacing w:after="0"/>
              <w:rPr>
                <w:sz w:val="20"/>
                <w:szCs w:val="20"/>
                <w:color w:val="auto"/>
              </w:rPr>
            </w:pPr>
            <w:r>
              <w:rPr>
                <w:rFonts w:ascii="Courier New" w:cs="Courier New" w:eastAsia="Courier New" w:hAnsi="Courier New"/>
                <w:sz w:val="14"/>
                <w:szCs w:val="14"/>
                <w:color w:val="auto"/>
              </w:rPr>
              <w:t>Income before income taxes and cumulative</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effect of change in accounting principle  . . . . . . . . . .</w:t>
            </w:r>
          </w:p>
        </w:tc>
        <w:tc>
          <w:tcPr>
            <w:tcW w:w="30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49,105</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65,551</w:t>
            </w:r>
          </w:p>
        </w:tc>
        <w:tc>
          <w:tcPr>
            <w:tcW w:w="26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75,893</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72,918</w:t>
            </w:r>
          </w:p>
        </w:tc>
      </w:tr>
      <w:tr>
        <w:trPr>
          <w:trHeight w:val="166"/>
        </w:trPr>
        <w:tc>
          <w:tcPr>
            <w:tcW w:w="5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Provision for income taxes  . . . . . . . . . . . . . . . . . .</w:t>
            </w:r>
          </w:p>
        </w:tc>
        <w:tc>
          <w:tcPr>
            <w:tcW w:w="30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20,600</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27,560</w:t>
            </w:r>
          </w:p>
        </w:tc>
        <w:tc>
          <w:tcPr>
            <w:tcW w:w="26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31,050</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30,440</w:t>
            </w:r>
          </w:p>
        </w:tc>
      </w:tr>
      <w:tr>
        <w:trPr>
          <w:trHeight w:val="166"/>
        </w:trPr>
        <w:tc>
          <w:tcPr>
            <w:tcW w:w="5640" w:type="dxa"/>
            <w:vAlign w:val="bottom"/>
          </w:tcPr>
          <w:p>
            <w:pPr>
              <w:spacing w:after="0"/>
              <w:rPr>
                <w:sz w:val="14"/>
                <w:szCs w:val="14"/>
                <w:color w:val="auto"/>
              </w:rPr>
            </w:pPr>
          </w:p>
        </w:tc>
        <w:tc>
          <w:tcPr>
            <w:tcW w:w="124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640" w:type="dxa"/>
            <w:vAlign w:val="bottom"/>
          </w:tcPr>
          <w:p>
            <w:pPr>
              <w:spacing w:after="0"/>
              <w:rPr>
                <w:sz w:val="20"/>
                <w:szCs w:val="20"/>
                <w:color w:val="auto"/>
              </w:rPr>
            </w:pPr>
            <w:r>
              <w:rPr>
                <w:rFonts w:ascii="Courier New" w:cs="Courier New" w:eastAsia="Courier New" w:hAnsi="Courier New"/>
                <w:sz w:val="14"/>
                <w:szCs w:val="14"/>
                <w:color w:val="auto"/>
              </w:rPr>
              <w:t>Income before cumulative effect of change in</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accounting principle  . . . . . . . . . . . . . . . . . . . .</w:t>
            </w:r>
          </w:p>
        </w:tc>
        <w:tc>
          <w:tcPr>
            <w:tcW w:w="30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28,505</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37,991</w:t>
            </w:r>
          </w:p>
        </w:tc>
        <w:tc>
          <w:tcPr>
            <w:tcW w:w="26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44,843</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42,478</w:t>
            </w:r>
          </w:p>
        </w:tc>
      </w:tr>
      <w:tr>
        <w:trPr>
          <w:trHeight w:val="166"/>
        </w:trPr>
        <w:tc>
          <w:tcPr>
            <w:tcW w:w="5640" w:type="dxa"/>
            <w:vAlign w:val="bottom"/>
          </w:tcPr>
          <w:p>
            <w:pPr>
              <w:spacing w:after="0"/>
              <w:rPr>
                <w:sz w:val="20"/>
                <w:szCs w:val="20"/>
                <w:color w:val="auto"/>
              </w:rPr>
            </w:pPr>
            <w:r>
              <w:rPr>
                <w:rFonts w:ascii="Courier New" w:cs="Courier New" w:eastAsia="Courier New" w:hAnsi="Courier New"/>
                <w:sz w:val="14"/>
                <w:szCs w:val="14"/>
                <w:color w:val="auto"/>
              </w:rPr>
              <w:t>Cumulative effect of change in method of</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accounting for income taxes . . . . . . . . . . . . . . . . .</w:t>
            </w:r>
          </w:p>
        </w:tc>
        <w:tc>
          <w:tcPr>
            <w:tcW w:w="30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11,600</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640" w:type="dxa"/>
            <w:vAlign w:val="bottom"/>
          </w:tcPr>
          <w:p>
            <w:pPr>
              <w:spacing w:after="0"/>
              <w:rPr>
                <w:sz w:val="14"/>
                <w:szCs w:val="14"/>
                <w:color w:val="auto"/>
              </w:rPr>
            </w:pPr>
          </w:p>
        </w:tc>
        <w:tc>
          <w:tcPr>
            <w:tcW w:w="124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income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40,105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37,991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44,843</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42,478</w:t>
            </w:r>
          </w:p>
        </w:tc>
      </w:tr>
      <w:tr>
        <w:trPr>
          <w:trHeight w:val="166"/>
        </w:trPr>
        <w:tc>
          <w:tcPr>
            <w:tcW w:w="5640" w:type="dxa"/>
            <w:vAlign w:val="bottom"/>
          </w:tcPr>
          <w:p>
            <w:pPr>
              <w:spacing w:after="0"/>
              <w:rPr>
                <w:sz w:val="14"/>
                <w:szCs w:val="14"/>
                <w:color w:val="auto"/>
              </w:rPr>
            </w:pPr>
          </w:p>
        </w:tc>
        <w:tc>
          <w:tcPr>
            <w:tcW w:w="124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64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640" w:type="dxa"/>
            <w:vAlign w:val="bottom"/>
          </w:tcPr>
          <w:p>
            <w:pPr>
              <w:ind w:left="180"/>
              <w:spacing w:after="0"/>
              <w:rPr>
                <w:sz w:val="20"/>
                <w:szCs w:val="20"/>
                <w:color w:val="auto"/>
              </w:rPr>
            </w:pPr>
            <w:r>
              <w:rPr>
                <w:rFonts w:ascii="Courier New" w:cs="Courier New" w:eastAsia="Courier New" w:hAnsi="Courier New"/>
                <w:sz w:val="14"/>
                <w:szCs w:val="14"/>
                <w:color w:val="auto"/>
              </w:rPr>
              <w:t>Before cumulative effect of change in</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accounting principle . . . . . . . . . . . . . . . . . .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2.42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3.82</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3.63</w:t>
            </w:r>
          </w:p>
        </w:tc>
      </w:tr>
      <w:tr>
        <w:trPr>
          <w:trHeight w:val="166"/>
        </w:trPr>
        <w:tc>
          <w:tcPr>
            <w:tcW w:w="5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Cumulative effect of change in accounting principle . . . . .</w:t>
            </w:r>
          </w:p>
        </w:tc>
        <w:tc>
          <w:tcPr>
            <w:tcW w:w="30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.98</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640" w:type="dxa"/>
            <w:vAlign w:val="bottom"/>
          </w:tcPr>
          <w:p>
            <w:pPr>
              <w:spacing w:after="0"/>
              <w:rPr>
                <w:sz w:val="14"/>
                <w:szCs w:val="14"/>
                <w:color w:val="auto"/>
              </w:rPr>
            </w:pPr>
          </w:p>
        </w:tc>
        <w:tc>
          <w:tcPr>
            <w:tcW w:w="124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income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3.40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3.82</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3.63</w:t>
            </w:r>
          </w:p>
        </w:tc>
      </w:tr>
      <w:tr>
        <w:trPr>
          <w:trHeight w:val="166"/>
        </w:trPr>
        <w:tc>
          <w:tcPr>
            <w:tcW w:w="5640" w:type="dxa"/>
            <w:vAlign w:val="bottom"/>
          </w:tcPr>
          <w:p>
            <w:pPr>
              <w:spacing w:after="0"/>
              <w:rPr>
                <w:sz w:val="14"/>
                <w:szCs w:val="14"/>
                <w:color w:val="auto"/>
              </w:rPr>
            </w:pPr>
          </w:p>
        </w:tc>
        <w:tc>
          <w:tcPr>
            <w:tcW w:w="124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Average number of shares outstanding  . . . . . . . . . . . . .</w:t>
            </w:r>
          </w:p>
        </w:tc>
        <w:tc>
          <w:tcPr>
            <w:tcW w:w="30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11,796</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11,755</w:t>
            </w:r>
          </w:p>
        </w:tc>
        <w:tc>
          <w:tcPr>
            <w:tcW w:w="26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11,731</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680"/>
          </w:cols>
          <w:pgMar w:left="300" w:top="285" w:right="919"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4"/>
          <w:szCs w:val="14"/>
          <w:color w:val="auto"/>
        </w:rPr>
        <w:t>40</w:t>
      </w:r>
    </w:p>
    <w:p>
      <w:pPr>
        <w:spacing w:after="0" w:line="7" w:lineRule="exact"/>
        <w:rPr>
          <w:sz w:val="20"/>
          <w:szCs w:val="20"/>
          <w:color w:val="auto"/>
        </w:rPr>
      </w:pPr>
    </w:p>
    <w:p>
      <w:pPr>
        <w:ind w:left="5940"/>
        <w:spacing w:after="0"/>
        <w:rPr>
          <w:sz w:val="20"/>
          <w:szCs w:val="20"/>
          <w:color w:val="auto"/>
        </w:rPr>
      </w:pPr>
      <w:r>
        <w:rPr>
          <w:rFonts w:ascii="Courier New" w:cs="Courier New" w:eastAsia="Courier New" w:hAnsi="Courier New"/>
          <w:sz w:val="14"/>
          <w:szCs w:val="14"/>
          <w:color w:val="auto"/>
        </w:rPr>
        <w:t>SCHEDULE II</w:t>
      </w:r>
    </w:p>
    <w:p>
      <w:pPr>
        <w:spacing w:after="0" w:line="338"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SCHEDULE II--VALUATION AND QUALIFYING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080"/>
        <w:spacing w:after="0"/>
        <w:tabs>
          <w:tab w:leader="none" w:pos="6700" w:val="left"/>
          <w:tab w:leader="none" w:pos="8000" w:val="left"/>
          <w:tab w:leader="none" w:pos="9380" w:val="left"/>
          <w:tab w:leader="none" w:pos="10580" w:val="left"/>
        </w:tabs>
        <w:rPr>
          <w:sz w:val="20"/>
          <w:szCs w:val="20"/>
          <w:color w:val="auto"/>
        </w:rPr>
      </w:pPr>
      <w:r>
        <w:rPr>
          <w:rFonts w:ascii="Courier New" w:cs="Courier New" w:eastAsia="Courier New" w:hAnsi="Courier New"/>
          <w:sz w:val="14"/>
          <w:szCs w:val="14"/>
          <w:color w:val="auto"/>
        </w:rPr>
        <w:t>COLUMN A</w:t>
      </w:r>
      <w:r>
        <w:rPr>
          <w:sz w:val="20"/>
          <w:szCs w:val="20"/>
          <w:color w:val="auto"/>
        </w:rPr>
        <w:tab/>
      </w:r>
      <w:r>
        <w:rPr>
          <w:rFonts w:ascii="Courier New" w:cs="Courier New" w:eastAsia="Courier New" w:hAnsi="Courier New"/>
          <w:sz w:val="14"/>
          <w:szCs w:val="14"/>
          <w:color w:val="auto"/>
        </w:rPr>
        <w:t>COLUMN B</w:t>
      </w:r>
      <w:r>
        <w:rPr>
          <w:sz w:val="20"/>
          <w:szCs w:val="20"/>
          <w:color w:val="auto"/>
        </w:rPr>
        <w:tab/>
      </w:r>
      <w:r>
        <w:rPr>
          <w:rFonts w:ascii="Courier New" w:cs="Courier New" w:eastAsia="Courier New" w:hAnsi="Courier New"/>
          <w:sz w:val="14"/>
          <w:szCs w:val="14"/>
          <w:color w:val="auto"/>
        </w:rPr>
        <w:t>COLUMN C</w:t>
      </w:r>
      <w:r>
        <w:rPr>
          <w:sz w:val="20"/>
          <w:szCs w:val="20"/>
          <w:color w:val="auto"/>
        </w:rPr>
        <w:tab/>
      </w:r>
      <w:r>
        <w:rPr>
          <w:rFonts w:ascii="Courier New" w:cs="Courier New" w:eastAsia="Courier New" w:hAnsi="Courier New"/>
          <w:sz w:val="14"/>
          <w:szCs w:val="14"/>
          <w:color w:val="auto"/>
        </w:rPr>
        <w:t>COLUMN D</w:t>
      </w:r>
      <w:r>
        <w:rPr>
          <w:sz w:val="20"/>
          <w:szCs w:val="20"/>
          <w:color w:val="auto"/>
        </w:rPr>
        <w:tab/>
      </w:r>
      <w:r>
        <w:rPr>
          <w:rFonts w:ascii="Courier New" w:cs="Courier New" w:eastAsia="Courier New" w:hAnsi="Courier New"/>
          <w:sz w:val="14"/>
          <w:szCs w:val="14"/>
          <w:color w:val="auto"/>
        </w:rPr>
        <w:t>COLUMN 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28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ADDITIONS --</w:t>
            </w: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6"/>
        </w:trPr>
        <w:tc>
          <w:tcPr>
            <w:tcW w:w="2800" w:type="dxa"/>
            <w:vAlign w:val="bottom"/>
          </w:tcPr>
          <w:p>
            <w:pPr>
              <w:spacing w:after="0"/>
              <w:rPr>
                <w:sz w:val="14"/>
                <w:szCs w:val="14"/>
                <w:color w:val="auto"/>
              </w:rPr>
            </w:pPr>
          </w:p>
        </w:tc>
        <w:tc>
          <w:tcPr>
            <w:tcW w:w="28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BALANCE AT</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CHARGED TO</w:t>
            </w:r>
          </w:p>
        </w:tc>
        <w:tc>
          <w:tcPr>
            <w:tcW w:w="1300" w:type="dxa"/>
            <w:vAlign w:val="bottom"/>
          </w:tcPr>
          <w:p>
            <w:pPr>
              <w:spacing w:after="0"/>
              <w:rPr>
                <w:sz w:val="14"/>
                <w:szCs w:val="14"/>
                <w:color w:val="auto"/>
              </w:rPr>
            </w:pPr>
          </w:p>
        </w:tc>
        <w:tc>
          <w:tcPr>
            <w:tcW w:w="1060" w:type="dxa"/>
            <w:vAlign w:val="bottom"/>
          </w:tcPr>
          <w:p>
            <w:pPr>
              <w:jc w:val="center"/>
              <w:ind w:left="148"/>
              <w:spacing w:after="0"/>
              <w:rPr>
                <w:sz w:val="20"/>
                <w:szCs w:val="20"/>
                <w:color w:val="auto"/>
              </w:rPr>
            </w:pPr>
            <w:r>
              <w:rPr>
                <w:rFonts w:ascii="Courier New" w:cs="Courier New" w:eastAsia="Courier New" w:hAnsi="Courier New"/>
                <w:sz w:val="14"/>
                <w:szCs w:val="14"/>
                <w:color w:val="auto"/>
                <w:w w:val="99"/>
              </w:rPr>
              <w:t>BALANCE AT</w:t>
            </w:r>
          </w:p>
        </w:tc>
      </w:tr>
      <w:tr>
        <w:trPr>
          <w:trHeight w:val="166"/>
        </w:trPr>
        <w:tc>
          <w:tcPr>
            <w:tcW w:w="2800" w:type="dxa"/>
            <w:vAlign w:val="bottom"/>
          </w:tcPr>
          <w:p>
            <w:pPr>
              <w:spacing w:after="0"/>
              <w:rPr>
                <w:sz w:val="14"/>
                <w:szCs w:val="14"/>
                <w:color w:val="auto"/>
              </w:rPr>
            </w:pPr>
          </w:p>
        </w:tc>
        <w:tc>
          <w:tcPr>
            <w:tcW w:w="28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BEGINNING</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COSTS AND</w:t>
            </w:r>
          </w:p>
        </w:tc>
        <w:tc>
          <w:tcPr>
            <w:tcW w:w="1300" w:type="dxa"/>
            <w:vAlign w:val="bottom"/>
          </w:tcPr>
          <w:p>
            <w:pPr>
              <w:spacing w:after="0"/>
              <w:rPr>
                <w:sz w:val="14"/>
                <w:szCs w:val="14"/>
                <w:color w:val="auto"/>
              </w:rPr>
            </w:pPr>
          </w:p>
        </w:tc>
        <w:tc>
          <w:tcPr>
            <w:tcW w:w="106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END OF</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DESCRIPTION</w:t>
            </w:r>
          </w:p>
        </w:tc>
        <w:tc>
          <w:tcPr>
            <w:tcW w:w="28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OF PERIOD</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EXPENSES</w:t>
            </w: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DEDUCTIONS</w:t>
            </w:r>
          </w:p>
        </w:tc>
        <w:tc>
          <w:tcPr>
            <w:tcW w:w="106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PERIOD</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Year Ended January 3,</w:t>
            </w:r>
          </w:p>
        </w:tc>
        <w:tc>
          <w:tcPr>
            <w:tcW w:w="4520" w:type="dxa"/>
            <w:vAlign w:val="bottom"/>
          </w:tcPr>
          <w:p>
            <w:pPr>
              <w:ind w:left="40"/>
              <w:spacing w:after="0"/>
              <w:rPr>
                <w:sz w:val="20"/>
                <w:szCs w:val="20"/>
                <w:color w:val="auto"/>
              </w:rPr>
            </w:pPr>
            <w:r>
              <w:rPr>
                <w:rFonts w:ascii="Courier New" w:cs="Courier New" w:eastAsia="Courier New" w:hAnsi="Courier New"/>
                <w:sz w:val="14"/>
                <w:szCs w:val="14"/>
                <w:color w:val="auto"/>
              </w:rPr>
              <w:t>1993</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6"/>
        </w:trPr>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Allowance for</w:t>
            </w:r>
          </w:p>
        </w:tc>
        <w:tc>
          <w:tcPr>
            <w:tcW w:w="4520" w:type="dxa"/>
            <w:vAlign w:val="bottom"/>
          </w:tcPr>
          <w:p>
            <w:pPr>
              <w:ind w:left="40"/>
              <w:spacing w:after="0"/>
              <w:rPr>
                <w:sz w:val="20"/>
                <w:szCs w:val="20"/>
                <w:color w:val="auto"/>
              </w:rPr>
            </w:pPr>
            <w:r>
              <w:rPr>
                <w:rFonts w:ascii="Courier New" w:cs="Courier New" w:eastAsia="Courier New" w:hAnsi="Courier New"/>
                <w:sz w:val="14"/>
                <w:szCs w:val="14"/>
                <w:color w:val="auto"/>
              </w:rPr>
              <w:t>doubtful accounts and returns.....................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$28,161,000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$48,140,000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$48,006,000</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$28,295,000</w:t>
            </w:r>
          </w:p>
        </w:tc>
      </w:tr>
      <w:tr>
        <w:trPr>
          <w:trHeight w:val="166"/>
        </w:trPr>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Allowance for</w:t>
            </w:r>
          </w:p>
        </w:tc>
        <w:tc>
          <w:tcPr>
            <w:tcW w:w="4520" w:type="dxa"/>
            <w:vAlign w:val="bottom"/>
          </w:tcPr>
          <w:p>
            <w:pPr>
              <w:ind w:left="40"/>
              <w:spacing w:after="0"/>
              <w:rPr>
                <w:sz w:val="20"/>
                <w:szCs w:val="20"/>
                <w:color w:val="auto"/>
              </w:rPr>
            </w:pPr>
            <w:r>
              <w:rPr>
                <w:rFonts w:ascii="Courier New" w:cs="Courier New" w:eastAsia="Courier New" w:hAnsi="Courier New"/>
                <w:sz w:val="14"/>
                <w:szCs w:val="14"/>
                <w:color w:val="auto"/>
              </w:rPr>
              <w:t>advertising rate adjustments and discounts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7,481,000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9,493,000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9,969,000</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7,005,000</w:t>
            </w:r>
          </w:p>
        </w:tc>
      </w:tr>
      <w:tr>
        <w:trPr>
          <w:trHeight w:val="166"/>
        </w:trPr>
        <w:tc>
          <w:tcPr>
            <w:tcW w:w="18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8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$35,642,000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$57,633,000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$57,975,000</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$35,300,000</w:t>
            </w:r>
          </w:p>
        </w:tc>
      </w:tr>
      <w:tr>
        <w:trPr>
          <w:trHeight w:val="166"/>
        </w:trPr>
        <w:tc>
          <w:tcPr>
            <w:tcW w:w="18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Year Ended January 2,</w:t>
            </w:r>
          </w:p>
        </w:tc>
        <w:tc>
          <w:tcPr>
            <w:tcW w:w="4520" w:type="dxa"/>
            <w:vAlign w:val="bottom"/>
          </w:tcPr>
          <w:p>
            <w:pPr>
              <w:ind w:left="40"/>
              <w:spacing w:after="0"/>
              <w:rPr>
                <w:sz w:val="20"/>
                <w:szCs w:val="20"/>
                <w:color w:val="auto"/>
              </w:rPr>
            </w:pPr>
            <w:r>
              <w:rPr>
                <w:rFonts w:ascii="Courier New" w:cs="Courier New" w:eastAsia="Courier New" w:hAnsi="Courier New"/>
                <w:sz w:val="14"/>
                <w:szCs w:val="14"/>
                <w:color w:val="auto"/>
              </w:rPr>
              <w:t>1994</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6"/>
        </w:trPr>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Allowance for</w:t>
            </w:r>
          </w:p>
        </w:tc>
        <w:tc>
          <w:tcPr>
            <w:tcW w:w="4520" w:type="dxa"/>
            <w:vAlign w:val="bottom"/>
          </w:tcPr>
          <w:p>
            <w:pPr>
              <w:ind w:left="40"/>
              <w:spacing w:after="0"/>
              <w:rPr>
                <w:sz w:val="20"/>
                <w:szCs w:val="20"/>
                <w:color w:val="auto"/>
              </w:rPr>
            </w:pPr>
            <w:r>
              <w:rPr>
                <w:rFonts w:ascii="Courier New" w:cs="Courier New" w:eastAsia="Courier New" w:hAnsi="Courier New"/>
                <w:sz w:val="14"/>
                <w:szCs w:val="14"/>
                <w:color w:val="auto"/>
              </w:rPr>
              <w:t>doubtful accounts and returns.....................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$28,295,000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$47,558,000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$45,005,000</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$30,848,000</w:t>
            </w:r>
          </w:p>
        </w:tc>
      </w:tr>
      <w:tr>
        <w:trPr>
          <w:trHeight w:val="166"/>
        </w:trPr>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Allowance for</w:t>
            </w:r>
          </w:p>
        </w:tc>
        <w:tc>
          <w:tcPr>
            <w:tcW w:w="4520" w:type="dxa"/>
            <w:vAlign w:val="bottom"/>
          </w:tcPr>
          <w:p>
            <w:pPr>
              <w:ind w:left="40"/>
              <w:spacing w:after="0"/>
              <w:rPr>
                <w:sz w:val="20"/>
                <w:szCs w:val="20"/>
                <w:color w:val="auto"/>
              </w:rPr>
            </w:pPr>
            <w:r>
              <w:rPr>
                <w:rFonts w:ascii="Courier New" w:cs="Courier New" w:eastAsia="Courier New" w:hAnsi="Courier New"/>
                <w:sz w:val="14"/>
                <w:szCs w:val="14"/>
                <w:color w:val="auto"/>
              </w:rPr>
              <w:t>advertising rate adjustments and discounts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7,005,000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9,073,000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8,324,000</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7,754,000</w:t>
            </w:r>
          </w:p>
        </w:tc>
      </w:tr>
      <w:tr>
        <w:trPr>
          <w:trHeight w:val="166"/>
        </w:trPr>
        <w:tc>
          <w:tcPr>
            <w:tcW w:w="18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8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$35,300,000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$56,631,000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$53,329,000</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$38,602,000</w:t>
            </w:r>
          </w:p>
        </w:tc>
      </w:tr>
      <w:tr>
        <w:trPr>
          <w:trHeight w:val="166"/>
        </w:trPr>
        <w:tc>
          <w:tcPr>
            <w:tcW w:w="18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Year Ended January 1,</w:t>
            </w:r>
          </w:p>
        </w:tc>
        <w:tc>
          <w:tcPr>
            <w:tcW w:w="4520" w:type="dxa"/>
            <w:vAlign w:val="bottom"/>
          </w:tcPr>
          <w:p>
            <w:pPr>
              <w:ind w:left="40"/>
              <w:spacing w:after="0"/>
              <w:rPr>
                <w:sz w:val="20"/>
                <w:szCs w:val="20"/>
                <w:color w:val="auto"/>
              </w:rPr>
            </w:pPr>
            <w:r>
              <w:rPr>
                <w:rFonts w:ascii="Courier New" w:cs="Courier New" w:eastAsia="Courier New" w:hAnsi="Courier New"/>
                <w:sz w:val="14"/>
                <w:szCs w:val="14"/>
                <w:color w:val="auto"/>
              </w:rPr>
              <w:t>1995</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6"/>
        </w:trPr>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Allowance for</w:t>
            </w:r>
          </w:p>
        </w:tc>
        <w:tc>
          <w:tcPr>
            <w:tcW w:w="4520" w:type="dxa"/>
            <w:vAlign w:val="bottom"/>
          </w:tcPr>
          <w:p>
            <w:pPr>
              <w:ind w:left="40"/>
              <w:spacing w:after="0"/>
              <w:rPr>
                <w:sz w:val="20"/>
                <w:szCs w:val="20"/>
                <w:color w:val="auto"/>
              </w:rPr>
            </w:pPr>
            <w:r>
              <w:rPr>
                <w:rFonts w:ascii="Courier New" w:cs="Courier New" w:eastAsia="Courier New" w:hAnsi="Courier New"/>
                <w:sz w:val="14"/>
                <w:szCs w:val="14"/>
                <w:color w:val="auto"/>
              </w:rPr>
              <w:t>doubtful accounts and returns.....................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$30,848,000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$51,383,000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$48,795,000</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$33,436,000</w:t>
            </w:r>
          </w:p>
        </w:tc>
      </w:tr>
      <w:tr>
        <w:trPr>
          <w:trHeight w:val="166"/>
        </w:trPr>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Allowance for</w:t>
            </w:r>
          </w:p>
        </w:tc>
        <w:tc>
          <w:tcPr>
            <w:tcW w:w="4520" w:type="dxa"/>
            <w:vAlign w:val="bottom"/>
          </w:tcPr>
          <w:p>
            <w:pPr>
              <w:ind w:left="40"/>
              <w:spacing w:after="0"/>
              <w:rPr>
                <w:sz w:val="20"/>
                <w:szCs w:val="20"/>
                <w:color w:val="auto"/>
              </w:rPr>
            </w:pPr>
            <w:r>
              <w:rPr>
                <w:rFonts w:ascii="Courier New" w:cs="Courier New" w:eastAsia="Courier New" w:hAnsi="Courier New"/>
                <w:sz w:val="14"/>
                <w:szCs w:val="14"/>
                <w:color w:val="auto"/>
              </w:rPr>
              <w:t>advertising rate adjustments and discounts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7,754,000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6,600,000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7,847,000</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6,507,000</w:t>
            </w:r>
          </w:p>
        </w:tc>
      </w:tr>
      <w:tr>
        <w:trPr>
          <w:trHeight w:val="166"/>
        </w:trPr>
        <w:tc>
          <w:tcPr>
            <w:tcW w:w="18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8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$38,602,000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$57,983,000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$56,642,000</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$39,943,000</w:t>
            </w:r>
          </w:p>
        </w:tc>
      </w:tr>
      <w:tr>
        <w:trPr>
          <w:trHeight w:val="166"/>
        </w:trPr>
        <w:tc>
          <w:tcPr>
            <w:tcW w:w="18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1360"/>
          </w:cols>
          <w:pgMar w:left="300" w:top="285" w:right="239"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4"/>
          <w:szCs w:val="14"/>
          <w:color w:val="auto"/>
        </w:rPr>
        <w:t>41</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RESULTS OF OPERATIONS AND</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FINANCIAL CONDITION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699"/>
        <w:spacing w:after="0" w:line="255" w:lineRule="auto"/>
        <w:rPr>
          <w:sz w:val="20"/>
          <w:szCs w:val="20"/>
          <w:color w:val="auto"/>
        </w:rPr>
      </w:pPr>
      <w:r>
        <w:rPr>
          <w:rFonts w:ascii="Courier New" w:cs="Courier New" w:eastAsia="Courier New" w:hAnsi="Courier New"/>
          <w:sz w:val="14"/>
          <w:szCs w:val="14"/>
          <w:color w:val="auto"/>
        </w:rPr>
        <w:t>This analysis should be read in conjunction with the consolidated financial statements and the notes thereto.</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OPERATIONS--1994 COMPARED TO 1993</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Net income in 1994 was $169.7 million, an increase of 3 percent over net income of $165.4 million last year. Earnings per share rose 4 percent to $14.65, from $14.08 in 1993. Earnings in 1994 included an after-tax gain of $8.1 million ($.70 per share) from the sale of a large tract of land at the company's Canadian newsprint affiliate. The company's 1993 earnings included a one-time credit of $11.6 million ($.98 per share) related to a change in accounting for income taxes and an after-tax gain of $13.4 million ($1.14 per share) from the sale of the company's cable franchises in the United Kingdom. Excluding these items, net income and earnings per share increased 15 percent and 17 percent, respectively, in 1994.</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Revenues for 1994 totaled $1.614 billion, an increase of 8 percent from $1.498 billion in 1993. Advertising revenues increased 12 percent in 1994, while circulation and subscriber revenues decreased 1 percent. Other revenues increased 6 percent. Advertising revenues in the broadcast division, which included two additional television stations in Houston and San Antonio acquired in April of 1994, rose 47 percent in 1994. The Washington Post newspaper also contributed to the improvement in advertising revenues with a 4.5 percent increase over 1993. Circulation and subscriber revenues decreased, principally due to rate reregulation affecting the cable division in late-1993 and again in mid-1994.</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Operating costs and expenses for the year increased 6 percent to $1.339 billion, from $1.259 billion in 1993. Approximately two-thirds of the increase is attributable to new businesses, while the remainder of the increase reflects normal increases in the costs of operations as well as continued investment in personal communications services (PCS) during the year.</w:t>
      </w:r>
    </w:p>
    <w:p>
      <w:pPr>
        <w:spacing w:after="0" w:line="164"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Operating income rose 15 percent to $274.9 million, from $239.0 million in 1993.</w:t>
      </w:r>
    </w:p>
    <w:p>
      <w:pPr>
        <w:spacing w:after="0" w:line="160" w:lineRule="exact"/>
        <w:rPr>
          <w:sz w:val="20"/>
          <w:szCs w:val="20"/>
          <w:color w:val="auto"/>
        </w:rPr>
      </w:pPr>
    </w:p>
    <w:p>
      <w:pPr>
        <w:ind w:right="3439"/>
        <w:spacing w:after="0" w:line="250" w:lineRule="auto"/>
        <w:rPr>
          <w:sz w:val="20"/>
          <w:szCs w:val="20"/>
          <w:color w:val="auto"/>
        </w:rPr>
      </w:pPr>
      <w:r>
        <w:rPr>
          <w:rFonts w:ascii="Courier New" w:cs="Courier New" w:eastAsia="Courier New" w:hAnsi="Courier New"/>
          <w:sz w:val="14"/>
          <w:szCs w:val="14"/>
          <w:color w:val="auto"/>
        </w:rPr>
        <w:t>NEWSPAPER DIVISION. Newspaper division revenues increased 4 percent to $717.3 million, from $692.3 million. Advertising revenue at the newspaper division rose 5 percent over last year. Most of the improvement was at The Washington Post, where advertising revenues increased 4.5 percent. Retail revenues at The Washington Post declined 2 percent as a result of a 6 percent decline in inches. Classified revenues rose 9 percent, primarily as a result of improved recruitment-related volume during the year. Other advertising revenues increased 8 percent; general advertising inches and preprint volume at The Washington Post increased 8 percent and 16 percent, respectively, over 1993. Circulation revenues for the newspaper division remained at 1993 levels. For the 12-month period ended September 30, 1994, daily and Sunday circulation at The Washington Post were essentially unchanged. The Washington Post maintained its share of the market with just over 50 percent household penetration by its daily editions and 66 percent household penetration by its Sunday editions.</w:t>
      </w:r>
    </w:p>
    <w:p>
      <w:pPr>
        <w:spacing w:after="0" w:line="171" w:lineRule="exact"/>
        <w:rPr>
          <w:sz w:val="20"/>
          <w:szCs w:val="20"/>
          <w:color w:val="auto"/>
        </w:rPr>
      </w:pPr>
    </w:p>
    <w:p>
      <w:pPr>
        <w:ind w:right="3439"/>
        <w:spacing w:after="0" w:line="251" w:lineRule="auto"/>
        <w:rPr>
          <w:sz w:val="20"/>
          <w:szCs w:val="20"/>
          <w:color w:val="auto"/>
        </w:rPr>
      </w:pPr>
      <w:r>
        <w:rPr>
          <w:rFonts w:ascii="Courier New" w:cs="Courier New" w:eastAsia="Courier New" w:hAnsi="Courier New"/>
          <w:sz w:val="14"/>
          <w:szCs w:val="14"/>
          <w:color w:val="auto"/>
        </w:rPr>
        <w:t>Newspaper division operating margin in 1994 was 19 percent, up from 18 percent in the prior year. The previously mentioned increases in advertising revenues were offset partially by normal increases in payroll and fringe benefits and higher distribution costs. Average newsprint prices and total newsprint expense remained unchanged from last year. However, newsprint prices have been increasing steadily since mid-1994 and are expected to continue to rise throughout 1995. These increases will have an adverse impact on the operating results at the newspaper division in 1995.</w:t>
      </w:r>
    </w:p>
    <w:p>
      <w:pPr>
        <w:spacing w:after="0" w:line="163" w:lineRule="exact"/>
        <w:rPr>
          <w:sz w:val="20"/>
          <w:szCs w:val="20"/>
          <w:color w:val="auto"/>
        </w:rPr>
      </w:pPr>
    </w:p>
    <w:p>
      <w:pPr>
        <w:ind w:right="3439"/>
        <w:spacing w:after="0" w:line="251" w:lineRule="auto"/>
        <w:rPr>
          <w:sz w:val="20"/>
          <w:szCs w:val="20"/>
          <w:color w:val="auto"/>
        </w:rPr>
      </w:pPr>
      <w:r>
        <w:rPr>
          <w:rFonts w:ascii="Courier New" w:cs="Courier New" w:eastAsia="Courier New" w:hAnsi="Courier New"/>
          <w:sz w:val="14"/>
          <w:szCs w:val="14"/>
          <w:color w:val="auto"/>
        </w:rPr>
        <w:t>BROADCAST DIVISION. Revenues at the broadcast division increased 47 percent over last year. National and local advertising revenues, which included approximately $13 million in political advertising and significantly improved auto and truck advertising, increased 45 percent and 46 percent, respectively. Approximately two-thirds of these increases were attributable to the stations acquired in April 1994. Network revenues more than doubled in 1994 as a result of the addition of the new stations and renegotiation of network affiliation contracts.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Viewership remained strong for the original four television stations. These stations were ranked number one in the latest ratings period, sign-on to sign-off, in their respective markets. The newly acquired television station in San Antonio was also ranked number one, sign-on to sign-off, while the station acquired in Houston was ranked number three.</w:t>
      </w:r>
    </w:p>
    <w:p>
      <w:pPr>
        <w:spacing w:after="0" w:line="164" w:lineRule="exact"/>
        <w:rPr>
          <w:sz w:val="20"/>
          <w:szCs w:val="20"/>
          <w:color w:val="auto"/>
        </w:rPr>
      </w:pPr>
    </w:p>
    <w:p>
      <w:pPr>
        <w:ind w:right="3439"/>
        <w:spacing w:after="0" w:line="252" w:lineRule="auto"/>
        <w:rPr>
          <w:sz w:val="20"/>
          <w:szCs w:val="20"/>
          <w:color w:val="auto"/>
        </w:rPr>
      </w:pPr>
      <w:r>
        <w:rPr>
          <w:rFonts w:ascii="Courier New" w:cs="Courier New" w:eastAsia="Courier New" w:hAnsi="Courier New"/>
          <w:sz w:val="14"/>
          <w:szCs w:val="14"/>
          <w:color w:val="auto"/>
        </w:rPr>
        <w:t>Operating margin at the broadcast division increased to 41 percent, from 37 percent in 1993. Excluding amortization of goodwill and intangibles, operating margins for</w:t>
      </w:r>
    </w:p>
    <w:p>
      <w:pPr>
        <w:sectPr>
          <w:pgSz w:w="11900" w:h="16838" w:orient="portrait"/>
          <w:cols w:equalWidth="0" w:num="1">
            <w:col w:w="10159"/>
          </w:cols>
          <w:pgMar w:left="300" w:top="285" w:right="1440" w:bottom="5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159"/>
          </w:cols>
          <w:pgMar w:left="300" w:top="285" w:right="1440" w:bottom="595" w:gutter="0" w:footer="0" w:header="0"/>
          <w:type w:val="continuous"/>
        </w:sectPr>
      </w:pPr>
    </w:p>
    <w:bookmarkStart w:id="47" w:name="page48"/>
    <w:bookmarkEnd w:id="47"/>
    <w:p>
      <w:pPr>
        <w:ind w:left="260"/>
        <w:spacing w:after="0"/>
        <w:rPr>
          <w:sz w:val="20"/>
          <w:szCs w:val="20"/>
          <w:color w:val="auto"/>
        </w:rPr>
      </w:pPr>
      <w:r>
        <w:rPr>
          <w:rFonts w:ascii="Courier New" w:cs="Courier New" w:eastAsia="Courier New" w:hAnsi="Courier New"/>
          <w:sz w:val="14"/>
          <w:szCs w:val="14"/>
          <w:color w:val="auto"/>
        </w:rPr>
        <w:t>42</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both"/>
        <w:ind w:right="3959"/>
        <w:spacing w:after="0" w:line="252" w:lineRule="auto"/>
        <w:rPr>
          <w:sz w:val="20"/>
          <w:szCs w:val="20"/>
          <w:color w:val="auto"/>
        </w:rPr>
      </w:pPr>
      <w:r>
        <w:rPr>
          <w:rFonts w:ascii="Courier New" w:cs="Courier New" w:eastAsia="Courier New" w:hAnsi="Courier New"/>
          <w:sz w:val="14"/>
          <w:szCs w:val="14"/>
          <w:color w:val="auto"/>
        </w:rPr>
        <w:t>1994 and 1993 were 44 percent and 37 percent, respectively. Increases in advertising, particularly political advertising, along with increases in network compensation accounted for most of the improvement in margins.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MAGAZINE DIVISION. Newsweek revenues in 1994 increased almost 2 percent due primarily to increased advertising revenues at the international editions. Advertising revenues rose 1 percent overall, with a 9 percent increase at the international editions offset partially by a 2 percent decrease at the domestic edition. Although the weakened dollar had a negative impact on overall operating results, the international editions had increases in both page volume and rates. The decrease at the domestic edition was due primarily to lower rates. Circulation revenues increased 2 percent, with better rates at both domestic and international editions offset partially by lower volumes. In 1994 the domestic edition published the same number of weekly issues (52) and published one additional special newsstand-only issue, compared with 1993. The international edition included 52 weekly issues in 1994, compared to 51 issues in 1993.</w:t>
      </w:r>
    </w:p>
    <w:p>
      <w:pPr>
        <w:spacing w:after="0" w:line="328"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At Newsweek the operating margin decreased slightly to 4 percent from 5 percent in 1993, due primarily to higher subscription acquisition costs and general operating expense offset partially by lower advertising costs.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CABLE DIVISION. Revenues at the cable division decreased 2 percent in 1994. However, the prior year included the operations in the United Kingdom that were sold in September 1993. Excluding these operations from 1993 results, revenues for the cable division remained essentially unchanged in 1994. The number of domestic basic subscribers increased 3 percent to 498,000, all of which were from internal growth. Increases in revenues from pay, pay-per-view, advertising, and other revenues were offset by reduced basic and tier revenue resulting from two rounds of industry reregulation. Rate reductions, effective under reregulation, went into effect on September 1, 1993, and again on July 14, 1994.</w:t>
      </w:r>
    </w:p>
    <w:p>
      <w:pPr>
        <w:spacing w:after="0" w:line="329"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Operating margin at the cable division was 23 percent, compared to almost 25 percent in 1993, excluding United Kingdom operations from 1993 results. Domestic cable cash flow decreased almost 3 percent to $83.6 million, from $85.9 million in 1993. Programming costs continued to increase due to the increased number of subscribers and continued license fee increases by programming suppliers.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OTHER BUSINESSES. In 1994 revenues from other businesses, including Kaplan Educational Centers (Kaplan), PASS Sports, Legi-Slate, Digital Ink, and Mammoth Micro Productions, increased 6 percent to $116.7 million, from $110.3 million in 1993, due principally to Kaplan, which experienced an 8 percent increase in revenues from pre-college and pre-graduate school courses.</w:t>
      </w:r>
    </w:p>
    <w:p>
      <w:pPr>
        <w:spacing w:after="0" w:line="164" w:lineRule="exact"/>
        <w:rPr>
          <w:sz w:val="20"/>
          <w:szCs w:val="20"/>
          <w:color w:val="auto"/>
        </w:rPr>
      </w:pPr>
    </w:p>
    <w:p>
      <w:pPr>
        <w:ind w:right="3439"/>
        <w:spacing w:after="0" w:line="251" w:lineRule="auto"/>
        <w:rPr>
          <w:sz w:val="20"/>
          <w:szCs w:val="20"/>
          <w:color w:val="auto"/>
        </w:rPr>
      </w:pPr>
      <w:r>
        <w:rPr>
          <w:rFonts w:ascii="Courier New" w:cs="Courier New" w:eastAsia="Courier New" w:hAnsi="Courier New"/>
          <w:sz w:val="14"/>
          <w:szCs w:val="14"/>
          <w:color w:val="auto"/>
        </w:rPr>
        <w:t>Other businesses recorded an operating loss in 1994 of $22.8 million, compared with a loss of $9.1 million in 1993. The increased losses were primarily attributable to American Personal Communications (APC), as well as the company's investments in the development of electronic technologies, including CD-ROM and computer on-line businesses.</w:t>
      </w:r>
    </w:p>
    <w:p>
      <w:pPr>
        <w:spacing w:after="0" w:line="164" w:lineRule="exact"/>
        <w:rPr>
          <w:sz w:val="20"/>
          <w:szCs w:val="20"/>
          <w:color w:val="auto"/>
        </w:rPr>
      </w:pPr>
    </w:p>
    <w:p>
      <w:pPr>
        <w:ind w:right="3439"/>
        <w:spacing w:after="0" w:line="252" w:lineRule="auto"/>
        <w:rPr>
          <w:sz w:val="20"/>
          <w:szCs w:val="20"/>
          <w:color w:val="auto"/>
        </w:rPr>
      </w:pPr>
      <w:r>
        <w:rPr>
          <w:rFonts w:ascii="Courier New" w:cs="Courier New" w:eastAsia="Courier New" w:hAnsi="Courier New"/>
          <w:sz w:val="14"/>
          <w:szCs w:val="14"/>
          <w:color w:val="auto"/>
        </w:rPr>
        <w:t>On January 9, 1995, the company sold substantially all of its interest in APC, retaining a 1.5 percent limited partnership interest. As a result of this transaction, the 1995 consolidated results of the company will not reflect operations of APC.</w:t>
      </w:r>
    </w:p>
    <w:p>
      <w:pPr>
        <w:spacing w:after="0" w:line="162"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EQUITY IN EARNINGS AND LOSSES OF AFFILIATES. The company's equity in earnings of affiliates for 1994 was $7.3 million, compared with a loss of $2.0 million in 1993. The improved results were primarily related to an $8.1 million after-tax gain from the sale of land at one of the company's newsprint affiliates.</w:t>
      </w:r>
    </w:p>
    <w:p>
      <w:pPr>
        <w:spacing w:after="0" w:line="32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NON-OPERATING ITEMS. Interest income, net of interest expense, was $3.6 million, compared with $6.1 million in 1993. The decrease was a result of lower invested cash balances partially offset by higher interest rates. Other income in 1994 was $1.1 million, compared with income of $20.4 million in 1993. In</w:t>
      </w:r>
    </w:p>
    <w:p>
      <w:pPr>
        <w:spacing w:after="0" w:line="2"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1993 other income included a $20.2 million gain on the sale of the company's cable franchises in the United Kingdom.</w:t>
      </w:r>
    </w:p>
    <w:p>
      <w:pPr>
        <w:spacing w:after="0" w:line="160"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INCOME TAXES. The effective tax rate in 1994 decreased to 40.9 percent, from 41.6 percent in 1993.</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OPERATIONS--1993 COMPARED TO 1992</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Net income in 1993 was $165.4 million, an increase of 29 percent over net income of $127.8 million in 1992. Earnings per share rose 30 percent to $14.08, from $10.80 in 1992. Earnings in 1993 included a one-time credit of $11.6 million ($.98 per share) related to the adoption of Statement of Financial Accounting Standards No. 109, "Accounting for Income Taxes" and an after-tax gain of $13.4 million ($1.14 per share) from the sale of the company's cable franchises in the United Kingdom. Excluding these two items, 1993 net income and earnings per share increased 10 percent and 11 percent, respectively.</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Revenues for 1993 totaled $1,498 million, an increase of 3 percent, from $1,451 million in 1992. Both advertising revenues and circulation and subscriber revenues rose 2 percent, while other revenues increased 18 percent. Full year revenues from businesses acquired at the end of 1992, principally PASS Sports, a regional sports cable network, contributed to the improvement in other revenues in 1993. Results for 1993 include 52 weeks at The Washington Post and The Herald newspapers; 1992 included 53 weeks.</w:t>
      </w:r>
    </w:p>
    <w:p>
      <w:pPr>
        <w:sectPr>
          <w:pgSz w:w="11900" w:h="16838" w:orient="portrait"/>
          <w:cols w:equalWidth="0" w:num="1">
            <w:col w:w="10159"/>
          </w:cols>
          <w:pgMar w:left="300" w:top="285" w:right="1440" w:bottom="255" w:gutter="0" w:footer="0" w:header="0"/>
        </w:sectPr>
      </w:pPr>
    </w:p>
    <w:bookmarkStart w:id="48" w:name="page49"/>
    <w:bookmarkEnd w:id="48"/>
    <w:p>
      <w:pPr>
        <w:ind w:left="222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9019"/>
          </w:cols>
          <w:pgMar w:left="1440" w:top="307"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4"/>
          <w:szCs w:val="14"/>
          <w:color w:val="auto"/>
        </w:rPr>
        <w:t>43</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Costs and expenses for the year increased 3 percent to $1,259 million, from</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$1,219 million in 1992. Approximately 40 percent of the total increase relates to additional expenses associated with businesses that were acquired at the end of 1992, while the remainder reflects normal increases in the costs of operations and the continued investment in personal communications services (PCS). Nonrecurring charges included in 1992 costs were expenses related to a restructuring at Kaplan and net costs associated with the termination of one of the health care plans at The Washington Post newspaper. In 1993 operating income rose to $239.0 million, a 3 percent increase over $232.1 million in 1992.</w:t>
      </w:r>
    </w:p>
    <w:p>
      <w:pPr>
        <w:spacing w:after="0" w:line="329"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NEWSPAPER DIVISION. Results at the newspaper division included 52 weeks in 1993, compared with 53 weeks in 1992, and also included full-year results at The Gazette Newspapers (formerly known as The Gaithersburg Gazette) in 1993, compared with ten months in 1992.</w:t>
      </w:r>
    </w:p>
    <w:p>
      <w:pPr>
        <w:spacing w:after="0" w:line="16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At the newspaper division, revenues increased 2 percent in 1993. Advertising revenue for the division rose 3 percent. At The Washington Post, advertising revenues increased 2 percent as rate increases more than offset a 1 percent decline in advertising inches. Retail inches at The Post decreased by less than 1 percent, and general volume was down 2 percent. Classified inches were 3 percent below 1992, primarily due to the continued softness in the Washington, D.C., real estate market. Preprint volume remained strong in 1993. Circulation revenues for the newspaper division decreased 1 percent, principally due to the inclusion of the 53rd week in 1992. For the 12-month period ended September 30, 1993, daily circulation at The Washington Post rose 1 percent, while Sunday circulation decreased almost 1 percent from 1992 levels, reflecting the introduction of several competing Sunday newspapers in the Washington, D.C., market. The Post maintained its share of the market with 51 percent penetration daily, while Sunday penetration declined to 66 percent.</w:t>
      </w:r>
    </w:p>
    <w:p>
      <w:pPr>
        <w:spacing w:after="0" w:line="171"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Newspaper division operating margin was 18 percent, unchanged from 1992. The previously mentioned increases in advertising revenues were offset by normal increases in payroll and fringe benefit costs. A slight increase in average newsprint prices accounted for the 3 percent rise in newsprint expense.</w:t>
      </w:r>
    </w:p>
    <w:p>
      <w:pPr>
        <w:spacing w:after="0" w:line="16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BROADCAST DIVISION. Revenues at the broadcast division increased 9 percent over 1992. National advertising revenues increased 10 percent during the year, while local advertising revenues rose 8 percent. These increases were primarily due to a surge in automobile advertising in 1993.</w:t>
      </w:r>
    </w:p>
    <w:p>
      <w:pPr>
        <w:spacing w:after="0" w:line="16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Viewership remained strong in all four markets in 1993. In the latest ratings period in 1993, all four television stations were ranked number one, sign-on to sign-off, in their markets.</w:t>
      </w:r>
    </w:p>
    <w:p>
      <w:pPr>
        <w:spacing w:after="0" w:line="16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Operating margin at the broadcast division increased to 37 percent, from 34 percent in 1992. Results in 1992 included the impact of Hurricane Andrew on WPLG in Miami and lower revenues from sports programming at WDIV in Detroit, which were partially offset by higher political advertising revenues.</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MAGAZINE DIVISION. Newsweek revenues in 1993 decreased 4 percent, principally due to an 8 percent decline in advertising revenues at both the domestic and international editions. Lower rates and fewer pages were responsible for the decrease. Circulation revenues increased 1 percent at Newsweek, with higher volume and rates at the international editions being the major contributors to the increase. In 1993 Newsweek Domestic published the same number of weekly issues as in 1992 (52), with two special newsstand issues in 1993, compared with one special issue in 1992. At Newsweek International 51 weekly issues were published in 1993, the same as in 1992.</w:t>
      </w:r>
    </w:p>
    <w:p>
      <w:pPr>
        <w:spacing w:after="0" w:line="16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At Newsweek the operating margin decreased to 5 percent, from 7 percent in 1992, principally as a result of the decrease in advertising revenues and certain costs related to the relocation of the New York City operations in 1994.</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CABLE DIVISION. Revenues at the cable division in 1993 increased 7 percent over 1992 (excluding the operations in the United Kingdom, which were sold in September 1993, revenues also increased 7 percent). The number of basic subscribers rose 4 percent, primarily due to the 10,000 subscribers acquired from Coast TV Cable, Inc., in Long Beach, Mississippi. Also affecting the change in division revenues were higher advertising revenues at the domestic systems, an approximately $3 million negative impact of rate reregulation, and the sale of the company's cable operations in the United Kingdom.</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Operating margin in 1993 remained flat at 22 percent, compared to 1992. Excluding the operations in the United Kingdom, 1993 operating margin was 25 percent, the same as in 1992. Domestic cable cash flow rose 5 percent to $85.9 million, from $82.0 million last year. Total costs at the domestic systems increased 9 percent, reflecting the continued rise in programming costs and the larger number of subscribers.</w:t>
      </w:r>
    </w:p>
    <w:p>
      <w:pPr>
        <w:spacing w:after="0" w:line="164" w:lineRule="exact"/>
        <w:rPr>
          <w:sz w:val="20"/>
          <w:szCs w:val="20"/>
          <w:color w:val="auto"/>
        </w:rPr>
      </w:pPr>
    </w:p>
    <w:p>
      <w:pPr>
        <w:ind w:right="3439"/>
        <w:spacing w:after="0" w:line="251" w:lineRule="auto"/>
        <w:rPr>
          <w:sz w:val="20"/>
          <w:szCs w:val="20"/>
          <w:color w:val="auto"/>
        </w:rPr>
      </w:pPr>
      <w:r>
        <w:rPr>
          <w:rFonts w:ascii="Courier New" w:cs="Courier New" w:eastAsia="Courier New" w:hAnsi="Courier New"/>
          <w:sz w:val="14"/>
          <w:szCs w:val="14"/>
          <w:color w:val="auto"/>
        </w:rPr>
        <w:t>OTHER BUSINESSES. In 1993 revenues from other businesses increased 23 percent. Revenues from PASS Sports, acquired at the end of 1992, were the major contributor to the increase. Revenues at Kaplan Educational Centers rose 3 percent over 1992, and enrollments increased 2 percent, principally in the lower priced courses.</w:t>
      </w:r>
    </w:p>
    <w:p>
      <w:pPr>
        <w:sectPr>
          <w:pgSz w:w="11900" w:h="16838" w:orient="portrait"/>
          <w:cols w:equalWidth="0" w:num="1">
            <w:col w:w="10159"/>
          </w:cols>
          <w:pgMar w:left="300" w:top="285" w:right="1440" w:bottom="9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159"/>
          </w:cols>
          <w:pgMar w:left="300" w:top="285" w:right="1440" w:bottom="99" w:gutter="0" w:footer="0" w:header="0"/>
          <w:type w:val="continuous"/>
        </w:sectPr>
      </w:pPr>
    </w:p>
    <w:bookmarkStart w:id="50" w:name="page51"/>
    <w:bookmarkEnd w:id="50"/>
    <w:p>
      <w:pPr>
        <w:ind w:left="260"/>
        <w:spacing w:after="0"/>
        <w:rPr>
          <w:sz w:val="20"/>
          <w:szCs w:val="20"/>
          <w:color w:val="auto"/>
        </w:rPr>
      </w:pPr>
      <w:r>
        <w:rPr>
          <w:rFonts w:ascii="Courier New" w:cs="Courier New" w:eastAsia="Courier New" w:hAnsi="Courier New"/>
          <w:sz w:val="14"/>
          <w:szCs w:val="14"/>
          <w:color w:val="auto"/>
        </w:rPr>
        <w:t>44</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other businesses recorded an operating loss of $9.1 million in 1993, compared with an operating loss of $6.1 million in 1992, principally due to the expansion of established businesses, the continuing investment in PCS, and lower operating results at Kaplan. This decline at Kaplan was a result of additional costs related to a change in its operating structure, implemented at the end of 1992.</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EQUITY IN EARNINGS AND LOSSES OF AFFILIATES. The company's equity in earning of affiliates for 1993 was a loss of $2.0 million, compared with a loss of $11.7 million in 1992. Better results at the company's newsprint affiliates, which included gains on the sale of land in 1993, contributed to the improvement.</w:t>
      </w:r>
    </w:p>
    <w:p>
      <w:pPr>
        <w:spacing w:after="0" w:line="162" w:lineRule="exact"/>
        <w:rPr>
          <w:sz w:val="20"/>
          <w:szCs w:val="20"/>
          <w:color w:val="auto"/>
        </w:rPr>
      </w:pPr>
    </w:p>
    <w:p>
      <w:pPr>
        <w:ind w:right="3339"/>
        <w:spacing w:after="0" w:line="253" w:lineRule="auto"/>
        <w:rPr>
          <w:sz w:val="20"/>
          <w:szCs w:val="20"/>
          <w:color w:val="auto"/>
        </w:rPr>
      </w:pPr>
      <w:r>
        <w:rPr>
          <w:rFonts w:ascii="Courier New" w:cs="Courier New" w:eastAsia="Courier New" w:hAnsi="Courier New"/>
          <w:sz w:val="14"/>
          <w:szCs w:val="14"/>
          <w:color w:val="auto"/>
        </w:rPr>
        <w:t>NON-OPERATING ITEMS. Interest income, net of interest expense, was $6.1 million in 1993, compared with $5.5 million in 1992. This increase was a result of higher invested cash balances, which were partially offset by lower interest rates.</w:t>
      </w:r>
    </w:p>
    <w:p>
      <w:pPr>
        <w:spacing w:after="0" w:line="326"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Other income in 1993 was $20.4 million, compared with other expense of $1.7 million in 1992. In 1993 other income included a $20.2 million gain on the sale of the company's cable franchises in the United Kingdom. In 1992 other expense included the recognition of unrealized losses on the company's forward foreign currency contracts, in addition to the costs associated with the disposition of certain plant, property, and equipment.</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INCOME TAXES. The effective tax rate decreased to 41.6 percent in 1993, from 43 percent in 1992, exclusive of the cumulative effect of the change in accounting principle. During 1993 the company adjusted the provision for income taxes to reflect the increase in the federal income tax rate, which was retroactive to the beginning of the year. Offsetting the rate increase was the lower effective rate for foreign taxes recorded on the sale of the company's cable operations in the United Kingdom.</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CONDITION: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RESOURCES AND LIQUIDITY</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During the period 1992 through 1994, the company spent approximately $646 million on purchases of additional plant, property, and equipment, the repurchase of Class B common stock, and investments in new businesses. With respect to the latter, in April 1994 the company acquired substantially all the assets of television stations KPRC-TV, the NBC affiliate in Houston, Texas, and KSAT-TV, the ABC affiliate in San Antonio, Texas, for approximately $253 million in cash. Additionally, in May 1994 the company acquired an 80 percent interest in Mammoth Micro Productions, a producer and publisher of multimedia CD-ROM titles, for approximately $23 million in cash. In September 1993 the company sold its cable franchises in the United Kingdom for approximately $65 million. At January 1, 1995, the company had $117 million in cash and cash equivalents, $25 million in marketable debt securities, and $50 million in long-term debt.</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During 1994 and 1993 the company repurchased 366,500 and 99,800 shares, respectively, of its Class B common stock at a cost of $86.7 million and $23.1 million, respectively. Sixty-three thousand of these shares were purchased from The Washington Post Company Profit Sharing Plan in 1993. As of the end of 1994, the company had repurchased approximately 885,000 shares of the one million shares authorized by the Board of Directors in May 1990. In addition, in January 1995 the Board of Directors authorized the company to repurchase an additional one million shares, primarily through block purchases. The annual dividend rate for 1995 was increased to $4.40 per share, from $4.20 per share in 1994.</w:t>
      </w:r>
    </w:p>
    <w:p>
      <w:pPr>
        <w:spacing w:after="0" w:line="329" w:lineRule="exact"/>
        <w:rPr>
          <w:sz w:val="20"/>
          <w:szCs w:val="20"/>
          <w:color w:val="auto"/>
        </w:rPr>
      </w:pPr>
    </w:p>
    <w:p>
      <w:pPr>
        <w:ind w:right="3439"/>
        <w:spacing w:after="0" w:line="251" w:lineRule="auto"/>
        <w:rPr>
          <w:sz w:val="20"/>
          <w:szCs w:val="20"/>
          <w:color w:val="auto"/>
        </w:rPr>
      </w:pPr>
      <w:r>
        <w:rPr>
          <w:rFonts w:ascii="Courier New" w:cs="Courier New" w:eastAsia="Courier New" w:hAnsi="Courier New"/>
          <w:sz w:val="14"/>
          <w:szCs w:val="14"/>
          <w:color w:val="auto"/>
        </w:rPr>
        <w:t>In January 1995 the company sold substantially all of its 70 percent limited partnership interest in American Personal Communications (APC) to its partner APC, Inc., and others, for approximately $33 million. The proceeds approximate the amounts The Washington Post Company had invested in the partnership since it was formed in August 1990.</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estimates that in 1995 it will spend approximately $100 million for plant and equipment, principally for the completion of various projects at the newspaper and magazine divisions and the continued development of electronic technologies in its new media businesses. In addition, the company continues to assess the need for construction of a new production facility at The Washington Post newspaper and anticipates making a decision in early 1995. The cost of such a facility, should the company decide to proceed, would be approximately $250 million over a three-year period, with $50 million to $75 million to be incurred in 1995. The company expects to fund all of these expenditures from cash flows from operations.</w:t>
      </w:r>
    </w:p>
    <w:p>
      <w:pPr>
        <w:spacing w:after="0" w:line="163" w:lineRule="exact"/>
        <w:rPr>
          <w:sz w:val="20"/>
          <w:szCs w:val="20"/>
          <w:color w:val="auto"/>
        </w:rPr>
      </w:pPr>
    </w:p>
    <w:p>
      <w:pPr>
        <w:ind w:right="3699"/>
        <w:spacing w:after="0" w:line="251" w:lineRule="auto"/>
        <w:rPr>
          <w:sz w:val="20"/>
          <w:szCs w:val="20"/>
          <w:color w:val="auto"/>
        </w:rPr>
      </w:pPr>
      <w:r>
        <w:rPr>
          <w:rFonts w:ascii="Courier New" w:cs="Courier New" w:eastAsia="Courier New" w:hAnsi="Courier New"/>
          <w:sz w:val="14"/>
          <w:szCs w:val="14"/>
          <w:color w:val="auto"/>
        </w:rPr>
        <w:t>As indicated previously, the newspaper division anticipates a significant increase in newsprint prices during 1995, which will impact its results significantly. As a result of the company's investments in newsprint paper mills, which are included in equity in income of affiliates, the company expects that a significant portion of the increased costs will be offset by increased profits at the newsprint affiliates.</w:t>
      </w:r>
    </w:p>
    <w:p>
      <w:pPr>
        <w:spacing w:after="0" w:line="164"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In management's opinion, the company will have ample liquidity to meet the various cash needs in 1995 as outlined above.</w:t>
      </w:r>
    </w:p>
    <w:p>
      <w:pPr>
        <w:sectPr>
          <w:pgSz w:w="11900" w:h="16838" w:orient="portrait"/>
          <w:cols w:equalWidth="0" w:num="1">
            <w:col w:w="10159"/>
          </w:cols>
          <w:pgMar w:left="300" w:top="285" w:right="1440" w:bottom="9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159"/>
          </w:cols>
          <w:pgMar w:left="300" w:top="285" w:right="1440" w:bottom="99" w:gutter="0" w:footer="0" w:header="0"/>
          <w:type w:val="continuous"/>
        </w:sectPr>
      </w:pPr>
    </w:p>
    <w:bookmarkStart w:id="51" w:name="page52"/>
    <w:bookmarkEnd w:id="51"/>
    <w:p>
      <w:pPr>
        <w:ind w:left="260"/>
        <w:spacing w:after="0"/>
        <w:rPr>
          <w:sz w:val="20"/>
          <w:szCs w:val="20"/>
          <w:color w:val="auto"/>
        </w:rPr>
      </w:pPr>
      <w:r>
        <w:rPr>
          <w:rFonts w:ascii="Courier New" w:cs="Courier New" w:eastAsia="Courier New" w:hAnsi="Courier New"/>
          <w:sz w:val="14"/>
          <w:szCs w:val="14"/>
          <w:color w:val="auto"/>
        </w:rPr>
        <w:t>45</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TEN-YEAR SUMMARY OF SELECTED</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HISTORICAL FINANCIAL DATA</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See Notes to Consolidated Financial Statements for the summary of significant accounting policies and additional information relative to the years 1992-1994.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(in thousands, except per share amounts)</w:t>
            </w:r>
          </w:p>
        </w:tc>
        <w:tc>
          <w:tcPr>
            <w:tcW w:w="19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1994</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5040" w:type="dxa"/>
            <w:vAlign w:val="bottom"/>
          </w:tcPr>
          <w:p>
            <w:pPr>
              <w:spacing w:after="0"/>
              <w:rPr>
                <w:sz w:val="20"/>
                <w:szCs w:val="20"/>
                <w:color w:val="auto"/>
              </w:rPr>
            </w:pPr>
            <w:r>
              <w:rPr>
                <w:rFonts w:ascii="Courier New" w:cs="Courier New" w:eastAsia="Courier New" w:hAnsi="Courier New"/>
                <w:sz w:val="14"/>
                <w:szCs w:val="14"/>
                <w:color w:val="auto"/>
              </w:rPr>
              <w:t>RESULTS OF OPERATIONS</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Operating revenues  . . . . . . . . . . . . . . . . .</w:t>
            </w:r>
          </w:p>
        </w:tc>
        <w:tc>
          <w:tcPr>
            <w:tcW w:w="13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$1,613,978</w:t>
            </w:r>
          </w:p>
        </w:tc>
        <w:tc>
          <w:tcPr>
            <w:tcW w:w="15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$1,498,191</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$1,450,867</w:t>
            </w: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Income from operations  . . . . . . . . . . . . . . .</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274,875</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238,980</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232,112</w:t>
            </w: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Income before cumulative effect of changes in</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accounting principle  . . . . . . . . . . . . . . .</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169,672</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153,817</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127,796</w:t>
            </w: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change in method of accounting</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for income taxes  . . . . . . . . . . . . . . . . .</w:t>
            </w:r>
          </w:p>
        </w:tc>
        <w:tc>
          <w:tcPr>
            <w:tcW w:w="30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11,600</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change in method of accounting for</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postretirement benefits other than pensions . . . .</w:t>
            </w:r>
          </w:p>
        </w:tc>
        <w:tc>
          <w:tcPr>
            <w:tcW w:w="30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14"/>
                <w:szCs w:val="14"/>
                <w:color w:val="auto"/>
              </w:rPr>
            </w:pPr>
          </w:p>
        </w:tc>
        <w:tc>
          <w:tcPr>
            <w:tcW w:w="13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Net income  . . . . . . . . . . . . . . . . . . . . .</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169,672</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165,417</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127,796</w:t>
            </w:r>
          </w:p>
        </w:tc>
      </w:tr>
      <w:tr>
        <w:trPr>
          <w:trHeight w:val="166"/>
        </w:trPr>
        <w:tc>
          <w:tcPr>
            <w:tcW w:w="5040" w:type="dxa"/>
            <w:vAlign w:val="bottom"/>
          </w:tcPr>
          <w:p>
            <w:pPr>
              <w:spacing w:after="0"/>
              <w:rPr>
                <w:sz w:val="14"/>
                <w:szCs w:val="14"/>
                <w:color w:val="auto"/>
              </w:rPr>
            </w:pPr>
          </w:p>
        </w:tc>
        <w:tc>
          <w:tcPr>
            <w:tcW w:w="13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PER SHARE AMOUNTS</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Earnings per share</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040" w:type="dxa"/>
            <w:vAlign w:val="bottom"/>
          </w:tcPr>
          <w:p>
            <w:pPr>
              <w:ind w:left="340"/>
              <w:spacing w:after="0"/>
              <w:rPr>
                <w:sz w:val="20"/>
                <w:szCs w:val="20"/>
                <w:color w:val="auto"/>
              </w:rPr>
            </w:pPr>
            <w:r>
              <w:rPr>
                <w:rFonts w:ascii="Courier New" w:cs="Courier New" w:eastAsia="Courier New" w:hAnsi="Courier New"/>
                <w:sz w:val="14"/>
                <w:szCs w:val="14"/>
                <w:color w:val="auto"/>
              </w:rPr>
              <w:t>Income before cumulative effect of changes in</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accounting principle  . . . . . . . . . . . . . .</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14.65</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13.10</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10.80</w:t>
            </w:r>
          </w:p>
        </w:tc>
      </w:tr>
      <w:tr>
        <w:trPr>
          <w:trHeight w:val="166"/>
        </w:trPr>
        <w:tc>
          <w:tcPr>
            <w:tcW w:w="5040" w:type="dxa"/>
            <w:vAlign w:val="bottom"/>
          </w:tcPr>
          <w:p>
            <w:pPr>
              <w:ind w:left="340"/>
              <w:spacing w:after="0"/>
              <w:rPr>
                <w:sz w:val="20"/>
                <w:szCs w:val="20"/>
                <w:color w:val="auto"/>
              </w:rPr>
            </w:pPr>
            <w:r>
              <w:rPr>
                <w:rFonts w:ascii="Courier New" w:cs="Courier New" w:eastAsia="Courier New" w:hAnsi="Courier New"/>
                <w:sz w:val="14"/>
                <w:szCs w:val="14"/>
                <w:color w:val="auto"/>
              </w:rPr>
              <w:t>Cumulative effect of change in method of</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accounting for income taxes . . . . . . . . . . .</w:t>
            </w:r>
          </w:p>
        </w:tc>
        <w:tc>
          <w:tcPr>
            <w:tcW w:w="30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0.98</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Cumulative effect of change in method of accounting</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for postretirement benefits other than pensions .</w:t>
            </w:r>
          </w:p>
        </w:tc>
        <w:tc>
          <w:tcPr>
            <w:tcW w:w="30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14"/>
                <w:szCs w:val="14"/>
                <w:color w:val="auto"/>
              </w:rPr>
            </w:pPr>
          </w:p>
        </w:tc>
        <w:tc>
          <w:tcPr>
            <w:tcW w:w="13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Net income  . . . . . . . . . . . . . . . . . . . .</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14.65</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14.08</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10.80</w:t>
            </w:r>
          </w:p>
        </w:tc>
      </w:tr>
      <w:tr>
        <w:trPr>
          <w:trHeight w:val="166"/>
        </w:trPr>
        <w:tc>
          <w:tcPr>
            <w:tcW w:w="5040" w:type="dxa"/>
            <w:vAlign w:val="bottom"/>
          </w:tcPr>
          <w:p>
            <w:pPr>
              <w:spacing w:after="0"/>
              <w:rPr>
                <w:sz w:val="14"/>
                <w:szCs w:val="14"/>
                <w:color w:val="auto"/>
              </w:rPr>
            </w:pPr>
          </w:p>
        </w:tc>
        <w:tc>
          <w:tcPr>
            <w:tcW w:w="13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Cash dividends  . . . . . . . . . . . . . . . . . . .</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4.20</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4.20</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4.20</w:t>
            </w:r>
          </w:p>
        </w:tc>
      </w:tr>
      <w:tr>
        <w:trPr>
          <w:trHeight w:val="166"/>
        </w:trPr>
        <w:tc>
          <w:tcPr>
            <w:tcW w:w="5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Shareholders' equity  . . . . . . . . . . . . . . . .</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99.32</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92.84</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84.17</w:t>
            </w:r>
          </w:p>
        </w:tc>
      </w:tr>
      <w:tr>
        <w:trPr>
          <w:trHeight w:val="331"/>
        </w:trPr>
        <w:tc>
          <w:tcPr>
            <w:tcW w:w="5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AVERAGE NUMBER OF SHARES OUTSTANDING  . . . . . . . . .</w:t>
            </w:r>
          </w:p>
        </w:tc>
        <w:tc>
          <w:tcPr>
            <w:tcW w:w="300" w:type="dxa"/>
            <w:vAlign w:val="bottom"/>
          </w:tcPr>
          <w:p>
            <w:pPr>
              <w:spacing w:after="0"/>
              <w:rPr>
                <w:sz w:val="24"/>
                <w:szCs w:val="2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11,582</w:t>
            </w:r>
          </w:p>
        </w:tc>
        <w:tc>
          <w:tcPr>
            <w:tcW w:w="380" w:type="dxa"/>
            <w:vAlign w:val="bottom"/>
          </w:tcPr>
          <w:p>
            <w:pPr>
              <w:spacing w:after="0"/>
              <w:rPr>
                <w:sz w:val="24"/>
                <w:szCs w:val="2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11,750</w:t>
            </w: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11,830</w:t>
            </w: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FINANCIAL POSITION</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5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Current assets  . . . . . . . . . . . . . . . . . . .</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375,879</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625,574</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524,975</w:t>
            </w:r>
          </w:p>
        </w:tc>
      </w:tr>
      <w:tr>
        <w:trPr>
          <w:trHeight w:val="166"/>
        </w:trPr>
        <w:tc>
          <w:tcPr>
            <w:tcW w:w="5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Working capital . . . . . . . . . . . . . . . . . . .</w:t>
            </w:r>
          </w:p>
        </w:tc>
        <w:tc>
          <w:tcPr>
            <w:tcW w:w="3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102,806</w:t>
            </w:r>
          </w:p>
        </w:tc>
        <w:tc>
          <w:tcPr>
            <w:tcW w:w="38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367,041</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242,627</w:t>
            </w:r>
          </w:p>
        </w:tc>
      </w:tr>
      <w:tr>
        <w:trPr>
          <w:trHeight w:val="166"/>
        </w:trPr>
        <w:tc>
          <w:tcPr>
            <w:tcW w:w="5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Property, plant, and equipment  . . . . . . . . . . .</w:t>
            </w:r>
          </w:p>
        </w:tc>
        <w:tc>
          <w:tcPr>
            <w:tcW w:w="3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411,396</w:t>
            </w:r>
          </w:p>
        </w:tc>
        <w:tc>
          <w:tcPr>
            <w:tcW w:w="38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363,718</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390,804</w:t>
            </w:r>
          </w:p>
        </w:tc>
      </w:tr>
      <w:tr>
        <w:trPr>
          <w:trHeight w:val="166"/>
        </w:trPr>
        <w:tc>
          <w:tcPr>
            <w:tcW w:w="5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Total assets  . . . . . . . . . . . . . . . . . . . .</w:t>
            </w:r>
          </w:p>
        </w:tc>
        <w:tc>
          <w:tcPr>
            <w:tcW w:w="3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1,696,868</w:t>
            </w:r>
          </w:p>
        </w:tc>
        <w:tc>
          <w:tcPr>
            <w:tcW w:w="38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1,622,504</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1,568,121</w:t>
            </w:r>
          </w:p>
        </w:tc>
      </w:tr>
      <w:tr>
        <w:trPr>
          <w:trHeight w:val="166"/>
        </w:trPr>
        <w:tc>
          <w:tcPr>
            <w:tcW w:w="5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Long-term debt  . . . . . . . . . . . . . . . . . . .</w:t>
            </w:r>
          </w:p>
        </w:tc>
        <w:tc>
          <w:tcPr>
            <w:tcW w:w="3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50,297</w:t>
            </w:r>
          </w:p>
        </w:tc>
        <w:tc>
          <w:tcPr>
            <w:tcW w:w="38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51,768</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51,842</w:t>
            </w:r>
          </w:p>
        </w:tc>
      </w:tr>
      <w:tr>
        <w:trPr>
          <w:trHeight w:val="166"/>
        </w:trPr>
        <w:tc>
          <w:tcPr>
            <w:tcW w:w="5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Shareholders' equity  . . . . . . . . . . . . . . . .</w:t>
            </w:r>
          </w:p>
        </w:tc>
        <w:tc>
          <w:tcPr>
            <w:tcW w:w="3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1,126,933</w:t>
            </w:r>
          </w:p>
        </w:tc>
        <w:tc>
          <w:tcPr>
            <w:tcW w:w="38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1,087,419</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993,005</w:t>
            </w:r>
          </w:p>
        </w:tc>
      </w:tr>
      <w:tr>
        <w:trPr>
          <w:trHeight w:val="662"/>
        </w:trPr>
        <w:tc>
          <w:tcPr>
            <w:tcW w:w="5040" w:type="dxa"/>
            <w:vAlign w:val="bottom"/>
          </w:tcPr>
          <w:p>
            <w:pPr>
              <w:jc w:val="right"/>
              <w:ind w:right="1688"/>
              <w:spacing w:after="0"/>
              <w:rPr>
                <w:sz w:val="20"/>
                <w:szCs w:val="20"/>
                <w:color w:val="auto"/>
              </w:rPr>
            </w:pPr>
            <w:r>
              <w:rPr>
                <w:rFonts w:ascii="Courier New" w:cs="Courier New" w:eastAsia="Courier New" w:hAnsi="Courier New"/>
                <w:sz w:val="14"/>
                <w:szCs w:val="14"/>
                <w:color w:val="auto"/>
              </w:rPr>
              <w:t>44</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159"/>
          </w:cols>
          <w:pgMar w:left="300" w:top="285"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4"/>
          <w:szCs w:val="14"/>
          <w:color w:val="auto"/>
        </w:rPr>
        <w:t>46</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tabs>
          <w:tab w:leader="none" w:pos="1360" w:val="left"/>
          <w:tab w:leader="none" w:pos="2480" w:val="left"/>
          <w:tab w:leader="none" w:pos="3520" w:val="left"/>
          <w:tab w:leader="none" w:pos="4460" w:val="left"/>
          <w:tab w:leader="none" w:pos="5500" w:val="left"/>
          <w:tab w:leader="none" w:pos="6620" w:val="left"/>
        </w:tabs>
        <w:rPr>
          <w:sz w:val="20"/>
          <w:szCs w:val="20"/>
          <w:color w:val="auto"/>
        </w:rPr>
      </w:pPr>
      <w:r>
        <w:rPr>
          <w:rFonts w:ascii="Courier New" w:cs="Courier New" w:eastAsia="Courier New" w:hAnsi="Courier New"/>
          <w:sz w:val="14"/>
          <w:szCs w:val="14"/>
          <w:color w:val="auto"/>
        </w:rPr>
        <w:t>1991</w:t>
      </w:r>
      <w:r>
        <w:rPr>
          <w:sz w:val="20"/>
          <w:szCs w:val="20"/>
          <w:color w:val="auto"/>
        </w:rPr>
        <w:tab/>
      </w:r>
      <w:r>
        <w:rPr>
          <w:rFonts w:ascii="Courier New" w:cs="Courier New" w:eastAsia="Courier New" w:hAnsi="Courier New"/>
          <w:sz w:val="14"/>
          <w:szCs w:val="14"/>
          <w:color w:val="auto"/>
        </w:rPr>
        <w:t>1990</w:t>
      </w:r>
      <w:r>
        <w:rPr>
          <w:sz w:val="20"/>
          <w:szCs w:val="20"/>
          <w:color w:val="auto"/>
        </w:rPr>
        <w:tab/>
      </w:r>
      <w:r>
        <w:rPr>
          <w:rFonts w:ascii="Courier New" w:cs="Courier New" w:eastAsia="Courier New" w:hAnsi="Courier New"/>
          <w:sz w:val="14"/>
          <w:szCs w:val="14"/>
          <w:color w:val="auto"/>
        </w:rPr>
        <w:t>1989</w:t>
      </w:r>
      <w:r>
        <w:rPr>
          <w:sz w:val="20"/>
          <w:szCs w:val="20"/>
          <w:color w:val="auto"/>
        </w:rPr>
        <w:tab/>
      </w:r>
      <w:r>
        <w:rPr>
          <w:rFonts w:ascii="Courier New" w:cs="Courier New" w:eastAsia="Courier New" w:hAnsi="Courier New"/>
          <w:sz w:val="14"/>
          <w:szCs w:val="14"/>
          <w:color w:val="auto"/>
        </w:rPr>
        <w:t>1988</w:t>
      </w:r>
      <w:r>
        <w:rPr>
          <w:sz w:val="20"/>
          <w:szCs w:val="20"/>
          <w:color w:val="auto"/>
        </w:rPr>
        <w:tab/>
      </w:r>
      <w:r>
        <w:rPr>
          <w:rFonts w:ascii="Courier New" w:cs="Courier New" w:eastAsia="Courier New" w:hAnsi="Courier New"/>
          <w:sz w:val="14"/>
          <w:szCs w:val="14"/>
          <w:color w:val="auto"/>
        </w:rPr>
        <w:t>1987</w:t>
      </w:r>
      <w:r>
        <w:rPr>
          <w:sz w:val="20"/>
          <w:szCs w:val="20"/>
          <w:color w:val="auto"/>
        </w:rPr>
        <w:tab/>
      </w:r>
      <w:r>
        <w:rPr>
          <w:rFonts w:ascii="Courier New" w:cs="Courier New" w:eastAsia="Courier New" w:hAnsi="Courier New"/>
          <w:sz w:val="14"/>
          <w:szCs w:val="14"/>
          <w:color w:val="auto"/>
        </w:rPr>
        <w:t>1986</w:t>
      </w:r>
      <w:r>
        <w:rPr>
          <w:sz w:val="20"/>
          <w:szCs w:val="20"/>
          <w:color w:val="auto"/>
        </w:rPr>
        <w:tab/>
      </w:r>
      <w:r>
        <w:rPr>
          <w:rFonts w:ascii="Courier New" w:cs="Courier New" w:eastAsia="Courier New" w:hAnsi="Courier New"/>
          <w:sz w:val="14"/>
          <w:szCs w:val="14"/>
          <w:color w:val="auto"/>
        </w:rPr>
        <w:t>1985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$1,380,261</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$1,438,640</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$1,444,094</w:t>
            </w:r>
          </w:p>
        </w:tc>
        <w:tc>
          <w:tcPr>
            <w:tcW w:w="11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$1,367,613</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$1,315,422</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$1,215,064</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$1,078,650</w:t>
            </w:r>
          </w:p>
        </w:tc>
      </w:tr>
      <w:tr>
        <w:trPr>
          <w:trHeight w:val="166"/>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192,866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281,768</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313,691</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233,290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257,073</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228,986</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204,186</w:t>
            </w:r>
          </w:p>
        </w:tc>
      </w:tr>
      <w:tr>
        <w:trPr>
          <w:trHeight w:val="331"/>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118,721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174,576</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197,893</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269,117</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186,743</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100,173</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114,261</w:t>
            </w:r>
          </w:p>
        </w:tc>
      </w:tr>
      <w:tr>
        <w:trPr>
          <w:trHeight w:val="331"/>
        </w:trPr>
        <w:tc>
          <w:tcPr>
            <w:tcW w:w="100" w:type="dxa"/>
            <w:vAlign w:val="bottom"/>
          </w:tcPr>
          <w:p>
            <w:pPr>
              <w:spacing w:after="0"/>
              <w:rPr>
                <w:sz w:val="24"/>
                <w:szCs w:val="2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0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(47,897)</w:t>
            </w:r>
          </w:p>
        </w:tc>
        <w:tc>
          <w:tcPr>
            <w:tcW w:w="18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70,824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174,576</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197,893</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269,117</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186,743</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100,173</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114,261</w:t>
            </w:r>
          </w:p>
        </w:tc>
      </w:tr>
      <w:tr>
        <w:trPr>
          <w:trHeight w:val="166"/>
        </w:trPr>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828"/>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14.45</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15.50</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20.91</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14.52</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7.80</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8.66</w:t>
            </w:r>
          </w:p>
        </w:tc>
      </w:tr>
      <w:tr>
        <w:trPr>
          <w:trHeight w:val="331"/>
        </w:trPr>
        <w:tc>
          <w:tcPr>
            <w:tcW w:w="100" w:type="dxa"/>
            <w:vAlign w:val="bottom"/>
          </w:tcPr>
          <w:p>
            <w:pPr>
              <w:spacing w:after="0"/>
              <w:rPr>
                <w:sz w:val="24"/>
                <w:szCs w:val="2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0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(4.04)</w:t>
            </w:r>
          </w:p>
        </w:tc>
        <w:tc>
          <w:tcPr>
            <w:tcW w:w="18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14.45</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15.50</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20.91</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14.52</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7.80</w:t>
            </w: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8.66</w:t>
            </w:r>
          </w:p>
        </w:tc>
      </w:tr>
      <w:tr>
        <w:trPr>
          <w:trHeight w:val="166"/>
        </w:trPr>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1.84</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1.56</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1.12</w:t>
            </w: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0.96</w:t>
            </w:r>
          </w:p>
        </w:tc>
      </w:tr>
      <w:tr>
        <w:trPr>
          <w:trHeight w:val="166"/>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78.12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76.31</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75.40</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67.50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47.80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34.04</w:t>
            </w: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27.26</w:t>
            </w:r>
          </w:p>
        </w:tc>
      </w:tr>
      <w:tr>
        <w:trPr>
          <w:trHeight w:val="331"/>
        </w:trPr>
        <w:tc>
          <w:tcPr>
            <w:tcW w:w="100" w:type="dxa"/>
            <w:vAlign w:val="bottom"/>
          </w:tcPr>
          <w:p>
            <w:pPr>
              <w:spacing w:after="0"/>
              <w:rPr>
                <w:sz w:val="24"/>
                <w:szCs w:val="2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11,876</w:t>
            </w:r>
          </w:p>
        </w:tc>
        <w:tc>
          <w:tcPr>
            <w:tcW w:w="18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12,081</w:t>
            </w:r>
          </w:p>
        </w:tc>
        <w:tc>
          <w:tcPr>
            <w:tcW w:w="16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12,768</w:t>
            </w:r>
          </w:p>
        </w:tc>
        <w:tc>
          <w:tcPr>
            <w:tcW w:w="30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12,873</w:t>
            </w:r>
          </w:p>
        </w:tc>
        <w:tc>
          <w:tcPr>
            <w:tcW w:w="16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12,861</w:t>
            </w:r>
          </w:p>
        </w:tc>
        <w:tc>
          <w:tcPr>
            <w:tcW w:w="16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12,842</w:t>
            </w: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13,194</w:t>
            </w:r>
          </w:p>
        </w:tc>
      </w:tr>
      <w:tr>
        <w:trPr>
          <w:trHeight w:val="331"/>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472,219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471,669</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553,188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493,736</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226,523</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219,422</w:t>
            </w: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359,174</w:t>
            </w:r>
          </w:p>
        </w:tc>
      </w:tr>
      <w:tr>
        <w:trPr>
          <w:trHeight w:val="166"/>
        </w:trPr>
        <w:tc>
          <w:tcPr>
            <w:tcW w:w="10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183,959</w:t>
            </w:r>
          </w:p>
        </w:tc>
        <w:tc>
          <w:tcPr>
            <w:tcW w:w="1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175,807</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283,118</w:t>
            </w:r>
          </w:p>
        </w:tc>
        <w:tc>
          <w:tcPr>
            <w:tcW w:w="3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235,698</w:t>
            </w:r>
          </w:p>
        </w:tc>
        <w:tc>
          <w:tcPr>
            <w:tcW w:w="1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(50,290)</w:t>
            </w:r>
          </w:p>
        </w:tc>
        <w:tc>
          <w:tcPr>
            <w:tcW w:w="1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(22,647)</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150,397</w:t>
            </w:r>
          </w:p>
        </w:tc>
      </w:tr>
      <w:tr>
        <w:trPr>
          <w:trHeight w:val="166"/>
        </w:trPr>
        <w:tc>
          <w:tcPr>
            <w:tcW w:w="10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390,313</w:t>
            </w:r>
          </w:p>
        </w:tc>
        <w:tc>
          <w:tcPr>
            <w:tcW w:w="1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394,979</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370,597</w:t>
            </w:r>
          </w:p>
        </w:tc>
        <w:tc>
          <w:tcPr>
            <w:tcW w:w="3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352,113</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371,080</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343,702</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219,310</w:t>
            </w:r>
          </w:p>
        </w:tc>
      </w:tr>
      <w:tr>
        <w:trPr>
          <w:trHeight w:val="166"/>
        </w:trPr>
        <w:tc>
          <w:tcPr>
            <w:tcW w:w="10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7"/>
              </w:rPr>
              <w:t>1,487,661</w:t>
            </w:r>
          </w:p>
        </w:tc>
        <w:tc>
          <w:tcPr>
            <w:tcW w:w="1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1,496,509</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1,532,211</w:t>
            </w:r>
          </w:p>
        </w:tc>
        <w:tc>
          <w:tcPr>
            <w:tcW w:w="3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1,422,267</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1,194,196</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1,145,227</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885,079</w:t>
            </w:r>
          </w:p>
        </w:tc>
      </w:tr>
      <w:tr>
        <w:trPr>
          <w:trHeight w:val="166"/>
        </w:trPr>
        <w:tc>
          <w:tcPr>
            <w:tcW w:w="10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51,915</w:t>
            </w:r>
          </w:p>
        </w:tc>
        <w:tc>
          <w:tcPr>
            <w:tcW w:w="1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126,988</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152,061</w:t>
            </w:r>
          </w:p>
        </w:tc>
        <w:tc>
          <w:tcPr>
            <w:tcW w:w="3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154,751</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155,791</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336,140</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222,392</w:t>
            </w:r>
          </w:p>
        </w:tc>
      </w:tr>
      <w:tr>
        <w:trPr>
          <w:trHeight w:val="166"/>
        </w:trPr>
        <w:tc>
          <w:tcPr>
            <w:tcW w:w="10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924,285</w:t>
            </w:r>
          </w:p>
        </w:tc>
        <w:tc>
          <w:tcPr>
            <w:tcW w:w="1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905,112</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941,522</w:t>
            </w:r>
          </w:p>
        </w:tc>
        <w:tc>
          <w:tcPr>
            <w:tcW w:w="3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868,240</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614,009</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436,590</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349,548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159"/>
          </w:cols>
          <w:pgMar w:left="300" w:top="285"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4"/>
          <w:szCs w:val="14"/>
          <w:color w:val="auto"/>
        </w:rPr>
        <w:t>47</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20" w:type="dxa"/>
            <w:vAlign w:val="bottom"/>
            <w:gridSpan w:val="2"/>
          </w:tcPr>
          <w:p>
            <w:pPr>
              <w:spacing w:after="0"/>
              <w:rPr>
                <w:sz w:val="20"/>
                <w:szCs w:val="20"/>
                <w:color w:val="auto"/>
              </w:rPr>
            </w:pPr>
            <w:r>
              <w:rPr>
                <w:rFonts w:ascii="Courier New" w:cs="Courier New" w:eastAsia="Courier New" w:hAnsi="Courier New"/>
                <w:sz w:val="14"/>
                <w:szCs w:val="14"/>
                <w:color w:val="auto"/>
              </w:rPr>
              <w:t>INDEX TO EXHIBITS</w:t>
            </w:r>
          </w:p>
        </w:tc>
      </w:tr>
      <w:tr>
        <w:trPr>
          <w:trHeight w:val="662"/>
        </w:trPr>
        <w:tc>
          <w:tcPr>
            <w:tcW w:w="70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60" w:type="dxa"/>
            <w:vAlign w:val="bottom"/>
          </w:tcPr>
          <w:p>
            <w:pPr>
              <w:ind w:left="40"/>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Certificate of</w:t>
            </w:r>
          </w:p>
        </w:tc>
        <w:tc>
          <w:tcPr>
            <w:tcW w:w="60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Incorporation of the Company as amended through May 12, 1988</w:t>
            </w:r>
          </w:p>
        </w:tc>
      </w:tr>
      <w:tr>
        <w:trPr>
          <w:trHeight w:val="166"/>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32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(incorporated by reference to Exhibit 3 to the Company's Current Report on</w:t>
            </w:r>
          </w:p>
        </w:tc>
      </w:tr>
      <w:tr>
        <w:trPr>
          <w:trHeight w:val="166"/>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Form 8-K dated</w:t>
            </w:r>
          </w:p>
        </w:tc>
        <w:tc>
          <w:tcPr>
            <w:tcW w:w="60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May 12, 1988).</w:t>
            </w:r>
          </w:p>
        </w:tc>
      </w:tr>
      <w:tr>
        <w:trPr>
          <w:trHeight w:val="331"/>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By-Laws of the</w:t>
            </w:r>
          </w:p>
        </w:tc>
        <w:tc>
          <w:tcPr>
            <w:tcW w:w="60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Company as amended through September 9, 1993 (incorporated</w:t>
            </w:r>
          </w:p>
        </w:tc>
      </w:tr>
      <w:tr>
        <w:trPr>
          <w:trHeight w:val="166"/>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32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by reference to Exhibit 3 to the Company's Quarterly Report on Form 10-Q</w:t>
            </w:r>
          </w:p>
        </w:tc>
      </w:tr>
      <w:tr>
        <w:trPr>
          <w:trHeight w:val="166"/>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32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for the quarter ended October 3, 1993).</w:t>
            </w:r>
          </w:p>
        </w:tc>
      </w:tr>
      <w:tr>
        <w:trPr>
          <w:trHeight w:val="331"/>
        </w:trPr>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32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In accordance with Item 601(b)(4)(iii)(A) of Regulation S-K, the Company</w:t>
            </w:r>
          </w:p>
        </w:tc>
      </w:tr>
      <w:tr>
        <w:trPr>
          <w:trHeight w:val="166"/>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hereby agrees to furnish to</w:t>
            </w:r>
          </w:p>
        </w:tc>
        <w:tc>
          <w:tcPr>
            <w:tcW w:w="4860" w:type="dxa"/>
            <w:vAlign w:val="bottom"/>
          </w:tcPr>
          <w:p>
            <w:pPr>
              <w:ind w:left="40"/>
              <w:spacing w:after="0"/>
              <w:rPr>
                <w:sz w:val="20"/>
                <w:szCs w:val="20"/>
                <w:color w:val="auto"/>
              </w:rPr>
            </w:pPr>
            <w:r>
              <w:rPr>
                <w:rFonts w:ascii="Courier New" w:cs="Courier New" w:eastAsia="Courier New" w:hAnsi="Courier New"/>
                <w:sz w:val="14"/>
                <w:szCs w:val="14"/>
                <w:color w:val="auto"/>
              </w:rPr>
              <w:t>the Securities and Exchange Commission upon</w:t>
            </w:r>
          </w:p>
        </w:tc>
      </w:tr>
      <w:tr>
        <w:trPr>
          <w:trHeight w:val="166"/>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request a copy</w:t>
            </w:r>
          </w:p>
        </w:tc>
        <w:tc>
          <w:tcPr>
            <w:tcW w:w="60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of any instrument defining the rights of holders of long-term</w:t>
            </w:r>
          </w:p>
        </w:tc>
      </w:tr>
      <w:tr>
        <w:trPr>
          <w:trHeight w:val="166"/>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32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debt of the Company or any subsidiary which is not required to be filed herewith</w:t>
            </w:r>
          </w:p>
        </w:tc>
      </w:tr>
      <w:tr>
        <w:trPr>
          <w:trHeight w:val="166"/>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because the total amount of</w:t>
            </w:r>
          </w:p>
        </w:tc>
        <w:tc>
          <w:tcPr>
            <w:tcW w:w="4860" w:type="dxa"/>
            <w:vAlign w:val="bottom"/>
          </w:tcPr>
          <w:p>
            <w:pPr>
              <w:ind w:left="40"/>
              <w:spacing w:after="0"/>
              <w:rPr>
                <w:sz w:val="20"/>
                <w:szCs w:val="20"/>
                <w:color w:val="auto"/>
              </w:rPr>
            </w:pPr>
            <w:r>
              <w:rPr>
                <w:rFonts w:ascii="Courier New" w:cs="Courier New" w:eastAsia="Courier New" w:hAnsi="Courier New"/>
                <w:sz w:val="14"/>
                <w:szCs w:val="14"/>
                <w:color w:val="auto"/>
              </w:rPr>
              <w:t>securities authorized thereunder does not exceed 10</w:t>
            </w:r>
          </w:p>
        </w:tc>
      </w:tr>
      <w:tr>
        <w:trPr>
          <w:trHeight w:val="166"/>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percent of the</w:t>
            </w:r>
          </w:p>
        </w:tc>
        <w:tc>
          <w:tcPr>
            <w:tcW w:w="60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total consolidated assets of the Company.</w:t>
            </w:r>
          </w:p>
        </w:tc>
      </w:tr>
      <w:tr>
        <w:trPr>
          <w:trHeight w:val="331"/>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The Washington</w:t>
            </w: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Post Company</w:t>
            </w:r>
          </w:p>
        </w:tc>
        <w:tc>
          <w:tcPr>
            <w:tcW w:w="4860" w:type="dxa"/>
            <w:vAlign w:val="bottom"/>
          </w:tcPr>
          <w:p>
            <w:pPr>
              <w:ind w:left="40"/>
              <w:spacing w:after="0"/>
              <w:rPr>
                <w:sz w:val="20"/>
                <w:szCs w:val="20"/>
                <w:color w:val="auto"/>
              </w:rPr>
            </w:pPr>
            <w:r>
              <w:rPr>
                <w:rFonts w:ascii="Courier New" w:cs="Courier New" w:eastAsia="Courier New" w:hAnsi="Courier New"/>
                <w:sz w:val="14"/>
                <w:szCs w:val="14"/>
                <w:color w:val="auto"/>
              </w:rPr>
              <w:t>Annual Incentive Compensation Plan (adopted January</w:t>
            </w:r>
          </w:p>
        </w:tc>
      </w:tr>
      <w:tr>
        <w:trPr>
          <w:trHeight w:val="166"/>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9, 1974) as amended through</w:t>
            </w:r>
          </w:p>
        </w:tc>
        <w:tc>
          <w:tcPr>
            <w:tcW w:w="4860" w:type="dxa"/>
            <w:vAlign w:val="bottom"/>
          </w:tcPr>
          <w:p>
            <w:pPr>
              <w:ind w:left="40"/>
              <w:spacing w:after="0"/>
              <w:rPr>
                <w:sz w:val="20"/>
                <w:szCs w:val="20"/>
                <w:color w:val="auto"/>
              </w:rPr>
            </w:pPr>
            <w:r>
              <w:rPr>
                <w:rFonts w:ascii="Courier New" w:cs="Courier New" w:eastAsia="Courier New" w:hAnsi="Courier New"/>
                <w:sz w:val="14"/>
                <w:szCs w:val="14"/>
                <w:color w:val="auto"/>
              </w:rPr>
              <w:t>January 4, 1982 (incorporated by reference to Exhibit</w:t>
            </w:r>
          </w:p>
        </w:tc>
      </w:tr>
      <w:tr>
        <w:trPr>
          <w:trHeight w:val="166"/>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32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10.10 to the Company's Annual Report on Form 10-K for the fiscal year ended</w:t>
            </w:r>
          </w:p>
        </w:tc>
      </w:tr>
      <w:tr>
        <w:trPr>
          <w:trHeight w:val="166"/>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January 3, 1982).*</w:t>
            </w:r>
          </w:p>
        </w:tc>
        <w:tc>
          <w:tcPr>
            <w:tcW w:w="4860" w:type="dxa"/>
            <w:vAlign w:val="bottom"/>
          </w:tcPr>
          <w:p>
            <w:pPr>
              <w:spacing w:after="0"/>
              <w:rPr>
                <w:sz w:val="14"/>
                <w:szCs w:val="14"/>
                <w:color w:val="auto"/>
              </w:rPr>
            </w:pPr>
          </w:p>
        </w:tc>
      </w:tr>
      <w:tr>
        <w:trPr>
          <w:trHeight w:val="331"/>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The Washington</w:t>
            </w: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Post Company</w:t>
            </w:r>
          </w:p>
        </w:tc>
        <w:tc>
          <w:tcPr>
            <w:tcW w:w="4860" w:type="dxa"/>
            <w:vAlign w:val="bottom"/>
          </w:tcPr>
          <w:p>
            <w:pPr>
              <w:ind w:left="40"/>
              <w:spacing w:after="0"/>
              <w:rPr>
                <w:sz w:val="20"/>
                <w:szCs w:val="20"/>
                <w:color w:val="auto"/>
              </w:rPr>
            </w:pPr>
            <w:r>
              <w:rPr>
                <w:rFonts w:ascii="Courier New" w:cs="Courier New" w:eastAsia="Courier New" w:hAnsi="Courier New"/>
                <w:sz w:val="14"/>
                <w:szCs w:val="14"/>
                <w:color w:val="auto"/>
              </w:rPr>
              <w:t>Long-Term Incentive Compensation Plan (adopted</w:t>
            </w:r>
          </w:p>
        </w:tc>
      </w:tr>
      <w:tr>
        <w:trPr>
          <w:trHeight w:val="166"/>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32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December 11, 1981) as amended through March 13, 1992 (incorporated by reference</w:t>
            </w:r>
          </w:p>
        </w:tc>
      </w:tr>
      <w:tr>
        <w:trPr>
          <w:trHeight w:val="166"/>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32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to Exhibit 10.2 to the Company's Annual Report on Form 10-K for the fiscal year</w:t>
            </w:r>
          </w:p>
        </w:tc>
      </w:tr>
      <w:tr>
        <w:trPr>
          <w:trHeight w:val="166"/>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ended December</w:t>
            </w: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29, 1991).*</w:t>
            </w:r>
          </w:p>
        </w:tc>
        <w:tc>
          <w:tcPr>
            <w:tcW w:w="4860" w:type="dxa"/>
            <w:vAlign w:val="bottom"/>
          </w:tcPr>
          <w:p>
            <w:pPr>
              <w:spacing w:after="0"/>
              <w:rPr>
                <w:sz w:val="14"/>
                <w:szCs w:val="14"/>
                <w:color w:val="auto"/>
              </w:rPr>
            </w:pPr>
          </w:p>
        </w:tc>
      </w:tr>
      <w:tr>
        <w:trPr>
          <w:trHeight w:val="331"/>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10.3</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The Washington</w:t>
            </w: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Post Company</w:t>
            </w:r>
          </w:p>
        </w:tc>
        <w:tc>
          <w:tcPr>
            <w:tcW w:w="4860" w:type="dxa"/>
            <w:vAlign w:val="bottom"/>
          </w:tcPr>
          <w:p>
            <w:pPr>
              <w:ind w:left="40"/>
              <w:spacing w:after="0"/>
              <w:rPr>
                <w:sz w:val="20"/>
                <w:szCs w:val="20"/>
                <w:color w:val="auto"/>
              </w:rPr>
            </w:pPr>
            <w:r>
              <w:rPr>
                <w:rFonts w:ascii="Courier New" w:cs="Courier New" w:eastAsia="Courier New" w:hAnsi="Courier New"/>
                <w:sz w:val="14"/>
                <w:szCs w:val="14"/>
                <w:color w:val="auto"/>
              </w:rPr>
              <w:t>Stock Option Plan as amended and restated through</w:t>
            </w:r>
          </w:p>
        </w:tc>
      </w:tr>
      <w:tr>
        <w:trPr>
          <w:trHeight w:val="166"/>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32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May 13, 1993 (incorporated by reference to Exhibit 10 to the Company's Quarterly</w:t>
            </w:r>
          </w:p>
        </w:tc>
      </w:tr>
      <w:tr>
        <w:trPr>
          <w:trHeight w:val="166"/>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Report on Form</w:t>
            </w: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10-Q for the</w:t>
            </w:r>
          </w:p>
        </w:tc>
        <w:tc>
          <w:tcPr>
            <w:tcW w:w="4860" w:type="dxa"/>
            <w:vAlign w:val="bottom"/>
          </w:tcPr>
          <w:p>
            <w:pPr>
              <w:ind w:left="40"/>
              <w:spacing w:after="0"/>
              <w:rPr>
                <w:sz w:val="20"/>
                <w:szCs w:val="20"/>
                <w:color w:val="auto"/>
              </w:rPr>
            </w:pPr>
            <w:r>
              <w:rPr>
                <w:rFonts w:ascii="Courier New" w:cs="Courier New" w:eastAsia="Courier New" w:hAnsi="Courier New"/>
                <w:sz w:val="14"/>
                <w:szCs w:val="14"/>
                <w:color w:val="auto"/>
              </w:rPr>
              <w:t>quarter ended April 4, 1993).*</w:t>
            </w:r>
          </w:p>
        </w:tc>
      </w:tr>
      <w:tr>
        <w:trPr>
          <w:trHeight w:val="331"/>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10.4</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The Washington</w:t>
            </w: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Post Company</w:t>
            </w:r>
          </w:p>
        </w:tc>
        <w:tc>
          <w:tcPr>
            <w:tcW w:w="4860" w:type="dxa"/>
            <w:vAlign w:val="bottom"/>
          </w:tcPr>
          <w:p>
            <w:pPr>
              <w:ind w:left="40"/>
              <w:spacing w:after="0"/>
              <w:rPr>
                <w:sz w:val="20"/>
                <w:szCs w:val="20"/>
                <w:color w:val="auto"/>
              </w:rPr>
            </w:pPr>
            <w:r>
              <w:rPr>
                <w:rFonts w:ascii="Courier New" w:cs="Courier New" w:eastAsia="Courier New" w:hAnsi="Courier New"/>
                <w:sz w:val="14"/>
                <w:szCs w:val="14"/>
                <w:color w:val="auto"/>
              </w:rPr>
              <w:t>Supplemental Executive Retirement Plan as amended and</w:t>
            </w:r>
          </w:p>
        </w:tc>
      </w:tr>
      <w:tr>
        <w:trPr>
          <w:trHeight w:val="166"/>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restated effective December</w:t>
            </w:r>
          </w:p>
        </w:tc>
        <w:tc>
          <w:tcPr>
            <w:tcW w:w="4860" w:type="dxa"/>
            <w:vAlign w:val="bottom"/>
          </w:tcPr>
          <w:p>
            <w:pPr>
              <w:ind w:left="40"/>
              <w:spacing w:after="0"/>
              <w:rPr>
                <w:sz w:val="20"/>
                <w:szCs w:val="20"/>
                <w:color w:val="auto"/>
              </w:rPr>
            </w:pPr>
            <w:r>
              <w:rPr>
                <w:rFonts w:ascii="Courier New" w:cs="Courier New" w:eastAsia="Courier New" w:hAnsi="Courier New"/>
                <w:sz w:val="14"/>
                <w:szCs w:val="14"/>
                <w:color w:val="auto"/>
              </w:rPr>
              <w:t>31, 1993 (incorporated by reference to Exhibit 10.4</w:t>
            </w:r>
          </w:p>
        </w:tc>
      </w:tr>
      <w:tr>
        <w:trPr>
          <w:trHeight w:val="166"/>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32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to Company's Annual Report on Form 10-K for the fiscal year ended January 2, 1994).*</w:t>
            </w:r>
          </w:p>
        </w:tc>
      </w:tr>
      <w:tr>
        <w:trPr>
          <w:trHeight w:val="331"/>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10.5</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32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Letter Agreement between the Company and Richard D. Simmons dated May 9, 1991,</w:t>
            </w:r>
          </w:p>
        </w:tc>
      </w:tr>
      <w:tr>
        <w:trPr>
          <w:trHeight w:val="166"/>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32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and the amendment thereto dated June 30, 1994.*</w:t>
            </w:r>
          </w:p>
        </w:tc>
      </w:tr>
    </w:tbl>
    <w:p>
      <w:pPr>
        <w:spacing w:after="0" w:line="170" w:lineRule="exact"/>
        <w:rPr>
          <w:sz w:val="20"/>
          <w:szCs w:val="20"/>
          <w:color w:val="auto"/>
        </w:rPr>
      </w:pPr>
    </w:p>
    <w:p>
      <w:pPr>
        <w:ind w:left="1040" w:hanging="515"/>
        <w:spacing w:after="0"/>
        <w:tabs>
          <w:tab w:leader="none" w:pos="10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Calculation of earnings per share of common stock.</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List of subsidiaries of the Company.</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Consent of independent accountants.</w:t>
      </w:r>
    </w:p>
    <w:p>
      <w:pPr>
        <w:spacing w:after="0" w:line="173" w:lineRule="exact"/>
        <w:rPr>
          <w:sz w:val="20"/>
          <w:szCs w:val="20"/>
          <w:color w:val="auto"/>
        </w:rPr>
      </w:pPr>
    </w:p>
    <w:p>
      <w:pPr>
        <w:ind w:left="1480" w:right="2139" w:hanging="955"/>
        <w:spacing w:after="0" w:line="252" w:lineRule="auto"/>
        <w:tabs>
          <w:tab w:leader="none" w:pos="1049"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Power of attorney dated March 10, 1994 (incorporated by reference to Exhibit 24 to the Company's Annual Report on Form 10-K for the fiscal year ended January 2, 1994).</w:t>
      </w:r>
    </w:p>
    <w:p>
      <w:pPr>
        <w:spacing w:after="0" w:line="163" w:lineRule="exact"/>
        <w:rPr>
          <w:sz w:val="20"/>
          <w:szCs w:val="20"/>
          <w:color w:val="auto"/>
        </w:rPr>
      </w:pPr>
    </w:p>
    <w:p>
      <w:pPr>
        <w:ind w:left="520"/>
        <w:spacing w:after="0"/>
        <w:tabs>
          <w:tab w:leader="none" w:pos="1020" w:val="left"/>
          <w:tab w:leader="none" w:pos="1460" w:val="left"/>
        </w:tabs>
        <w:rPr>
          <w:sz w:val="20"/>
          <w:szCs w:val="20"/>
          <w:color w:val="auto"/>
        </w:rPr>
      </w:pPr>
      <w:r>
        <w:rPr>
          <w:rFonts w:ascii="Courier New" w:cs="Courier New" w:eastAsia="Courier New" w:hAnsi="Courier New"/>
          <w:sz w:val="14"/>
          <w:szCs w:val="14"/>
          <w:color w:val="auto"/>
        </w:rPr>
        <w:t>27</w:t>
      </w:r>
      <w:r>
        <w:rPr>
          <w:sz w:val="20"/>
          <w:szCs w:val="20"/>
          <w:color w:val="auto"/>
        </w:rPr>
        <w:tab/>
      </w:r>
      <w:r>
        <w:rPr>
          <w:rFonts w:ascii="Courier New" w:cs="Courier New" w:eastAsia="Courier New" w:hAnsi="Courier New"/>
          <w:sz w:val="14"/>
          <w:szCs w:val="14"/>
          <w:color w:val="auto"/>
        </w:rPr>
        <w:t>---</w:t>
        <w:tab/>
        <w:t>Financial Data Schedule.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699" w:firstLine="353"/>
        <w:spacing w:after="0" w:line="255" w:lineRule="auto"/>
        <w:tabs>
          <w:tab w:leader="none" w:pos="517"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management contract or compensatory plan or arrangement required to be included as an exhibit hereto pursuant to Item 14(c) of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159"/>
          </w:cols>
          <w:pgMar w:left="300" w:top="285"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4"/>
          <w:szCs w:val="14"/>
          <w:color w:val="auto"/>
        </w:rPr>
        <w:t>EXHIBIT 10.5</w:t>
      </w:r>
    </w:p>
    <w:p>
      <w:pPr>
        <w:spacing w:after="0" w:line="33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[Letterhead of The Washington Post Company]</w:t>
      </w:r>
    </w:p>
    <w:p>
      <w:pPr>
        <w:spacing w:after="0" w:line="338"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4"/>
          <w:szCs w:val="14"/>
          <w:color w:val="auto"/>
        </w:rPr>
        <w:t>May 9, 1991</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D. Simmons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Box 242</w:t>
      </w:r>
    </w:p>
    <w:p>
      <w:pPr>
        <w:spacing w:after="0" w:line="7"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4"/>
          <w:szCs w:val="14"/>
          <w:color w:val="auto"/>
        </w:rPr>
        <w:t>Sperryville, Virginia</w:t>
        <w:tab/>
        <w:t>22740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Dick:</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In view of your belief that the time has come to hand over the reins of The Washington Post Company to a new generation, you have expressed your desire to step down as President of the Company on May 9, 1991, and to resign effective June 30, 1991. During your ten years with the Company you have accomplished much and contributed significantly to the success of the Company. Fortunately for the Company, you have agreed on a consulting basis to provide your management skills, leadership and advice on business matters affecting the Company and to assist in managing the International Herald Tribune, S.A., in which the Company has a 50% ownership interest. This letter is intended to express our agreement with respect to your resignation and related matters.</w:t>
      </w:r>
    </w:p>
    <w:p>
      <w:pPr>
        <w:spacing w:after="0" w:line="163" w:lineRule="exact"/>
        <w:rPr>
          <w:sz w:val="20"/>
          <w:szCs w:val="20"/>
          <w:color w:val="auto"/>
        </w:rPr>
      </w:pPr>
    </w:p>
    <w:p>
      <w:pPr>
        <w:ind w:right="3339" w:firstLine="697"/>
        <w:spacing w:after="0" w:line="255" w:lineRule="auto"/>
        <w:tabs>
          <w:tab w:leader="none" w:pos="1033"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June 30, 1991, the effective date of your resignation, you shall cease to be an employee of the Company.</w:t>
      </w:r>
    </w:p>
    <w:p>
      <w:pPr>
        <w:spacing w:after="0" w:line="159" w:lineRule="exact"/>
        <w:rPr>
          <w:rFonts w:ascii="Courier New" w:cs="Courier New" w:eastAsia="Courier New" w:hAnsi="Courier New"/>
          <w:sz w:val="14"/>
          <w:szCs w:val="14"/>
          <w:color w:val="auto"/>
        </w:rPr>
      </w:pPr>
    </w:p>
    <w:p>
      <w:pPr>
        <w:ind w:right="3339" w:firstLine="697"/>
        <w:spacing w:after="0" w:line="250" w:lineRule="auto"/>
        <w:tabs>
          <w:tab w:leader="none" w:pos="1033"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 period of three years commencing July 1, 1991, and ending June 30, 1994, you have agreed (i) to consult and advise on business matters affecting the Company and (ii) to assist in managing the Company's interest in the International Herald Tribune, S.A., including being the person designated by the Company to hold the office of President and directeur de la publication, as provided in the Shareholders' Agreement dated as of April 26, 1991, among the Company, The New York Times Company and I.H.T. Corporation. As consideration for providing such consulting services and assistance, the Company will pay you a fee of $300,000 a year, to be paid in equal quarterly installments of $75,000 each, payable at the beginning of each quarter. For purposes of tax withholding and reporting, such fee shall be deemed to be compensation. In no event, however, shall you be entitled to any benefits generally afforded employees of the Company. In addition the Company will provide you with office space and secretarial services as needed and will reimburse you upon submission of appropriate documentation for all reasonable travel and entertainment expenses incurred in providing such consulting services.</w:t>
      </w:r>
    </w:p>
    <w:p>
      <w:pPr>
        <w:spacing w:after="0" w:line="337" w:lineRule="exact"/>
        <w:rPr>
          <w:rFonts w:ascii="Courier New" w:cs="Courier New" w:eastAsia="Courier New" w:hAnsi="Courier New"/>
          <w:sz w:val="14"/>
          <w:szCs w:val="14"/>
          <w:color w:val="auto"/>
        </w:rPr>
      </w:pPr>
    </w:p>
    <w:p>
      <w:pPr>
        <w:ind w:right="3339" w:firstLine="697"/>
        <w:spacing w:after="0" w:line="252" w:lineRule="auto"/>
        <w:tabs>
          <w:tab w:leader="none" w:pos="1033"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Ownership of the 458 restricted shares of Class B Common Stock of the Company ("Stock") awarded to you in January 1991 under the Long-Term Incentive Compensation Plan of the Company (the "Plan") will revert to the Company</w:t>
      </w:r>
    </w:p>
    <w:p>
      <w:pPr>
        <w:sectPr>
          <w:pgSz w:w="11900" w:h="16838" w:orient="portrait"/>
          <w:cols w:equalWidth="0" w:num="1">
            <w:col w:w="10159"/>
          </w:cols>
          <w:pgMar w:left="300" w:top="141"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D. Simmons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9, 1991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w:t>
      </w:r>
    </w:p>
    <w:p>
      <w:pPr>
        <w:spacing w:after="0" w:line="200" w:lineRule="exact"/>
        <w:rPr>
          <w:sz w:val="20"/>
          <w:szCs w:val="20"/>
          <w:color w:val="auto"/>
        </w:rPr>
      </w:pPr>
    </w:p>
    <w:p>
      <w:pPr>
        <w:spacing w:after="0" w:line="304"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on June 30, 1991. The restrictions on 273 (30/48ths of 436) Shares awarded to you under the Plan in January 1989 will terminate upon your resignation in accordance with the terms of the Plan and ownership of the remaining 163 Shares will revert to the Company.</w:t>
      </w:r>
    </w:p>
    <w:p>
      <w:pPr>
        <w:spacing w:after="0" w:line="162" w:lineRule="exact"/>
        <w:rPr>
          <w:sz w:val="20"/>
          <w:szCs w:val="20"/>
          <w:color w:val="auto"/>
        </w:rPr>
      </w:pPr>
    </w:p>
    <w:p>
      <w:pPr>
        <w:ind w:right="3339" w:firstLine="697"/>
        <w:spacing w:after="0" w:line="251" w:lineRule="auto"/>
        <w:tabs>
          <w:tab w:leader="none" w:pos="1119"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4,494 Performance Units awarded to you in January 1991 under the Plan, such Units will be effectively extinguished upon your resignation. However, with respect to 4,176 Performance Units awarded to you under the Plan in January 1989, the value of those Performance Units multiplied by 30/48 less any applicable deductions will be paid to you as soon as practicable after determination of the Payout Value for such Units (i.e., 90-120 days after the end of the Company's fiscal year 1992).</w:t>
      </w:r>
    </w:p>
    <w:p>
      <w:pPr>
        <w:spacing w:after="0" w:line="163" w:lineRule="exact"/>
        <w:rPr>
          <w:rFonts w:ascii="Courier New" w:cs="Courier New" w:eastAsia="Courier New" w:hAnsi="Courier New"/>
          <w:sz w:val="14"/>
          <w:szCs w:val="14"/>
          <w:color w:val="auto"/>
        </w:rPr>
      </w:pPr>
    </w:p>
    <w:p>
      <w:pPr>
        <w:ind w:right="3339" w:firstLine="697"/>
        <w:spacing w:after="0" w:line="251" w:lineRule="auto"/>
        <w:tabs>
          <w:tab w:leader="none" w:pos="1119"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an annual incentive award would have been payable to you under the Company's Annual Incentive Compensation Plan had you remained an employee through December 31, 1991, a pro rata portion (6/12ths) of that award will be paid to you as soon as practicable after determination (i.e., February 1992) of the amount of such award based on the Company's financial performance for 1991.</w:t>
      </w:r>
    </w:p>
    <w:p>
      <w:pPr>
        <w:spacing w:after="0" w:line="164" w:lineRule="exact"/>
        <w:rPr>
          <w:sz w:val="20"/>
          <w:szCs w:val="20"/>
          <w:color w:val="auto"/>
        </w:rPr>
      </w:pPr>
    </w:p>
    <w:p>
      <w:pPr>
        <w:ind w:right="3339" w:firstLine="697"/>
        <w:spacing w:after="0" w:line="251" w:lineRule="auto"/>
        <w:tabs>
          <w:tab w:leader="none" w:pos="1033"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Except as provided herein, during the term of this consulting agreement, you shall refrain from directly or indirectly engaging in any activity which may be deemed competitive with, or rendering any services in any capacity to or on behalf of any person, firm or corporation directly or indirectly engaged in any business then conducted by the Company or any of its subsidiaries or affiliates. At no time, whether before or after June 30, 1991, shall you knowingly or intentionally take any action detrimental to the best interests of the Company, its subsidiaries or affiliates, including but not limited to disclosures to third parties of information confidential to the Company, its subsidiaries and affiliates.</w:t>
      </w:r>
    </w:p>
    <w:p>
      <w:pPr>
        <w:spacing w:after="0" w:line="163" w:lineRule="exact"/>
        <w:rPr>
          <w:sz w:val="20"/>
          <w:szCs w:val="20"/>
          <w:color w:val="auto"/>
        </w:rPr>
      </w:pPr>
    </w:p>
    <w:p>
      <w:pPr>
        <w:ind w:right="3339" w:firstLine="697"/>
        <w:spacing w:after="0" w:line="252" w:lineRule="auto"/>
        <w:tabs>
          <w:tab w:leader="none" w:pos="1119"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obligations of the Company hereunder are expressly conditioned on your full and faithful performance of your agreement contained in paragraph 4 (a) above.</w:t>
      </w:r>
    </w:p>
    <w:p>
      <w:pPr>
        <w:spacing w:after="0" w:line="163" w:lineRule="exact"/>
        <w:rPr>
          <w:sz w:val="20"/>
          <w:szCs w:val="20"/>
          <w:color w:val="auto"/>
        </w:rPr>
      </w:pPr>
    </w:p>
    <w:p>
      <w:pPr>
        <w:ind w:right="3339" w:firstLine="697"/>
        <w:spacing w:after="0" w:line="251" w:lineRule="auto"/>
        <w:tabs>
          <w:tab w:leader="none" w:pos="1033"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consideration of the undertakings contained in paragraph 4(a) above, the Company will (i) continue to credit all amounts credited to the Deferred Account established pursuant to your original employment agreement with the Company dated August 31, 1981, with interest in the same manner as is currently being done until the earlier of June 30, 1994, or your death, with the payout of such Deferred Account to be done in ten equal annual installments adjusted proportionately to commence on July 15, 1994, and (ii) subject to both Board of Directors' approval and Class A shareholder approval of an amendment to the Company's Stock Option Plan, extend the periods for exercising (A) the non-qualified stock option to acquire</w:t>
      </w:r>
    </w:p>
    <w:p>
      <w:pPr>
        <w:sectPr>
          <w:pgSz w:w="11900" w:h="16838" w:orient="portrait"/>
          <w:cols w:equalWidth="0" w:num="1">
            <w:col w:w="10159"/>
          </w:cols>
          <w:pgMar w:left="300" w:top="285"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4"/>
          <w:szCs w:val="14"/>
          <w:color w:val="auto"/>
        </w:rPr>
        <w:t>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D. Simmons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9, 1991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3</w:t>
      </w:r>
    </w:p>
    <w:p>
      <w:pPr>
        <w:spacing w:after="0" w:line="200" w:lineRule="exact"/>
        <w:rPr>
          <w:sz w:val="20"/>
          <w:szCs w:val="20"/>
          <w:color w:val="auto"/>
        </w:rPr>
      </w:pPr>
    </w:p>
    <w:p>
      <w:pPr>
        <w:spacing w:after="0" w:line="304"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5,000 Shares granted on December 13, 1988 and (B) the non-qualified stock option to acquire 5,000 shares granted on December 12, 1989, to December 13, 1998 and December 12, 1999, respectively, which dates coincide with the original expiration dates of the options.</w:t>
      </w:r>
    </w:p>
    <w:p>
      <w:pPr>
        <w:spacing w:after="0" w:line="162" w:lineRule="exact"/>
        <w:rPr>
          <w:sz w:val="20"/>
          <w:szCs w:val="20"/>
          <w:color w:val="auto"/>
        </w:rPr>
      </w:pPr>
    </w:p>
    <w:p>
      <w:pPr>
        <w:ind w:right="3519" w:firstLine="697"/>
        <w:spacing w:after="0" w:line="251" w:lineRule="auto"/>
        <w:tabs>
          <w:tab w:leader="none" w:pos="1033"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your death prior to receiving the appropriate monies due as outlined in paragraphs 3(b) and 5 above, any monies due will be paid to your wife, if she survives you; otherwise such payments shall be made to your estate. All other benefits due under various benefit plans of the Company will be distributed in accordance with standard Company policy and applicable federal and state laws.</w:t>
      </w:r>
    </w:p>
    <w:p>
      <w:pPr>
        <w:spacing w:after="0" w:line="163" w:lineRule="exact"/>
        <w:rPr>
          <w:rFonts w:ascii="Courier New" w:cs="Courier New" w:eastAsia="Courier New" w:hAnsi="Courier New"/>
          <w:sz w:val="14"/>
          <w:szCs w:val="14"/>
          <w:color w:val="auto"/>
        </w:rPr>
      </w:pPr>
    </w:p>
    <w:p>
      <w:pPr>
        <w:ind w:right="3439" w:firstLine="697"/>
        <w:spacing w:after="0" w:line="251" w:lineRule="auto"/>
        <w:tabs>
          <w:tab w:leader="none" w:pos="1033"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arrangements provided for in this letter include all vacation, severance or other entitlements in full to which you might otherwise be entitled upon termination of your employment at the Company. This letter contains the entire agreement between you and the Company concerning your employment with the Company, your resignation therefrom and any claims you may have with respect thereto and constitutes your release of the Company concerning any and all such claims.</w:t>
      </w:r>
    </w:p>
    <w:p>
      <w:pPr>
        <w:spacing w:after="0" w:line="164" w:lineRule="exact"/>
        <w:rPr>
          <w:sz w:val="20"/>
          <w:szCs w:val="20"/>
          <w:color w:val="auto"/>
        </w:rPr>
      </w:pPr>
    </w:p>
    <w:p>
      <w:pPr>
        <w:ind w:right="3339" w:firstLine="689"/>
        <w:spacing w:after="0" w:line="255" w:lineRule="auto"/>
        <w:rPr>
          <w:sz w:val="20"/>
          <w:szCs w:val="20"/>
          <w:color w:val="auto"/>
        </w:rPr>
      </w:pPr>
      <w:r>
        <w:rPr>
          <w:rFonts w:ascii="Courier New" w:cs="Courier New" w:eastAsia="Courier New" w:hAnsi="Courier New"/>
          <w:sz w:val="14"/>
          <w:szCs w:val="14"/>
          <w:color w:val="auto"/>
        </w:rPr>
        <w:t>If the foregoing correctly sets forth our agreement, please so indicate by signing and returning the enclosed copy of this letter.</w:t>
      </w:r>
    </w:p>
    <w:p>
      <w:pPr>
        <w:spacing w:after="0" w:line="160"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Sincerely,</w:t>
      </w:r>
    </w:p>
    <w:p>
      <w:pPr>
        <w:spacing w:after="0" w:line="173"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4"/>
          <w:szCs w:val="14"/>
          <w:color w:val="auto"/>
        </w:rPr>
        <w:t>/s/ Katharine Graham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Acknowledged and Agreed:</w:t>
      </w:r>
    </w:p>
    <w:p>
      <w:pPr>
        <w:spacing w:after="0" w:line="338"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/s/</w:t>
        <w:tab/>
        <w:t>Richard D. Simmons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Richard D. Simmons</w:t>
      </w:r>
    </w:p>
    <w:p>
      <w:pPr>
        <w:sectPr>
          <w:pgSz w:w="11900" w:h="16838" w:orient="portrait"/>
          <w:cols w:equalWidth="0" w:num="1">
            <w:col w:w="10159"/>
          </w:cols>
          <w:pgMar w:left="300" w:top="285"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4"/>
          <w:szCs w:val="14"/>
          <w:color w:val="auto"/>
        </w:rPr>
        <w:t>4</w:t>
      </w:r>
    </w:p>
    <w:p>
      <w:pPr>
        <w:spacing w:after="0" w:line="33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[Letterhead of The Washington Post Company]</w:t>
      </w:r>
    </w:p>
    <w:p>
      <w:pPr>
        <w:spacing w:after="0" w:line="338"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4"/>
          <w:szCs w:val="14"/>
          <w:color w:val="auto"/>
        </w:rPr>
        <w:t>June 30, 1994</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Richard D. Simmons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Herald Tribune S.A.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1150 15th Street N.W.</w:t>
      </w:r>
    </w:p>
    <w:p>
      <w:pPr>
        <w:spacing w:after="0" w:line="7"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Washington, D.C.</w:t>
        <w:tab/>
        <w:t>20071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Dick:</w:t>
      </w:r>
    </w:p>
    <w:p>
      <w:pPr>
        <w:spacing w:after="0" w:line="173" w:lineRule="exact"/>
        <w:rPr>
          <w:sz w:val="20"/>
          <w:szCs w:val="20"/>
          <w:color w:val="auto"/>
        </w:rPr>
      </w:pPr>
    </w:p>
    <w:p>
      <w:pPr>
        <w:ind w:right="3439" w:firstLine="689"/>
        <w:spacing w:after="0" w:line="251" w:lineRule="auto"/>
        <w:rPr>
          <w:sz w:val="20"/>
          <w:szCs w:val="20"/>
          <w:color w:val="auto"/>
        </w:rPr>
      </w:pPr>
      <w:r>
        <w:rPr>
          <w:rFonts w:ascii="Courier New" w:cs="Courier New" w:eastAsia="Courier New" w:hAnsi="Courier New"/>
          <w:sz w:val="14"/>
          <w:szCs w:val="14"/>
          <w:color w:val="auto"/>
        </w:rPr>
        <w:t>This is to confirm that you have agreed to an extension through March 31, 1996, of your consulting agreement dated May 9, 1991, on the same terms as conditions as set forth therein except with regard to your compensation for providing such services which shall be reduced to $100,000 on an annualized basis starting July 1, 1994.</w:t>
      </w:r>
    </w:p>
    <w:p>
      <w:pPr>
        <w:spacing w:after="0" w:line="164" w:lineRule="exact"/>
        <w:rPr>
          <w:sz w:val="20"/>
          <w:szCs w:val="20"/>
          <w:color w:val="auto"/>
        </w:rPr>
      </w:pPr>
    </w:p>
    <w:p>
      <w:pPr>
        <w:ind w:left="5080"/>
        <w:spacing w:after="0"/>
        <w:rPr>
          <w:sz w:val="20"/>
          <w:szCs w:val="20"/>
          <w:color w:val="auto"/>
        </w:rPr>
      </w:pPr>
      <w:r>
        <w:rPr>
          <w:rFonts w:ascii="Courier New" w:cs="Courier New" w:eastAsia="Courier New" w:hAnsi="Courier New"/>
          <w:sz w:val="14"/>
          <w:szCs w:val="14"/>
          <w:color w:val="auto"/>
        </w:rPr>
        <w:t>Sincerely,</w:t>
      </w:r>
    </w:p>
    <w:p>
      <w:pPr>
        <w:spacing w:after="0" w:line="173" w:lineRule="exact"/>
        <w:rPr>
          <w:sz w:val="20"/>
          <w:szCs w:val="20"/>
          <w:color w:val="auto"/>
        </w:rPr>
      </w:pPr>
    </w:p>
    <w:p>
      <w:pPr>
        <w:jc w:val="right"/>
        <w:ind w:right="3259"/>
        <w:spacing w:after="0"/>
        <w:tabs>
          <w:tab w:leader="none" w:pos="1360" w:val="left"/>
        </w:tabs>
        <w:rPr>
          <w:sz w:val="20"/>
          <w:szCs w:val="20"/>
          <w:color w:val="auto"/>
        </w:rPr>
      </w:pPr>
      <w:r>
        <w:rPr>
          <w:rFonts w:ascii="Courier New" w:cs="Courier New" w:eastAsia="Courier New" w:hAnsi="Courier New"/>
          <w:sz w:val="14"/>
          <w:szCs w:val="14"/>
          <w:color w:val="auto"/>
        </w:rPr>
        <w:t>/s/</w:t>
        <w:tab/>
        <w:t>Donald E. Graham</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Acknowledged and agreed: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Richard D. Simmons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Richard D. Simmons</w:t>
      </w:r>
    </w:p>
    <w:p>
      <w:pPr>
        <w:sectPr>
          <w:pgSz w:w="11900" w:h="16838" w:orient="portrait"/>
          <w:cols w:equalWidth="0" w:num="1">
            <w:col w:w="10159"/>
          </w:cols>
          <w:pgMar w:left="300" w:top="285"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AND SUBSIDIARIES</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CALCULATION OF EARNINGS PER SHARE OF COMMON STOCK</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(AMOUNTS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FISCAL YEAR</w:t>
            </w: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3660" w:type="dxa"/>
            <w:vAlign w:val="bottom"/>
          </w:tcPr>
          <w:p>
            <w:pPr>
              <w:spacing w:after="0"/>
              <w:rPr>
                <w:sz w:val="14"/>
                <w:szCs w:val="14"/>
                <w:color w:val="auto"/>
              </w:rPr>
            </w:pPr>
          </w:p>
        </w:tc>
        <w:tc>
          <w:tcPr>
            <w:tcW w:w="54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1994</w:t>
            </w:r>
          </w:p>
        </w:tc>
        <w:tc>
          <w:tcPr>
            <w:tcW w:w="700" w:type="dxa"/>
            <w:vAlign w:val="bottom"/>
          </w:tcPr>
          <w:p>
            <w:pPr>
              <w:spacing w:after="0"/>
              <w:rPr>
                <w:sz w:val="14"/>
                <w:szCs w:val="14"/>
                <w:color w:val="auto"/>
              </w:rPr>
            </w:pPr>
          </w:p>
        </w:tc>
        <w:tc>
          <w:tcPr>
            <w:tcW w:w="13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1993</w:t>
            </w:r>
          </w:p>
        </w:tc>
        <w:tc>
          <w:tcPr>
            <w:tcW w:w="500" w:type="dxa"/>
            <w:vAlign w:val="bottom"/>
          </w:tcPr>
          <w:p>
            <w:pPr>
              <w:spacing w:after="0"/>
              <w:rPr>
                <w:sz w:val="14"/>
                <w:szCs w:val="14"/>
                <w:color w:val="auto"/>
              </w:rPr>
            </w:pPr>
          </w:p>
        </w:tc>
        <w:tc>
          <w:tcPr>
            <w:tcW w:w="1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1992</w:t>
            </w:r>
          </w:p>
        </w:tc>
      </w:tr>
      <w:tr>
        <w:trPr>
          <w:trHeight w:val="166"/>
        </w:trPr>
        <w:tc>
          <w:tcPr>
            <w:tcW w:w="3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13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spacing w:after="0"/>
              <w:rPr>
                <w:sz w:val="14"/>
                <w:szCs w:val="14"/>
                <w:color w:val="auto"/>
              </w:rPr>
            </w:pPr>
          </w:p>
        </w:tc>
        <w:tc>
          <w:tcPr>
            <w:tcW w:w="1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Weighted average shares outstanding</w:t>
            </w: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6"/>
        </w:trPr>
        <w:tc>
          <w:tcPr>
            <w:tcW w:w="3660" w:type="dxa"/>
            <w:vAlign w:val="bottom"/>
          </w:tcPr>
          <w:p>
            <w:pPr>
              <w:ind w:left="440"/>
              <w:spacing w:after="0"/>
              <w:rPr>
                <w:sz w:val="20"/>
                <w:szCs w:val="20"/>
                <w:color w:val="auto"/>
              </w:rPr>
            </w:pPr>
            <w:r>
              <w:rPr>
                <w:rFonts w:ascii="Courier New" w:cs="Courier New" w:eastAsia="Courier New" w:hAnsi="Courier New"/>
                <w:sz w:val="14"/>
                <w:szCs w:val="14"/>
                <w:color w:val="auto"/>
              </w:rPr>
              <w:t>Class A Common</w:t>
            </w:r>
          </w:p>
        </w:tc>
        <w:tc>
          <w:tcPr>
            <w:tcW w:w="440" w:type="dxa"/>
            <w:vAlign w:val="bottom"/>
          </w:tcPr>
          <w:p>
            <w:pPr>
              <w:spacing w:after="0"/>
              <w:rPr>
                <w:sz w:val="14"/>
                <w:szCs w:val="14"/>
                <w:color w:val="auto"/>
              </w:rPr>
            </w:pPr>
          </w:p>
        </w:tc>
        <w:tc>
          <w:tcPr>
            <w:tcW w:w="1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1,843</w:t>
            </w:r>
          </w:p>
        </w:tc>
        <w:tc>
          <w:tcPr>
            <w:tcW w:w="700" w:type="dxa"/>
            <w:vAlign w:val="bottom"/>
          </w:tcPr>
          <w:p>
            <w:pPr>
              <w:spacing w:after="0"/>
              <w:rPr>
                <w:sz w:val="14"/>
                <w:szCs w:val="14"/>
                <w:color w:val="auto"/>
              </w:rPr>
            </w:pPr>
          </w:p>
        </w:tc>
        <w:tc>
          <w:tcPr>
            <w:tcW w:w="138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1,843</w:t>
            </w:r>
          </w:p>
        </w:tc>
        <w:tc>
          <w:tcPr>
            <w:tcW w:w="500" w:type="dxa"/>
            <w:vAlign w:val="bottom"/>
          </w:tcPr>
          <w:p>
            <w:pPr>
              <w:spacing w:after="0"/>
              <w:rPr>
                <w:sz w:val="14"/>
                <w:szCs w:val="14"/>
                <w:color w:val="auto"/>
              </w:rPr>
            </w:pPr>
          </w:p>
        </w:tc>
        <w:tc>
          <w:tcPr>
            <w:tcW w:w="1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1,843</w:t>
            </w:r>
          </w:p>
        </w:tc>
      </w:tr>
      <w:tr>
        <w:trPr>
          <w:trHeight w:val="166"/>
        </w:trPr>
        <w:tc>
          <w:tcPr>
            <w:tcW w:w="3660" w:type="dxa"/>
            <w:vAlign w:val="bottom"/>
          </w:tcPr>
          <w:p>
            <w:pPr>
              <w:ind w:left="440"/>
              <w:spacing w:after="0"/>
              <w:rPr>
                <w:sz w:val="20"/>
                <w:szCs w:val="20"/>
                <w:color w:val="auto"/>
              </w:rPr>
            </w:pPr>
            <w:r>
              <w:rPr>
                <w:rFonts w:ascii="Courier New" w:cs="Courier New" w:eastAsia="Courier New" w:hAnsi="Courier New"/>
                <w:sz w:val="14"/>
                <w:szCs w:val="14"/>
                <w:color w:val="auto"/>
              </w:rPr>
              <w:t>Class B Common (excludes shares</w:t>
            </w: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3660" w:type="dxa"/>
            <w:vAlign w:val="bottom"/>
          </w:tcPr>
          <w:p>
            <w:pPr>
              <w:ind w:left="780"/>
              <w:spacing w:after="0"/>
              <w:rPr>
                <w:sz w:val="20"/>
                <w:szCs w:val="20"/>
                <w:color w:val="auto"/>
              </w:rPr>
            </w:pPr>
            <w:r>
              <w:rPr>
                <w:rFonts w:ascii="Courier New" w:cs="Courier New" w:eastAsia="Courier New" w:hAnsi="Courier New"/>
                <w:sz w:val="14"/>
                <w:szCs w:val="14"/>
                <w:color w:val="auto"/>
              </w:rPr>
              <w:t>issuable upon exercise of</w:t>
            </w: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3660" w:type="dxa"/>
            <w:vAlign w:val="bottom"/>
          </w:tcPr>
          <w:p>
            <w:pPr>
              <w:ind w:left="780"/>
              <w:spacing w:after="0"/>
              <w:rPr>
                <w:sz w:val="20"/>
                <w:szCs w:val="20"/>
                <w:color w:val="auto"/>
              </w:rPr>
            </w:pPr>
            <w:r>
              <w:rPr>
                <w:rFonts w:ascii="Courier New" w:cs="Courier New" w:eastAsia="Courier New" w:hAnsi="Courier New"/>
                <w:sz w:val="14"/>
                <w:szCs w:val="14"/>
                <w:color w:val="auto"/>
              </w:rPr>
              <w:t>stock options - accounted</w:t>
            </w: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3660" w:type="dxa"/>
            <w:vAlign w:val="bottom"/>
          </w:tcPr>
          <w:p>
            <w:pPr>
              <w:ind w:left="780"/>
              <w:spacing w:after="0"/>
              <w:rPr>
                <w:sz w:val="20"/>
                <w:szCs w:val="20"/>
                <w:color w:val="auto"/>
              </w:rPr>
            </w:pPr>
            <w:r>
              <w:rPr>
                <w:rFonts w:ascii="Courier New" w:cs="Courier New" w:eastAsia="Courier New" w:hAnsi="Courier New"/>
                <w:sz w:val="14"/>
                <w:szCs w:val="14"/>
                <w:color w:val="auto"/>
              </w:rPr>
              <w:t>for below)</w:t>
            </w:r>
          </w:p>
        </w:tc>
        <w:tc>
          <w:tcPr>
            <w:tcW w:w="440" w:type="dxa"/>
            <w:vAlign w:val="bottom"/>
          </w:tcPr>
          <w:p>
            <w:pPr>
              <w:spacing w:after="0"/>
              <w:rPr>
                <w:sz w:val="14"/>
                <w:szCs w:val="14"/>
                <w:color w:val="auto"/>
              </w:rPr>
            </w:pPr>
          </w:p>
        </w:tc>
        <w:tc>
          <w:tcPr>
            <w:tcW w:w="1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9,734</w:t>
            </w:r>
          </w:p>
        </w:tc>
        <w:tc>
          <w:tcPr>
            <w:tcW w:w="700" w:type="dxa"/>
            <w:vAlign w:val="bottom"/>
          </w:tcPr>
          <w:p>
            <w:pPr>
              <w:spacing w:after="0"/>
              <w:rPr>
                <w:sz w:val="14"/>
                <w:szCs w:val="14"/>
                <w:color w:val="auto"/>
              </w:rPr>
            </w:pPr>
          </w:p>
        </w:tc>
        <w:tc>
          <w:tcPr>
            <w:tcW w:w="13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9,903</w:t>
            </w:r>
          </w:p>
        </w:tc>
        <w:tc>
          <w:tcPr>
            <w:tcW w:w="500" w:type="dxa"/>
            <w:vAlign w:val="bottom"/>
          </w:tcPr>
          <w:p>
            <w:pPr>
              <w:spacing w:after="0"/>
              <w:rPr>
                <w:sz w:val="14"/>
                <w:szCs w:val="14"/>
                <w:color w:val="auto"/>
              </w:rPr>
            </w:pPr>
          </w:p>
        </w:tc>
        <w:tc>
          <w:tcPr>
            <w:tcW w:w="1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9,984</w:t>
            </w:r>
          </w:p>
        </w:tc>
      </w:tr>
      <w:tr>
        <w:trPr>
          <w:trHeight w:val="166"/>
        </w:trPr>
        <w:tc>
          <w:tcPr>
            <w:tcW w:w="3660" w:type="dxa"/>
            <w:vAlign w:val="bottom"/>
          </w:tcPr>
          <w:p>
            <w:pPr>
              <w:spacing w:after="0"/>
              <w:rPr>
                <w:sz w:val="14"/>
                <w:szCs w:val="14"/>
                <w:color w:val="auto"/>
              </w:rPr>
            </w:pPr>
          </w:p>
        </w:tc>
        <w:tc>
          <w:tcPr>
            <w:tcW w:w="164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208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11,577</w:t>
            </w:r>
          </w:p>
        </w:tc>
        <w:tc>
          <w:tcPr>
            <w:tcW w:w="700" w:type="dxa"/>
            <w:vAlign w:val="bottom"/>
          </w:tcPr>
          <w:p>
            <w:pPr>
              <w:spacing w:after="0"/>
              <w:rPr>
                <w:sz w:val="14"/>
                <w:szCs w:val="14"/>
                <w:color w:val="auto"/>
              </w:rPr>
            </w:pPr>
          </w:p>
        </w:tc>
        <w:tc>
          <w:tcPr>
            <w:tcW w:w="13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11,746</w:t>
            </w:r>
          </w:p>
        </w:tc>
        <w:tc>
          <w:tcPr>
            <w:tcW w:w="500" w:type="dxa"/>
            <w:vAlign w:val="bottom"/>
          </w:tcPr>
          <w:p>
            <w:pPr>
              <w:spacing w:after="0"/>
              <w:rPr>
                <w:sz w:val="14"/>
                <w:szCs w:val="14"/>
                <w:color w:val="auto"/>
              </w:rPr>
            </w:pPr>
          </w:p>
        </w:tc>
        <w:tc>
          <w:tcPr>
            <w:tcW w:w="1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11,827</w:t>
            </w:r>
          </w:p>
        </w:tc>
      </w:tr>
      <w:tr>
        <w:trPr>
          <w:trHeight w:val="166"/>
        </w:trPr>
        <w:tc>
          <w:tcPr>
            <w:tcW w:w="3660" w:type="dxa"/>
            <w:vAlign w:val="bottom"/>
          </w:tcPr>
          <w:p>
            <w:pPr>
              <w:spacing w:after="0"/>
              <w:rPr>
                <w:sz w:val="14"/>
                <w:szCs w:val="14"/>
                <w:color w:val="auto"/>
              </w:rPr>
            </w:pPr>
          </w:p>
        </w:tc>
        <w:tc>
          <w:tcPr>
            <w:tcW w:w="164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208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w:t>
            </w: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Add - Shares assumed issuable upon</w:t>
            </w: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6"/>
        </w:trPr>
        <w:tc>
          <w:tcPr>
            <w:tcW w:w="3660" w:type="dxa"/>
            <w:vAlign w:val="bottom"/>
          </w:tcPr>
          <w:p>
            <w:pPr>
              <w:ind w:left="440"/>
              <w:spacing w:after="0"/>
              <w:rPr>
                <w:sz w:val="20"/>
                <w:szCs w:val="20"/>
                <w:color w:val="auto"/>
              </w:rPr>
            </w:pPr>
            <w:r>
              <w:rPr>
                <w:rFonts w:ascii="Courier New" w:cs="Courier New" w:eastAsia="Courier New" w:hAnsi="Courier New"/>
                <w:sz w:val="14"/>
                <w:szCs w:val="14"/>
                <w:color w:val="auto"/>
              </w:rPr>
              <w:t>exercise of stock options</w:t>
            </w:r>
          </w:p>
        </w:tc>
        <w:tc>
          <w:tcPr>
            <w:tcW w:w="440" w:type="dxa"/>
            <w:vAlign w:val="bottom"/>
          </w:tcPr>
          <w:p>
            <w:pPr>
              <w:spacing w:after="0"/>
              <w:rPr>
                <w:sz w:val="14"/>
                <w:szCs w:val="14"/>
                <w:color w:val="auto"/>
              </w:rPr>
            </w:pPr>
          </w:p>
        </w:tc>
        <w:tc>
          <w:tcPr>
            <w:tcW w:w="1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79</w:t>
            </w:r>
          </w:p>
        </w:tc>
        <w:tc>
          <w:tcPr>
            <w:tcW w:w="700" w:type="dxa"/>
            <w:vAlign w:val="bottom"/>
          </w:tcPr>
          <w:p>
            <w:pPr>
              <w:spacing w:after="0"/>
              <w:rPr>
                <w:sz w:val="14"/>
                <w:szCs w:val="14"/>
                <w:color w:val="auto"/>
              </w:rPr>
            </w:pPr>
          </w:p>
        </w:tc>
        <w:tc>
          <w:tcPr>
            <w:tcW w:w="13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69</w:t>
            </w:r>
          </w:p>
        </w:tc>
        <w:tc>
          <w:tcPr>
            <w:tcW w:w="500" w:type="dxa"/>
            <w:vAlign w:val="bottom"/>
          </w:tcPr>
          <w:p>
            <w:pPr>
              <w:spacing w:after="0"/>
              <w:rPr>
                <w:sz w:val="14"/>
                <w:szCs w:val="14"/>
                <w:color w:val="auto"/>
              </w:rPr>
            </w:pPr>
          </w:p>
        </w:tc>
        <w:tc>
          <w:tcPr>
            <w:tcW w:w="1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52</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Deduct - Shares assumed to be</w:t>
            </w: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3660" w:type="dxa"/>
            <w:vAlign w:val="bottom"/>
          </w:tcPr>
          <w:p>
            <w:pPr>
              <w:ind w:left="440"/>
              <w:spacing w:after="0"/>
              <w:rPr>
                <w:sz w:val="20"/>
                <w:szCs w:val="20"/>
                <w:color w:val="auto"/>
              </w:rPr>
            </w:pPr>
            <w:r>
              <w:rPr>
                <w:rFonts w:ascii="Courier New" w:cs="Courier New" w:eastAsia="Courier New" w:hAnsi="Courier New"/>
                <w:sz w:val="14"/>
                <w:szCs w:val="14"/>
                <w:color w:val="auto"/>
              </w:rPr>
              <w:t>purchased for Treasury with proceeds</w:t>
            </w: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3660" w:type="dxa"/>
            <w:vAlign w:val="bottom"/>
          </w:tcPr>
          <w:p>
            <w:pPr>
              <w:ind w:left="440"/>
              <w:spacing w:after="0"/>
              <w:rPr>
                <w:sz w:val="20"/>
                <w:szCs w:val="20"/>
                <w:color w:val="auto"/>
              </w:rPr>
            </w:pPr>
            <w:r>
              <w:rPr>
                <w:rFonts w:ascii="Courier New" w:cs="Courier New" w:eastAsia="Courier New" w:hAnsi="Courier New"/>
                <w:sz w:val="14"/>
                <w:szCs w:val="14"/>
                <w:color w:val="auto"/>
              </w:rPr>
              <w:t>from exercise of stock options</w:t>
            </w:r>
          </w:p>
        </w:tc>
        <w:tc>
          <w:tcPr>
            <w:tcW w:w="440" w:type="dxa"/>
            <w:vAlign w:val="bottom"/>
          </w:tcPr>
          <w:p>
            <w:pPr>
              <w:spacing w:after="0"/>
              <w:rPr>
                <w:sz w:val="14"/>
                <w:szCs w:val="14"/>
                <w:color w:val="auto"/>
              </w:rPr>
            </w:pP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(74)</w:t>
            </w:r>
          </w:p>
        </w:tc>
        <w:tc>
          <w:tcPr>
            <w:tcW w:w="700" w:type="dxa"/>
            <w:vAlign w:val="bottom"/>
          </w:tcPr>
          <w:p>
            <w:pPr>
              <w:spacing w:after="0"/>
              <w:rPr>
                <w:sz w:val="14"/>
                <w:szCs w:val="14"/>
                <w:color w:val="auto"/>
              </w:rPr>
            </w:pPr>
          </w:p>
        </w:tc>
        <w:tc>
          <w:tcPr>
            <w:tcW w:w="13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(65)</w:t>
            </w:r>
          </w:p>
        </w:tc>
        <w:tc>
          <w:tcPr>
            <w:tcW w:w="500" w:type="dxa"/>
            <w:vAlign w:val="bottom"/>
          </w:tcPr>
          <w:p>
            <w:pPr>
              <w:spacing w:after="0"/>
              <w:rPr>
                <w:sz w:val="14"/>
                <w:szCs w:val="14"/>
                <w:color w:val="auto"/>
              </w:rPr>
            </w:pPr>
          </w:p>
        </w:tc>
        <w:tc>
          <w:tcPr>
            <w:tcW w:w="12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(49)</w:t>
            </w:r>
          </w:p>
        </w:tc>
      </w:tr>
      <w:tr>
        <w:trPr>
          <w:trHeight w:val="166"/>
        </w:trPr>
        <w:tc>
          <w:tcPr>
            <w:tcW w:w="3660" w:type="dxa"/>
            <w:vAlign w:val="bottom"/>
          </w:tcPr>
          <w:p>
            <w:pPr>
              <w:spacing w:after="0"/>
              <w:rPr>
                <w:sz w:val="14"/>
                <w:szCs w:val="14"/>
                <w:color w:val="auto"/>
              </w:rPr>
            </w:pPr>
          </w:p>
        </w:tc>
        <w:tc>
          <w:tcPr>
            <w:tcW w:w="164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208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w:t>
            </w:r>
          </w:p>
        </w:tc>
        <w:tc>
          <w:tcPr>
            <w:tcW w:w="700" w:type="dxa"/>
            <w:vAlign w:val="bottom"/>
          </w:tcPr>
          <w:p>
            <w:pPr>
              <w:spacing w:after="0"/>
              <w:rPr>
                <w:sz w:val="14"/>
                <w:szCs w:val="14"/>
                <w:color w:val="auto"/>
              </w:rPr>
            </w:pPr>
          </w:p>
        </w:tc>
        <w:tc>
          <w:tcPr>
            <w:tcW w:w="13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4</w:t>
            </w:r>
          </w:p>
        </w:tc>
        <w:tc>
          <w:tcPr>
            <w:tcW w:w="500" w:type="dxa"/>
            <w:vAlign w:val="bottom"/>
          </w:tcPr>
          <w:p>
            <w:pPr>
              <w:spacing w:after="0"/>
              <w:rPr>
                <w:sz w:val="14"/>
                <w:szCs w:val="14"/>
                <w:color w:val="auto"/>
              </w:rPr>
            </w:pPr>
          </w:p>
        </w:tc>
        <w:tc>
          <w:tcPr>
            <w:tcW w:w="1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w:t>
            </w:r>
          </w:p>
        </w:tc>
      </w:tr>
      <w:tr>
        <w:trPr>
          <w:trHeight w:val="166"/>
        </w:trPr>
        <w:tc>
          <w:tcPr>
            <w:tcW w:w="3660" w:type="dxa"/>
            <w:vAlign w:val="bottom"/>
          </w:tcPr>
          <w:p>
            <w:pPr>
              <w:spacing w:after="0"/>
              <w:rPr>
                <w:sz w:val="14"/>
                <w:szCs w:val="14"/>
                <w:color w:val="auto"/>
              </w:rPr>
            </w:pPr>
          </w:p>
        </w:tc>
        <w:tc>
          <w:tcPr>
            <w:tcW w:w="164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208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w:t>
            </w: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Shares used in computation of</w:t>
            </w: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6"/>
        </w:trPr>
        <w:tc>
          <w:tcPr>
            <w:tcW w:w="3660" w:type="dxa"/>
            <w:vAlign w:val="bottom"/>
          </w:tcPr>
          <w:p>
            <w:pPr>
              <w:ind w:left="440"/>
              <w:spacing w:after="0"/>
              <w:rPr>
                <w:sz w:val="20"/>
                <w:szCs w:val="20"/>
                <w:color w:val="auto"/>
              </w:rPr>
            </w:pPr>
            <w:r>
              <w:rPr>
                <w:rFonts w:ascii="Courier New" w:cs="Courier New" w:eastAsia="Courier New" w:hAnsi="Courier New"/>
                <w:sz w:val="14"/>
                <w:szCs w:val="14"/>
                <w:color w:val="auto"/>
              </w:rPr>
              <w:t>primary earnings per share</w:t>
            </w:r>
          </w:p>
        </w:tc>
        <w:tc>
          <w:tcPr>
            <w:tcW w:w="440" w:type="dxa"/>
            <w:vAlign w:val="bottom"/>
          </w:tcPr>
          <w:p>
            <w:pPr>
              <w:spacing w:after="0"/>
              <w:rPr>
                <w:sz w:val="14"/>
                <w:szCs w:val="14"/>
                <w:color w:val="auto"/>
              </w:rPr>
            </w:pPr>
          </w:p>
        </w:tc>
        <w:tc>
          <w:tcPr>
            <w:tcW w:w="1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11,582</w:t>
            </w:r>
          </w:p>
        </w:tc>
        <w:tc>
          <w:tcPr>
            <w:tcW w:w="700" w:type="dxa"/>
            <w:vAlign w:val="bottom"/>
          </w:tcPr>
          <w:p>
            <w:pPr>
              <w:spacing w:after="0"/>
              <w:rPr>
                <w:sz w:val="14"/>
                <w:szCs w:val="14"/>
                <w:color w:val="auto"/>
              </w:rPr>
            </w:pPr>
          </w:p>
        </w:tc>
        <w:tc>
          <w:tcPr>
            <w:tcW w:w="13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11,750</w:t>
            </w:r>
          </w:p>
        </w:tc>
        <w:tc>
          <w:tcPr>
            <w:tcW w:w="500" w:type="dxa"/>
            <w:vAlign w:val="bottom"/>
          </w:tcPr>
          <w:p>
            <w:pPr>
              <w:spacing w:after="0"/>
              <w:rPr>
                <w:sz w:val="14"/>
                <w:szCs w:val="14"/>
                <w:color w:val="auto"/>
              </w:rPr>
            </w:pPr>
          </w:p>
        </w:tc>
        <w:tc>
          <w:tcPr>
            <w:tcW w:w="1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11,830</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Adjustment to reflect fully</w:t>
            </w: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3660" w:type="dxa"/>
            <w:vAlign w:val="bottom"/>
          </w:tcPr>
          <w:p>
            <w:pPr>
              <w:ind w:left="440"/>
              <w:spacing w:after="0"/>
              <w:rPr>
                <w:sz w:val="20"/>
                <w:szCs w:val="20"/>
                <w:color w:val="auto"/>
              </w:rPr>
            </w:pPr>
            <w:r>
              <w:rPr>
                <w:rFonts w:ascii="Courier New" w:cs="Courier New" w:eastAsia="Courier New" w:hAnsi="Courier New"/>
                <w:sz w:val="14"/>
                <w:szCs w:val="14"/>
                <w:color w:val="auto"/>
              </w:rPr>
              <w:t>diluted computation (1)</w:t>
            </w:r>
          </w:p>
        </w:tc>
        <w:tc>
          <w:tcPr>
            <w:tcW w:w="440" w:type="dxa"/>
            <w:vAlign w:val="bottom"/>
          </w:tcPr>
          <w:p>
            <w:pPr>
              <w:spacing w:after="0"/>
              <w:rPr>
                <w:sz w:val="14"/>
                <w:szCs w:val="14"/>
                <w:color w:val="auto"/>
              </w:rPr>
            </w:pPr>
          </w:p>
        </w:tc>
        <w:tc>
          <w:tcPr>
            <w:tcW w:w="12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138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spacing w:after="0"/>
              <w:rPr>
                <w:sz w:val="14"/>
                <w:szCs w:val="14"/>
                <w:color w:val="auto"/>
              </w:rPr>
            </w:pPr>
          </w:p>
        </w:tc>
        <w:tc>
          <w:tcPr>
            <w:tcW w:w="12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spacing w:after="0"/>
              <w:rPr>
                <w:sz w:val="14"/>
                <w:szCs w:val="14"/>
                <w:color w:val="auto"/>
              </w:rPr>
            </w:pPr>
          </w:p>
        </w:tc>
        <w:tc>
          <w:tcPr>
            <w:tcW w:w="164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208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11,582</w:t>
            </w:r>
          </w:p>
        </w:tc>
        <w:tc>
          <w:tcPr>
            <w:tcW w:w="700" w:type="dxa"/>
            <w:vAlign w:val="bottom"/>
          </w:tcPr>
          <w:p>
            <w:pPr>
              <w:spacing w:after="0"/>
              <w:rPr>
                <w:sz w:val="14"/>
                <w:szCs w:val="14"/>
                <w:color w:val="auto"/>
              </w:rPr>
            </w:pPr>
          </w:p>
        </w:tc>
        <w:tc>
          <w:tcPr>
            <w:tcW w:w="13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11,750</w:t>
            </w:r>
          </w:p>
        </w:tc>
        <w:tc>
          <w:tcPr>
            <w:tcW w:w="500" w:type="dxa"/>
            <w:vAlign w:val="bottom"/>
          </w:tcPr>
          <w:p>
            <w:pPr>
              <w:spacing w:after="0"/>
              <w:rPr>
                <w:sz w:val="14"/>
                <w:szCs w:val="14"/>
                <w:color w:val="auto"/>
              </w:rPr>
            </w:pPr>
          </w:p>
        </w:tc>
        <w:tc>
          <w:tcPr>
            <w:tcW w:w="1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11,830</w:t>
            </w:r>
          </w:p>
        </w:tc>
      </w:tr>
      <w:tr>
        <w:trPr>
          <w:trHeight w:val="166"/>
        </w:trPr>
        <w:tc>
          <w:tcPr>
            <w:tcW w:w="3660" w:type="dxa"/>
            <w:vAlign w:val="bottom"/>
          </w:tcPr>
          <w:p>
            <w:pPr>
              <w:spacing w:after="0"/>
              <w:rPr>
                <w:sz w:val="14"/>
                <w:szCs w:val="14"/>
                <w:color w:val="auto"/>
              </w:rPr>
            </w:pPr>
          </w:p>
        </w:tc>
        <w:tc>
          <w:tcPr>
            <w:tcW w:w="164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208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64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$169,672</w:t>
            </w:r>
          </w:p>
        </w:tc>
        <w:tc>
          <w:tcPr>
            <w:tcW w:w="208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$165,417</w:t>
            </w:r>
          </w:p>
        </w:tc>
        <w:tc>
          <w:tcPr>
            <w:tcW w:w="176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$127,796</w:t>
            </w:r>
          </w:p>
        </w:tc>
      </w:tr>
      <w:tr>
        <w:trPr>
          <w:trHeight w:val="166"/>
        </w:trPr>
        <w:tc>
          <w:tcPr>
            <w:tcW w:w="3660" w:type="dxa"/>
            <w:vAlign w:val="bottom"/>
          </w:tcPr>
          <w:p>
            <w:pPr>
              <w:spacing w:after="0"/>
              <w:rPr>
                <w:sz w:val="14"/>
                <w:szCs w:val="14"/>
                <w:color w:val="auto"/>
              </w:rPr>
            </w:pPr>
          </w:p>
        </w:tc>
        <w:tc>
          <w:tcPr>
            <w:tcW w:w="164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208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Primary earnings per share</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14.65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14.08</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10.80</w:t>
            </w:r>
          </w:p>
        </w:tc>
      </w:tr>
      <w:tr>
        <w:trPr>
          <w:trHeight w:val="166"/>
        </w:trPr>
        <w:tc>
          <w:tcPr>
            <w:tcW w:w="3660" w:type="dxa"/>
            <w:vAlign w:val="bottom"/>
          </w:tcPr>
          <w:p>
            <w:pPr>
              <w:spacing w:after="0"/>
              <w:rPr>
                <w:sz w:val="14"/>
                <w:szCs w:val="14"/>
                <w:color w:val="auto"/>
              </w:rPr>
            </w:pPr>
          </w:p>
        </w:tc>
        <w:tc>
          <w:tcPr>
            <w:tcW w:w="164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208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w:t>
            </w:r>
          </w:p>
        </w:tc>
      </w:tr>
      <w:tr>
        <w:trPr>
          <w:trHeight w:val="497"/>
        </w:trPr>
        <w:tc>
          <w:tcPr>
            <w:tcW w:w="3660" w:type="dxa"/>
            <w:vAlign w:val="bottom"/>
          </w:tcPr>
          <w:p>
            <w:pPr>
              <w:spacing w:after="0"/>
              <w:rPr>
                <w:sz w:val="20"/>
                <w:szCs w:val="20"/>
                <w:color w:val="auto"/>
              </w:rPr>
            </w:pPr>
            <w:r>
              <w:rPr>
                <w:rFonts w:ascii="Courier New" w:cs="Courier New" w:eastAsia="Courier New" w:hAnsi="Courier New"/>
                <w:sz w:val="14"/>
                <w:szCs w:val="14"/>
                <w:color w:val="auto"/>
              </w:rPr>
              <w:t>Fully diluted earnings per</w:t>
            </w: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6"/>
        </w:trPr>
        <w:tc>
          <w:tcPr>
            <w:tcW w:w="3660" w:type="dxa"/>
            <w:vAlign w:val="bottom"/>
          </w:tcPr>
          <w:p>
            <w:pPr>
              <w:ind w:left="440"/>
              <w:spacing w:after="0"/>
              <w:rPr>
                <w:sz w:val="20"/>
                <w:szCs w:val="20"/>
                <w:color w:val="auto"/>
              </w:rPr>
            </w:pPr>
            <w:r>
              <w:rPr>
                <w:rFonts w:ascii="Courier New" w:cs="Courier New" w:eastAsia="Courier New" w:hAnsi="Courier New"/>
                <w:sz w:val="14"/>
                <w:szCs w:val="14"/>
                <w:color w:val="auto"/>
              </w:rPr>
              <w:t>share (1)</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14.65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14.08</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10.80</w:t>
            </w:r>
          </w:p>
        </w:tc>
      </w:tr>
      <w:tr>
        <w:trPr>
          <w:trHeight w:val="166"/>
        </w:trPr>
        <w:tc>
          <w:tcPr>
            <w:tcW w:w="3660" w:type="dxa"/>
            <w:vAlign w:val="bottom"/>
          </w:tcPr>
          <w:p>
            <w:pPr>
              <w:spacing w:after="0"/>
              <w:rPr>
                <w:sz w:val="14"/>
                <w:szCs w:val="14"/>
                <w:color w:val="auto"/>
              </w:rPr>
            </w:pPr>
          </w:p>
        </w:tc>
        <w:tc>
          <w:tcPr>
            <w:tcW w:w="164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208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40" w:right="3339" w:hanging="432"/>
        <w:spacing w:after="0" w:line="252" w:lineRule="auto"/>
        <w:tabs>
          <w:tab w:leader="none" w:pos="4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computation is submitted although it is not required by Accounting Principles Board Opinion No. 15 since it results in dilution of less than 3%.</w:t>
      </w:r>
    </w:p>
    <w:p>
      <w:pPr>
        <w:sectPr>
          <w:pgSz w:w="11900" w:h="16838" w:orient="portrait"/>
          <w:cols w:equalWidth="0" w:num="1">
            <w:col w:w="10159"/>
          </w:cols>
          <w:pgMar w:left="300" w:top="141"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4"/>
          <w:szCs w:val="14"/>
          <w:color w:val="auto"/>
        </w:rPr>
        <w:t>1</w:t>
      </w:r>
    </w:p>
    <w:p>
      <w:pPr>
        <w:spacing w:after="0" w:line="200" w:lineRule="exact"/>
        <w:rPr>
          <w:sz w:val="20"/>
          <w:szCs w:val="20"/>
          <w:color w:val="auto"/>
        </w:rPr>
      </w:pPr>
    </w:p>
    <w:p>
      <w:pPr>
        <w:spacing w:after="0" w:line="304"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EXHIBIT 21</w:t>
      </w:r>
    </w:p>
    <w:p>
      <w:pPr>
        <w:spacing w:after="0" w:line="338"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SUBSIDIARIES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40" w:type="dxa"/>
            <w:vAlign w:val="bottom"/>
          </w:tcPr>
          <w:p>
            <w:pPr>
              <w:spacing w:after="0"/>
              <w:rPr>
                <w:sz w:val="14"/>
                <w:szCs w:val="14"/>
                <w:color w:val="auto"/>
              </w:rPr>
            </w:pPr>
          </w:p>
        </w:tc>
        <w:tc>
          <w:tcPr>
            <w:tcW w:w="1840" w:type="dxa"/>
            <w:vAlign w:val="bottom"/>
          </w:tcPr>
          <w:p>
            <w:pPr>
              <w:ind w:left="220"/>
              <w:spacing w:after="0"/>
              <w:rPr>
                <w:sz w:val="20"/>
                <w:szCs w:val="20"/>
                <w:color w:val="auto"/>
              </w:rPr>
            </w:pPr>
            <w:r>
              <w:rPr>
                <w:rFonts w:ascii="Courier New" w:cs="Courier New" w:eastAsia="Courier New" w:hAnsi="Courier New"/>
                <w:sz w:val="14"/>
                <w:szCs w:val="14"/>
                <w:color w:val="auto"/>
              </w:rPr>
              <w:t>Jurisdiction</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 of</w:t>
            </w:r>
          </w:p>
        </w:tc>
        <w:tc>
          <w:tcPr>
            <w:tcW w:w="480" w:type="dxa"/>
            <w:vAlign w:val="bottom"/>
          </w:tcPr>
          <w:p>
            <w:pPr>
              <w:spacing w:after="0"/>
              <w:rPr>
                <w:sz w:val="14"/>
                <w:szCs w:val="14"/>
                <w:color w:val="auto"/>
              </w:rPr>
            </w:pPr>
          </w:p>
        </w:tc>
      </w:tr>
      <w:tr>
        <w:trPr>
          <w:trHeight w:val="166"/>
        </w:trPr>
        <w:tc>
          <w:tcPr>
            <w:tcW w:w="6340" w:type="dxa"/>
            <w:vAlign w:val="bottom"/>
          </w:tcPr>
          <w:p>
            <w:pPr>
              <w:spacing w:after="0"/>
              <w:rPr>
                <w:sz w:val="14"/>
                <w:szCs w:val="14"/>
                <w:color w:val="auto"/>
              </w:rPr>
            </w:pPr>
          </w:p>
        </w:tc>
        <w:tc>
          <w:tcPr>
            <w:tcW w:w="1840" w:type="dxa"/>
            <w:vAlign w:val="bottom"/>
          </w:tcPr>
          <w:p>
            <w:pPr>
              <w:ind w:left="720"/>
              <w:spacing w:after="0"/>
              <w:rPr>
                <w:sz w:val="20"/>
                <w:szCs w:val="20"/>
                <w:color w:val="auto"/>
              </w:rPr>
            </w:pPr>
            <w:r>
              <w:rPr>
                <w:rFonts w:ascii="Courier New" w:cs="Courier New" w:eastAsia="Courier New" w:hAnsi="Courier New"/>
                <w:sz w:val="14"/>
                <w:szCs w:val="14"/>
                <w:color w:val="auto"/>
              </w:rPr>
              <w:t>of</w:t>
            </w:r>
          </w:p>
        </w:tc>
        <w:tc>
          <w:tcPr>
            <w:tcW w:w="19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Voting Stock</w:t>
            </w:r>
          </w:p>
        </w:tc>
      </w:tr>
      <w:tr>
        <w:trPr>
          <w:trHeight w:val="166"/>
        </w:trPr>
        <w:tc>
          <w:tcPr>
            <w:tcW w:w="6340" w:type="dxa"/>
            <w:vAlign w:val="bottom"/>
          </w:tcPr>
          <w:p>
            <w:pPr>
              <w:spacing w:after="0"/>
              <w:rPr>
                <w:sz w:val="14"/>
                <w:szCs w:val="14"/>
                <w:color w:val="auto"/>
              </w:rPr>
            </w:pPr>
          </w:p>
        </w:tc>
        <w:tc>
          <w:tcPr>
            <w:tcW w:w="1840" w:type="dxa"/>
            <w:vAlign w:val="bottom"/>
          </w:tcPr>
          <w:p>
            <w:pPr>
              <w:ind w:left="220"/>
              <w:spacing w:after="0"/>
              <w:rPr>
                <w:sz w:val="20"/>
                <w:szCs w:val="20"/>
                <w:color w:val="auto"/>
              </w:rPr>
            </w:pPr>
            <w:r>
              <w:rPr>
                <w:rFonts w:ascii="Courier New" w:cs="Courier New" w:eastAsia="Courier New" w:hAnsi="Courier New"/>
                <w:sz w:val="14"/>
                <w:szCs w:val="14"/>
                <w:color w:val="auto"/>
              </w:rPr>
              <w:t>Incorporation</w:t>
            </w: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or Partnership</w:t>
            </w:r>
          </w:p>
        </w:tc>
      </w:tr>
      <w:tr>
        <w:trPr>
          <w:trHeight w:val="166"/>
        </w:trPr>
        <w:tc>
          <w:tcPr>
            <w:tcW w:w="6340" w:type="dxa"/>
            <w:vAlign w:val="bottom"/>
          </w:tcPr>
          <w:p>
            <w:pPr>
              <w:spacing w:after="0"/>
              <w:rPr>
                <w:sz w:val="14"/>
                <w:szCs w:val="14"/>
                <w:color w:val="auto"/>
              </w:rPr>
            </w:pPr>
          </w:p>
        </w:tc>
        <w:tc>
          <w:tcPr>
            <w:tcW w:w="1840" w:type="dxa"/>
            <w:vAlign w:val="bottom"/>
          </w:tcPr>
          <w:p>
            <w:pPr>
              <w:ind w:left="720"/>
              <w:spacing w:after="0"/>
              <w:rPr>
                <w:sz w:val="20"/>
                <w:szCs w:val="20"/>
                <w:color w:val="auto"/>
              </w:rPr>
            </w:pPr>
            <w:r>
              <w:rPr>
                <w:rFonts w:ascii="Courier New" w:cs="Courier New" w:eastAsia="Courier New" w:hAnsi="Courier New"/>
                <w:sz w:val="14"/>
                <w:szCs w:val="14"/>
                <w:color w:val="auto"/>
              </w:rPr>
              <w:t>or</w:t>
            </w: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Interest Owned</w:t>
            </w:r>
          </w:p>
        </w:tc>
      </w:tr>
      <w:tr>
        <w:trPr>
          <w:trHeight w:val="166"/>
        </w:trPr>
        <w:tc>
          <w:tcPr>
            <w:tcW w:w="6340" w:type="dxa"/>
            <w:vAlign w:val="bottom"/>
          </w:tcPr>
          <w:p>
            <w:pPr>
              <w:jc w:val="right"/>
              <w:ind w:right="3248"/>
              <w:spacing w:after="0"/>
              <w:rPr>
                <w:sz w:val="20"/>
                <w:szCs w:val="20"/>
                <w:color w:val="auto"/>
              </w:rPr>
            </w:pPr>
            <w:r>
              <w:rPr>
                <w:rFonts w:ascii="Courier New" w:cs="Courier New" w:eastAsia="Courier New" w:hAnsi="Courier New"/>
                <w:sz w:val="14"/>
                <w:szCs w:val="14"/>
                <w:color w:val="auto"/>
              </w:rPr>
              <w:t>Name of Subsidiary</w:t>
            </w:r>
          </w:p>
        </w:tc>
        <w:tc>
          <w:tcPr>
            <w:tcW w:w="1840" w:type="dxa"/>
            <w:vAlign w:val="bottom"/>
          </w:tcPr>
          <w:p>
            <w:pPr>
              <w:ind w:left="300"/>
              <w:spacing w:after="0"/>
              <w:rPr>
                <w:sz w:val="20"/>
                <w:szCs w:val="20"/>
                <w:color w:val="auto"/>
              </w:rPr>
            </w:pPr>
            <w:r>
              <w:rPr>
                <w:rFonts w:ascii="Courier New" w:cs="Courier New" w:eastAsia="Courier New" w:hAnsi="Courier New"/>
                <w:sz w:val="14"/>
                <w:szCs w:val="14"/>
                <w:color w:val="auto"/>
              </w:rPr>
              <w:t>Organization</w:t>
            </w:r>
          </w:p>
        </w:tc>
        <w:tc>
          <w:tcPr>
            <w:tcW w:w="19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by Company</w:t>
            </w:r>
          </w:p>
        </w:tc>
      </w:tr>
      <w:tr>
        <w:trPr>
          <w:trHeight w:val="166"/>
        </w:trPr>
        <w:tc>
          <w:tcPr>
            <w:tcW w:w="6340" w:type="dxa"/>
            <w:vAlign w:val="bottom"/>
          </w:tcPr>
          <w:p>
            <w:pPr>
              <w:jc w:val="right"/>
              <w:ind w:right="324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American PCS, L.P.  . . . . . . . . . . . . . . . . . . . . . . . . . .</w:t>
            </w:r>
          </w:p>
        </w:tc>
        <w:tc>
          <w:tcPr>
            <w:tcW w:w="1840" w:type="dxa"/>
            <w:vAlign w:val="bottom"/>
          </w:tcPr>
          <w:p>
            <w:pPr>
              <w:ind w:left="300"/>
              <w:spacing w:after="0"/>
              <w:rPr>
                <w:sz w:val="20"/>
                <w:szCs w:val="20"/>
                <w:color w:val="auto"/>
              </w:rPr>
            </w:pPr>
            <w:r>
              <w:rPr>
                <w:rFonts w:ascii="Courier New" w:cs="Courier New" w:eastAsia="Courier New" w:hAnsi="Courier New"/>
                <w:sz w:val="14"/>
                <w:szCs w:val="14"/>
                <w:color w:val="auto"/>
              </w:rPr>
              <w:t>Delaware</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w:t>
            </w:r>
          </w:p>
        </w:tc>
      </w:tr>
      <w:tr>
        <w:trPr>
          <w:trHeight w:val="166"/>
        </w:trPr>
        <w:tc>
          <w:tcPr>
            <w:tcW w:w="6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Bisbee Cable TV, Inc.   . . . . . . . . . . . . . . . . . . . . . . . .</w:t>
            </w:r>
          </w:p>
        </w:tc>
        <w:tc>
          <w:tcPr>
            <w:tcW w:w="1840" w:type="dxa"/>
            <w:vAlign w:val="bottom"/>
          </w:tcPr>
          <w:p>
            <w:pPr>
              <w:ind w:left="300"/>
              <w:spacing w:after="0"/>
              <w:rPr>
                <w:sz w:val="20"/>
                <w:szCs w:val="20"/>
                <w:color w:val="auto"/>
              </w:rPr>
            </w:pPr>
            <w:r>
              <w:rPr>
                <w:rFonts w:ascii="Courier New" w:cs="Courier New" w:eastAsia="Courier New" w:hAnsi="Courier New"/>
                <w:sz w:val="14"/>
                <w:szCs w:val="14"/>
                <w:color w:val="auto"/>
              </w:rPr>
              <w:t>Arizona</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480" w:type="dxa"/>
            <w:vAlign w:val="bottom"/>
          </w:tcPr>
          <w:p>
            <w:pPr>
              <w:spacing w:after="0"/>
              <w:rPr>
                <w:sz w:val="14"/>
                <w:szCs w:val="14"/>
                <w:color w:val="auto"/>
              </w:rPr>
            </w:pPr>
          </w:p>
        </w:tc>
      </w:tr>
      <w:tr>
        <w:trPr>
          <w:trHeight w:val="166"/>
        </w:trPr>
        <w:tc>
          <w:tcPr>
            <w:tcW w:w="6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Bowater Mersey Paper Company Limited  . . . . . . . . . . . . . . . . .</w:t>
            </w:r>
          </w:p>
        </w:tc>
        <w:tc>
          <w:tcPr>
            <w:tcW w:w="1840" w:type="dxa"/>
            <w:vAlign w:val="bottom"/>
          </w:tcPr>
          <w:p>
            <w:pPr>
              <w:ind w:left="300"/>
              <w:spacing w:after="0"/>
              <w:rPr>
                <w:sz w:val="20"/>
                <w:szCs w:val="20"/>
                <w:color w:val="auto"/>
              </w:rPr>
            </w:pPr>
            <w:r>
              <w:rPr>
                <w:rFonts w:ascii="Courier New" w:cs="Courier New" w:eastAsia="Courier New" w:hAnsi="Courier New"/>
                <w:sz w:val="14"/>
                <w:szCs w:val="14"/>
                <w:color w:val="auto"/>
              </w:rPr>
              <w:t>Nova Scotia</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c>
          <w:tcPr>
            <w:tcW w:w="480" w:type="dxa"/>
            <w:vAlign w:val="bottom"/>
          </w:tcPr>
          <w:p>
            <w:pPr>
              <w:spacing w:after="0"/>
              <w:rPr>
                <w:sz w:val="14"/>
                <w:szCs w:val="14"/>
                <w:color w:val="auto"/>
              </w:rPr>
            </w:pPr>
          </w:p>
        </w:tc>
      </w:tr>
      <w:tr>
        <w:trPr>
          <w:trHeight w:val="166"/>
        </w:trPr>
        <w:tc>
          <w:tcPr>
            <w:tcW w:w="6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Capitol Fiber, Inc.   . . . . . . . . . . . . . . . . . . . . . . . . .</w:t>
            </w:r>
          </w:p>
        </w:tc>
        <w:tc>
          <w:tcPr>
            <w:tcW w:w="1840" w:type="dxa"/>
            <w:vAlign w:val="bottom"/>
          </w:tcPr>
          <w:p>
            <w:pPr>
              <w:ind w:left="300"/>
              <w:spacing w:after="0"/>
              <w:rPr>
                <w:sz w:val="20"/>
                <w:szCs w:val="20"/>
                <w:color w:val="auto"/>
              </w:rPr>
            </w:pPr>
            <w:r>
              <w:rPr>
                <w:rFonts w:ascii="Courier New" w:cs="Courier New" w:eastAsia="Courier New" w:hAnsi="Courier New"/>
                <w:sz w:val="14"/>
                <w:szCs w:val="14"/>
                <w:color w:val="auto"/>
              </w:rPr>
              <w:t>Maryland</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c>
          <w:tcPr>
            <w:tcW w:w="480" w:type="dxa"/>
            <w:vAlign w:val="bottom"/>
          </w:tcPr>
          <w:p>
            <w:pPr>
              <w:spacing w:after="0"/>
              <w:rPr>
                <w:sz w:val="14"/>
                <w:szCs w:val="14"/>
                <w:color w:val="auto"/>
              </w:rPr>
            </w:pPr>
          </w:p>
        </w:tc>
      </w:tr>
      <w:tr>
        <w:trPr>
          <w:trHeight w:val="166"/>
        </w:trPr>
        <w:tc>
          <w:tcPr>
            <w:tcW w:w="6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Coast TV Cable, Inc.  . . . . . . . . . . . . . . . . . . . . . . . . .</w:t>
            </w:r>
          </w:p>
        </w:tc>
        <w:tc>
          <w:tcPr>
            <w:tcW w:w="1840" w:type="dxa"/>
            <w:vAlign w:val="bottom"/>
          </w:tcPr>
          <w:p>
            <w:pPr>
              <w:ind w:left="300"/>
              <w:spacing w:after="0"/>
              <w:rPr>
                <w:sz w:val="20"/>
                <w:szCs w:val="20"/>
                <w:color w:val="auto"/>
              </w:rPr>
            </w:pPr>
            <w:r>
              <w:rPr>
                <w:rFonts w:ascii="Courier New" w:cs="Courier New" w:eastAsia="Courier New" w:hAnsi="Courier New"/>
                <w:sz w:val="14"/>
                <w:szCs w:val="14"/>
                <w:color w:val="auto"/>
              </w:rPr>
              <w:t>Mississippi</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480" w:type="dxa"/>
            <w:vAlign w:val="bottom"/>
          </w:tcPr>
          <w:p>
            <w:pPr>
              <w:spacing w:after="0"/>
              <w:rPr>
                <w:sz w:val="14"/>
                <w:szCs w:val="14"/>
                <w:color w:val="auto"/>
              </w:rPr>
            </w:pPr>
          </w:p>
        </w:tc>
      </w:tr>
      <w:tr>
        <w:trPr>
          <w:trHeight w:val="166"/>
        </w:trPr>
        <w:tc>
          <w:tcPr>
            <w:tcW w:w="6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Coastal Bend Cablevision Corp.  . . . . . . . . . . . . . . . . . . . .</w:t>
            </w:r>
          </w:p>
        </w:tc>
        <w:tc>
          <w:tcPr>
            <w:tcW w:w="1840" w:type="dxa"/>
            <w:vAlign w:val="bottom"/>
          </w:tcPr>
          <w:p>
            <w:pPr>
              <w:ind w:left="300"/>
              <w:spacing w:after="0"/>
              <w:rPr>
                <w:sz w:val="20"/>
                <w:szCs w:val="20"/>
                <w:color w:val="auto"/>
              </w:rPr>
            </w:pPr>
            <w:r>
              <w:rPr>
                <w:rFonts w:ascii="Courier New" w:cs="Courier New" w:eastAsia="Courier New" w:hAnsi="Courier New"/>
                <w:sz w:val="14"/>
                <w:szCs w:val="14"/>
                <w:color w:val="auto"/>
              </w:rPr>
              <w:t>Texas</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480" w:type="dxa"/>
            <w:vAlign w:val="bottom"/>
          </w:tcPr>
          <w:p>
            <w:pPr>
              <w:spacing w:after="0"/>
              <w:rPr>
                <w:sz w:val="14"/>
                <w:szCs w:val="14"/>
                <w:color w:val="auto"/>
              </w:rPr>
            </w:pPr>
          </w:p>
        </w:tc>
      </w:tr>
      <w:tr>
        <w:trPr>
          <w:trHeight w:val="166"/>
        </w:trPr>
        <w:tc>
          <w:tcPr>
            <w:tcW w:w="6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Digital Ink Co.   . . . . . . . . . . . . . . . . . . . . . . . . . . .</w:t>
            </w:r>
          </w:p>
        </w:tc>
        <w:tc>
          <w:tcPr>
            <w:tcW w:w="1840" w:type="dxa"/>
            <w:vAlign w:val="bottom"/>
          </w:tcPr>
          <w:p>
            <w:pPr>
              <w:ind w:left="300"/>
              <w:spacing w:after="0"/>
              <w:rPr>
                <w:sz w:val="20"/>
                <w:szCs w:val="20"/>
                <w:color w:val="auto"/>
              </w:rPr>
            </w:pPr>
            <w:r>
              <w:rPr>
                <w:rFonts w:ascii="Courier New" w:cs="Courier New" w:eastAsia="Courier New" w:hAnsi="Courier New"/>
                <w:sz w:val="14"/>
                <w:szCs w:val="14"/>
                <w:color w:val="auto"/>
              </w:rPr>
              <w:t>Delaware</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480" w:type="dxa"/>
            <w:vAlign w:val="bottom"/>
          </w:tcPr>
          <w:p>
            <w:pPr>
              <w:spacing w:after="0"/>
              <w:rPr>
                <w:sz w:val="14"/>
                <w:szCs w:val="14"/>
                <w:color w:val="auto"/>
              </w:rPr>
            </w:pPr>
          </w:p>
        </w:tc>
      </w:tr>
      <w:tr>
        <w:trPr>
          <w:trHeight w:val="166"/>
        </w:trPr>
        <w:tc>
          <w:tcPr>
            <w:tcW w:w="6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The Gazette Newspapers, Inc.  . . . . . . . . . . . . . . . . . . . . .</w:t>
            </w:r>
          </w:p>
        </w:tc>
        <w:tc>
          <w:tcPr>
            <w:tcW w:w="1840" w:type="dxa"/>
            <w:vAlign w:val="bottom"/>
          </w:tcPr>
          <w:p>
            <w:pPr>
              <w:ind w:left="300"/>
              <w:spacing w:after="0"/>
              <w:rPr>
                <w:sz w:val="20"/>
                <w:szCs w:val="20"/>
                <w:color w:val="auto"/>
              </w:rPr>
            </w:pPr>
            <w:r>
              <w:rPr>
                <w:rFonts w:ascii="Courier New" w:cs="Courier New" w:eastAsia="Courier New" w:hAnsi="Courier New"/>
                <w:sz w:val="14"/>
                <w:szCs w:val="14"/>
                <w:color w:val="auto"/>
              </w:rPr>
              <w:t>Maryland</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480" w:type="dxa"/>
            <w:vAlign w:val="bottom"/>
          </w:tcPr>
          <w:p>
            <w:pPr>
              <w:spacing w:after="0"/>
              <w:rPr>
                <w:sz w:val="14"/>
                <w:szCs w:val="14"/>
                <w:color w:val="auto"/>
              </w:rPr>
            </w:pPr>
          </w:p>
        </w:tc>
      </w:tr>
      <w:tr>
        <w:trPr>
          <w:trHeight w:val="166"/>
        </w:trPr>
        <w:tc>
          <w:tcPr>
            <w:tcW w:w="6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I.H.T. Corporation  . . . . . . . . . . . . . . . . . . . . . . . . . .</w:t>
            </w:r>
          </w:p>
        </w:tc>
        <w:tc>
          <w:tcPr>
            <w:tcW w:w="1840" w:type="dxa"/>
            <w:vAlign w:val="bottom"/>
          </w:tcPr>
          <w:p>
            <w:pPr>
              <w:ind w:left="300"/>
              <w:spacing w:after="0"/>
              <w:rPr>
                <w:sz w:val="20"/>
                <w:szCs w:val="20"/>
                <w:color w:val="auto"/>
              </w:rPr>
            </w:pPr>
            <w:r>
              <w:rPr>
                <w:rFonts w:ascii="Courier New" w:cs="Courier New" w:eastAsia="Courier New" w:hAnsi="Courier New"/>
                <w:sz w:val="14"/>
                <w:szCs w:val="14"/>
                <w:color w:val="auto"/>
              </w:rPr>
              <w:t>Delaware</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c>
          <w:tcPr>
            <w:tcW w:w="480" w:type="dxa"/>
            <w:vAlign w:val="bottom"/>
          </w:tcPr>
          <w:p>
            <w:pPr>
              <w:spacing w:after="0"/>
              <w:rPr>
                <w:sz w:val="14"/>
                <w:szCs w:val="14"/>
                <w:color w:val="auto"/>
              </w:rPr>
            </w:pPr>
          </w:p>
        </w:tc>
      </w:tr>
      <w:tr>
        <w:trPr>
          <w:trHeight w:val="166"/>
        </w:trPr>
        <w:tc>
          <w:tcPr>
            <w:tcW w:w="6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International Herald Tribune S.A.   . . . . . . . . . . . . . . .</w:t>
            </w:r>
          </w:p>
        </w:tc>
        <w:tc>
          <w:tcPr>
            <w:tcW w:w="1840" w:type="dxa"/>
            <w:vAlign w:val="bottom"/>
          </w:tcPr>
          <w:p>
            <w:pPr>
              <w:ind w:left="300"/>
              <w:spacing w:after="0"/>
              <w:rPr>
                <w:sz w:val="20"/>
                <w:szCs w:val="20"/>
                <w:color w:val="auto"/>
              </w:rPr>
            </w:pPr>
            <w:r>
              <w:rPr>
                <w:rFonts w:ascii="Courier New" w:cs="Courier New" w:eastAsia="Courier New" w:hAnsi="Courier New"/>
                <w:sz w:val="14"/>
                <w:szCs w:val="14"/>
                <w:color w:val="auto"/>
              </w:rPr>
              <w:t>France</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33-1/3%</w:t>
            </w:r>
          </w:p>
        </w:tc>
        <w:tc>
          <w:tcPr>
            <w:tcW w:w="480" w:type="dxa"/>
            <w:vAlign w:val="bottom"/>
          </w:tcPr>
          <w:p>
            <w:pPr>
              <w:spacing w:after="0"/>
              <w:rPr>
                <w:sz w:val="14"/>
                <w:szCs w:val="14"/>
                <w:color w:val="auto"/>
              </w:rPr>
            </w:pPr>
          </w:p>
        </w:tc>
      </w:tr>
      <w:tr>
        <w:trPr>
          <w:trHeight w:val="166"/>
        </w:trPr>
        <w:tc>
          <w:tcPr>
            <w:tcW w:w="6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International Herald Tribune S.A.   . . . . . . . . . . . . . . . . . .</w:t>
            </w:r>
          </w:p>
        </w:tc>
        <w:tc>
          <w:tcPr>
            <w:tcW w:w="1840" w:type="dxa"/>
            <w:vAlign w:val="bottom"/>
          </w:tcPr>
          <w:p>
            <w:pPr>
              <w:ind w:left="300"/>
              <w:spacing w:after="0"/>
              <w:rPr>
                <w:sz w:val="20"/>
                <w:szCs w:val="20"/>
                <w:color w:val="auto"/>
              </w:rPr>
            </w:pPr>
            <w:r>
              <w:rPr>
                <w:rFonts w:ascii="Courier New" w:cs="Courier New" w:eastAsia="Courier New" w:hAnsi="Courier New"/>
                <w:sz w:val="14"/>
                <w:szCs w:val="14"/>
                <w:color w:val="auto"/>
              </w:rPr>
              <w:t>France</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33-1/3%</w:t>
            </w:r>
          </w:p>
        </w:tc>
        <w:tc>
          <w:tcPr>
            <w:tcW w:w="480" w:type="dxa"/>
            <w:vAlign w:val="bottom"/>
          </w:tcPr>
          <w:p>
            <w:pPr>
              <w:spacing w:after="0"/>
              <w:rPr>
                <w:sz w:val="14"/>
                <w:szCs w:val="14"/>
                <w:color w:val="auto"/>
              </w:rPr>
            </w:pPr>
          </w:p>
        </w:tc>
      </w:tr>
      <w:tr>
        <w:trPr>
          <w:trHeight w:val="166"/>
        </w:trPr>
        <w:tc>
          <w:tcPr>
            <w:tcW w:w="6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Legi-Slate, Inc.  . . . . . . . . . . . . . . . . . . . . . . . . . . .</w:t>
            </w:r>
          </w:p>
        </w:tc>
        <w:tc>
          <w:tcPr>
            <w:tcW w:w="1840" w:type="dxa"/>
            <w:vAlign w:val="bottom"/>
          </w:tcPr>
          <w:p>
            <w:pPr>
              <w:ind w:left="300"/>
              <w:spacing w:after="0"/>
              <w:rPr>
                <w:sz w:val="20"/>
                <w:szCs w:val="20"/>
                <w:color w:val="auto"/>
              </w:rPr>
            </w:pPr>
            <w:r>
              <w:rPr>
                <w:rFonts w:ascii="Courier New" w:cs="Courier New" w:eastAsia="Courier New" w:hAnsi="Courier New"/>
                <w:sz w:val="14"/>
                <w:szCs w:val="14"/>
                <w:color w:val="auto"/>
              </w:rPr>
              <w:t>Delaware</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480" w:type="dxa"/>
            <w:vAlign w:val="bottom"/>
          </w:tcPr>
          <w:p>
            <w:pPr>
              <w:spacing w:after="0"/>
              <w:rPr>
                <w:sz w:val="14"/>
                <w:szCs w:val="14"/>
                <w:color w:val="auto"/>
              </w:rPr>
            </w:pPr>
          </w:p>
        </w:tc>
      </w:tr>
      <w:tr>
        <w:trPr>
          <w:trHeight w:val="166"/>
        </w:trPr>
        <w:tc>
          <w:tcPr>
            <w:tcW w:w="6340" w:type="dxa"/>
            <w:vAlign w:val="bottom"/>
          </w:tcPr>
          <w:p>
            <w:pPr>
              <w:jc w:val="right"/>
              <w:ind w:right="2208"/>
              <w:spacing w:after="0"/>
              <w:rPr>
                <w:sz w:val="20"/>
                <w:szCs w:val="20"/>
                <w:color w:val="auto"/>
              </w:rPr>
            </w:pPr>
            <w:r>
              <w:rPr>
                <w:rFonts w:ascii="Courier New" w:cs="Courier New" w:eastAsia="Courier New" w:hAnsi="Courier New"/>
                <w:sz w:val="14"/>
                <w:szCs w:val="14"/>
                <w:color w:val="auto"/>
              </w:rPr>
              <w:t>Los Angeles Times-Washington Post News Service,</w:t>
            </w:r>
          </w:p>
        </w:tc>
        <w:tc>
          <w:tcPr>
            <w:tcW w:w="1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6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   . . . . . . . . . . . . . . . . . . . . . . . . . . . . . . .</w:t>
            </w:r>
          </w:p>
        </w:tc>
        <w:tc>
          <w:tcPr>
            <w:tcW w:w="1840" w:type="dxa"/>
            <w:vAlign w:val="bottom"/>
          </w:tcPr>
          <w:p>
            <w:pPr>
              <w:ind w:left="300"/>
              <w:spacing w:after="0"/>
              <w:rPr>
                <w:sz w:val="20"/>
                <w:szCs w:val="20"/>
                <w:color w:val="auto"/>
              </w:rPr>
            </w:pPr>
            <w:r>
              <w:rPr>
                <w:rFonts w:ascii="Courier New" w:cs="Courier New" w:eastAsia="Courier New" w:hAnsi="Courier New"/>
                <w:sz w:val="14"/>
                <w:szCs w:val="14"/>
                <w:color w:val="auto"/>
              </w:rPr>
              <w:t>D.C.</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c>
          <w:tcPr>
            <w:tcW w:w="480" w:type="dxa"/>
            <w:vAlign w:val="bottom"/>
          </w:tcPr>
          <w:p>
            <w:pPr>
              <w:spacing w:after="0"/>
              <w:rPr>
                <w:sz w:val="14"/>
                <w:szCs w:val="14"/>
                <w:color w:val="auto"/>
              </w:rPr>
            </w:pPr>
          </w:p>
        </w:tc>
      </w:tr>
      <w:tr>
        <w:trPr>
          <w:trHeight w:val="166"/>
        </w:trPr>
        <w:tc>
          <w:tcPr>
            <w:tcW w:w="6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Mammoth Micro Productions, Inc. . . . . . . . . . . . . . . . . . . . .</w:t>
            </w:r>
          </w:p>
        </w:tc>
        <w:tc>
          <w:tcPr>
            <w:tcW w:w="1840" w:type="dxa"/>
            <w:vAlign w:val="bottom"/>
          </w:tcPr>
          <w:p>
            <w:pPr>
              <w:ind w:left="300"/>
              <w:spacing w:after="0"/>
              <w:rPr>
                <w:sz w:val="20"/>
                <w:szCs w:val="20"/>
                <w:color w:val="auto"/>
              </w:rPr>
            </w:pPr>
            <w:r>
              <w:rPr>
                <w:rFonts w:ascii="Courier New" w:cs="Courier New" w:eastAsia="Courier New" w:hAnsi="Courier New"/>
                <w:sz w:val="14"/>
                <w:szCs w:val="14"/>
                <w:color w:val="auto"/>
              </w:rPr>
              <w:t>Washington</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80%</w:t>
            </w:r>
          </w:p>
        </w:tc>
        <w:tc>
          <w:tcPr>
            <w:tcW w:w="480" w:type="dxa"/>
            <w:vAlign w:val="bottom"/>
          </w:tcPr>
          <w:p>
            <w:pPr>
              <w:spacing w:after="0"/>
              <w:rPr>
                <w:sz w:val="14"/>
                <w:szCs w:val="14"/>
                <w:color w:val="auto"/>
              </w:rPr>
            </w:pPr>
          </w:p>
        </w:tc>
      </w:tr>
      <w:tr>
        <w:trPr>
          <w:trHeight w:val="166"/>
        </w:trPr>
        <w:tc>
          <w:tcPr>
            <w:tcW w:w="6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Marks Cablevision of Green, Incorporated  . . . . . . . . . . . . . . .</w:t>
            </w:r>
          </w:p>
        </w:tc>
        <w:tc>
          <w:tcPr>
            <w:tcW w:w="1840" w:type="dxa"/>
            <w:vAlign w:val="bottom"/>
          </w:tcPr>
          <w:p>
            <w:pPr>
              <w:ind w:left="300"/>
              <w:spacing w:after="0"/>
              <w:rPr>
                <w:sz w:val="20"/>
                <w:szCs w:val="20"/>
                <w:color w:val="auto"/>
              </w:rPr>
            </w:pPr>
            <w:r>
              <w:rPr>
                <w:rFonts w:ascii="Courier New" w:cs="Courier New" w:eastAsia="Courier New" w:hAnsi="Courier New"/>
                <w:sz w:val="14"/>
                <w:szCs w:val="14"/>
                <w:color w:val="auto"/>
              </w:rPr>
              <w:t>Ohio</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480" w:type="dxa"/>
            <w:vAlign w:val="bottom"/>
          </w:tcPr>
          <w:p>
            <w:pPr>
              <w:spacing w:after="0"/>
              <w:rPr>
                <w:sz w:val="14"/>
                <w:szCs w:val="14"/>
                <w:color w:val="auto"/>
              </w:rPr>
            </w:pPr>
          </w:p>
        </w:tc>
      </w:tr>
      <w:tr>
        <w:trPr>
          <w:trHeight w:val="166"/>
        </w:trPr>
        <w:tc>
          <w:tcPr>
            <w:tcW w:w="6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Newsprint, Inc.   . . . . . . . . . . . . . . . . . . . . . . . . . . .</w:t>
            </w:r>
          </w:p>
        </w:tc>
        <w:tc>
          <w:tcPr>
            <w:tcW w:w="1840" w:type="dxa"/>
            <w:vAlign w:val="bottom"/>
          </w:tcPr>
          <w:p>
            <w:pPr>
              <w:ind w:left="300"/>
              <w:spacing w:after="0"/>
              <w:rPr>
                <w:sz w:val="20"/>
                <w:szCs w:val="20"/>
                <w:color w:val="auto"/>
              </w:rPr>
            </w:pPr>
            <w:r>
              <w:rPr>
                <w:rFonts w:ascii="Courier New" w:cs="Courier New" w:eastAsia="Courier New" w:hAnsi="Courier New"/>
                <w:sz w:val="14"/>
                <w:szCs w:val="14"/>
                <w:color w:val="auto"/>
              </w:rPr>
              <w:t>Virginia</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480" w:type="dxa"/>
            <w:vAlign w:val="bottom"/>
          </w:tcPr>
          <w:p>
            <w:pPr>
              <w:spacing w:after="0"/>
              <w:rPr>
                <w:sz w:val="14"/>
                <w:szCs w:val="14"/>
                <w:color w:val="auto"/>
              </w:rPr>
            </w:pPr>
          </w:p>
        </w:tc>
      </w:tr>
      <w:tr>
        <w:trPr>
          <w:trHeight w:val="166"/>
        </w:trPr>
        <w:tc>
          <w:tcPr>
            <w:tcW w:w="6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Bear Island Paper Company   . . . . . . . . . . . . . . . . . . .</w:t>
            </w:r>
          </w:p>
        </w:tc>
        <w:tc>
          <w:tcPr>
            <w:tcW w:w="1840" w:type="dxa"/>
            <w:vAlign w:val="bottom"/>
          </w:tcPr>
          <w:p>
            <w:pPr>
              <w:ind w:left="300"/>
              <w:spacing w:after="0"/>
              <w:rPr>
                <w:sz w:val="20"/>
                <w:szCs w:val="20"/>
                <w:color w:val="auto"/>
              </w:rPr>
            </w:pPr>
            <w:r>
              <w:rPr>
                <w:rFonts w:ascii="Courier New" w:cs="Courier New" w:eastAsia="Courier New" w:hAnsi="Courier New"/>
                <w:sz w:val="14"/>
                <w:szCs w:val="14"/>
                <w:color w:val="auto"/>
              </w:rPr>
              <w:t>Virginia</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(a)</w:t>
            </w:r>
          </w:p>
        </w:tc>
      </w:tr>
      <w:tr>
        <w:trPr>
          <w:trHeight w:val="166"/>
        </w:trPr>
        <w:tc>
          <w:tcPr>
            <w:tcW w:w="6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Bear Island Timberlands Company   . . . . . . . . . . . . . . . .</w:t>
            </w:r>
          </w:p>
        </w:tc>
        <w:tc>
          <w:tcPr>
            <w:tcW w:w="1840" w:type="dxa"/>
            <w:vAlign w:val="bottom"/>
          </w:tcPr>
          <w:p>
            <w:pPr>
              <w:ind w:left="300"/>
              <w:spacing w:after="0"/>
              <w:rPr>
                <w:sz w:val="20"/>
                <w:szCs w:val="20"/>
                <w:color w:val="auto"/>
              </w:rPr>
            </w:pPr>
            <w:r>
              <w:rPr>
                <w:rFonts w:ascii="Courier New" w:cs="Courier New" w:eastAsia="Courier New" w:hAnsi="Courier New"/>
                <w:sz w:val="14"/>
                <w:szCs w:val="14"/>
                <w:color w:val="auto"/>
              </w:rPr>
              <w:t>Virginia</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(a)</w:t>
            </w:r>
          </w:p>
        </w:tc>
      </w:tr>
      <w:tr>
        <w:trPr>
          <w:trHeight w:val="166"/>
        </w:trPr>
        <w:tc>
          <w:tcPr>
            <w:tcW w:w="6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Newsweek, Inc.  . . . . . . . . . . . . . . . . . . . . . . . . . . . .</w:t>
            </w:r>
          </w:p>
        </w:tc>
        <w:tc>
          <w:tcPr>
            <w:tcW w:w="1840" w:type="dxa"/>
            <w:vAlign w:val="bottom"/>
          </w:tcPr>
          <w:p>
            <w:pPr>
              <w:ind w:left="300"/>
              <w:spacing w:after="0"/>
              <w:rPr>
                <w:sz w:val="20"/>
                <w:szCs w:val="20"/>
                <w:color w:val="auto"/>
              </w:rPr>
            </w:pPr>
            <w:r>
              <w:rPr>
                <w:rFonts w:ascii="Courier New" w:cs="Courier New" w:eastAsia="Courier New" w:hAnsi="Courier New"/>
                <w:sz w:val="14"/>
                <w:szCs w:val="14"/>
                <w:color w:val="auto"/>
              </w:rPr>
              <w:t>New York</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480" w:type="dxa"/>
            <w:vAlign w:val="bottom"/>
          </w:tcPr>
          <w:p>
            <w:pPr>
              <w:spacing w:after="0"/>
              <w:rPr>
                <w:sz w:val="14"/>
                <w:szCs w:val="14"/>
                <w:color w:val="auto"/>
              </w:rPr>
            </w:pPr>
          </w:p>
        </w:tc>
      </w:tr>
      <w:tr>
        <w:trPr>
          <w:trHeight w:val="166"/>
        </w:trPr>
        <w:tc>
          <w:tcPr>
            <w:tcW w:w="6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Newsweek Services, Inc.   . . . . . . . . . . . . . . . . . . . .</w:t>
            </w:r>
          </w:p>
        </w:tc>
        <w:tc>
          <w:tcPr>
            <w:tcW w:w="1840" w:type="dxa"/>
            <w:vAlign w:val="bottom"/>
          </w:tcPr>
          <w:p>
            <w:pPr>
              <w:ind w:left="300"/>
              <w:spacing w:after="0"/>
              <w:rPr>
                <w:sz w:val="20"/>
                <w:szCs w:val="20"/>
                <w:color w:val="auto"/>
              </w:rPr>
            </w:pPr>
            <w:r>
              <w:rPr>
                <w:rFonts w:ascii="Courier New" w:cs="Courier New" w:eastAsia="Courier New" w:hAnsi="Courier New"/>
                <w:sz w:val="14"/>
                <w:szCs w:val="14"/>
                <w:color w:val="auto"/>
              </w:rPr>
              <w:t>Delaware</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480" w:type="dxa"/>
            <w:vAlign w:val="bottom"/>
          </w:tcPr>
          <w:p>
            <w:pPr>
              <w:spacing w:after="0"/>
              <w:rPr>
                <w:sz w:val="14"/>
                <w:szCs w:val="14"/>
                <w:color w:val="auto"/>
              </w:rPr>
            </w:pPr>
          </w:p>
        </w:tc>
      </w:tr>
      <w:tr>
        <w:trPr>
          <w:trHeight w:val="166"/>
        </w:trPr>
        <w:tc>
          <w:tcPr>
            <w:tcW w:w="6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Newsweek Services (Canada), Inc.  . . . . . . . . . . . . . . . .</w:t>
            </w:r>
          </w:p>
        </w:tc>
        <w:tc>
          <w:tcPr>
            <w:tcW w:w="1840" w:type="dxa"/>
            <w:vAlign w:val="bottom"/>
          </w:tcPr>
          <w:p>
            <w:pPr>
              <w:ind w:left="300"/>
              <w:spacing w:after="0"/>
              <w:rPr>
                <w:sz w:val="20"/>
                <w:szCs w:val="20"/>
                <w:color w:val="auto"/>
              </w:rPr>
            </w:pPr>
            <w:r>
              <w:rPr>
                <w:rFonts w:ascii="Courier New" w:cs="Courier New" w:eastAsia="Courier New" w:hAnsi="Courier New"/>
                <w:sz w:val="14"/>
                <w:szCs w:val="14"/>
                <w:color w:val="auto"/>
              </w:rPr>
              <w:t>Delaware</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480" w:type="dxa"/>
            <w:vAlign w:val="bottom"/>
          </w:tcPr>
          <w:p>
            <w:pPr>
              <w:spacing w:after="0"/>
              <w:rPr>
                <w:sz w:val="14"/>
                <w:szCs w:val="14"/>
                <w:color w:val="auto"/>
              </w:rPr>
            </w:pPr>
          </w:p>
        </w:tc>
      </w:tr>
      <w:tr>
        <w:trPr>
          <w:trHeight w:val="166"/>
        </w:trPr>
        <w:tc>
          <w:tcPr>
            <w:tcW w:w="6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Oklahoma Broadcasting Company   . . . . . . . . . . . . . . . . . . . .</w:t>
            </w:r>
          </w:p>
        </w:tc>
        <w:tc>
          <w:tcPr>
            <w:tcW w:w="1840" w:type="dxa"/>
            <w:vAlign w:val="bottom"/>
          </w:tcPr>
          <w:p>
            <w:pPr>
              <w:ind w:left="300"/>
              <w:spacing w:after="0"/>
              <w:rPr>
                <w:sz w:val="20"/>
                <w:szCs w:val="20"/>
                <w:color w:val="auto"/>
              </w:rPr>
            </w:pPr>
            <w:r>
              <w:rPr>
                <w:rFonts w:ascii="Courier New" w:cs="Courier New" w:eastAsia="Courier New" w:hAnsi="Courier New"/>
                <w:sz w:val="14"/>
                <w:szCs w:val="14"/>
                <w:color w:val="auto"/>
              </w:rPr>
              <w:t>Oklahoma</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480" w:type="dxa"/>
            <w:vAlign w:val="bottom"/>
          </w:tcPr>
          <w:p>
            <w:pPr>
              <w:spacing w:after="0"/>
              <w:rPr>
                <w:sz w:val="14"/>
                <w:szCs w:val="14"/>
                <w:color w:val="auto"/>
              </w:rPr>
            </w:pPr>
          </w:p>
        </w:tc>
      </w:tr>
      <w:tr>
        <w:trPr>
          <w:trHeight w:val="166"/>
        </w:trPr>
        <w:tc>
          <w:tcPr>
            <w:tcW w:w="6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Omnicom Cablevision of Illinois, Inc.   . . . . . . . . . . . . . . . .</w:t>
            </w:r>
          </w:p>
        </w:tc>
        <w:tc>
          <w:tcPr>
            <w:tcW w:w="1840" w:type="dxa"/>
            <w:vAlign w:val="bottom"/>
          </w:tcPr>
          <w:p>
            <w:pPr>
              <w:ind w:left="300"/>
              <w:spacing w:after="0"/>
              <w:rPr>
                <w:sz w:val="20"/>
                <w:szCs w:val="20"/>
                <w:color w:val="auto"/>
              </w:rPr>
            </w:pPr>
            <w:r>
              <w:rPr>
                <w:rFonts w:ascii="Courier New" w:cs="Courier New" w:eastAsia="Courier New" w:hAnsi="Courier New"/>
                <w:sz w:val="14"/>
                <w:szCs w:val="14"/>
                <w:color w:val="auto"/>
              </w:rPr>
              <w:t>Illinois</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480" w:type="dxa"/>
            <w:vAlign w:val="bottom"/>
          </w:tcPr>
          <w:p>
            <w:pPr>
              <w:spacing w:after="0"/>
              <w:rPr>
                <w:sz w:val="14"/>
                <w:szCs w:val="14"/>
                <w:color w:val="auto"/>
              </w:rPr>
            </w:pPr>
          </w:p>
        </w:tc>
      </w:tr>
      <w:tr>
        <w:trPr>
          <w:trHeight w:val="166"/>
        </w:trPr>
        <w:tc>
          <w:tcPr>
            <w:tcW w:w="6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Post-Newsweek Cable, Inc.   . . . . . . . . . . . . . . . . . . . . . .</w:t>
            </w:r>
          </w:p>
        </w:tc>
        <w:tc>
          <w:tcPr>
            <w:tcW w:w="1840" w:type="dxa"/>
            <w:vAlign w:val="bottom"/>
          </w:tcPr>
          <w:p>
            <w:pPr>
              <w:ind w:left="300"/>
              <w:spacing w:after="0"/>
              <w:rPr>
                <w:sz w:val="20"/>
                <w:szCs w:val="20"/>
                <w:color w:val="auto"/>
              </w:rPr>
            </w:pPr>
            <w:r>
              <w:rPr>
                <w:rFonts w:ascii="Courier New" w:cs="Courier New" w:eastAsia="Courier New" w:hAnsi="Courier New"/>
                <w:sz w:val="14"/>
                <w:szCs w:val="14"/>
                <w:color w:val="auto"/>
              </w:rPr>
              <w:t>Delaware</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480" w:type="dxa"/>
            <w:vAlign w:val="bottom"/>
          </w:tcPr>
          <w:p>
            <w:pPr>
              <w:spacing w:after="0"/>
              <w:rPr>
                <w:sz w:val="14"/>
                <w:szCs w:val="14"/>
                <w:color w:val="auto"/>
              </w:rPr>
            </w:pPr>
          </w:p>
        </w:tc>
      </w:tr>
      <w:tr>
        <w:trPr>
          <w:trHeight w:val="166"/>
        </w:trPr>
        <w:tc>
          <w:tcPr>
            <w:tcW w:w="6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Post-Newsweek Cable of California, Inc.   . . . . . . . . . . . . . . .</w:t>
            </w:r>
          </w:p>
        </w:tc>
        <w:tc>
          <w:tcPr>
            <w:tcW w:w="1840" w:type="dxa"/>
            <w:vAlign w:val="bottom"/>
          </w:tcPr>
          <w:p>
            <w:pPr>
              <w:ind w:left="300"/>
              <w:spacing w:after="0"/>
              <w:rPr>
                <w:sz w:val="20"/>
                <w:szCs w:val="20"/>
                <w:color w:val="auto"/>
              </w:rPr>
            </w:pPr>
            <w:r>
              <w:rPr>
                <w:rFonts w:ascii="Courier New" w:cs="Courier New" w:eastAsia="Courier New" w:hAnsi="Courier New"/>
                <w:sz w:val="14"/>
                <w:szCs w:val="14"/>
                <w:color w:val="auto"/>
              </w:rPr>
              <w:t>California</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480" w:type="dxa"/>
            <w:vAlign w:val="bottom"/>
          </w:tcPr>
          <w:p>
            <w:pPr>
              <w:spacing w:after="0"/>
              <w:rPr>
                <w:sz w:val="14"/>
                <w:szCs w:val="14"/>
                <w:color w:val="auto"/>
              </w:rPr>
            </w:pPr>
          </w:p>
        </w:tc>
      </w:tr>
      <w:tr>
        <w:trPr>
          <w:trHeight w:val="166"/>
        </w:trPr>
        <w:tc>
          <w:tcPr>
            <w:tcW w:w="6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Post-Newsweek Cable of Indiana, Inc.  . . . . . . . . . . . . . . . . .</w:t>
            </w:r>
          </w:p>
        </w:tc>
        <w:tc>
          <w:tcPr>
            <w:tcW w:w="1840" w:type="dxa"/>
            <w:vAlign w:val="bottom"/>
          </w:tcPr>
          <w:p>
            <w:pPr>
              <w:ind w:left="300"/>
              <w:spacing w:after="0"/>
              <w:rPr>
                <w:sz w:val="20"/>
                <w:szCs w:val="20"/>
                <w:color w:val="auto"/>
              </w:rPr>
            </w:pPr>
            <w:r>
              <w:rPr>
                <w:rFonts w:ascii="Courier New" w:cs="Courier New" w:eastAsia="Courier New" w:hAnsi="Courier New"/>
                <w:sz w:val="14"/>
                <w:szCs w:val="14"/>
                <w:color w:val="auto"/>
              </w:rPr>
              <w:t>Indiana</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480" w:type="dxa"/>
            <w:vAlign w:val="bottom"/>
          </w:tcPr>
          <w:p>
            <w:pPr>
              <w:spacing w:after="0"/>
              <w:rPr>
                <w:sz w:val="14"/>
                <w:szCs w:val="1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20"/>
        <w:spacing w:after="0"/>
        <w:tabs>
          <w:tab w:leader="none" w:pos="1020" w:val="left"/>
        </w:tabs>
        <w:rPr>
          <w:sz w:val="20"/>
          <w:szCs w:val="20"/>
          <w:color w:val="auto"/>
        </w:rPr>
      </w:pPr>
      <w:r>
        <w:rPr>
          <w:rFonts w:ascii="Courier New" w:cs="Courier New" w:eastAsia="Courier New" w:hAnsi="Courier New"/>
          <w:sz w:val="14"/>
          <w:szCs w:val="14"/>
          <w:color w:val="auto"/>
        </w:rPr>
        <w:t>(a)</w:t>
        <w:tab/>
        <w:t>Limited partnership interest.</w:t>
      </w:r>
    </w:p>
    <w:p>
      <w:pPr>
        <w:sectPr>
          <w:pgSz w:w="11900" w:h="16838" w:orient="portrait"/>
          <w:cols w:equalWidth="0" w:num="1">
            <w:col w:w="10159"/>
          </w:cols>
          <w:pgMar w:left="300" w:top="141"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SUBSIDIARIES OF THE COMPANY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3360" w:type="dxa"/>
            <w:vAlign w:val="bottom"/>
          </w:tcPr>
          <w:p>
            <w:pPr>
              <w:jc w:val="right"/>
              <w:ind w:right="2168"/>
              <w:spacing w:after="0"/>
              <w:rPr>
                <w:sz w:val="20"/>
                <w:szCs w:val="20"/>
                <w:color w:val="auto"/>
              </w:rPr>
            </w:pPr>
            <w:r>
              <w:rPr>
                <w:rFonts w:ascii="Courier New" w:cs="Courier New" w:eastAsia="Courier New" w:hAnsi="Courier New"/>
                <w:sz w:val="14"/>
                <w:szCs w:val="14"/>
                <w:color w:val="auto"/>
              </w:rPr>
              <w:t>(Continued)</w:t>
            </w:r>
          </w:p>
        </w:tc>
        <w:tc>
          <w:tcPr>
            <w:tcW w:w="1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828"/>
        </w:trPr>
        <w:tc>
          <w:tcPr>
            <w:tcW w:w="27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760" w:type="dxa"/>
            <w:vAlign w:val="bottom"/>
          </w:tcPr>
          <w:p>
            <w:pPr>
              <w:ind w:left="260"/>
              <w:spacing w:after="0"/>
              <w:rPr>
                <w:sz w:val="20"/>
                <w:szCs w:val="20"/>
                <w:color w:val="auto"/>
              </w:rPr>
            </w:pPr>
            <w:r>
              <w:rPr>
                <w:rFonts w:ascii="Courier New" w:cs="Courier New" w:eastAsia="Courier New" w:hAnsi="Courier New"/>
                <w:sz w:val="14"/>
                <w:szCs w:val="14"/>
                <w:color w:val="auto"/>
              </w:rPr>
              <w:t>Jurisdiction</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of</w:t>
            </w:r>
          </w:p>
        </w:tc>
      </w:tr>
      <w:tr>
        <w:trPr>
          <w:trHeight w:val="166"/>
        </w:trPr>
        <w:tc>
          <w:tcPr>
            <w:tcW w:w="27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760" w:type="dxa"/>
            <w:vAlign w:val="bottom"/>
          </w:tcPr>
          <w:p>
            <w:pPr>
              <w:ind w:left="700"/>
              <w:spacing w:after="0"/>
              <w:rPr>
                <w:sz w:val="20"/>
                <w:szCs w:val="20"/>
                <w:color w:val="auto"/>
              </w:rPr>
            </w:pPr>
            <w:r>
              <w:rPr>
                <w:rFonts w:ascii="Courier New" w:cs="Courier New" w:eastAsia="Courier New" w:hAnsi="Courier New"/>
                <w:sz w:val="14"/>
                <w:szCs w:val="14"/>
                <w:color w:val="auto"/>
              </w:rPr>
              <w:t>of</w:t>
            </w: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Voting</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Stock</w:t>
            </w:r>
          </w:p>
        </w:tc>
      </w:tr>
      <w:tr>
        <w:trPr>
          <w:trHeight w:val="166"/>
        </w:trPr>
        <w:tc>
          <w:tcPr>
            <w:tcW w:w="27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760" w:type="dxa"/>
            <w:vAlign w:val="bottom"/>
          </w:tcPr>
          <w:p>
            <w:pPr>
              <w:ind w:left="180"/>
              <w:spacing w:after="0"/>
              <w:rPr>
                <w:sz w:val="20"/>
                <w:szCs w:val="20"/>
                <w:color w:val="auto"/>
              </w:rPr>
            </w:pPr>
            <w:r>
              <w:rPr>
                <w:rFonts w:ascii="Courier New" w:cs="Courier New" w:eastAsia="Courier New" w:hAnsi="Courier New"/>
                <w:sz w:val="14"/>
                <w:szCs w:val="14"/>
                <w:color w:val="auto"/>
              </w:rPr>
              <w:t>Incorporation</w:t>
            </w:r>
          </w:p>
        </w:tc>
        <w:tc>
          <w:tcPr>
            <w:tcW w:w="17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or Partnership</w:t>
            </w:r>
          </w:p>
        </w:tc>
      </w:tr>
      <w:tr>
        <w:trPr>
          <w:trHeight w:val="166"/>
        </w:trPr>
        <w:tc>
          <w:tcPr>
            <w:tcW w:w="27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760" w:type="dxa"/>
            <w:vAlign w:val="bottom"/>
          </w:tcPr>
          <w:p>
            <w:pPr>
              <w:ind w:left="600"/>
              <w:spacing w:after="0"/>
              <w:rPr>
                <w:sz w:val="20"/>
                <w:szCs w:val="20"/>
                <w:color w:val="auto"/>
              </w:rPr>
            </w:pPr>
            <w:r>
              <w:rPr>
                <w:rFonts w:ascii="Courier New" w:cs="Courier New" w:eastAsia="Courier New" w:hAnsi="Courier New"/>
                <w:sz w:val="14"/>
                <w:szCs w:val="14"/>
                <w:color w:val="auto"/>
              </w:rPr>
              <w:t>or</w:t>
            </w:r>
          </w:p>
        </w:tc>
        <w:tc>
          <w:tcPr>
            <w:tcW w:w="17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Interest Owned</w:t>
            </w:r>
          </w:p>
        </w:tc>
      </w:tr>
      <w:tr>
        <w:trPr>
          <w:trHeight w:val="166"/>
        </w:trPr>
        <w:tc>
          <w:tcPr>
            <w:tcW w:w="6120" w:type="dxa"/>
            <w:vAlign w:val="bottom"/>
            <w:gridSpan w:val="2"/>
          </w:tcPr>
          <w:p>
            <w:pPr>
              <w:jc w:val="right"/>
              <w:ind w:right="3028"/>
              <w:spacing w:after="0"/>
              <w:rPr>
                <w:sz w:val="20"/>
                <w:szCs w:val="20"/>
                <w:color w:val="auto"/>
              </w:rPr>
            </w:pPr>
            <w:r>
              <w:rPr>
                <w:rFonts w:ascii="Courier New" w:cs="Courier New" w:eastAsia="Courier New" w:hAnsi="Courier New"/>
                <w:sz w:val="14"/>
                <w:szCs w:val="14"/>
                <w:color w:val="auto"/>
              </w:rPr>
              <w:t>Name of Subsidiary</w:t>
            </w:r>
          </w:p>
        </w:tc>
        <w:tc>
          <w:tcPr>
            <w:tcW w:w="1760" w:type="dxa"/>
            <w:vAlign w:val="bottom"/>
          </w:tcPr>
          <w:p>
            <w:pPr>
              <w:ind w:left="180"/>
              <w:spacing w:after="0"/>
              <w:rPr>
                <w:sz w:val="20"/>
                <w:szCs w:val="20"/>
                <w:color w:val="auto"/>
              </w:rPr>
            </w:pPr>
            <w:r>
              <w:rPr>
                <w:rFonts w:ascii="Courier New" w:cs="Courier New" w:eastAsia="Courier New" w:hAnsi="Courier New"/>
                <w:sz w:val="14"/>
                <w:szCs w:val="14"/>
                <w:color w:val="auto"/>
              </w:rPr>
              <w:t>Organization</w:t>
            </w:r>
          </w:p>
        </w:tc>
        <w:tc>
          <w:tcPr>
            <w:tcW w:w="17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by Company</w:t>
            </w:r>
          </w:p>
        </w:tc>
      </w:tr>
      <w:tr>
        <w:trPr>
          <w:trHeight w:val="166"/>
        </w:trPr>
        <w:tc>
          <w:tcPr>
            <w:tcW w:w="6120" w:type="dxa"/>
            <w:vAlign w:val="bottom"/>
            <w:gridSpan w:val="2"/>
          </w:tcPr>
          <w:p>
            <w:pPr>
              <w:jc w:val="right"/>
              <w:ind w:right="302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Post-Newsweek Cable of North Dakota, Inc. . . . . . . . . . . . . . .</w:t>
            </w: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Delaware</w:t>
            </w:r>
          </w:p>
        </w:tc>
        <w:tc>
          <w:tcPr>
            <w:tcW w:w="1040" w:type="dxa"/>
            <w:vAlign w:val="bottom"/>
          </w:tcPr>
          <w:p>
            <w:pPr>
              <w:spacing w:after="0"/>
              <w:rPr>
                <w:sz w:val="24"/>
                <w:szCs w:val="24"/>
                <w:color w:val="auto"/>
              </w:rPr>
            </w:pP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Post-Newsweek Cable of Oklahoma, Inc.   . . . . . . . . . . . . . . .</w:t>
            </w: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Oklahoma</w:t>
            </w:r>
          </w:p>
        </w:tc>
        <w:tc>
          <w:tcPr>
            <w:tcW w:w="1040" w:type="dxa"/>
            <w:vAlign w:val="bottom"/>
          </w:tcPr>
          <w:p>
            <w:pPr>
              <w:spacing w:after="0"/>
              <w:rPr>
                <w:sz w:val="14"/>
                <w:szCs w:val="14"/>
                <w:color w:val="auto"/>
              </w:rPr>
            </w:pP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Post-Newsweek Pacific Cable, Inc.   . . . . . . . . . . . . . . . . .</w:t>
            </w: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California</w:t>
            </w:r>
          </w:p>
        </w:tc>
        <w:tc>
          <w:tcPr>
            <w:tcW w:w="1040" w:type="dxa"/>
            <w:vAlign w:val="bottom"/>
          </w:tcPr>
          <w:p>
            <w:pPr>
              <w:spacing w:after="0"/>
              <w:rPr>
                <w:sz w:val="14"/>
                <w:szCs w:val="14"/>
                <w:color w:val="auto"/>
              </w:rPr>
            </w:pP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Post-Newsweek Stations, Inc.</w:t>
            </w:r>
          </w:p>
        </w:tc>
        <w:tc>
          <w:tcPr>
            <w:tcW w:w="3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 . . . . . . . . . . . . . . . . .</w:t>
            </w: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Delaware</w:t>
            </w:r>
          </w:p>
        </w:tc>
        <w:tc>
          <w:tcPr>
            <w:tcW w:w="1040" w:type="dxa"/>
            <w:vAlign w:val="bottom"/>
          </w:tcPr>
          <w:p>
            <w:pPr>
              <w:spacing w:after="0"/>
              <w:rPr>
                <w:sz w:val="14"/>
                <w:szCs w:val="14"/>
                <w:color w:val="auto"/>
              </w:rPr>
            </w:pP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Post-Newsweek Stations, Connecticut, Inc.  . . . . . . . . . .</w:t>
            </w: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Delaware</w:t>
            </w:r>
          </w:p>
        </w:tc>
        <w:tc>
          <w:tcPr>
            <w:tcW w:w="1040" w:type="dxa"/>
            <w:vAlign w:val="bottom"/>
          </w:tcPr>
          <w:p>
            <w:pPr>
              <w:spacing w:after="0"/>
              <w:rPr>
                <w:sz w:val="14"/>
                <w:szCs w:val="14"/>
                <w:color w:val="auto"/>
              </w:rPr>
            </w:pP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Post-Newsweek Stations, Florida, Inc.  . . . . . . . . . . . .</w:t>
            </w: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Florida</w:t>
            </w:r>
          </w:p>
        </w:tc>
        <w:tc>
          <w:tcPr>
            <w:tcW w:w="1040" w:type="dxa"/>
            <w:vAlign w:val="bottom"/>
          </w:tcPr>
          <w:p>
            <w:pPr>
              <w:spacing w:after="0"/>
              <w:rPr>
                <w:sz w:val="14"/>
                <w:szCs w:val="14"/>
                <w:color w:val="auto"/>
              </w:rPr>
            </w:pP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Post-Newsweek Stations, Houston, Inc.  . . . . . . . . . . . .</w:t>
            </w: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Delaware</w:t>
            </w:r>
          </w:p>
        </w:tc>
        <w:tc>
          <w:tcPr>
            <w:tcW w:w="1040" w:type="dxa"/>
            <w:vAlign w:val="bottom"/>
          </w:tcPr>
          <w:p>
            <w:pPr>
              <w:spacing w:after="0"/>
              <w:rPr>
                <w:sz w:val="14"/>
                <w:szCs w:val="14"/>
                <w:color w:val="auto"/>
              </w:rPr>
            </w:pP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Post-Newsweek Stations, Michigan, Inc.   . . . . . . . . . . .</w:t>
            </w: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Delaware</w:t>
            </w:r>
          </w:p>
        </w:tc>
        <w:tc>
          <w:tcPr>
            <w:tcW w:w="1040" w:type="dxa"/>
            <w:vAlign w:val="bottom"/>
          </w:tcPr>
          <w:p>
            <w:pPr>
              <w:spacing w:after="0"/>
              <w:rPr>
                <w:sz w:val="14"/>
                <w:szCs w:val="14"/>
                <w:color w:val="auto"/>
              </w:rPr>
            </w:pP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Pro Am Sports System, Inc.   . . . . . . . . . . . . . .</w:t>
            </w: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Delaware</w:t>
            </w:r>
          </w:p>
        </w:tc>
        <w:tc>
          <w:tcPr>
            <w:tcW w:w="1040" w:type="dxa"/>
            <w:vAlign w:val="bottom"/>
          </w:tcPr>
          <w:p>
            <w:pPr>
              <w:spacing w:after="0"/>
              <w:rPr>
                <w:sz w:val="14"/>
                <w:szCs w:val="14"/>
                <w:color w:val="auto"/>
              </w:rPr>
            </w:pP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Post-Newsweek Stations, San Antonio, Inc.  . . . . . . . . . .</w:t>
            </w: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Delaware</w:t>
            </w:r>
          </w:p>
        </w:tc>
        <w:tc>
          <w:tcPr>
            <w:tcW w:w="1040" w:type="dxa"/>
            <w:vAlign w:val="bottom"/>
          </w:tcPr>
          <w:p>
            <w:pPr>
              <w:spacing w:after="0"/>
              <w:rPr>
                <w:sz w:val="14"/>
                <w:szCs w:val="14"/>
                <w:color w:val="auto"/>
              </w:rPr>
            </w:pP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Robinson Terminal Warehouse Corporation   . . . . . . . . . . . . . .</w:t>
            </w: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Delaware</w:t>
            </w:r>
          </w:p>
        </w:tc>
        <w:tc>
          <w:tcPr>
            <w:tcW w:w="1040" w:type="dxa"/>
            <w:vAlign w:val="bottom"/>
          </w:tcPr>
          <w:p>
            <w:pPr>
              <w:spacing w:after="0"/>
              <w:rPr>
                <w:sz w:val="14"/>
                <w:szCs w:val="14"/>
                <w:color w:val="auto"/>
              </w:rPr>
            </w:pP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Sandoval County Cable Television Company  . . . . . . . . . . . . . .</w:t>
            </w: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New Mexico</w:t>
            </w:r>
          </w:p>
        </w:tc>
        <w:tc>
          <w:tcPr>
            <w:tcW w:w="1040" w:type="dxa"/>
            <w:vAlign w:val="bottom"/>
          </w:tcPr>
          <w:p>
            <w:pPr>
              <w:spacing w:after="0"/>
              <w:rPr>
                <w:sz w:val="14"/>
                <w:szCs w:val="14"/>
                <w:color w:val="auto"/>
              </w:rPr>
            </w:pP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Stanley H. Kaplan Educational Center Ltd.   . . . . . . . . . . . . .</w:t>
            </w: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Delaware</w:t>
            </w:r>
          </w:p>
        </w:tc>
        <w:tc>
          <w:tcPr>
            <w:tcW w:w="1040" w:type="dxa"/>
            <w:vAlign w:val="bottom"/>
          </w:tcPr>
          <w:p>
            <w:pPr>
              <w:spacing w:after="0"/>
              <w:rPr>
                <w:sz w:val="14"/>
                <w:szCs w:val="14"/>
                <w:color w:val="auto"/>
              </w:rPr>
            </w:pP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120" w:type="dxa"/>
            <w:vAlign w:val="bottom"/>
            <w:gridSpan w:val="2"/>
          </w:tcPr>
          <w:p>
            <w:pPr>
              <w:jc w:val="right"/>
              <w:ind w:right="2088"/>
              <w:spacing w:after="0"/>
              <w:rPr>
                <w:sz w:val="20"/>
                <w:szCs w:val="20"/>
                <w:color w:val="auto"/>
              </w:rPr>
            </w:pPr>
            <w:r>
              <w:rPr>
                <w:rFonts w:ascii="Courier New" w:cs="Courier New" w:eastAsia="Courier New" w:hAnsi="Courier New"/>
                <w:sz w:val="14"/>
                <w:szCs w:val="14"/>
                <w:color w:val="auto"/>
              </w:rPr>
              <w:t>Stanley H. Kaplan Educational Center of</w:t>
            </w:r>
          </w:p>
        </w:tc>
        <w:tc>
          <w:tcPr>
            <w:tcW w:w="1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6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Canada Ltd.   . . . . . . . . . . . . . . . . . . . . . . .</w:t>
            </w: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Ontario</w:t>
            </w:r>
          </w:p>
        </w:tc>
        <w:tc>
          <w:tcPr>
            <w:tcW w:w="1040" w:type="dxa"/>
            <w:vAlign w:val="bottom"/>
          </w:tcPr>
          <w:p>
            <w:pPr>
              <w:spacing w:after="0"/>
              <w:rPr>
                <w:sz w:val="14"/>
                <w:szCs w:val="14"/>
                <w:color w:val="auto"/>
              </w:rPr>
            </w:pP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120" w:type="dxa"/>
            <w:vAlign w:val="bottom"/>
            <w:gridSpan w:val="2"/>
          </w:tcPr>
          <w:p>
            <w:pPr>
              <w:jc w:val="right"/>
              <w:ind w:right="2088"/>
              <w:spacing w:after="0"/>
              <w:rPr>
                <w:sz w:val="20"/>
                <w:szCs w:val="20"/>
                <w:color w:val="auto"/>
              </w:rPr>
            </w:pPr>
            <w:r>
              <w:rPr>
                <w:rFonts w:ascii="Courier New" w:cs="Courier New" w:eastAsia="Courier New" w:hAnsi="Courier New"/>
                <w:sz w:val="14"/>
                <w:szCs w:val="14"/>
                <w:color w:val="auto"/>
              </w:rPr>
              <w:t>Stanley H. Kaplan Educational Center of</w:t>
            </w:r>
          </w:p>
        </w:tc>
        <w:tc>
          <w:tcPr>
            <w:tcW w:w="1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Puerto Rico, Inc. . .</w:t>
            </w:r>
          </w:p>
        </w:tc>
        <w:tc>
          <w:tcPr>
            <w:tcW w:w="3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 . . . . . . . . . . . . . . . . .</w:t>
            </w: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Puerto Rico</w:t>
            </w:r>
          </w:p>
        </w:tc>
        <w:tc>
          <w:tcPr>
            <w:tcW w:w="1040" w:type="dxa"/>
            <w:vAlign w:val="bottom"/>
          </w:tcPr>
          <w:p>
            <w:pPr>
              <w:spacing w:after="0"/>
              <w:rPr>
                <w:sz w:val="14"/>
                <w:szCs w:val="14"/>
                <w:color w:val="auto"/>
              </w:rPr>
            </w:pP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The Daily Herald Company  . . .</w:t>
            </w:r>
          </w:p>
        </w:tc>
        <w:tc>
          <w:tcPr>
            <w:tcW w:w="3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 . . . . . . . . . . . . . . . . .</w:t>
            </w: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Washington</w:t>
            </w:r>
          </w:p>
        </w:tc>
        <w:tc>
          <w:tcPr>
            <w:tcW w:w="1040" w:type="dxa"/>
            <w:vAlign w:val="bottom"/>
          </w:tcPr>
          <w:p>
            <w:pPr>
              <w:spacing w:after="0"/>
              <w:rPr>
                <w:sz w:val="14"/>
                <w:szCs w:val="14"/>
                <w:color w:val="auto"/>
              </w:rPr>
            </w:pP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WPC Telecommunications, Inc.  . . . . . . . . . . . . . . . . . . . .</w:t>
            </w: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Delaware</w:t>
            </w:r>
          </w:p>
        </w:tc>
        <w:tc>
          <w:tcPr>
            <w:tcW w:w="1040" w:type="dxa"/>
            <w:vAlign w:val="bottom"/>
          </w:tcPr>
          <w:p>
            <w:pPr>
              <w:spacing w:after="0"/>
              <w:rPr>
                <w:sz w:val="14"/>
                <w:szCs w:val="14"/>
                <w:color w:val="auto"/>
              </w:rPr>
            </w:pP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Moffet, Larson &amp; Johnson, Inc.   . . . . . . . . . . . . . . .</w:t>
            </w: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Delaware</w:t>
            </w:r>
          </w:p>
        </w:tc>
        <w:tc>
          <w:tcPr>
            <w:tcW w:w="1040" w:type="dxa"/>
            <w:vAlign w:val="bottom"/>
          </w:tcPr>
          <w:p>
            <w:pPr>
              <w:spacing w:after="0"/>
              <w:rPr>
                <w:sz w:val="14"/>
                <w:szCs w:val="14"/>
                <w:color w:val="auto"/>
              </w:rPr>
            </w:pP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71%</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1119"/>
        <w:spacing w:after="0" w:line="252" w:lineRule="auto"/>
        <w:rPr>
          <w:sz w:val="20"/>
          <w:szCs w:val="20"/>
          <w:color w:val="auto"/>
        </w:rPr>
      </w:pPr>
      <w:r>
        <w:rPr>
          <w:rFonts w:ascii="Courier New" w:cs="Courier New" w:eastAsia="Courier New" w:hAnsi="Courier New"/>
          <w:sz w:val="14"/>
          <w:szCs w:val="14"/>
          <w:color w:val="auto"/>
        </w:rPr>
        <w:t>As permitted by Item 601(b)(22) of Regulation S-K, the foregoing list omits certain subsidiaries which, if considered in the aggregate as a single subsidiary, would not constitute a "significant subsidiary" as that term is defined in Rule 1-02(v) of Regulation S-X.</w:t>
      </w:r>
    </w:p>
    <w:p>
      <w:pPr>
        <w:sectPr>
          <w:pgSz w:w="11900" w:h="16838" w:orient="portrait"/>
          <w:cols w:equalWidth="0" w:num="1">
            <w:col w:w="10159"/>
          </w:cols>
          <w:pgMar w:left="300" w:top="285"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4"/>
          <w:szCs w:val="14"/>
          <w:color w:val="auto"/>
        </w:rPr>
        <w:t>1</w:t>
      </w:r>
    </w:p>
    <w:p>
      <w:pPr>
        <w:spacing w:after="0" w:line="338"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4"/>
          <w:szCs w:val="14"/>
          <w:color w:val="auto"/>
        </w:rPr>
        <w:t>EXHIBIT 23</w:t>
      </w:r>
    </w:p>
    <w:p>
      <w:pPr>
        <w:spacing w:after="0" w:line="200" w:lineRule="exact"/>
        <w:rPr>
          <w:sz w:val="20"/>
          <w:szCs w:val="20"/>
          <w:color w:val="auto"/>
        </w:rPr>
      </w:pPr>
    </w:p>
    <w:p>
      <w:pPr>
        <w:spacing w:after="0" w:line="304"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200" w:lineRule="exact"/>
        <w:rPr>
          <w:sz w:val="20"/>
          <w:szCs w:val="20"/>
          <w:color w:val="auto"/>
        </w:rPr>
      </w:pPr>
    </w:p>
    <w:p>
      <w:pPr>
        <w:spacing w:after="0" w:line="30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hereby consent to the incorporation by reference in the Registration Statement on Form S-8 (Registration No. 2-42170) of The Washington Post Company, and in the Prospectus constituting a part thereof, of our report dated January 31, 1995 appearing on page 23 of this Annual Report on Form 10-K, and to the reference to us under the heading "Experts" in such Prospectus.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WATERHOUSE LLP</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24, 1995</w:t>
      </w:r>
    </w:p>
    <w:p>
      <w:pPr>
        <w:sectPr>
          <w:pgSz w:w="11900" w:h="16838" w:orient="portrait"/>
          <w:cols w:equalWidth="0" w:num="1">
            <w:col w:w="10159"/>
          </w:cols>
          <w:pgMar w:left="300" w:top="141" w:right="1440" w:bottom="1440" w:gutter="0" w:footer="0" w:header="0"/>
        </w:sectPr>
      </w:pPr>
    </w:p>
    <w:bookmarkStart w:id="62" w:name="page63"/>
    <w:bookmarkEnd w:id="62"/>
    <w:p>
      <w:pPr>
        <w:ind w:left="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This schedule contains summary financial information extracted from the Consolidated Statement of Income for the year ended January 1, 1995 and the Consolidated Balance Sheet as of January 1, 1995 and is qualified in its entirety by reference to such financial statements.</w:t>
      </w:r>
    </w:p>
    <w:p>
      <w:pPr>
        <w:spacing w:after="0" w:line="162"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1,000</w:t>
      </w:r>
    </w:p>
    <w:p>
      <w:pPr>
        <w:spacing w:after="0" w:line="338"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YEAR</w:t>
      </w:r>
    </w:p>
    <w:p>
      <w:pPr>
        <w:spacing w:after="0" w:line="7"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JAN-01-1995</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JAN-01-1995</w:t>
      </w:r>
    </w:p>
    <w:p>
      <w:pPr>
        <w:spacing w:after="0" w:line="7"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117,269</w:t>
      </w:r>
    </w:p>
    <w:p>
      <w:pPr>
        <w:spacing w:after="0" w:line="7"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24,570</w:t>
      </w:r>
    </w:p>
    <w:p>
      <w:pPr>
        <w:spacing w:after="0" w:line="7"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215,384</w:t>
      </w:r>
    </w:p>
    <w:p>
      <w:pPr>
        <w:spacing w:after="0" w:line="7"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39,943</w:t>
      </w:r>
    </w:p>
    <w:p>
      <w:pPr>
        <w:spacing w:after="0" w:line="7"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20,378</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375,879</w:t>
      </w:r>
    </w:p>
    <w:p>
      <w:pPr>
        <w:spacing w:after="0" w:line="7"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910,568</w:t>
      </w:r>
    </w:p>
    <w:p>
      <w:pPr>
        <w:spacing w:after="0" w:line="7"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499,172</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1,696,868</w:t>
      </w:r>
    </w:p>
    <w:p>
      <w:pPr>
        <w:spacing w:after="0" w:line="7"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273,073</w:t>
      </w:r>
    </w:p>
    <w:p>
      <w:pPr>
        <w:spacing w:after="0" w:line="7"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50,297</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20,000</w:t>
      </w:r>
    </w:p>
    <w:p>
      <w:pPr>
        <w:spacing w:after="0" w:line="7"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1,106,933</w:t>
      </w:r>
    </w:p>
    <w:p>
      <w:pPr>
        <w:spacing w:after="0" w:line="7"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1,696,868</w:t>
      </w:r>
    </w:p>
    <w:p>
      <w:pPr>
        <w:spacing w:after="0" w:line="7"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1,613,978</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861,464</w:t>
      </w:r>
    </w:p>
    <w:p>
      <w:pPr>
        <w:spacing w:after="0" w:line="7"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57,983</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5,590</w:t>
      </w:r>
    </w:p>
    <w:p>
      <w:pPr>
        <w:spacing w:after="0" w:line="7"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286,922</w:t>
      </w:r>
    </w:p>
    <w:p>
      <w:pPr>
        <w:spacing w:after="0" w:line="7"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117,250</w:t>
      </w:r>
    </w:p>
    <w:p>
      <w:pPr>
        <w:spacing w:after="0" w:line="7"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169,672</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169,672</w:t>
      </w:r>
    </w:p>
    <w:p>
      <w:pPr>
        <w:spacing w:after="0" w:line="7"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14.65</w:t>
      </w:r>
    </w:p>
    <w:p>
      <w:pPr>
        <w:spacing w:after="0" w:line="7"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14.65</w:t>
      </w:r>
    </w:p>
    <w:sectPr>
      <w:pgSz w:w="11900" w:h="16838" w:orient="portrait"/>
      <w:cols w:equalWidth="0" w:num="1">
        <w:col w:w="10119"/>
      </w:cols>
      <w:pgMar w:left="340" w:top="47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229"/>
    </w:lvl>
  </w:abstractNum>
  <w:abstractNum w:abstractNumId="1">
    <w:nsid w:val="66EF438D"/>
    <w:multiLevelType w:val="hybridMultilevel"/>
    <w:lvl w:ilvl="0">
      <w:lvlJc w:val="left"/>
      <w:lvlText w:val="(%1)"/>
      <w:numFmt w:val="lowerLetter"/>
      <w:start w:val="1"/>
    </w:lvl>
  </w:abstractNum>
  <w:abstractNum w:abstractNumId="2">
    <w:nsid w:val="140E0F76"/>
    <w:multiLevelType w:val="hybridMultilevel"/>
    <w:lvl w:ilvl="0">
      <w:lvlJc w:val="left"/>
      <w:lvlText w:val="(%1)"/>
      <w:numFmt w:val="lowerRoman"/>
      <w:start w:val="2"/>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amp;"/>
      <w:numFmt w:val="bullet"/>
      <w:start w:val="1"/>
    </w:lvl>
  </w:abstractNum>
  <w:abstractNum w:abstractNumId="7">
    <w:nsid w:val="1BEFD79F"/>
    <w:multiLevelType w:val="hybridMultilevel"/>
    <w:lvl w:ilvl="0">
      <w:lvlJc w:val="left"/>
      <w:lvlText w:val="(%1)"/>
      <w:numFmt w:val="lowerLetter"/>
      <w:start w:val="1"/>
    </w:lvl>
    <w:lvl w:ilvl="1">
      <w:lvlJc w:val="left"/>
      <w:lvlText w:val="(%2)"/>
      <w:numFmt w:val="lowerLetter"/>
      <w:start w:val="9"/>
    </w:lvl>
  </w:abstractNum>
  <w:abstractNum w:abstractNumId="8">
    <w:nsid w:val="41A7C4C9"/>
    <w:multiLevelType w:val="hybridMultilevel"/>
    <w:lvl w:ilvl="0">
      <w:lvlJc w:val="left"/>
      <w:lvlText w:val="%1"/>
      <w:numFmt w:val="lowerRoman"/>
      <w:start w:val="1"/>
    </w:lvl>
    <w:lvl w:ilvl="1">
      <w:lvlJc w:val="left"/>
      <w:lvlText w:val="%2"/>
      <w:numFmt w:val="decimal"/>
      <w:start w:val="22"/>
    </w:lvl>
  </w:abstractNum>
  <w:abstractNum w:abstractNumId="9">
    <w:nsid w:val="6B68079A"/>
    <w:multiLevelType w:val="hybridMultilevel"/>
    <w:lvl w:ilvl="0">
      <w:lvlJc w:val="left"/>
      <w:lvlText w:val="(%1)"/>
      <w:numFmt w:val="lowerRoman"/>
      <w:start w:val="2"/>
    </w:lvl>
    <w:lvl w:ilvl="1">
      <w:lvlJc w:val="left"/>
      <w:lvlText w:val="%2"/>
      <w:numFmt w:val="decimal"/>
      <w:start w:val="1"/>
    </w:lvl>
  </w:abstractNum>
  <w:abstractNum w:abstractNumId="10">
    <w:nsid w:val="4E6AFB66"/>
    <w:multiLevelType w:val="hybridMultilevel"/>
    <w:lvl w:ilvl="0">
      <w:lvlJc w:val="left"/>
      <w:lvlText w:val="%1"/>
      <w:numFmt w:val="decimal"/>
      <w:start w:val="11"/>
    </w:lvl>
  </w:abstractNum>
  <w:abstractNum w:abstractNumId="11">
    <w:nsid w:val="25E45D32"/>
    <w:multiLevelType w:val="hybridMultilevel"/>
    <w:lvl w:ilvl="0">
      <w:lvlJc w:val="left"/>
      <w:lvlText w:val="%1"/>
      <w:numFmt w:val="decimal"/>
      <w:start w:val="21"/>
    </w:lvl>
  </w:abstractNum>
  <w:abstractNum w:abstractNumId="12">
    <w:nsid w:val="519B500D"/>
    <w:multiLevelType w:val="hybridMultilevel"/>
    <w:lvl w:ilvl="0">
      <w:lvlJc w:val="left"/>
      <w:lvlText w:val="%1"/>
      <w:numFmt w:val="decimal"/>
      <w:start w:val="23"/>
    </w:lvl>
  </w:abstractNum>
  <w:abstractNum w:abstractNumId="13">
    <w:nsid w:val="431BD7B7"/>
    <w:multiLevelType w:val="hybridMultilevel"/>
    <w:lvl w:ilvl="0">
      <w:lvlJc w:val="left"/>
      <w:lvlText w:val="%1"/>
      <w:numFmt w:val="decimal"/>
      <w:start w:val="24"/>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lowerLetter"/>
      <w:start w:val="2"/>
    </w:lvl>
  </w:abstractNum>
  <w:abstractNum w:abstractNumId="17">
    <w:nsid w:val="62BBD95A"/>
    <w:multiLevelType w:val="hybridMultilevel"/>
    <w:lvl w:ilvl="0">
      <w:lvlJc w:val="left"/>
      <w:lvlText w:val="%1."/>
      <w:numFmt w:val="decimal"/>
      <w:start w:val="4"/>
    </w:lvl>
  </w:abstractNum>
  <w:abstractNum w:abstractNumId="18">
    <w:nsid w:val="436C6125"/>
    <w:multiLevelType w:val="hybridMultilevel"/>
    <w:lvl w:ilvl="0">
      <w:lvlJc w:val="left"/>
      <w:lvlText w:val="(%1)"/>
      <w:numFmt w:val="lowerLetter"/>
      <w:start w:val="2"/>
    </w:lvl>
  </w:abstractNum>
  <w:abstractNum w:abstractNumId="19">
    <w:nsid w:val="628C895D"/>
    <w:multiLevelType w:val="hybridMultilevel"/>
    <w:lvl w:ilvl="0">
      <w:lvlJc w:val="left"/>
      <w:lvlText w:val="%1."/>
      <w:numFmt w:val="decimal"/>
      <w:start w:val="5"/>
    </w:lvl>
  </w:abstractNum>
  <w:abstractNum w:abstractNumId="20">
    <w:nsid w:val="333AB105"/>
    <w:multiLevelType w:val="hybridMultilevel"/>
    <w:lvl w:ilvl="0">
      <w:lvlJc w:val="left"/>
      <w:lvlText w:val="%1."/>
      <w:numFmt w:val="decimal"/>
      <w:start w:val="6"/>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2021-08-19T22:24:06Z</dcterms:created>
  <dcterms:modified xsi:type="dcterms:W3CDTF">2021-08-19T22:24:06Z</dcterms:modified>
</cp:coreProperties>
</file>