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269875</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309245</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ind w:left="350" w:hanging="350"/>
        <w:spacing w:after="0"/>
        <w:tabs>
          <w:tab w:leader="none" w:pos="350" w:val="left"/>
        </w:tabs>
        <w:numPr>
          <w:ilvl w:val="0"/>
          <w:numId w:val="1"/>
        </w:numPr>
        <w:rPr>
          <w:rFonts w:ascii="Arial" w:cs="Arial" w:eastAsia="Arial" w:hAnsi="Arial"/>
          <w:sz w:val="17"/>
          <w:szCs w:val="17"/>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51"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For the Quarterly Period Ended March 31, 2012</w:t>
      </w:r>
    </w:p>
    <w:p>
      <w:pPr>
        <w:spacing w:after="0" w:line="140"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or</w:t>
      </w:r>
    </w:p>
    <w:p>
      <w:pPr>
        <w:spacing w:after="0" w:line="143" w:lineRule="exact"/>
        <w:rPr>
          <w:sz w:val="24"/>
          <w:szCs w:val="24"/>
          <w:color w:val="auto"/>
        </w:rPr>
      </w:pPr>
    </w:p>
    <w:p>
      <w:pPr>
        <w:ind w:left="390"/>
        <w:spacing w:after="0"/>
        <w:rPr>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51"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109855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90"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7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88900</wp:posOffset>
            </wp:positionV>
            <wp:extent cx="27184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96" w:lineRule="exact"/>
        <w:rPr>
          <w:sz w:val="24"/>
          <w:szCs w:val="24"/>
          <w:color w:val="auto"/>
        </w:rPr>
      </w:pPr>
    </w:p>
    <w:tbl>
      <w:tblPr>
        <w:tblLayout w:type="fixed"/>
        <w:tblInd w:w="1290" w:type="dxa"/>
        <w:tblCellMar>
          <w:top w:w="0" w:type="dxa"/>
          <w:left w:w="0" w:type="dxa"/>
          <w:bottom w:w="0" w:type="dxa"/>
          <w:right w:w="0" w:type="dxa"/>
        </w:tblCellMar>
      </w:tblPr>
      <w:tr>
        <w:trPr>
          <w:trHeight w:val="195"/>
        </w:trPr>
        <w:tc>
          <w:tcPr>
            <w:tcW w:w="6380" w:type="dxa"/>
            <w:vAlign w:val="bottom"/>
          </w:tcPr>
          <w:p>
            <w:pPr>
              <w:jc w:val="center"/>
              <w:ind w:right="3169"/>
              <w:spacing w:after="0"/>
              <w:rPr>
                <w:sz w:val="20"/>
                <w:szCs w:val="20"/>
                <w:color w:val="auto"/>
              </w:rPr>
            </w:pPr>
            <w:r>
              <w:rPr>
                <w:rFonts w:ascii="Arial" w:cs="Arial" w:eastAsia="Arial" w:hAnsi="Arial"/>
                <w:sz w:val="17"/>
                <w:szCs w:val="17"/>
                <w:b w:val="1"/>
                <w:bCs w:val="1"/>
                <w:color w:val="auto"/>
                <w:w w:val="99"/>
              </w:rPr>
              <w:t>Delaware</w:t>
            </w:r>
          </w:p>
        </w:tc>
        <w:tc>
          <w:tcPr>
            <w:tcW w:w="1440" w:type="dxa"/>
            <w:vAlign w:val="bottom"/>
          </w:tcPr>
          <w:p>
            <w:pPr>
              <w:jc w:val="right"/>
              <w:ind w:right="3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6380" w:type="dxa"/>
            <w:vAlign w:val="bottom"/>
          </w:tcPr>
          <w:p>
            <w:pPr>
              <w:jc w:val="center"/>
              <w:ind w:right="3169"/>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1440" w:type="dxa"/>
            <w:vAlign w:val="bottom"/>
          </w:tcPr>
          <w:p>
            <w:pPr>
              <w:jc w:val="center"/>
              <w:ind w:left="31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6380" w:type="dxa"/>
            <w:vAlign w:val="bottom"/>
          </w:tcPr>
          <w:p>
            <w:pPr>
              <w:jc w:val="center"/>
              <w:ind w:right="3169"/>
              <w:spacing w:after="0"/>
              <w:rPr>
                <w:sz w:val="20"/>
                <w:szCs w:val="20"/>
                <w:color w:val="auto"/>
              </w:rPr>
            </w:pPr>
            <w:r>
              <w:rPr>
                <w:rFonts w:ascii="Arial" w:cs="Arial" w:eastAsia="Arial" w:hAnsi="Arial"/>
                <w:sz w:val="12"/>
                <w:szCs w:val="12"/>
                <w:b w:val="1"/>
                <w:bCs w:val="1"/>
                <w:color w:val="auto"/>
              </w:rPr>
              <w:t>incorporation or organization)</w:t>
            </w:r>
          </w:p>
        </w:tc>
        <w:tc>
          <w:tcPr>
            <w:tcW w:w="1440" w:type="dxa"/>
            <w:vAlign w:val="bottom"/>
          </w:tcPr>
          <w:p>
            <w:pPr>
              <w:jc w:val="center"/>
              <w:ind w:left="31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380" w:type="dxa"/>
            <w:vAlign w:val="bottom"/>
          </w:tcPr>
          <w:p>
            <w:pPr>
              <w:jc w:val="center"/>
              <w:ind w:right="3169"/>
              <w:spacing w:after="0"/>
              <w:rPr>
                <w:sz w:val="20"/>
                <w:szCs w:val="20"/>
                <w:color w:val="auto"/>
              </w:rPr>
            </w:pPr>
            <w:r>
              <w:rPr>
                <w:rFonts w:ascii="Arial" w:cs="Arial" w:eastAsia="Arial" w:hAnsi="Arial"/>
                <w:sz w:val="17"/>
                <w:szCs w:val="17"/>
                <w:b w:val="1"/>
                <w:bCs w:val="1"/>
                <w:color w:val="auto"/>
                <w:w w:val="97"/>
              </w:rPr>
              <w:t>1150 15th Street, N.W. Washington, D.C.</w:t>
            </w:r>
          </w:p>
        </w:tc>
        <w:tc>
          <w:tcPr>
            <w:tcW w:w="144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380" w:type="dxa"/>
            <w:vAlign w:val="bottom"/>
          </w:tcPr>
          <w:p>
            <w:pPr>
              <w:jc w:val="center"/>
              <w:ind w:right="3169"/>
              <w:spacing w:after="0"/>
              <w:rPr>
                <w:sz w:val="20"/>
                <w:szCs w:val="20"/>
                <w:color w:val="auto"/>
              </w:rPr>
            </w:pPr>
            <w:r>
              <w:rPr>
                <w:rFonts w:ascii="Arial" w:cs="Arial" w:eastAsia="Arial" w:hAnsi="Arial"/>
                <w:sz w:val="12"/>
                <w:szCs w:val="12"/>
                <w:b w:val="1"/>
                <w:bCs w:val="1"/>
                <w:color w:val="auto"/>
              </w:rPr>
              <w:t>(Address of principal executive offices)</w:t>
            </w:r>
          </w:p>
        </w:tc>
        <w:tc>
          <w:tcPr>
            <w:tcW w:w="1440" w:type="dxa"/>
            <w:vAlign w:val="bottom"/>
          </w:tcPr>
          <w:p>
            <w:pPr>
              <w:jc w:val="center"/>
              <w:ind w:left="31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6380" w:type="dxa"/>
            <w:vAlign w:val="bottom"/>
          </w:tcPr>
          <w:p>
            <w:pPr>
              <w:jc w:val="right"/>
              <w:ind w:right="1309"/>
              <w:spacing w:after="0"/>
              <w:rPr>
                <w:sz w:val="20"/>
                <w:szCs w:val="20"/>
                <w:color w:val="auto"/>
              </w:rPr>
            </w:pPr>
            <w:r>
              <w:rPr>
                <w:rFonts w:ascii="Arial" w:cs="Arial" w:eastAsia="Arial" w:hAnsi="Arial"/>
                <w:sz w:val="17"/>
                <w:szCs w:val="17"/>
                <w:b w:val="1"/>
                <w:bCs w:val="1"/>
                <w:color w:val="auto"/>
              </w:rPr>
              <w:t>(202) 334-6000</w:t>
            </w:r>
          </w:p>
        </w:tc>
        <w:tc>
          <w:tcPr>
            <w:tcW w:w="1440" w:type="dxa"/>
            <w:vAlign w:val="bottom"/>
          </w:tcPr>
          <w:p>
            <w:pPr>
              <w:spacing w:after="0"/>
              <w:rPr>
                <w:sz w:val="24"/>
                <w:szCs w:val="24"/>
                <w:color w:val="auto"/>
              </w:rPr>
            </w:pPr>
          </w:p>
        </w:tc>
      </w:tr>
      <w:tr>
        <w:trPr>
          <w:trHeight w:val="162"/>
        </w:trPr>
        <w:tc>
          <w:tcPr>
            <w:tcW w:w="6380" w:type="dxa"/>
            <w:vAlign w:val="bottom"/>
          </w:tcPr>
          <w:p>
            <w:pPr>
              <w:jc w:val="center"/>
              <w:ind w:left="2409"/>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14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95250</wp:posOffset>
            </wp:positionV>
            <wp:extent cx="27184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16" w:lineRule="exact"/>
        <w:rPr>
          <w:sz w:val="24"/>
          <w:szCs w:val="24"/>
          <w:color w:val="auto"/>
        </w:rPr>
      </w:pPr>
    </w:p>
    <w:p>
      <w:pPr>
        <w:jc w:val="both"/>
        <w:ind w:left="10" w:right="20"/>
        <w:spacing w:after="0" w:line="19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31" w:lineRule="exact"/>
        <w:rPr>
          <w:sz w:val="24"/>
          <w:szCs w:val="24"/>
          <w:color w:val="auto"/>
        </w:rPr>
      </w:pPr>
    </w:p>
    <w:p>
      <w:pPr>
        <w:jc w:val="both"/>
        <w:ind w:left="10"/>
        <w:spacing w:after="0" w:line="19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 to be submitted and posted pursuant to Rule 405 of Regulation S-T (§232.405 of this chapter) during the preceding 12 months (or for such shorter per that the registrant was required to submit and post such files). Yes x.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31" w:lineRule="exact"/>
        <w:rPr>
          <w:sz w:val="24"/>
          <w:szCs w:val="24"/>
          <w:color w:val="auto"/>
        </w:rPr>
      </w:pPr>
    </w:p>
    <w:p>
      <w:pPr>
        <w:jc w:val="both"/>
        <w:ind w:left="1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 definition of “large accelerated filer,” accelerated filer” and “small reporting company” in Rule 12b-2 of the Exchange Act. (Check one):</w:t>
      </w:r>
    </w:p>
    <w:p>
      <w:pPr>
        <w:spacing w:after="0" w:line="106" w:lineRule="exact"/>
        <w:rPr>
          <w:sz w:val="24"/>
          <w:szCs w:val="24"/>
          <w:color w:val="auto"/>
        </w:rPr>
      </w:pPr>
    </w:p>
    <w:p>
      <w:pPr>
        <w:ind w:left="10"/>
        <w:spacing w:after="0" w:line="196" w:lineRule="exact"/>
        <w:tabs>
          <w:tab w:leader="none" w:pos="2170" w:val="left"/>
          <w:tab w:leader="none" w:pos="3070" w:val="left"/>
          <w:tab w:leader="none" w:pos="4790" w:val="left"/>
          <w:tab w:leader="none" w:pos="5830" w:val="left"/>
          <w:tab w:leader="none" w:pos="7890" w:val="left"/>
          <w:tab w:leader="none" w:pos="857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Smaller Reporting Company</w:t>
      </w:r>
    </w:p>
    <w:p>
      <w:pPr>
        <w:spacing w:after="0" w:line="152" w:lineRule="exact"/>
        <w:rPr>
          <w:sz w:val="24"/>
          <w:szCs w:val="24"/>
          <w:color w:val="auto"/>
        </w:rPr>
      </w:pPr>
    </w:p>
    <w:p>
      <w:pPr>
        <w:ind w:left="10"/>
        <w:spacing w:after="0" w:line="184" w:lineRule="exact"/>
        <w:tabs>
          <w:tab w:leader="none" w:pos="7570" w:val="left"/>
          <w:tab w:leader="none" w:pos="825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5"/>
          <w:szCs w:val="15"/>
          <w:color w:val="auto"/>
        </w:rPr>
        <w:t>.</w:t>
        <w:tab/>
        <w:t xml:space="preserve">No </w:t>
      </w:r>
      <w:r>
        <w:rPr>
          <w:rFonts w:ascii="Arial" w:cs="Arial" w:eastAsia="Arial" w:hAnsi="Arial"/>
          <w:sz w:val="16"/>
          <w:szCs w:val="16"/>
          <w:color w:val="auto"/>
        </w:rPr>
        <w:t>x</w:t>
      </w:r>
      <w:r>
        <w:rPr>
          <w:rFonts w:ascii="Arial" w:cs="Arial" w:eastAsia="Arial" w:hAnsi="Arial"/>
          <w:sz w:val="15"/>
          <w:szCs w:val="15"/>
          <w:color w:val="auto"/>
        </w:rPr>
        <w:t>.</w:t>
      </w:r>
    </w:p>
    <w:p>
      <w:pPr>
        <w:spacing w:after="0" w:line="205" w:lineRule="exact"/>
        <w:rPr>
          <w:sz w:val="24"/>
          <w:szCs w:val="24"/>
          <w:color w:val="auto"/>
        </w:rPr>
      </w:pPr>
    </w:p>
    <w:p>
      <w:pPr>
        <w:ind w:left="10"/>
        <w:spacing w:after="0"/>
        <w:rPr>
          <w:sz w:val="20"/>
          <w:szCs w:val="20"/>
          <w:color w:val="auto"/>
        </w:rPr>
      </w:pPr>
      <w:r>
        <w:rPr>
          <w:rFonts w:ascii="Arial" w:cs="Arial" w:eastAsia="Arial" w:hAnsi="Arial"/>
          <w:sz w:val="17"/>
          <w:szCs w:val="17"/>
          <w:color w:val="auto"/>
        </w:rPr>
        <w:t>Shares outstanding at May 4, 2012:</w:t>
      </w:r>
    </w:p>
    <w:p>
      <w:pPr>
        <w:spacing w:after="0" w:line="81" w:lineRule="exact"/>
        <w:rPr>
          <w:sz w:val="24"/>
          <w:szCs w:val="24"/>
          <w:color w:val="auto"/>
        </w:rPr>
      </w:pPr>
    </w:p>
    <w:p>
      <w:pPr>
        <w:ind w:left="2390"/>
        <w:spacing w:after="0"/>
        <w:rPr>
          <w:sz w:val="20"/>
          <w:szCs w:val="20"/>
          <w:color w:val="auto"/>
        </w:rPr>
      </w:pPr>
      <w:r>
        <w:rPr>
          <w:rFonts w:ascii="Arial" w:cs="Arial" w:eastAsia="Arial" w:hAnsi="Arial"/>
          <w:sz w:val="17"/>
          <w:szCs w:val="17"/>
          <w:color w:val="auto"/>
        </w:rPr>
        <w:t>Class A Common Stock – 1,229,383 Shares</w:t>
      </w:r>
    </w:p>
    <w:p>
      <w:pPr>
        <w:ind w:left="2390"/>
        <w:spacing w:after="0"/>
        <w:rPr>
          <w:sz w:val="20"/>
          <w:szCs w:val="20"/>
          <w:color w:val="auto"/>
        </w:rPr>
      </w:pPr>
      <w:r>
        <w:rPr>
          <w:rFonts w:ascii="Arial" w:cs="Arial" w:eastAsia="Arial" w:hAnsi="Arial"/>
          <w:sz w:val="17"/>
          <w:szCs w:val="17"/>
          <w:color w:val="auto"/>
        </w:rPr>
        <w:t>Class B Common Stock – 6,389,451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69532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417830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577" w:right="139" w:bottom="1440" w:gutter="0" w:footer="0" w:header="0"/>
        </w:sectPr>
      </w:pPr>
    </w:p>
    <w:bookmarkStart w:id="1" w:name="page2"/>
    <w:bookmarkEnd w:id="1"/>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65"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Index to Form 10-Q</w:t>
      </w:r>
    </w:p>
    <w:p>
      <w:pPr>
        <w:spacing w:after="0" w:line="36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PART I. FINANCIAL INFORMATION</w:t>
      </w:r>
    </w:p>
    <w:p>
      <w:pPr>
        <w:spacing w:after="0" w:line="175"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4"/>
          <w:szCs w:val="14"/>
          <w:color w:val="auto"/>
        </w:rPr>
        <w:t>Financial Statements</w:t>
      </w:r>
    </w:p>
    <w:p>
      <w:pPr>
        <w:spacing w:after="0" w:line="175" w:lineRule="exact"/>
        <w:rPr>
          <w:sz w:val="20"/>
          <w:szCs w:val="20"/>
          <w:color w:val="auto"/>
        </w:rPr>
      </w:pPr>
    </w:p>
    <w:p>
      <w:pPr>
        <w:ind w:left="1700" w:right="1760" w:hanging="323"/>
        <w:spacing w:after="0" w:line="250" w:lineRule="auto"/>
        <w:tabs>
          <w:tab w:leader="none" w:pos="1709"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Statements of Operations (Unaudited) for the Three months Ended March 31, 2012 and April 3, 2011</w:t>
      </w:r>
    </w:p>
    <w:p>
      <w:pPr>
        <w:spacing w:after="0" w:line="323" w:lineRule="exact"/>
        <w:rPr>
          <w:rFonts w:ascii="Arial" w:cs="Arial" w:eastAsia="Arial" w:hAnsi="Arial"/>
          <w:sz w:val="15"/>
          <w:szCs w:val="15"/>
          <w:color w:val="auto"/>
        </w:rPr>
      </w:pPr>
    </w:p>
    <w:p>
      <w:pPr>
        <w:ind w:left="1700" w:hanging="323"/>
        <w:spacing w:after="0"/>
        <w:tabs>
          <w:tab w:leader="none" w:pos="170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Statements of Comprehensive Income (Unaudited) for the Three Months Ended March 31, 2012 and April 3, 2011</w:t>
      </w:r>
    </w:p>
    <w:p>
      <w:pPr>
        <w:spacing w:after="0" w:line="336" w:lineRule="exact"/>
        <w:rPr>
          <w:rFonts w:ascii="Arial" w:cs="Arial" w:eastAsia="Arial" w:hAnsi="Arial"/>
          <w:sz w:val="15"/>
          <w:szCs w:val="15"/>
          <w:color w:val="auto"/>
        </w:rPr>
      </w:pPr>
    </w:p>
    <w:p>
      <w:pPr>
        <w:ind w:left="1740" w:hanging="363"/>
        <w:spacing w:after="0"/>
        <w:tabs>
          <w:tab w:leader="none" w:pos="174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Balance Sheets at March 31, 2012 (Unaudited) and December 31, 2011</w:t>
      </w:r>
    </w:p>
    <w:p>
      <w:pPr>
        <w:spacing w:after="0" w:line="336" w:lineRule="exact"/>
        <w:rPr>
          <w:rFonts w:ascii="Arial" w:cs="Arial" w:eastAsia="Arial" w:hAnsi="Arial"/>
          <w:sz w:val="15"/>
          <w:szCs w:val="15"/>
          <w:color w:val="auto"/>
        </w:rPr>
      </w:pPr>
    </w:p>
    <w:p>
      <w:pPr>
        <w:ind w:left="1700" w:hanging="323"/>
        <w:spacing w:after="0"/>
        <w:tabs>
          <w:tab w:leader="none" w:pos="170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Statements of Cash Flows (Unaudited) for the Three Months Ended March 31, 2012 and April 3, 2011</w:t>
      </w:r>
    </w:p>
    <w:p>
      <w:pPr>
        <w:spacing w:after="0" w:line="336" w:lineRule="exact"/>
        <w:rPr>
          <w:rFonts w:ascii="Arial" w:cs="Arial" w:eastAsia="Arial" w:hAnsi="Arial"/>
          <w:sz w:val="15"/>
          <w:szCs w:val="15"/>
          <w:color w:val="auto"/>
        </w:rPr>
      </w:pPr>
    </w:p>
    <w:p>
      <w:pPr>
        <w:ind w:left="1700" w:hanging="323"/>
        <w:spacing w:after="0"/>
        <w:tabs>
          <w:tab w:leader="none" w:pos="1700" w:val="left"/>
        </w:tabs>
        <w:numPr>
          <w:ilvl w:val="0"/>
          <w:numId w:val="2"/>
        </w:numPr>
        <w:rPr>
          <w:rFonts w:ascii="Arial" w:cs="Arial" w:eastAsia="Arial" w:hAnsi="Arial"/>
          <w:sz w:val="15"/>
          <w:szCs w:val="15"/>
          <w:color w:val="auto"/>
        </w:rPr>
      </w:pPr>
      <w:r>
        <w:rPr>
          <w:rFonts w:ascii="Arial" w:cs="Arial" w:eastAsia="Arial" w:hAnsi="Arial"/>
          <w:sz w:val="15"/>
          <w:szCs w:val="15"/>
          <w:color w:val="auto"/>
        </w:rPr>
        <w:t>Notes to Condensed Consolidated Financial Statements (Unaudited)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40" w:type="dxa"/>
            <w:vAlign w:val="bottom"/>
          </w:tcPr>
          <w:p>
            <w:pPr>
              <w:ind w:left="580"/>
              <w:spacing w:after="0"/>
              <w:rPr>
                <w:sz w:val="20"/>
                <w:szCs w:val="20"/>
                <w:color w:val="auto"/>
              </w:rPr>
            </w:pPr>
            <w:r>
              <w:rPr>
                <w:rFonts w:ascii="Arial" w:cs="Arial" w:eastAsia="Arial" w:hAnsi="Arial"/>
                <w:sz w:val="15"/>
                <w:szCs w:val="15"/>
                <w:color w:val="auto"/>
              </w:rPr>
              <w:t>Item 2.</w:t>
            </w:r>
          </w:p>
        </w:tc>
        <w:tc>
          <w:tcPr>
            <w:tcW w:w="10120" w:type="dxa"/>
            <w:vAlign w:val="bottom"/>
          </w:tcPr>
          <w:p>
            <w:pPr>
              <w:ind w:left="40"/>
              <w:spacing w:after="0"/>
              <w:rPr>
                <w:sz w:val="20"/>
                <w:szCs w:val="20"/>
                <w:color w:val="auto"/>
              </w:rPr>
            </w:pPr>
            <w:r>
              <w:rPr>
                <w:rFonts w:ascii="Arial" w:cs="Arial" w:eastAsia="Arial" w:hAnsi="Arial"/>
                <w:sz w:val="15"/>
                <w:szCs w:val="15"/>
                <w:color w:val="auto"/>
              </w:rPr>
              <w:t>Management’s Discussion and Analysis of Results of Operations and Financial Condition</w:t>
            </w:r>
          </w:p>
        </w:tc>
      </w:tr>
      <w:tr>
        <w:trPr>
          <w:trHeight w:val="360"/>
        </w:trPr>
        <w:tc>
          <w:tcPr>
            <w:tcW w:w="1340" w:type="dxa"/>
            <w:vAlign w:val="bottom"/>
          </w:tcPr>
          <w:p>
            <w:pPr>
              <w:ind w:left="580"/>
              <w:spacing w:after="0"/>
              <w:rPr>
                <w:sz w:val="20"/>
                <w:szCs w:val="20"/>
                <w:color w:val="auto"/>
              </w:rPr>
            </w:pPr>
            <w:r>
              <w:rPr>
                <w:rFonts w:ascii="Arial" w:cs="Arial" w:eastAsia="Arial" w:hAnsi="Arial"/>
                <w:sz w:val="15"/>
                <w:szCs w:val="15"/>
                <w:color w:val="auto"/>
              </w:rPr>
              <w:t>Item 3.</w:t>
            </w:r>
          </w:p>
        </w:tc>
        <w:tc>
          <w:tcPr>
            <w:tcW w:w="10120" w:type="dxa"/>
            <w:vAlign w:val="bottom"/>
          </w:tcPr>
          <w:p>
            <w:pPr>
              <w:ind w:left="40"/>
              <w:spacing w:after="0"/>
              <w:rPr>
                <w:sz w:val="20"/>
                <w:szCs w:val="20"/>
                <w:color w:val="auto"/>
              </w:rPr>
            </w:pPr>
            <w:r>
              <w:rPr>
                <w:rFonts w:ascii="Arial" w:cs="Arial" w:eastAsia="Arial" w:hAnsi="Arial"/>
                <w:sz w:val="15"/>
                <w:szCs w:val="15"/>
                <w:color w:val="auto"/>
              </w:rPr>
              <w:t>Quantitative and Qualitative Disclosures about Market Risk</w:t>
            </w:r>
          </w:p>
        </w:tc>
      </w:tr>
      <w:tr>
        <w:trPr>
          <w:trHeight w:val="360"/>
        </w:trPr>
        <w:tc>
          <w:tcPr>
            <w:tcW w:w="1340" w:type="dxa"/>
            <w:vAlign w:val="bottom"/>
          </w:tcPr>
          <w:p>
            <w:pPr>
              <w:ind w:left="580"/>
              <w:spacing w:after="0"/>
              <w:rPr>
                <w:sz w:val="20"/>
                <w:szCs w:val="20"/>
                <w:color w:val="auto"/>
              </w:rPr>
            </w:pPr>
            <w:r>
              <w:rPr>
                <w:rFonts w:ascii="Arial" w:cs="Arial" w:eastAsia="Arial" w:hAnsi="Arial"/>
                <w:sz w:val="15"/>
                <w:szCs w:val="15"/>
                <w:color w:val="auto"/>
              </w:rPr>
              <w:t>Item 4.</w:t>
            </w:r>
          </w:p>
        </w:tc>
        <w:tc>
          <w:tcPr>
            <w:tcW w:w="10120" w:type="dxa"/>
            <w:vAlign w:val="bottom"/>
          </w:tcPr>
          <w:p>
            <w:pPr>
              <w:ind w:left="40"/>
              <w:spacing w:after="0"/>
              <w:rPr>
                <w:sz w:val="20"/>
                <w:szCs w:val="20"/>
                <w:color w:val="auto"/>
              </w:rPr>
            </w:pPr>
            <w:r>
              <w:rPr>
                <w:rFonts w:ascii="Arial" w:cs="Arial" w:eastAsia="Arial" w:hAnsi="Arial"/>
                <w:sz w:val="15"/>
                <w:szCs w:val="15"/>
                <w:color w:val="auto"/>
              </w:rPr>
              <w:t>Controls and Procedures</w:t>
            </w:r>
          </w:p>
        </w:tc>
      </w:tr>
      <w:tr>
        <w:trPr>
          <w:trHeight w:val="347"/>
        </w:trPr>
        <w:tc>
          <w:tcPr>
            <w:tcW w:w="11460" w:type="dxa"/>
            <w:vAlign w:val="bottom"/>
            <w:gridSpan w:val="2"/>
          </w:tcPr>
          <w:p>
            <w:pPr>
              <w:ind w:left="580"/>
              <w:spacing w:after="0"/>
              <w:rPr>
                <w:sz w:val="20"/>
                <w:szCs w:val="20"/>
                <w:color w:val="auto"/>
              </w:rPr>
            </w:pPr>
            <w:r>
              <w:rPr>
                <w:rFonts w:ascii="Arial" w:cs="Arial" w:eastAsia="Arial" w:hAnsi="Arial"/>
                <w:sz w:val="15"/>
                <w:szCs w:val="15"/>
                <w:color w:val="auto"/>
              </w:rPr>
              <w:t>PART II. OTHER INFORMATION</w:t>
            </w:r>
          </w:p>
        </w:tc>
      </w:tr>
      <w:tr>
        <w:trPr>
          <w:trHeight w:val="360"/>
        </w:trPr>
        <w:tc>
          <w:tcPr>
            <w:tcW w:w="1340" w:type="dxa"/>
            <w:vAlign w:val="bottom"/>
          </w:tcPr>
          <w:p>
            <w:pPr>
              <w:ind w:left="580"/>
              <w:spacing w:after="0"/>
              <w:rPr>
                <w:sz w:val="20"/>
                <w:szCs w:val="20"/>
                <w:color w:val="auto"/>
              </w:rPr>
            </w:pPr>
            <w:r>
              <w:rPr>
                <w:rFonts w:ascii="Arial" w:cs="Arial" w:eastAsia="Arial" w:hAnsi="Arial"/>
                <w:sz w:val="15"/>
                <w:szCs w:val="15"/>
                <w:color w:val="auto"/>
              </w:rPr>
              <w:t>Item 2.</w:t>
            </w:r>
          </w:p>
        </w:tc>
        <w:tc>
          <w:tcPr>
            <w:tcW w:w="10120" w:type="dxa"/>
            <w:vAlign w:val="bottom"/>
          </w:tcPr>
          <w:p>
            <w:pPr>
              <w:ind w:left="4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360"/>
        </w:trPr>
        <w:tc>
          <w:tcPr>
            <w:tcW w:w="1340" w:type="dxa"/>
            <w:vAlign w:val="bottom"/>
          </w:tcPr>
          <w:p>
            <w:pPr>
              <w:ind w:left="580"/>
              <w:spacing w:after="0"/>
              <w:rPr>
                <w:sz w:val="20"/>
                <w:szCs w:val="20"/>
                <w:color w:val="auto"/>
              </w:rPr>
            </w:pPr>
            <w:r>
              <w:rPr>
                <w:rFonts w:ascii="Arial" w:cs="Arial" w:eastAsia="Arial" w:hAnsi="Arial"/>
                <w:sz w:val="15"/>
                <w:szCs w:val="15"/>
                <w:color w:val="auto"/>
              </w:rPr>
              <w:t>Item 6.</w:t>
            </w:r>
          </w:p>
        </w:tc>
        <w:tc>
          <w:tcPr>
            <w:tcW w:w="10120" w:type="dxa"/>
            <w:vAlign w:val="bottom"/>
          </w:tcPr>
          <w:p>
            <w:pPr>
              <w:ind w:left="40"/>
              <w:spacing w:after="0"/>
              <w:rPr>
                <w:sz w:val="20"/>
                <w:szCs w:val="20"/>
                <w:color w:val="auto"/>
              </w:rPr>
            </w:pPr>
            <w:r>
              <w:rPr>
                <w:rFonts w:ascii="Arial" w:cs="Arial" w:eastAsia="Arial" w:hAnsi="Arial"/>
                <w:sz w:val="15"/>
                <w:szCs w:val="15"/>
                <w:color w:val="auto"/>
              </w:rPr>
              <w:t>Exhibits</w:t>
            </w:r>
          </w:p>
        </w:tc>
      </w:tr>
      <w:tr>
        <w:trPr>
          <w:trHeight w:val="347"/>
        </w:trPr>
        <w:tc>
          <w:tcPr>
            <w:tcW w:w="1340" w:type="dxa"/>
            <w:vAlign w:val="bottom"/>
          </w:tcPr>
          <w:p>
            <w:pPr>
              <w:ind w:left="580"/>
              <w:spacing w:after="0"/>
              <w:rPr>
                <w:sz w:val="20"/>
                <w:szCs w:val="20"/>
                <w:color w:val="auto"/>
              </w:rPr>
            </w:pPr>
            <w:r>
              <w:rPr>
                <w:rFonts w:ascii="Arial" w:cs="Arial" w:eastAsia="Arial" w:hAnsi="Arial"/>
                <w:sz w:val="15"/>
                <w:szCs w:val="15"/>
                <w:color w:val="auto"/>
              </w:rPr>
              <w:t>Signatures</w:t>
            </w:r>
          </w:p>
        </w:tc>
        <w:tc>
          <w:tcPr>
            <w:tcW w:w="10120" w:type="dxa"/>
            <w:vAlign w:val="bottom"/>
          </w:tcPr>
          <w:p>
            <w:pPr>
              <w:spacing w:after="0"/>
              <w:rPr>
                <w:sz w:val="24"/>
                <w:szCs w:val="24"/>
                <w:color w:val="auto"/>
              </w:rPr>
            </w:pPr>
          </w:p>
        </w:tc>
      </w:tr>
      <w:tr>
        <w:trPr>
          <w:trHeight w:val="833"/>
        </w:trPr>
        <w:tc>
          <w:tcPr>
            <w:tcW w:w="1340" w:type="dxa"/>
            <w:vAlign w:val="bottom"/>
            <w:tcBorders>
              <w:bottom w:val="single" w:sz="8" w:color="808080"/>
            </w:tcBorders>
          </w:tcPr>
          <w:p>
            <w:pPr>
              <w:spacing w:after="0"/>
              <w:rPr>
                <w:sz w:val="24"/>
                <w:szCs w:val="24"/>
                <w:color w:val="auto"/>
              </w:rPr>
            </w:pPr>
          </w:p>
        </w:tc>
        <w:tc>
          <w:tcPr>
            <w:tcW w:w="10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28" w:right="199" w:bottom="1440" w:gutter="0" w:footer="0" w:header="0"/>
        </w:sectPr>
      </w:pPr>
    </w:p>
    <w:bookmarkStart w:id="2" w:name="page3"/>
    <w:bookmarkEnd w:id="2"/>
    <w:p>
      <w:pPr>
        <w:ind w:left="4340"/>
        <w:spacing w:after="0"/>
        <w:rPr>
          <w:sz w:val="20"/>
          <w:szCs w:val="20"/>
          <w:color w:val="auto"/>
        </w:rPr>
      </w:pPr>
      <w:r>
        <w:rPr>
          <w:rFonts w:ascii="Arial" w:cs="Arial" w:eastAsia="Arial" w:hAnsi="Arial"/>
          <w:sz w:val="17"/>
          <w:szCs w:val="17"/>
          <w:b w:val="1"/>
          <w:bCs w:val="1"/>
          <w:color w:val="auto"/>
        </w:rPr>
        <w:t>PART I. FINANCIAL INFORMATION</w:t>
      </w:r>
    </w:p>
    <w:p>
      <w:pPr>
        <w:spacing w:after="0" w:line="10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9"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jc w:val="right"/>
              <w:ind w:right="499"/>
              <w:spacing w:after="0" w:line="114" w:lineRule="exact"/>
              <w:rPr>
                <w:sz w:val="20"/>
                <w:szCs w:val="20"/>
                <w:color w:val="auto"/>
              </w:rPr>
            </w:pPr>
            <w:r>
              <w:rPr>
                <w:rFonts w:ascii="Arial" w:cs="Arial" w:eastAsia="Arial" w:hAnsi="Arial"/>
                <w:sz w:val="12"/>
                <w:szCs w:val="12"/>
                <w:b w:val="1"/>
                <w:bCs w:val="1"/>
                <w:color w:val="auto"/>
              </w:rPr>
              <w:t>March 31,</w:t>
            </w:r>
          </w:p>
        </w:tc>
        <w:tc>
          <w:tcPr>
            <w:tcW w:w="62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Arial" w:cs="Arial" w:eastAsia="Arial" w:hAnsi="Arial"/>
                <w:sz w:val="12"/>
                <w:szCs w:val="12"/>
                <w:color w:val="auto"/>
              </w:rPr>
              <w:t>April 3,</w:t>
            </w:r>
          </w:p>
        </w:tc>
        <w:tc>
          <w:tcPr>
            <w:tcW w:w="0" w:type="dxa"/>
            <w:vAlign w:val="bottom"/>
          </w:tcPr>
          <w:p>
            <w:pPr>
              <w:spacing w:after="0"/>
              <w:rPr>
                <w:sz w:val="1"/>
                <w:szCs w:val="1"/>
                <w:color w:val="auto"/>
              </w:rPr>
            </w:pPr>
          </w:p>
        </w:tc>
      </w:tr>
      <w:tr>
        <w:trPr>
          <w:trHeight w:val="151"/>
        </w:trPr>
        <w:tc>
          <w:tcPr>
            <w:tcW w:w="8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b w:val="1"/>
                <w:bCs w:val="1"/>
                <w:color w:val="auto"/>
              </w:rPr>
              <w:t>2012</w:t>
            </w: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78"/>
        </w:trPr>
        <w:tc>
          <w:tcPr>
            <w:tcW w:w="8240" w:type="dxa"/>
            <w:vAlign w:val="bottom"/>
          </w:tcPr>
          <w:p>
            <w:pPr>
              <w:spacing w:after="0" w:line="178" w:lineRule="exact"/>
              <w:rPr>
                <w:sz w:val="20"/>
                <w:szCs w:val="20"/>
                <w:color w:val="auto"/>
              </w:rPr>
            </w:pPr>
            <w:r>
              <w:rPr>
                <w:rFonts w:ascii="Arial" w:cs="Arial" w:eastAsia="Arial" w:hAnsi="Arial"/>
                <w:sz w:val="17"/>
                <w:szCs w:val="17"/>
                <w:b w:val="1"/>
                <w:bCs w:val="1"/>
                <w:color w:val="auto"/>
              </w:rPr>
              <w:t>Operating Revenues</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4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553,401</w:t>
            </w: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2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620" w:type="dxa"/>
            <w:vAlign w:val="bottom"/>
          </w:tcPr>
          <w:p>
            <w:pPr>
              <w:jc w:val="right"/>
              <w:ind w:right="338"/>
              <w:spacing w:after="0" w:line="166"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66"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Advertising</w:t>
            </w:r>
          </w:p>
        </w:tc>
        <w:tc>
          <w:tcPr>
            <w:tcW w:w="260" w:type="dxa"/>
            <w:vAlign w:val="bottom"/>
          </w:tcPr>
          <w:p>
            <w:pPr>
              <w:spacing w:after="0"/>
              <w:rPr>
                <w:sz w:val="16"/>
                <w:szCs w:val="16"/>
                <w:color w:val="auto"/>
              </w:rPr>
            </w:pPr>
          </w:p>
        </w:tc>
        <w:tc>
          <w:tcPr>
            <w:tcW w:w="134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170,750</w:t>
            </w:r>
          </w:p>
        </w:tc>
        <w:tc>
          <w:tcPr>
            <w:tcW w:w="620" w:type="dxa"/>
            <w:vAlign w:val="bottom"/>
          </w:tcPr>
          <w:p>
            <w:pPr>
              <w:spacing w:after="0"/>
              <w:rPr>
                <w:sz w:val="16"/>
                <w:szCs w:val="16"/>
                <w:color w:val="auto"/>
              </w:rPr>
            </w:pPr>
          </w:p>
        </w:tc>
        <w:tc>
          <w:tcPr>
            <w:tcW w:w="480" w:type="dxa"/>
            <w:vAlign w:val="bottom"/>
          </w:tcPr>
          <w:p>
            <w:pPr>
              <w:jc w:val="right"/>
              <w:spacing w:after="0" w:line="186"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Circulation and Subscriber</w:t>
            </w:r>
          </w:p>
        </w:tc>
        <w:tc>
          <w:tcPr>
            <w:tcW w:w="260" w:type="dxa"/>
            <w:vAlign w:val="bottom"/>
          </w:tcPr>
          <w:p>
            <w:pPr>
              <w:spacing w:after="0"/>
              <w:rPr>
                <w:sz w:val="16"/>
                <w:szCs w:val="16"/>
                <w:color w:val="auto"/>
              </w:rPr>
            </w:pPr>
          </w:p>
        </w:tc>
        <w:tc>
          <w:tcPr>
            <w:tcW w:w="134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215,230</w:t>
            </w:r>
          </w:p>
        </w:tc>
        <w:tc>
          <w:tcPr>
            <w:tcW w:w="620" w:type="dxa"/>
            <w:vAlign w:val="bottom"/>
          </w:tcPr>
          <w:p>
            <w:pPr>
              <w:spacing w:after="0"/>
              <w:rPr>
                <w:sz w:val="16"/>
                <w:szCs w:val="16"/>
                <w:color w:val="auto"/>
              </w:rPr>
            </w:pPr>
          </w:p>
        </w:tc>
        <w:tc>
          <w:tcPr>
            <w:tcW w:w="480" w:type="dxa"/>
            <w:vAlign w:val="bottom"/>
          </w:tcPr>
          <w:p>
            <w:pPr>
              <w:jc w:val="right"/>
              <w:spacing w:after="0" w:line="186"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33,095</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79"/>
        </w:trPr>
        <w:tc>
          <w:tcPr>
            <w:tcW w:w="8240" w:type="dxa"/>
            <w:vAlign w:val="bottom"/>
            <w:vMerge w:val="restart"/>
          </w:tcPr>
          <w:p>
            <w:pPr>
              <w:spacing w:after="0"/>
              <w:rPr>
                <w:sz w:val="20"/>
                <w:szCs w:val="20"/>
                <w:color w:val="auto"/>
              </w:rPr>
            </w:pPr>
            <w:r>
              <w:rPr>
                <w:rFonts w:ascii="Arial" w:cs="Arial" w:eastAsia="Arial" w:hAnsi="Arial"/>
                <w:sz w:val="17"/>
                <w:szCs w:val="17"/>
                <w:b w:val="1"/>
                <w:bCs w:val="1"/>
                <w:color w:val="auto"/>
              </w:rPr>
              <w:t>Operating Costs and Expenses</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972,476</w:t>
            </w:r>
          </w:p>
        </w:tc>
        <w:tc>
          <w:tcPr>
            <w:tcW w:w="6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78"/>
        </w:trPr>
        <w:tc>
          <w:tcPr>
            <w:tcW w:w="8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471,199</w:t>
            </w: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7"/>
                <w:szCs w:val="17"/>
                <w:color w:val="auto"/>
              </w:rPr>
              <w:t>Operating</w:t>
            </w:r>
          </w:p>
        </w:tc>
        <w:tc>
          <w:tcPr>
            <w:tcW w:w="2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jc w:val="right"/>
              <w:spacing w:after="0" w:line="166"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Selling, general and administrative</w:t>
            </w:r>
          </w:p>
        </w:tc>
        <w:tc>
          <w:tcPr>
            <w:tcW w:w="260" w:type="dxa"/>
            <w:vAlign w:val="bottom"/>
          </w:tcPr>
          <w:p>
            <w:pPr>
              <w:spacing w:after="0"/>
              <w:rPr>
                <w:sz w:val="16"/>
                <w:szCs w:val="16"/>
                <w:color w:val="auto"/>
              </w:rPr>
            </w:pPr>
          </w:p>
        </w:tc>
        <w:tc>
          <w:tcPr>
            <w:tcW w:w="134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417,370</w:t>
            </w:r>
          </w:p>
        </w:tc>
        <w:tc>
          <w:tcPr>
            <w:tcW w:w="620" w:type="dxa"/>
            <w:vAlign w:val="bottom"/>
          </w:tcPr>
          <w:p>
            <w:pPr>
              <w:spacing w:after="0"/>
              <w:rPr>
                <w:sz w:val="16"/>
                <w:szCs w:val="16"/>
                <w:color w:val="auto"/>
              </w:rPr>
            </w:pPr>
          </w:p>
        </w:tc>
        <w:tc>
          <w:tcPr>
            <w:tcW w:w="480" w:type="dxa"/>
            <w:vAlign w:val="bottom"/>
          </w:tcPr>
          <w:p>
            <w:pPr>
              <w:jc w:val="right"/>
              <w:spacing w:after="0" w:line="186"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Depreciation of property, plant and equipment</w:t>
            </w:r>
          </w:p>
        </w:tc>
        <w:tc>
          <w:tcPr>
            <w:tcW w:w="260" w:type="dxa"/>
            <w:vAlign w:val="bottom"/>
          </w:tcPr>
          <w:p>
            <w:pPr>
              <w:spacing w:after="0"/>
              <w:rPr>
                <w:sz w:val="16"/>
                <w:szCs w:val="16"/>
                <w:color w:val="auto"/>
              </w:rPr>
            </w:pPr>
          </w:p>
        </w:tc>
        <w:tc>
          <w:tcPr>
            <w:tcW w:w="134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62,501</w:t>
            </w:r>
          </w:p>
        </w:tc>
        <w:tc>
          <w:tcPr>
            <w:tcW w:w="620" w:type="dxa"/>
            <w:vAlign w:val="bottom"/>
          </w:tcPr>
          <w:p>
            <w:pPr>
              <w:spacing w:after="0"/>
              <w:rPr>
                <w:sz w:val="16"/>
                <w:szCs w:val="16"/>
                <w:color w:val="auto"/>
              </w:rPr>
            </w:pPr>
          </w:p>
        </w:tc>
        <w:tc>
          <w:tcPr>
            <w:tcW w:w="480" w:type="dxa"/>
            <w:vAlign w:val="bottom"/>
          </w:tcPr>
          <w:p>
            <w:pPr>
              <w:jc w:val="right"/>
              <w:spacing w:after="0" w:line="18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7"/>
                <w:szCs w:val="17"/>
                <w:color w:val="auto"/>
              </w:rPr>
              <w:t>Amortization of intangible assets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3,937</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240" w:type="dxa"/>
            <w:vAlign w:val="bottom"/>
            <w:vMerge w:val="restart"/>
          </w:tcPr>
          <w:p>
            <w:pPr>
              <w:spacing w:after="0"/>
              <w:rPr>
                <w:sz w:val="20"/>
                <w:szCs w:val="20"/>
                <w:color w:val="auto"/>
              </w:rPr>
            </w:pPr>
            <w:r>
              <w:rPr>
                <w:rFonts w:ascii="Arial" w:cs="Arial" w:eastAsia="Arial" w:hAnsi="Arial"/>
                <w:sz w:val="17"/>
                <w:szCs w:val="17"/>
                <w:b w:val="1"/>
                <w:bCs w:val="1"/>
                <w:color w:val="auto"/>
              </w:rPr>
              <w:t>Income from Operations</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955,007</w:t>
            </w:r>
          </w:p>
        </w:tc>
        <w:tc>
          <w:tcPr>
            <w:tcW w:w="6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158"/>
        </w:trPr>
        <w:tc>
          <w:tcPr>
            <w:tcW w:w="82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79"/>
              <w:spacing w:after="0" w:line="158" w:lineRule="exact"/>
              <w:rPr>
                <w:sz w:val="20"/>
                <w:szCs w:val="20"/>
                <w:color w:val="auto"/>
              </w:rPr>
            </w:pPr>
            <w:r>
              <w:rPr>
                <w:rFonts w:ascii="Arial" w:cs="Arial" w:eastAsia="Arial" w:hAnsi="Arial"/>
                <w:sz w:val="17"/>
                <w:szCs w:val="17"/>
                <w:b w:val="1"/>
                <w:bCs w:val="1"/>
                <w:color w:val="auto"/>
              </w:rPr>
              <w:t>17,469</w:t>
            </w:r>
          </w:p>
        </w:tc>
        <w:tc>
          <w:tcPr>
            <w:tcW w:w="6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Equity in earnings of affiliates, net</w:t>
            </w:r>
          </w:p>
        </w:tc>
        <w:tc>
          <w:tcPr>
            <w:tcW w:w="260" w:type="dxa"/>
            <w:vAlign w:val="bottom"/>
          </w:tcPr>
          <w:p>
            <w:pPr>
              <w:spacing w:after="0"/>
              <w:rPr>
                <w:sz w:val="16"/>
                <w:szCs w:val="16"/>
                <w:color w:val="auto"/>
              </w:rPr>
            </w:pPr>
          </w:p>
        </w:tc>
        <w:tc>
          <w:tcPr>
            <w:tcW w:w="134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3,888</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6"/>
                <w:szCs w:val="16"/>
                <w:color w:val="auto"/>
              </w:rPr>
            </w:pPr>
          </w:p>
        </w:tc>
        <w:tc>
          <w:tcPr>
            <w:tcW w:w="134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1,069</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6"/>
                <w:szCs w:val="16"/>
                <w:color w:val="auto"/>
              </w:rPr>
            </w:pPr>
          </w:p>
        </w:tc>
        <w:tc>
          <w:tcPr>
            <w:tcW w:w="1340" w:type="dxa"/>
            <w:vAlign w:val="bottom"/>
          </w:tcPr>
          <w:p>
            <w:pPr>
              <w:jc w:val="right"/>
              <w:ind w:right="39"/>
              <w:spacing w:after="0" w:line="186" w:lineRule="exact"/>
              <w:rPr>
                <w:sz w:val="20"/>
                <w:szCs w:val="20"/>
                <w:color w:val="auto"/>
              </w:rPr>
            </w:pPr>
            <w:r>
              <w:rPr>
                <w:rFonts w:ascii="Arial" w:cs="Arial" w:eastAsia="Arial" w:hAnsi="Arial"/>
                <w:sz w:val="17"/>
                <w:szCs w:val="17"/>
                <w:b w:val="1"/>
                <w:bCs w:val="1"/>
                <w:color w:val="auto"/>
              </w:rPr>
              <w:t>(9,163)</w:t>
            </w:r>
          </w:p>
        </w:tc>
        <w:tc>
          <w:tcPr>
            <w:tcW w:w="620" w:type="dxa"/>
            <w:vAlign w:val="bottom"/>
          </w:tcPr>
          <w:p>
            <w:pPr>
              <w:spacing w:after="0"/>
              <w:rPr>
                <w:sz w:val="16"/>
                <w:szCs w:val="16"/>
                <w:color w:val="auto"/>
              </w:rPr>
            </w:pPr>
          </w:p>
        </w:tc>
        <w:tc>
          <w:tcPr>
            <w:tcW w:w="48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7"/>
                <w:szCs w:val="17"/>
                <w:color w:val="auto"/>
              </w:rPr>
              <w:t>Other income (expense), net</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8,588</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7"/>
                <w:szCs w:val="17"/>
                <w:b w:val="1"/>
                <w:bCs w:val="1"/>
                <w:color w:val="auto"/>
              </w:rPr>
              <w:t>Income from Continuing Operations Before Income Taxes</w:t>
            </w:r>
          </w:p>
        </w:tc>
        <w:tc>
          <w:tcPr>
            <w:tcW w:w="260" w:type="dxa"/>
            <w:vAlign w:val="bottom"/>
          </w:tcPr>
          <w:p>
            <w:pPr>
              <w:spacing w:after="0"/>
              <w:rPr>
                <w:sz w:val="13"/>
                <w:szCs w:val="13"/>
                <w:color w:val="auto"/>
              </w:rPr>
            </w:pPr>
          </w:p>
        </w:tc>
        <w:tc>
          <w:tcPr>
            <w:tcW w:w="1340" w:type="dxa"/>
            <w:vAlign w:val="bottom"/>
          </w:tcPr>
          <w:p>
            <w:pPr>
              <w:jc w:val="right"/>
              <w:ind w:right="79"/>
              <w:spacing w:after="0" w:line="158" w:lineRule="exact"/>
              <w:rPr>
                <w:sz w:val="20"/>
                <w:szCs w:val="20"/>
                <w:color w:val="auto"/>
              </w:rPr>
            </w:pPr>
            <w:r>
              <w:rPr>
                <w:rFonts w:ascii="Arial" w:cs="Arial" w:eastAsia="Arial" w:hAnsi="Arial"/>
                <w:sz w:val="17"/>
                <w:szCs w:val="17"/>
                <w:b w:val="1"/>
                <w:bCs w:val="1"/>
                <w:color w:val="auto"/>
              </w:rPr>
              <w:t>21,851</w:t>
            </w:r>
          </w:p>
        </w:tc>
        <w:tc>
          <w:tcPr>
            <w:tcW w:w="6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Provision for Income Taxes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10,500</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7"/>
                <w:szCs w:val="17"/>
                <w:b w:val="1"/>
                <w:bCs w:val="1"/>
                <w:color w:val="auto"/>
              </w:rPr>
              <w:t>Income from Continuing Operations</w:t>
            </w:r>
          </w:p>
        </w:tc>
        <w:tc>
          <w:tcPr>
            <w:tcW w:w="260" w:type="dxa"/>
            <w:vAlign w:val="bottom"/>
          </w:tcPr>
          <w:p>
            <w:pPr>
              <w:spacing w:after="0"/>
              <w:rPr>
                <w:sz w:val="13"/>
                <w:szCs w:val="13"/>
                <w:color w:val="auto"/>
              </w:rPr>
            </w:pPr>
          </w:p>
        </w:tc>
        <w:tc>
          <w:tcPr>
            <w:tcW w:w="1340" w:type="dxa"/>
            <w:vAlign w:val="bottom"/>
          </w:tcPr>
          <w:p>
            <w:pPr>
              <w:jc w:val="right"/>
              <w:ind w:right="79"/>
              <w:spacing w:after="0" w:line="158" w:lineRule="exact"/>
              <w:rPr>
                <w:sz w:val="20"/>
                <w:szCs w:val="20"/>
                <w:color w:val="auto"/>
              </w:rPr>
            </w:pPr>
            <w:r>
              <w:rPr>
                <w:rFonts w:ascii="Arial" w:cs="Arial" w:eastAsia="Arial" w:hAnsi="Arial"/>
                <w:sz w:val="17"/>
                <w:szCs w:val="17"/>
                <w:b w:val="1"/>
                <w:bCs w:val="1"/>
                <w:color w:val="auto"/>
              </w:rPr>
              <w:t>11,351</w:t>
            </w:r>
          </w:p>
        </w:tc>
        <w:tc>
          <w:tcPr>
            <w:tcW w:w="6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Income (Loss) from Discontinued Operations, Net of Tax</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20,217</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7"/>
                <w:szCs w:val="17"/>
                <w:b w:val="1"/>
                <w:bCs w:val="1"/>
                <w:color w:val="auto"/>
              </w:rPr>
              <w:t>Net Income</w:t>
            </w:r>
          </w:p>
        </w:tc>
        <w:tc>
          <w:tcPr>
            <w:tcW w:w="260" w:type="dxa"/>
            <w:vAlign w:val="bottom"/>
          </w:tcPr>
          <w:p>
            <w:pPr>
              <w:spacing w:after="0"/>
              <w:rPr>
                <w:sz w:val="13"/>
                <w:szCs w:val="13"/>
                <w:color w:val="auto"/>
              </w:rPr>
            </w:pPr>
          </w:p>
        </w:tc>
        <w:tc>
          <w:tcPr>
            <w:tcW w:w="1340" w:type="dxa"/>
            <w:vAlign w:val="bottom"/>
          </w:tcPr>
          <w:p>
            <w:pPr>
              <w:jc w:val="right"/>
              <w:ind w:right="79"/>
              <w:spacing w:after="0" w:line="158" w:lineRule="exact"/>
              <w:rPr>
                <w:sz w:val="20"/>
                <w:szCs w:val="20"/>
                <w:color w:val="auto"/>
              </w:rPr>
            </w:pPr>
            <w:r>
              <w:rPr>
                <w:rFonts w:ascii="Arial" w:cs="Arial" w:eastAsia="Arial" w:hAnsi="Arial"/>
                <w:sz w:val="17"/>
                <w:szCs w:val="17"/>
                <w:b w:val="1"/>
                <w:bCs w:val="1"/>
                <w:color w:val="auto"/>
              </w:rPr>
              <w:t>31,568</w:t>
            </w:r>
          </w:p>
        </w:tc>
        <w:tc>
          <w:tcPr>
            <w:tcW w:w="6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Net Income Attributable to Noncontrolling Interests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(70)</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260" w:type="dxa"/>
            <w:vAlign w:val="bottom"/>
          </w:tcPr>
          <w:p>
            <w:pPr>
              <w:spacing w:after="0"/>
              <w:rPr>
                <w:sz w:val="13"/>
                <w:szCs w:val="13"/>
                <w:color w:val="auto"/>
              </w:rPr>
            </w:pPr>
          </w:p>
        </w:tc>
        <w:tc>
          <w:tcPr>
            <w:tcW w:w="1340" w:type="dxa"/>
            <w:vAlign w:val="bottom"/>
          </w:tcPr>
          <w:p>
            <w:pPr>
              <w:jc w:val="right"/>
              <w:ind w:right="79"/>
              <w:spacing w:after="0" w:line="158" w:lineRule="exact"/>
              <w:rPr>
                <w:sz w:val="20"/>
                <w:szCs w:val="20"/>
                <w:color w:val="auto"/>
              </w:rPr>
            </w:pPr>
            <w:r>
              <w:rPr>
                <w:rFonts w:ascii="Arial" w:cs="Arial" w:eastAsia="Arial" w:hAnsi="Arial"/>
                <w:sz w:val="17"/>
                <w:szCs w:val="17"/>
                <w:b w:val="1"/>
                <w:bCs w:val="1"/>
                <w:color w:val="auto"/>
              </w:rPr>
              <w:t>31,498</w:t>
            </w:r>
          </w:p>
        </w:tc>
        <w:tc>
          <w:tcPr>
            <w:tcW w:w="6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Redeemable Preferred Stock Dividends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(451)</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240" w:type="dxa"/>
            <w:vAlign w:val="bottom"/>
          </w:tcPr>
          <w:p>
            <w:pPr>
              <w:spacing w:after="0" w:line="179" w:lineRule="exact"/>
              <w:rPr>
                <w:sz w:val="20"/>
                <w:szCs w:val="20"/>
                <w:color w:val="auto"/>
              </w:rPr>
            </w:pPr>
            <w:r>
              <w:rPr>
                <w:rFonts w:ascii="Arial" w:cs="Arial" w:eastAsia="Arial" w:hAnsi="Arial"/>
                <w:sz w:val="17"/>
                <w:szCs w:val="17"/>
                <w:b w:val="1"/>
                <w:bCs w:val="1"/>
                <w:color w:val="auto"/>
              </w:rPr>
              <w:t>Net Income Attributable to The Washington Post Company Common Stockholders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31,047</w:t>
            </w:r>
          </w:p>
        </w:tc>
        <w:tc>
          <w:tcPr>
            <w:tcW w:w="620" w:type="dxa"/>
            <w:vAlign w:val="bottom"/>
            <w:tcBorders>
              <w:bottom w:val="single" w:sz="8" w:color="auto"/>
            </w:tcBorders>
          </w:tcPr>
          <w:p>
            <w:pPr>
              <w:jc w:val="right"/>
              <w:ind w:right="338"/>
              <w:spacing w:after="0" w:line="179"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7"/>
                <w:szCs w:val="17"/>
                <w:b w:val="1"/>
                <w:bCs w:val="1"/>
                <w:color w:val="auto"/>
              </w:rPr>
              <w:t>Amounts Attributable to The Washington Post Company Common Stockholders</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4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10,830</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40" w:type="dxa"/>
            <w:vAlign w:val="bottom"/>
          </w:tcPr>
          <w:p>
            <w:pPr>
              <w:spacing w:after="0" w:line="166" w:lineRule="exact"/>
              <w:rPr>
                <w:sz w:val="20"/>
                <w:szCs w:val="20"/>
                <w:color w:val="auto"/>
              </w:rPr>
            </w:pPr>
            <w:r>
              <w:rPr>
                <w:rFonts w:ascii="Arial" w:cs="Arial" w:eastAsia="Arial" w:hAnsi="Arial"/>
                <w:sz w:val="17"/>
                <w:szCs w:val="17"/>
                <w:color w:val="auto"/>
              </w:rPr>
              <w:t>Income from continuing operations</w:t>
            </w:r>
          </w:p>
        </w:tc>
        <w:tc>
          <w:tcPr>
            <w:tcW w:w="2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620" w:type="dxa"/>
            <w:vAlign w:val="bottom"/>
          </w:tcPr>
          <w:p>
            <w:pPr>
              <w:jc w:val="right"/>
              <w:ind w:right="338"/>
              <w:spacing w:after="0" w:line="166"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6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color w:val="auto"/>
              </w:rPr>
              <w:t>Income (loss) from discontinued operations, net of tax</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20,217</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9"/>
        </w:trPr>
        <w:tc>
          <w:tcPr>
            <w:tcW w:w="8240" w:type="dxa"/>
            <w:vAlign w:val="bottom"/>
          </w:tcPr>
          <w:p>
            <w:pPr>
              <w:spacing w:after="0" w:line="179" w:lineRule="exact"/>
              <w:rPr>
                <w:sz w:val="20"/>
                <w:szCs w:val="20"/>
                <w:color w:val="auto"/>
              </w:rPr>
            </w:pPr>
            <w:r>
              <w:rPr>
                <w:rFonts w:ascii="Arial" w:cs="Arial" w:eastAsia="Arial" w:hAnsi="Arial"/>
                <w:sz w:val="17"/>
                <w:szCs w:val="17"/>
                <w:color w:val="auto"/>
              </w:rPr>
              <w:t>Net Income attributable to The Washington Post Company common stockholders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31,047</w:t>
            </w:r>
          </w:p>
        </w:tc>
        <w:tc>
          <w:tcPr>
            <w:tcW w:w="620" w:type="dxa"/>
            <w:vAlign w:val="bottom"/>
            <w:tcBorders>
              <w:bottom w:val="single" w:sz="8" w:color="auto"/>
            </w:tcBorders>
          </w:tcPr>
          <w:p>
            <w:pPr>
              <w:jc w:val="right"/>
              <w:ind w:right="338"/>
              <w:spacing w:after="0" w:line="179"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line="183" w:lineRule="exact"/>
              <w:rPr>
                <w:sz w:val="20"/>
                <w:szCs w:val="20"/>
                <w:color w:val="auto"/>
              </w:rPr>
            </w:pPr>
            <w:r>
              <w:rPr>
                <w:rFonts w:ascii="Arial" w:cs="Arial" w:eastAsia="Arial" w:hAnsi="Arial"/>
                <w:sz w:val="17"/>
                <w:szCs w:val="17"/>
                <w:b w:val="1"/>
                <w:bCs w:val="1"/>
                <w:color w:val="auto"/>
              </w:rPr>
              <w:t>Per Share Information Attributable to The Washington Post Company</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4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1.37</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40" w:type="dxa"/>
            <w:vAlign w:val="bottom"/>
          </w:tcPr>
          <w:p>
            <w:pPr>
              <w:spacing w:after="0" w:line="166" w:lineRule="exact"/>
              <w:rPr>
                <w:sz w:val="20"/>
                <w:szCs w:val="20"/>
                <w:color w:val="auto"/>
              </w:rPr>
            </w:pPr>
            <w:r>
              <w:rPr>
                <w:rFonts w:ascii="Arial" w:cs="Arial" w:eastAsia="Arial" w:hAnsi="Arial"/>
                <w:sz w:val="17"/>
                <w:szCs w:val="17"/>
                <w:color w:val="auto"/>
              </w:rPr>
              <w:t>Basic income per common share from continuing operations</w:t>
            </w:r>
          </w:p>
        </w:tc>
        <w:tc>
          <w:tcPr>
            <w:tcW w:w="2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620" w:type="dxa"/>
            <w:vAlign w:val="bottom"/>
          </w:tcPr>
          <w:p>
            <w:pPr>
              <w:jc w:val="right"/>
              <w:ind w:right="338"/>
              <w:spacing w:after="0" w:line="166" w:lineRule="exact"/>
              <w:rPr>
                <w:sz w:val="20"/>
                <w:szCs w:val="20"/>
                <w:color w:val="auto"/>
              </w:rPr>
            </w:pPr>
            <w:r>
              <w:rPr>
                <w:rFonts w:ascii="Arial" w:cs="Arial" w:eastAsia="Arial" w:hAnsi="Arial"/>
                <w:sz w:val="17"/>
                <w:szCs w:val="17"/>
                <w:color w:val="auto"/>
              </w:rPr>
              <w:t>$</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color w:val="auto"/>
              </w:rPr>
              <w:t>Basic income (loss) per common share from discontinued operations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2.70</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240" w:type="dxa"/>
            <w:vAlign w:val="bottom"/>
          </w:tcPr>
          <w:p>
            <w:pPr>
              <w:spacing w:after="0" w:line="179" w:lineRule="exact"/>
              <w:rPr>
                <w:sz w:val="20"/>
                <w:szCs w:val="20"/>
                <w:color w:val="auto"/>
              </w:rPr>
            </w:pPr>
            <w:r>
              <w:rPr>
                <w:rFonts w:ascii="Arial" w:cs="Arial" w:eastAsia="Arial" w:hAnsi="Arial"/>
                <w:sz w:val="17"/>
                <w:szCs w:val="17"/>
                <w:color w:val="auto"/>
              </w:rPr>
              <w:t>Basic net income per common share</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4.07</w:t>
            </w:r>
          </w:p>
        </w:tc>
        <w:tc>
          <w:tcPr>
            <w:tcW w:w="620" w:type="dxa"/>
            <w:vAlign w:val="bottom"/>
            <w:tcBorders>
              <w:bottom w:val="single" w:sz="8" w:color="auto"/>
            </w:tcBorders>
          </w:tcPr>
          <w:p>
            <w:pPr>
              <w:jc w:val="right"/>
              <w:ind w:right="338"/>
              <w:spacing w:after="0" w:line="179"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tcPr>
          <w:p>
            <w:pPr>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9"/>
              <w:spacing w:after="0" w:line="163" w:lineRule="exact"/>
              <w:rPr>
                <w:sz w:val="20"/>
                <w:szCs w:val="20"/>
                <w:color w:val="auto"/>
              </w:rPr>
            </w:pPr>
            <w:r>
              <w:rPr>
                <w:rFonts w:ascii="Arial" w:cs="Arial" w:eastAsia="Arial" w:hAnsi="Arial"/>
                <w:sz w:val="17"/>
                <w:szCs w:val="17"/>
                <w:b w:val="1"/>
                <w:bCs w:val="1"/>
                <w:color w:val="auto"/>
              </w:rPr>
              <w:t>7,514</w:t>
            </w: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line="183" w:lineRule="exact"/>
              <w:rPr>
                <w:sz w:val="20"/>
                <w:szCs w:val="20"/>
                <w:color w:val="auto"/>
              </w:rPr>
            </w:pPr>
            <w:r>
              <w:rPr>
                <w:rFonts w:ascii="Arial" w:cs="Arial" w:eastAsia="Arial" w:hAnsi="Arial"/>
                <w:sz w:val="17"/>
                <w:szCs w:val="17"/>
                <w:color w:val="auto"/>
              </w:rPr>
              <w:t>Diluted income per common share from continuing operations</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40" w:type="dxa"/>
            <w:vAlign w:val="bottom"/>
            <w:vMerge w:val="continue"/>
          </w:tcPr>
          <w:p>
            <w:pPr>
              <w:spacing w:after="0"/>
              <w:rPr>
                <w:sz w:val="12"/>
                <w:szCs w:val="12"/>
                <w:color w:val="auto"/>
              </w:rPr>
            </w:pPr>
          </w:p>
        </w:tc>
        <w:tc>
          <w:tcPr>
            <w:tcW w:w="26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auto"/>
                <w:w w:val="76"/>
              </w:rPr>
              <w:t>$</w:t>
            </w:r>
          </w:p>
        </w:tc>
        <w:tc>
          <w:tcPr>
            <w:tcW w:w="1340" w:type="dxa"/>
            <w:vAlign w:val="bottom"/>
          </w:tcPr>
          <w:p>
            <w:pPr>
              <w:jc w:val="right"/>
              <w:ind w:right="79"/>
              <w:spacing w:after="0" w:line="142" w:lineRule="exact"/>
              <w:rPr>
                <w:sz w:val="20"/>
                <w:szCs w:val="20"/>
                <w:color w:val="auto"/>
              </w:rPr>
            </w:pPr>
            <w:r>
              <w:rPr>
                <w:rFonts w:ascii="Arial" w:cs="Arial" w:eastAsia="Arial" w:hAnsi="Arial"/>
                <w:sz w:val="16"/>
                <w:szCs w:val="16"/>
                <w:b w:val="1"/>
                <w:bCs w:val="1"/>
                <w:color w:val="auto"/>
              </w:rPr>
              <w:t>1.37</w:t>
            </w:r>
          </w:p>
        </w:tc>
        <w:tc>
          <w:tcPr>
            <w:tcW w:w="620" w:type="dxa"/>
            <w:vAlign w:val="bottom"/>
          </w:tcPr>
          <w:p>
            <w:pPr>
              <w:jc w:val="right"/>
              <w:ind w:right="338"/>
              <w:spacing w:after="0" w:line="142"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color w:val="auto"/>
              </w:rPr>
              <w:t>Diluted income (loss) per common share from discontinued operations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2.70</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240" w:type="dxa"/>
            <w:vAlign w:val="bottom"/>
          </w:tcPr>
          <w:p>
            <w:pPr>
              <w:spacing w:after="0" w:line="179" w:lineRule="exact"/>
              <w:rPr>
                <w:sz w:val="20"/>
                <w:szCs w:val="20"/>
                <w:color w:val="auto"/>
              </w:rPr>
            </w:pPr>
            <w:r>
              <w:rPr>
                <w:rFonts w:ascii="Arial" w:cs="Arial" w:eastAsia="Arial" w:hAnsi="Arial"/>
                <w:sz w:val="17"/>
                <w:szCs w:val="17"/>
                <w:color w:val="auto"/>
              </w:rPr>
              <w:t>Diluted net income per common share</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4.07</w:t>
            </w:r>
          </w:p>
        </w:tc>
        <w:tc>
          <w:tcPr>
            <w:tcW w:w="620" w:type="dxa"/>
            <w:vAlign w:val="bottom"/>
            <w:tcBorders>
              <w:bottom w:val="single" w:sz="8" w:color="auto"/>
            </w:tcBorders>
          </w:tcPr>
          <w:p>
            <w:pPr>
              <w:jc w:val="right"/>
              <w:ind w:right="338"/>
              <w:spacing w:after="0" w:line="179"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tcPr>
          <w:p>
            <w:pPr>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9"/>
              <w:spacing w:after="0" w:line="163" w:lineRule="exact"/>
              <w:rPr>
                <w:sz w:val="20"/>
                <w:szCs w:val="20"/>
                <w:color w:val="auto"/>
              </w:rPr>
            </w:pPr>
            <w:r>
              <w:rPr>
                <w:rFonts w:ascii="Arial" w:cs="Arial" w:eastAsia="Arial" w:hAnsi="Arial"/>
                <w:sz w:val="17"/>
                <w:szCs w:val="17"/>
                <w:b w:val="1"/>
                <w:bCs w:val="1"/>
                <w:color w:val="auto"/>
              </w:rPr>
              <w:t>7,615</w:t>
            </w: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3" w:name="page4"/>
    <w:bookmarkEnd w:id="3"/>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60" w:type="dxa"/>
            <w:vAlign w:val="bottom"/>
          </w:tcPr>
          <w:p>
            <w:pPr>
              <w:spacing w:after="0"/>
              <w:rPr>
                <w:sz w:val="13"/>
                <w:szCs w:val="13"/>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r>
      <w:tr>
        <w:trPr>
          <w:trHeight w:val="114"/>
        </w:trPr>
        <w:tc>
          <w:tcPr>
            <w:tcW w:w="9160" w:type="dxa"/>
            <w:vAlign w:val="bottom"/>
          </w:tcPr>
          <w:p>
            <w:pPr>
              <w:spacing w:after="0"/>
              <w:rPr>
                <w:sz w:val="9"/>
                <w:szCs w:val="9"/>
                <w:color w:val="auto"/>
              </w:rPr>
            </w:pPr>
          </w:p>
        </w:tc>
        <w:tc>
          <w:tcPr>
            <w:tcW w:w="11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March 31,</w:t>
            </w:r>
          </w:p>
        </w:tc>
        <w:tc>
          <w:tcPr>
            <w:tcW w:w="600" w:type="dxa"/>
            <w:vAlign w:val="bottom"/>
          </w:tcPr>
          <w:p>
            <w:pPr>
              <w:jc w:val="right"/>
              <w:spacing w:after="0" w:line="114" w:lineRule="exact"/>
              <w:rPr>
                <w:sz w:val="20"/>
                <w:szCs w:val="20"/>
                <w:color w:val="auto"/>
              </w:rPr>
            </w:pPr>
            <w:r>
              <w:rPr>
                <w:rFonts w:ascii="Arial" w:cs="Arial" w:eastAsia="Arial" w:hAnsi="Arial"/>
                <w:sz w:val="12"/>
                <w:szCs w:val="12"/>
                <w:color w:val="auto"/>
              </w:rPr>
              <w:t>April</w:t>
            </w:r>
          </w:p>
        </w:tc>
      </w:tr>
      <w:tr>
        <w:trPr>
          <w:trHeight w:val="162"/>
        </w:trPr>
        <w:tc>
          <w:tcPr>
            <w:tcW w:w="9160" w:type="dxa"/>
            <w:vAlign w:val="bottom"/>
          </w:tcPr>
          <w:p>
            <w:pPr>
              <w:spacing w:after="0"/>
              <w:rPr>
                <w:sz w:val="20"/>
                <w:szCs w:val="20"/>
                <w:color w:val="auto"/>
              </w:rPr>
            </w:pPr>
            <w:r>
              <w:rPr>
                <w:rFonts w:ascii="Arial" w:cs="Arial" w:eastAsia="Arial" w:hAnsi="Arial"/>
                <w:sz w:val="12"/>
                <w:szCs w:val="12"/>
                <w:color w:val="auto"/>
              </w:rPr>
              <w:t>(In thousands)</w:t>
            </w:r>
          </w:p>
        </w:tc>
        <w:tc>
          <w:tcPr>
            <w:tcW w:w="1180" w:type="dxa"/>
            <w:vAlign w:val="bottom"/>
          </w:tcPr>
          <w:p>
            <w:pPr>
              <w:jc w:val="right"/>
              <w:ind w:right="438"/>
              <w:spacing w:after="0"/>
              <w:rPr>
                <w:sz w:val="20"/>
                <w:szCs w:val="20"/>
                <w:color w:val="auto"/>
              </w:rPr>
            </w:pPr>
            <w:r>
              <w:rPr>
                <w:rFonts w:ascii="Arial" w:cs="Arial" w:eastAsia="Arial" w:hAnsi="Arial"/>
                <w:sz w:val="12"/>
                <w:szCs w:val="12"/>
                <w:b w:val="1"/>
                <w:bCs w:val="1"/>
                <w:color w:val="auto"/>
              </w:rPr>
              <w:t>2012</w:t>
            </w:r>
          </w:p>
        </w:tc>
        <w:tc>
          <w:tcPr>
            <w:tcW w:w="600" w:type="dxa"/>
            <w:vAlign w:val="bottom"/>
          </w:tcPr>
          <w:p>
            <w:pPr>
              <w:jc w:val="right"/>
              <w:spacing w:after="0"/>
              <w:rPr>
                <w:sz w:val="20"/>
                <w:szCs w:val="20"/>
                <w:color w:val="auto"/>
              </w:rPr>
            </w:pPr>
            <w:r>
              <w:rPr>
                <w:rFonts w:ascii="Arial" w:cs="Arial" w:eastAsia="Arial" w:hAnsi="Arial"/>
                <w:sz w:val="12"/>
                <w:szCs w:val="12"/>
                <w:color w:val="auto"/>
              </w:rPr>
              <w:t>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9532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p>
      <w:pPr>
        <w:spacing w:after="0" w:line="229" w:lineRule="auto"/>
        <w:rPr>
          <w:sz w:val="20"/>
          <w:szCs w:val="20"/>
          <w:color w:val="auto"/>
        </w:rPr>
      </w:pPr>
      <w:r>
        <w:rPr>
          <w:rFonts w:ascii="Arial" w:cs="Arial" w:eastAsia="Arial" w:hAnsi="Arial"/>
          <w:sz w:val="17"/>
          <w:szCs w:val="17"/>
          <w:b w:val="1"/>
          <w:bCs w:val="1"/>
          <w:color w:val="auto"/>
        </w:rPr>
        <w:t>Net Income</w:t>
      </w:r>
    </w:p>
    <w:p>
      <w:pPr>
        <w:spacing w:after="0" w:line="228" w:lineRule="auto"/>
        <w:rPr>
          <w:sz w:val="20"/>
          <w:szCs w:val="20"/>
          <w:color w:val="auto"/>
        </w:rPr>
      </w:pPr>
      <w:r>
        <w:rPr>
          <w:rFonts w:ascii="Arial" w:cs="Arial" w:eastAsia="Arial" w:hAnsi="Arial"/>
          <w:sz w:val="17"/>
          <w:szCs w:val="17"/>
          <w:b w:val="1"/>
          <w:bCs w:val="1"/>
          <w:color w:val="auto"/>
        </w:rPr>
        <w:t>Other Comprehensive Income (Loss), Before Tax</w:t>
      </w:r>
    </w:p>
    <w:p>
      <w:pPr>
        <w:ind w:left="220"/>
        <w:spacing w:after="0" w:line="229" w:lineRule="auto"/>
        <w:rPr>
          <w:sz w:val="20"/>
          <w:szCs w:val="20"/>
          <w:color w:val="auto"/>
        </w:rPr>
      </w:pPr>
      <w:r>
        <w:rPr>
          <w:rFonts w:ascii="Arial" w:cs="Arial" w:eastAsia="Arial" w:hAnsi="Arial"/>
          <w:sz w:val="17"/>
          <w:szCs w:val="17"/>
          <w:color w:val="auto"/>
        </w:rPr>
        <w:t>Foreign currency translation adjustments:</w:t>
      </w:r>
    </w:p>
    <w:p>
      <w:pPr>
        <w:ind w:left="460"/>
        <w:spacing w:after="0" w:line="228" w:lineRule="auto"/>
        <w:rPr>
          <w:sz w:val="20"/>
          <w:szCs w:val="20"/>
          <w:color w:val="auto"/>
        </w:rPr>
      </w:pPr>
      <w:r>
        <w:rPr>
          <w:rFonts w:ascii="Arial" w:cs="Arial" w:eastAsia="Arial" w:hAnsi="Arial"/>
          <w:sz w:val="17"/>
          <w:szCs w:val="17"/>
          <w:color w:val="auto"/>
        </w:rPr>
        <w:t>Translation adjustments arising during the period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Adjustment for sale of a business with foreign operations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Unrealized gains on available-for-sale securities:</w:t>
      </w:r>
    </w:p>
    <w:p>
      <w:pPr>
        <w:ind w:left="460"/>
        <w:spacing w:after="0" w:line="228" w:lineRule="auto"/>
        <w:rPr>
          <w:sz w:val="20"/>
          <w:szCs w:val="20"/>
          <w:color w:val="auto"/>
        </w:rPr>
      </w:pPr>
      <w:r>
        <w:rPr>
          <w:rFonts w:ascii="Arial" w:cs="Arial" w:eastAsia="Arial" w:hAnsi="Arial"/>
          <w:sz w:val="17"/>
          <w:szCs w:val="17"/>
          <w:color w:val="auto"/>
        </w:rPr>
        <w:t>Unrealized gains for the period</w:t>
      </w:r>
    </w:p>
    <w:p>
      <w:pPr>
        <w:ind w:left="460"/>
        <w:spacing w:after="0"/>
        <w:rPr>
          <w:sz w:val="20"/>
          <w:szCs w:val="20"/>
          <w:color w:val="auto"/>
        </w:rPr>
      </w:pPr>
      <w:r>
        <w:rPr>
          <w:rFonts w:ascii="Arial" w:cs="Arial" w:eastAsia="Arial" w:hAnsi="Arial"/>
          <w:sz w:val="16"/>
          <w:szCs w:val="16"/>
          <w:color w:val="auto"/>
        </w:rPr>
        <w:t>Reclassification adjustment for write-down on available-for-sale security included in net income</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Pension and other postretirement plans:</w:t>
      </w:r>
    </w:p>
    <w:p>
      <w:pPr>
        <w:ind w:left="460"/>
        <w:spacing w:after="0" w:line="228" w:lineRule="auto"/>
        <w:rPr>
          <w:sz w:val="20"/>
          <w:szCs w:val="20"/>
          <w:color w:val="auto"/>
        </w:rPr>
      </w:pPr>
      <w:r>
        <w:rPr>
          <w:rFonts w:ascii="Arial" w:cs="Arial" w:eastAsia="Arial" w:hAnsi="Arial"/>
          <w:sz w:val="17"/>
          <w:szCs w:val="17"/>
          <w:color w:val="auto"/>
        </w:rPr>
        <w:t>Amortization of net prior service credit included in net income</w:t>
      </w:r>
    </w:p>
    <w:p>
      <w:pPr>
        <w:ind w:left="460"/>
        <w:spacing w:after="0" w:line="229" w:lineRule="auto"/>
        <w:rPr>
          <w:sz w:val="20"/>
          <w:szCs w:val="20"/>
          <w:color w:val="auto"/>
        </w:rPr>
      </w:pPr>
      <w:r>
        <w:rPr>
          <w:rFonts w:ascii="Arial" w:cs="Arial" w:eastAsia="Arial" w:hAnsi="Arial"/>
          <w:sz w:val="17"/>
          <w:szCs w:val="17"/>
          <w:color w:val="auto"/>
        </w:rPr>
        <w:t>Amortization of net actuarial loss (gain) included in net income</w:t>
      </w:r>
    </w:p>
    <w:p>
      <w:pPr>
        <w:ind w:left="460"/>
        <w:spacing w:after="0"/>
        <w:rPr>
          <w:sz w:val="20"/>
          <w:szCs w:val="20"/>
          <w:color w:val="auto"/>
        </w:rPr>
      </w:pPr>
      <w:r>
        <w:rPr>
          <w:rFonts w:ascii="Arial" w:cs="Arial" w:eastAsia="Arial" w:hAnsi="Arial"/>
          <w:sz w:val="17"/>
          <w:szCs w:val="17"/>
          <w:color w:val="auto"/>
        </w:rPr>
        <w:t>Foreign affiliate pension adjustments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Cash flow hedge, net change</w:t>
      </w:r>
    </w:p>
    <w:p>
      <w:pPr>
        <w:spacing w:after="0" w:line="232" w:lineRule="auto"/>
        <w:rPr>
          <w:sz w:val="20"/>
          <w:szCs w:val="20"/>
          <w:color w:val="auto"/>
        </w:rPr>
      </w:pPr>
      <w:r>
        <w:rPr>
          <w:rFonts w:ascii="Arial" w:cs="Arial" w:eastAsia="Arial" w:hAnsi="Arial"/>
          <w:sz w:val="17"/>
          <w:szCs w:val="17"/>
          <w:b w:val="1"/>
          <w:bCs w:val="1"/>
          <w:color w:val="auto"/>
        </w:rPr>
        <w:t>Other Comprehensive Income, Before Tax</w:t>
      </w:r>
    </w:p>
    <w:p>
      <w:pPr>
        <w:ind w:left="220"/>
        <w:spacing w:after="0"/>
        <w:rPr>
          <w:sz w:val="20"/>
          <w:szCs w:val="20"/>
          <w:color w:val="auto"/>
        </w:rPr>
      </w:pPr>
      <w:r>
        <w:rPr>
          <w:rFonts w:ascii="Arial" w:cs="Arial" w:eastAsia="Arial" w:hAnsi="Arial"/>
          <w:sz w:val="17"/>
          <w:szCs w:val="17"/>
          <w:color w:val="auto"/>
        </w:rPr>
        <w:t>Income tax expense related to items of other comprehensive income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Comprehensive Income, Net of Tax</w:t>
      </w:r>
    </w:p>
    <w:p>
      <w:pPr>
        <w:spacing w:after="0" w:line="233" w:lineRule="auto"/>
        <w:rPr>
          <w:sz w:val="20"/>
          <w:szCs w:val="20"/>
          <w:color w:val="auto"/>
        </w:rPr>
      </w:pPr>
      <w:r>
        <w:rPr>
          <w:rFonts w:ascii="Arial" w:cs="Arial" w:eastAsia="Arial" w:hAnsi="Arial"/>
          <w:sz w:val="17"/>
          <w:szCs w:val="17"/>
          <w:b w:val="1"/>
          <w:bCs w:val="1"/>
          <w:color w:val="auto"/>
        </w:rPr>
        <w:t>Comprehensive Income</w:t>
      </w:r>
    </w:p>
    <w:p>
      <w:pPr>
        <w:ind w:left="220"/>
        <w:spacing w:after="0"/>
        <w:rPr>
          <w:sz w:val="20"/>
          <w:szCs w:val="20"/>
          <w:color w:val="auto"/>
        </w:rPr>
      </w:pPr>
      <w:r>
        <w:rPr>
          <w:rFonts w:ascii="Arial" w:cs="Arial" w:eastAsia="Arial" w:hAnsi="Arial"/>
          <w:sz w:val="17"/>
          <w:szCs w:val="17"/>
          <w:color w:val="auto"/>
        </w:rPr>
        <w:t>Comprehensive income attributable to noncontrolling interests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Comprehensive Income Attributable to The Washington Post Company</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7" w:hanging="287"/>
        <w:spacing w:after="0"/>
        <w:tabs>
          <w:tab w:leader="none" w:pos="28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31,568    </w:t>
      </w:r>
      <w:r>
        <w:rPr>
          <w:rFonts w:ascii="Arial" w:cs="Arial" w:eastAsia="Arial" w:hAnsi="Arial"/>
          <w:sz w:val="17"/>
          <w:szCs w:val="17"/>
          <w:color w:val="auto"/>
        </w:rPr>
        <w:t>$  15,</w:t>
      </w:r>
    </w:p>
    <w:p>
      <w:pPr>
        <w:spacing w:after="0" w:line="343" w:lineRule="exact"/>
        <w:rPr>
          <w:sz w:val="20"/>
          <w:szCs w:val="20"/>
          <w:color w:val="auto"/>
        </w:rPr>
      </w:pPr>
    </w:p>
    <w:p>
      <w:pPr>
        <w:jc w:val="right"/>
        <w:ind w:right="700"/>
        <w:spacing w:after="0"/>
        <w:rPr>
          <w:sz w:val="20"/>
          <w:szCs w:val="20"/>
          <w:color w:val="auto"/>
        </w:rPr>
      </w:pPr>
      <w:r>
        <w:rPr>
          <w:rFonts w:ascii="Arial" w:cs="Arial" w:eastAsia="Arial" w:hAnsi="Arial"/>
          <w:sz w:val="17"/>
          <w:szCs w:val="17"/>
          <w:b w:val="1"/>
          <w:bCs w:val="1"/>
          <w:color w:val="auto"/>
        </w:rPr>
        <w:t>7,823</w:t>
      </w:r>
    </w:p>
    <w:p>
      <w:pPr>
        <w:spacing w:after="0" w:line="11" w:lineRule="exact"/>
        <w:rPr>
          <w:sz w:val="20"/>
          <w:szCs w:val="20"/>
          <w:color w:val="auto"/>
        </w:rPr>
      </w:pPr>
    </w:p>
    <w:p>
      <w:pPr>
        <w:jc w:val="right"/>
        <w:ind w:right="700"/>
        <w:spacing w:after="0"/>
        <w:rPr>
          <w:sz w:val="20"/>
          <w:szCs w:val="20"/>
          <w:color w:val="auto"/>
        </w:rPr>
      </w:pPr>
      <w:r>
        <w:rPr>
          <w:rFonts w:ascii="Arial" w:cs="Arial" w:eastAsia="Arial" w:hAnsi="Arial"/>
          <w:sz w:val="17"/>
          <w:szCs w:val="17"/>
          <w:b w:val="1"/>
          <w:bCs w:val="1"/>
          <w:color w:val="auto"/>
        </w:rPr>
        <w:t>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-5080</wp:posOffset>
            </wp:positionV>
            <wp:extent cx="11296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ind w:left="547"/>
        <w:spacing w:after="0"/>
        <w:rPr>
          <w:sz w:val="20"/>
          <w:szCs w:val="20"/>
          <w:color w:val="auto"/>
        </w:rPr>
      </w:pPr>
      <w:r>
        <w:rPr>
          <w:rFonts w:ascii="Arial" w:cs="Arial" w:eastAsia="Arial" w:hAnsi="Arial"/>
          <w:sz w:val="17"/>
          <w:szCs w:val="17"/>
          <w:b w:val="1"/>
          <w:bCs w:val="1"/>
          <w:color w:val="auto"/>
        </w:rPr>
        <w:t>8,336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-4445</wp:posOffset>
            </wp:positionV>
            <wp:extent cx="11296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spacing w:after="0" w:line="150" w:lineRule="exact"/>
        <w:rPr>
          <w:sz w:val="20"/>
          <w:szCs w:val="20"/>
          <w:color w:val="auto"/>
        </w:rPr>
      </w:pPr>
    </w:p>
    <w:p>
      <w:pPr>
        <w:ind w:left="447"/>
        <w:spacing w:after="0"/>
        <w:rPr>
          <w:sz w:val="20"/>
          <w:szCs w:val="20"/>
          <w:color w:val="auto"/>
        </w:rPr>
      </w:pPr>
      <w:r>
        <w:rPr>
          <w:rFonts w:ascii="Arial" w:cs="Arial" w:eastAsia="Arial" w:hAnsi="Arial"/>
          <w:sz w:val="17"/>
          <w:szCs w:val="17"/>
          <w:b w:val="1"/>
          <w:bCs w:val="1"/>
          <w:color w:val="auto"/>
        </w:rPr>
        <w:t>32,315</w:t>
      </w:r>
    </w:p>
    <w:p>
      <w:pPr>
        <w:spacing w:after="0" w:line="11" w:lineRule="exact"/>
        <w:rPr>
          <w:sz w:val="20"/>
          <w:szCs w:val="20"/>
          <w:color w:val="auto"/>
        </w:rPr>
      </w:pPr>
    </w:p>
    <w:p>
      <w:pPr>
        <w:jc w:val="both"/>
        <w:ind w:left="787"/>
        <w:spacing w:after="0"/>
        <w:tabs>
          <w:tab w:leader="none" w:pos="1547"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-5080</wp:posOffset>
            </wp:positionV>
            <wp:extent cx="11296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jc w:val="both"/>
        <w:ind w:left="447"/>
        <w:spacing w:after="0"/>
        <w:tabs>
          <w:tab w:leader="none" w:pos="1547" w:val="left"/>
        </w:tabs>
        <w:rPr>
          <w:sz w:val="20"/>
          <w:szCs w:val="20"/>
          <w:color w:val="auto"/>
        </w:rPr>
      </w:pPr>
      <w:r>
        <w:rPr>
          <w:rFonts w:ascii="Arial" w:cs="Arial" w:eastAsia="Arial" w:hAnsi="Arial"/>
          <w:sz w:val="17"/>
          <w:szCs w:val="17"/>
          <w:b w:val="1"/>
          <w:bCs w:val="1"/>
          <w:color w:val="auto"/>
        </w:rPr>
        <w:t>32,315</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-4445</wp:posOffset>
            </wp:positionV>
            <wp:extent cx="112966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spacing w:after="0" w:line="150" w:lineRule="exact"/>
        <w:rPr>
          <w:sz w:val="20"/>
          <w:szCs w:val="20"/>
          <w:color w:val="auto"/>
        </w:rPr>
      </w:pPr>
    </w:p>
    <w:p>
      <w:pPr>
        <w:ind w:left="567"/>
        <w:spacing w:after="0"/>
        <w:rPr>
          <w:sz w:val="20"/>
          <w:szCs w:val="20"/>
          <w:color w:val="auto"/>
        </w:rPr>
      </w:pPr>
      <w:r>
        <w:rPr>
          <w:rFonts w:ascii="Arial" w:cs="Arial" w:eastAsia="Arial" w:hAnsi="Arial"/>
          <w:sz w:val="17"/>
          <w:szCs w:val="17"/>
          <w:b w:val="1"/>
          <w:bCs w:val="1"/>
          <w:color w:val="auto"/>
        </w:rPr>
        <w:t>(451)</w:t>
      </w:r>
    </w:p>
    <w:p>
      <w:pPr>
        <w:spacing w:after="0" w:line="1" w:lineRule="exact"/>
        <w:rPr>
          <w:sz w:val="20"/>
          <w:szCs w:val="20"/>
          <w:color w:val="auto"/>
        </w:rPr>
      </w:pPr>
    </w:p>
    <w:p>
      <w:pPr>
        <w:ind w:left="547"/>
        <w:spacing w:after="0"/>
        <w:rPr>
          <w:sz w:val="20"/>
          <w:szCs w:val="20"/>
          <w:color w:val="auto"/>
        </w:rPr>
      </w:pPr>
      <w:r>
        <w:rPr>
          <w:rFonts w:ascii="Arial" w:cs="Arial" w:eastAsia="Arial" w:hAnsi="Arial"/>
          <w:sz w:val="17"/>
          <w:szCs w:val="17"/>
          <w:b w:val="1"/>
          <w:bCs w:val="1"/>
          <w:color w:val="auto"/>
        </w:rPr>
        <w:t>1,657</w:t>
      </w:r>
    </w:p>
    <w:p>
      <w:pPr>
        <w:ind w:left="787"/>
        <w:spacing w:after="0"/>
        <w:tabs>
          <w:tab w:leader="none" w:pos="1547"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-5080</wp:posOffset>
            </wp:positionV>
            <wp:extent cx="112966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ind w:left="547"/>
        <w:spacing w:after="0"/>
        <w:tabs>
          <w:tab w:leader="none" w:pos="1547" w:val="left"/>
        </w:tabs>
        <w:rPr>
          <w:sz w:val="20"/>
          <w:szCs w:val="20"/>
          <w:color w:val="auto"/>
        </w:rPr>
      </w:pPr>
      <w:r>
        <w:rPr>
          <w:rFonts w:ascii="Arial" w:cs="Arial" w:eastAsia="Arial" w:hAnsi="Arial"/>
          <w:sz w:val="17"/>
          <w:szCs w:val="17"/>
          <w:b w:val="1"/>
          <w:bCs w:val="1"/>
          <w:color w:val="auto"/>
        </w:rPr>
        <w:t>1,206</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-4445</wp:posOffset>
            </wp:positionV>
            <wp:extent cx="112966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ind w:left="667"/>
        <w:spacing w:after="0"/>
        <w:rPr>
          <w:sz w:val="20"/>
          <w:szCs w:val="20"/>
          <w:color w:val="auto"/>
        </w:rPr>
      </w:pPr>
      <w:r>
        <w:rPr>
          <w:rFonts w:ascii="Arial" w:cs="Arial" w:eastAsia="Arial" w:hAnsi="Arial"/>
          <w:sz w:val="17"/>
          <w:szCs w:val="17"/>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-4445</wp:posOffset>
            </wp:positionV>
            <wp:extent cx="11296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jc w:val="both"/>
        <w:ind w:left="447"/>
        <w:spacing w:after="0" w:line="232" w:lineRule="auto"/>
        <w:tabs>
          <w:tab w:leader="none" w:pos="1547" w:val="left"/>
        </w:tabs>
        <w:rPr>
          <w:sz w:val="20"/>
          <w:szCs w:val="20"/>
          <w:color w:val="auto"/>
        </w:rPr>
      </w:pPr>
      <w:r>
        <w:rPr>
          <w:rFonts w:ascii="Arial" w:cs="Arial" w:eastAsia="Arial" w:hAnsi="Arial"/>
          <w:sz w:val="17"/>
          <w:szCs w:val="17"/>
          <w:b w:val="1"/>
          <w:bCs w:val="1"/>
          <w:color w:val="auto"/>
        </w:rPr>
        <w:t>41,822</w:t>
      </w:r>
      <w:r>
        <w:rPr>
          <w:sz w:val="20"/>
          <w:szCs w:val="20"/>
          <w:color w:val="auto"/>
        </w:rPr>
        <w:tab/>
      </w:r>
      <w:r>
        <w:rPr>
          <w:rFonts w:ascii="Arial" w:cs="Arial" w:eastAsia="Arial" w:hAnsi="Arial"/>
          <w:sz w:val="17"/>
          <w:szCs w:val="17"/>
          <w:color w:val="auto"/>
        </w:rPr>
        <w:t>4</w:t>
      </w:r>
    </w:p>
    <w:p>
      <w:pPr>
        <w:spacing w:after="0" w:line="1" w:lineRule="exact"/>
        <w:rPr>
          <w:sz w:val="20"/>
          <w:szCs w:val="20"/>
          <w:color w:val="auto"/>
        </w:rPr>
      </w:pPr>
    </w:p>
    <w:p>
      <w:pPr>
        <w:ind w:left="327"/>
        <w:spacing w:after="0"/>
        <w:tabs>
          <w:tab w:leader="none" w:pos="1447" w:val="left"/>
        </w:tabs>
        <w:rPr>
          <w:sz w:val="20"/>
          <w:szCs w:val="20"/>
          <w:color w:val="auto"/>
        </w:rPr>
      </w:pPr>
      <w:r>
        <w:rPr>
          <w:rFonts w:ascii="Arial" w:cs="Arial" w:eastAsia="Arial" w:hAnsi="Arial"/>
          <w:sz w:val="17"/>
          <w:szCs w:val="17"/>
          <w:b w:val="1"/>
          <w:bCs w:val="1"/>
          <w:color w:val="auto"/>
        </w:rPr>
        <w:t>(13,393)</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-5080</wp:posOffset>
            </wp:positionV>
            <wp:extent cx="11296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jc w:val="both"/>
        <w:ind w:left="447"/>
        <w:spacing w:after="0"/>
        <w:tabs>
          <w:tab w:leader="none" w:pos="1547" w:val="left"/>
        </w:tabs>
        <w:rPr>
          <w:sz w:val="20"/>
          <w:szCs w:val="20"/>
          <w:color w:val="auto"/>
        </w:rPr>
      </w:pPr>
      <w:r>
        <w:rPr>
          <w:rFonts w:ascii="Arial" w:cs="Arial" w:eastAsia="Arial" w:hAnsi="Arial"/>
          <w:sz w:val="17"/>
          <w:szCs w:val="17"/>
          <w:b w:val="1"/>
          <w:bCs w:val="1"/>
          <w:color w:val="auto"/>
        </w:rPr>
        <w:t>28,429</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-4445</wp:posOffset>
            </wp:positionV>
            <wp:extent cx="11296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jc w:val="both"/>
        <w:ind w:left="447"/>
        <w:spacing w:after="0" w:line="232" w:lineRule="auto"/>
        <w:tabs>
          <w:tab w:leader="none" w:pos="1547" w:val="left"/>
        </w:tabs>
        <w:rPr>
          <w:sz w:val="20"/>
          <w:szCs w:val="20"/>
          <w:color w:val="auto"/>
        </w:rPr>
      </w:pPr>
      <w:r>
        <w:rPr>
          <w:rFonts w:ascii="Arial" w:cs="Arial" w:eastAsia="Arial" w:hAnsi="Arial"/>
          <w:sz w:val="17"/>
          <w:szCs w:val="17"/>
          <w:b w:val="1"/>
          <w:bCs w:val="1"/>
          <w:color w:val="auto"/>
        </w:rPr>
        <w:t>59,997</w:t>
      </w:r>
      <w:r>
        <w:rPr>
          <w:sz w:val="20"/>
          <w:szCs w:val="20"/>
          <w:color w:val="auto"/>
        </w:rPr>
        <w:tab/>
      </w:r>
      <w:r>
        <w:rPr>
          <w:rFonts w:ascii="Arial" w:cs="Arial" w:eastAsia="Arial" w:hAnsi="Arial"/>
          <w:sz w:val="17"/>
          <w:szCs w:val="17"/>
          <w:color w:val="auto"/>
        </w:rPr>
        <w:t>4</w:t>
      </w:r>
    </w:p>
    <w:p>
      <w:pPr>
        <w:spacing w:after="0" w:line="1" w:lineRule="exact"/>
        <w:rPr>
          <w:sz w:val="20"/>
          <w:szCs w:val="20"/>
          <w:color w:val="auto"/>
        </w:rPr>
      </w:pPr>
    </w:p>
    <w:p>
      <w:pPr>
        <w:jc w:val="center"/>
        <w:ind w:right="33"/>
        <w:spacing w:after="0"/>
        <w:rPr>
          <w:sz w:val="20"/>
          <w:szCs w:val="20"/>
          <w:color w:val="auto"/>
        </w:rPr>
      </w:pPr>
      <w:r>
        <w:rPr>
          <w:rFonts w:ascii="Arial" w:cs="Arial" w:eastAsia="Arial" w:hAnsi="Arial"/>
          <w:sz w:val="17"/>
          <w:szCs w:val="17"/>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-5080</wp:posOffset>
            </wp:positionV>
            <wp:extent cx="112966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jc w:val="center"/>
        <w:ind w:right="-6"/>
        <w:spacing w:after="0"/>
        <w:tabs>
          <w:tab w:leader="none" w:pos="340" w:val="left"/>
          <w:tab w:leader="none" w:pos="160" w:val="left"/>
          <w:tab w:leader="none" w:pos="3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59,907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-4445</wp:posOffset>
            </wp:positionV>
            <wp:extent cx="112966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29665" cy="762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10795</wp:posOffset>
            </wp:positionV>
            <wp:extent cx="112966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sectPr>
          <w:pgSz w:w="11900" w:h="16838" w:orient="portrait"/>
          <w:cols w:equalWidth="0" w:num="2">
            <w:col w:w="8573" w:space="720"/>
            <w:col w:w="1647"/>
          </w:cols>
          <w:pgMar w:left="820" w:top="528" w:right="139" w:bottom="1440" w:gutter="0" w:footer="0" w:header="0"/>
          <w:type w:val="continuous"/>
        </w:sectPr>
      </w:pPr>
    </w:p>
    <w:bookmarkStart w:id="4" w:name="page5"/>
    <w:bookmarkEnd w:id="4"/>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319"/>
              <w:spacing w:after="0"/>
              <w:rPr>
                <w:sz w:val="20"/>
                <w:szCs w:val="20"/>
                <w:color w:val="auto"/>
              </w:rPr>
            </w:pPr>
            <w:r>
              <w:rPr>
                <w:rFonts w:ascii="Arial" w:cs="Arial" w:eastAsia="Arial" w:hAnsi="Arial"/>
                <w:sz w:val="12"/>
                <w:szCs w:val="12"/>
                <w:b w:val="1"/>
                <w:bCs w:val="1"/>
                <w:color w:val="auto"/>
              </w:rPr>
              <w:t>March 31,</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December 3</w:t>
            </w:r>
          </w:p>
        </w:tc>
        <w:tc>
          <w:tcPr>
            <w:tcW w:w="0" w:type="dxa"/>
            <w:vAlign w:val="bottom"/>
          </w:tcPr>
          <w:p>
            <w:pPr>
              <w:spacing w:after="0"/>
              <w:rPr>
                <w:sz w:val="1"/>
                <w:szCs w:val="1"/>
                <w:color w:val="auto"/>
              </w:rPr>
            </w:pPr>
          </w:p>
        </w:tc>
      </w:tr>
      <w:tr>
        <w:trPr>
          <w:trHeight w:val="175"/>
        </w:trPr>
        <w:tc>
          <w:tcPr>
            <w:tcW w:w="8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359"/>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77"/>
        </w:trPr>
        <w:tc>
          <w:tcPr>
            <w:tcW w:w="824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240" w:type="dxa"/>
            <w:vAlign w:val="bottom"/>
          </w:tcPr>
          <w:p>
            <w:pPr>
              <w:spacing w:after="0"/>
              <w:rPr>
                <w:sz w:val="15"/>
                <w:szCs w:val="15"/>
                <w:color w:val="auto"/>
              </w:rPr>
            </w:pPr>
          </w:p>
        </w:tc>
        <w:tc>
          <w:tcPr>
            <w:tcW w:w="1400" w:type="dxa"/>
            <w:vAlign w:val="bottom"/>
          </w:tcPr>
          <w:p>
            <w:pPr>
              <w:jc w:val="center"/>
              <w:ind w:right="319"/>
              <w:spacing w:after="0"/>
              <w:rPr>
                <w:sz w:val="20"/>
                <w:szCs w:val="20"/>
                <w:color w:val="auto"/>
              </w:rPr>
            </w:pPr>
            <w:r>
              <w:rPr>
                <w:rFonts w:ascii="Arial" w:cs="Arial" w:eastAsia="Arial" w:hAnsi="Arial"/>
                <w:sz w:val="12"/>
                <w:szCs w:val="12"/>
                <w:b w:val="1"/>
                <w:bCs w:val="1"/>
                <w:color w:val="auto"/>
              </w:rPr>
              <w:t>(Unaudited)</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24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40" w:type="dxa"/>
            <w:vAlign w:val="bottom"/>
          </w:tcPr>
          <w:p>
            <w:pPr>
              <w:spacing w:after="0"/>
              <w:rPr>
                <w:sz w:val="17"/>
                <w:szCs w:val="17"/>
                <w:color w:val="auto"/>
              </w:rPr>
            </w:pPr>
          </w:p>
        </w:tc>
        <w:tc>
          <w:tcPr>
            <w:tcW w:w="14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294,991</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7"/>
              <w:spacing w:after="0" w:line="166" w:lineRule="exact"/>
              <w:rPr>
                <w:sz w:val="20"/>
                <w:szCs w:val="20"/>
                <w:color w:val="auto"/>
              </w:rPr>
            </w:pPr>
            <w:r>
              <w:rPr>
                <w:rFonts w:ascii="Arial" w:cs="Arial" w:eastAsia="Arial" w:hAnsi="Arial"/>
                <w:sz w:val="17"/>
                <w:szCs w:val="17"/>
                <w:color w:val="auto"/>
                <w:w w:val="84"/>
              </w:rPr>
              <w:t>$</w:t>
            </w:r>
          </w:p>
        </w:tc>
        <w:tc>
          <w:tcPr>
            <w:tcW w:w="1400" w:type="dxa"/>
            <w:vAlign w:val="bottom"/>
            <w:vMerge w:val="continue"/>
          </w:tcPr>
          <w:p>
            <w:pPr>
              <w:spacing w:after="0"/>
              <w:rPr>
                <w:sz w:val="14"/>
                <w:szCs w:val="14"/>
                <w:color w:val="auto"/>
              </w:rPr>
            </w:pPr>
          </w:p>
        </w:tc>
        <w:tc>
          <w:tcPr>
            <w:tcW w:w="340" w:type="dxa"/>
            <w:vAlign w:val="bottom"/>
          </w:tcPr>
          <w:p>
            <w:pPr>
              <w:jc w:val="right"/>
              <w:spacing w:after="0" w:line="166"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Restricted cash</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23,401</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Investments in marketable equity securities and other investments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402,806</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Accounts receivable, net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359,099</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Income taxes receivable</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4,815</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Deferred income taxes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1,143</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Inventories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4,555</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Other current assets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75,578</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7"/>
                <w:szCs w:val="17"/>
                <w:color w:val="auto"/>
              </w:rPr>
              <w:t>Current assets of discontinued operations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7,171</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240" w:type="dxa"/>
            <w:vAlign w:val="bottom"/>
          </w:tcPr>
          <w:p>
            <w:pPr>
              <w:ind w:left="460"/>
              <w:spacing w:after="0" w:line="158" w:lineRule="exact"/>
              <w:rPr>
                <w:sz w:val="20"/>
                <w:szCs w:val="20"/>
                <w:color w:val="auto"/>
              </w:rPr>
            </w:pPr>
            <w:r>
              <w:rPr>
                <w:rFonts w:ascii="Arial" w:cs="Arial" w:eastAsia="Arial" w:hAnsi="Arial"/>
                <w:sz w:val="17"/>
                <w:szCs w:val="17"/>
                <w:b w:val="1"/>
                <w:bCs w:val="1"/>
                <w:color w:val="auto"/>
              </w:rPr>
              <w:t>Total Current Assets</w:t>
            </w:r>
          </w:p>
        </w:tc>
        <w:tc>
          <w:tcPr>
            <w:tcW w:w="240" w:type="dxa"/>
            <w:vAlign w:val="bottom"/>
          </w:tcPr>
          <w:p>
            <w:pPr>
              <w:spacing w:after="0"/>
              <w:rPr>
                <w:sz w:val="13"/>
                <w:szCs w:val="13"/>
                <w:color w:val="auto"/>
              </w:rPr>
            </w:pPr>
          </w:p>
        </w:tc>
        <w:tc>
          <w:tcPr>
            <w:tcW w:w="140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1,173,559</w:t>
            </w:r>
          </w:p>
        </w:tc>
        <w:tc>
          <w:tcPr>
            <w:tcW w:w="3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Property, Plant and Equipment, Net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1,129,131</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Investments in Affiliates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19,329</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Goodwill, Net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1,404,783</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Indefinite-Lived Intangible Assets, Net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530,753</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Amortized Intangible Assets, Net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52,737</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Prepaid Pension Cost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536,521</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Deferred Charges and Other Assets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59,004</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Noncurrent Assets of Discontinued Operations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34,006</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240" w:type="dxa"/>
            <w:vAlign w:val="bottom"/>
          </w:tcPr>
          <w:p>
            <w:pPr>
              <w:ind w:left="460"/>
              <w:spacing w:after="0" w:line="179" w:lineRule="exact"/>
              <w:rPr>
                <w:sz w:val="20"/>
                <w:szCs w:val="20"/>
                <w:color w:val="auto"/>
              </w:rPr>
            </w:pPr>
            <w:r>
              <w:rPr>
                <w:rFonts w:ascii="Arial" w:cs="Arial" w:eastAsia="Arial" w:hAnsi="Arial"/>
                <w:sz w:val="17"/>
                <w:szCs w:val="17"/>
                <w:b w:val="1"/>
                <w:bCs w:val="1"/>
                <w:color w:val="auto"/>
              </w:rPr>
              <w:t>Total Assets</w:t>
            </w:r>
          </w:p>
        </w:tc>
        <w:tc>
          <w:tcPr>
            <w:tcW w:w="24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4,939,823</w:t>
            </w: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4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240" w:type="dxa"/>
            <w:vAlign w:val="bottom"/>
          </w:tcPr>
          <w:p>
            <w:pPr>
              <w:spacing w:after="0"/>
              <w:rPr>
                <w:sz w:val="17"/>
                <w:szCs w:val="17"/>
                <w:color w:val="auto"/>
              </w:rPr>
            </w:pPr>
          </w:p>
        </w:tc>
        <w:tc>
          <w:tcPr>
            <w:tcW w:w="14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492,880</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7"/>
                <w:szCs w:val="17"/>
                <w:color w:val="auto"/>
              </w:rPr>
              <w:t>Accounts payable and accrued liabilities</w:t>
            </w:r>
          </w:p>
        </w:tc>
        <w:tc>
          <w:tcPr>
            <w:tcW w:w="240" w:type="dxa"/>
            <w:vAlign w:val="bottom"/>
          </w:tcPr>
          <w:p>
            <w:pPr>
              <w:jc w:val="right"/>
              <w:ind w:right="57"/>
              <w:spacing w:after="0" w:line="166" w:lineRule="exact"/>
              <w:rPr>
                <w:sz w:val="20"/>
                <w:szCs w:val="20"/>
                <w:color w:val="auto"/>
              </w:rPr>
            </w:pPr>
            <w:r>
              <w:rPr>
                <w:rFonts w:ascii="Arial" w:cs="Arial" w:eastAsia="Arial" w:hAnsi="Arial"/>
                <w:sz w:val="17"/>
                <w:szCs w:val="17"/>
                <w:color w:val="auto"/>
                <w:w w:val="84"/>
              </w:rPr>
              <w:t>$</w:t>
            </w:r>
          </w:p>
        </w:tc>
        <w:tc>
          <w:tcPr>
            <w:tcW w:w="1400" w:type="dxa"/>
            <w:vAlign w:val="bottom"/>
            <w:vMerge w:val="continue"/>
          </w:tcPr>
          <w:p>
            <w:pPr>
              <w:spacing w:after="0"/>
              <w:rPr>
                <w:sz w:val="14"/>
                <w:szCs w:val="14"/>
                <w:color w:val="auto"/>
              </w:rPr>
            </w:pPr>
          </w:p>
        </w:tc>
        <w:tc>
          <w:tcPr>
            <w:tcW w:w="340" w:type="dxa"/>
            <w:vAlign w:val="bottom"/>
          </w:tcPr>
          <w:p>
            <w:pPr>
              <w:jc w:val="right"/>
              <w:spacing w:after="0" w:line="166"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380,811</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Dividends declared</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18,883</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Short-term borrowings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3,250</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7"/>
                <w:szCs w:val="17"/>
                <w:color w:val="auto"/>
              </w:rPr>
              <w:t>Current liabilities of discontinued operations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16,348</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240" w:type="dxa"/>
            <w:vAlign w:val="bottom"/>
          </w:tcPr>
          <w:p>
            <w:pPr>
              <w:ind w:left="460"/>
              <w:spacing w:after="0" w:line="158" w:lineRule="exact"/>
              <w:rPr>
                <w:sz w:val="20"/>
                <w:szCs w:val="20"/>
                <w:color w:val="auto"/>
              </w:rPr>
            </w:pPr>
            <w:r>
              <w:rPr>
                <w:rFonts w:ascii="Arial" w:cs="Arial" w:eastAsia="Arial" w:hAnsi="Arial"/>
                <w:sz w:val="17"/>
                <w:szCs w:val="17"/>
                <w:b w:val="1"/>
                <w:bCs w:val="1"/>
                <w:color w:val="auto"/>
              </w:rPr>
              <w:t>Total Current Liabilities</w:t>
            </w:r>
          </w:p>
        </w:tc>
        <w:tc>
          <w:tcPr>
            <w:tcW w:w="240" w:type="dxa"/>
            <w:vAlign w:val="bottom"/>
          </w:tcPr>
          <w:p>
            <w:pPr>
              <w:spacing w:after="0"/>
              <w:rPr>
                <w:sz w:val="13"/>
                <w:szCs w:val="13"/>
                <w:color w:val="auto"/>
              </w:rPr>
            </w:pPr>
          </w:p>
        </w:tc>
        <w:tc>
          <w:tcPr>
            <w:tcW w:w="140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912,172</w:t>
            </w:r>
          </w:p>
        </w:tc>
        <w:tc>
          <w:tcPr>
            <w:tcW w:w="3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Postretirement Benefits Other Than Pensions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68,749</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Accrued Compensation and Related Benefits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222,416</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Other Liabilities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112,655</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Deferred Income Taxes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525,503</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Long-Term Debt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453,128</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Noncurrent Liabilities of Discontinued Operations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470</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240" w:type="dxa"/>
            <w:vAlign w:val="bottom"/>
          </w:tcPr>
          <w:p>
            <w:pPr>
              <w:ind w:left="460"/>
              <w:spacing w:after="0" w:line="179" w:lineRule="exact"/>
              <w:rPr>
                <w:sz w:val="20"/>
                <w:szCs w:val="20"/>
                <w:color w:val="auto"/>
              </w:rPr>
            </w:pPr>
            <w:r>
              <w:rPr>
                <w:rFonts w:ascii="Arial" w:cs="Arial" w:eastAsia="Arial" w:hAnsi="Arial"/>
                <w:sz w:val="17"/>
                <w:szCs w:val="17"/>
                <w:b w:val="1"/>
                <w:bCs w:val="1"/>
                <w:color w:val="auto"/>
              </w:rPr>
              <w:t>Total Liabilities</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2,295,093</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7"/>
                <w:szCs w:val="17"/>
                <w:b w:val="1"/>
                <w:bCs w:val="1"/>
                <w:color w:val="auto"/>
              </w:rPr>
              <w:t>Redeemable Noncontrolling Interest</w:t>
            </w:r>
          </w:p>
        </w:tc>
        <w:tc>
          <w:tcPr>
            <w:tcW w:w="240" w:type="dxa"/>
            <w:vAlign w:val="bottom"/>
          </w:tcPr>
          <w:p>
            <w:pPr>
              <w:spacing w:after="0"/>
              <w:rPr>
                <w:sz w:val="13"/>
                <w:szCs w:val="13"/>
                <w:color w:val="auto"/>
              </w:rPr>
            </w:pPr>
          </w:p>
        </w:tc>
        <w:tc>
          <w:tcPr>
            <w:tcW w:w="140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6,810</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Redeemable Preferred Stock</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11,096</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9"/>
        </w:trPr>
        <w:tc>
          <w:tcPr>
            <w:tcW w:w="8240" w:type="dxa"/>
            <w:vAlign w:val="bottom"/>
          </w:tcPr>
          <w:p>
            <w:pPr>
              <w:spacing w:after="0" w:line="179" w:lineRule="exact"/>
              <w:rPr>
                <w:sz w:val="20"/>
                <w:szCs w:val="20"/>
                <w:color w:val="auto"/>
              </w:rPr>
            </w:pPr>
            <w:r>
              <w:rPr>
                <w:rFonts w:ascii="Arial" w:cs="Arial" w:eastAsia="Arial" w:hAnsi="Arial"/>
                <w:sz w:val="17"/>
                <w:szCs w:val="17"/>
                <w:b w:val="1"/>
                <w:bCs w:val="1"/>
                <w:color w:val="auto"/>
              </w:rPr>
              <w:t>Preferred Stock</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spacing w:after="0" w:line="178" w:lineRule="exact"/>
              <w:rPr>
                <w:sz w:val="20"/>
                <w:szCs w:val="20"/>
                <w:color w:val="auto"/>
              </w:rPr>
            </w:pPr>
            <w:r>
              <w:rPr>
                <w:rFonts w:ascii="Arial" w:cs="Arial" w:eastAsia="Arial" w:hAnsi="Arial"/>
                <w:sz w:val="17"/>
                <w:szCs w:val="17"/>
                <w:b w:val="1"/>
                <w:bCs w:val="1"/>
                <w:color w:val="auto"/>
              </w:rPr>
              <w:t>Common Stockholders’ Equity</w:t>
            </w:r>
          </w:p>
        </w:tc>
        <w:tc>
          <w:tcPr>
            <w:tcW w:w="240" w:type="dxa"/>
            <w:vAlign w:val="bottom"/>
          </w:tcPr>
          <w:p>
            <w:pPr>
              <w:spacing w:after="0"/>
              <w:rPr>
                <w:sz w:val="15"/>
                <w:szCs w:val="15"/>
                <w:color w:val="auto"/>
              </w:rPr>
            </w:pPr>
          </w:p>
        </w:tc>
        <w:tc>
          <w:tcPr>
            <w:tcW w:w="14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20,000</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7"/>
                <w:szCs w:val="17"/>
                <w:color w:val="auto"/>
              </w:rPr>
              <w:t>Common stock</w:t>
            </w:r>
          </w:p>
        </w:tc>
        <w:tc>
          <w:tcPr>
            <w:tcW w:w="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Capital in excess of par value</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250,469</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24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Arial" w:cs="Arial" w:eastAsia="Arial" w:hAnsi="Arial"/>
                <w:sz w:val="17"/>
                <w:szCs w:val="17"/>
                <w:b w:val="1"/>
                <w:bCs w:val="1"/>
                <w:color w:val="auto"/>
              </w:rPr>
              <w:t>4,555,716</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4,56</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Accumulated other comprehensive income, net of tax</w:t>
            </w:r>
          </w:p>
        </w:tc>
        <w:tc>
          <w:tcPr>
            <w:tcW w:w="240" w:type="dxa"/>
            <w:vAlign w:val="bottom"/>
          </w:tcPr>
          <w:p>
            <w:pPr>
              <w:spacing w:after="0"/>
              <w:rPr>
                <w:sz w:val="16"/>
                <w:szCs w:val="16"/>
                <w:color w:val="auto"/>
              </w:rPr>
            </w:pPr>
          </w:p>
        </w:tc>
        <w:tc>
          <w:tcPr>
            <w:tcW w:w="14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29,674</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460"/>
              <w:spacing w:after="0" w:line="166" w:lineRule="exact"/>
              <w:rPr>
                <w:sz w:val="20"/>
                <w:szCs w:val="20"/>
                <w:color w:val="auto"/>
              </w:rPr>
            </w:pPr>
            <w:r>
              <w:rPr>
                <w:rFonts w:ascii="Arial" w:cs="Arial" w:eastAsia="Arial" w:hAnsi="Arial"/>
                <w:sz w:val="17"/>
                <w:szCs w:val="17"/>
                <w:color w:val="auto"/>
              </w:rPr>
              <w:t>Cumulative foreign currency translation adjustment</w:t>
            </w:r>
          </w:p>
        </w:tc>
        <w:tc>
          <w:tcPr>
            <w:tcW w:w="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6"/>
        </w:trPr>
        <w:tc>
          <w:tcPr>
            <w:tcW w:w="8240" w:type="dxa"/>
            <w:vAlign w:val="bottom"/>
          </w:tcPr>
          <w:p>
            <w:pPr>
              <w:ind w:left="460"/>
              <w:spacing w:after="0" w:line="186" w:lineRule="exact"/>
              <w:rPr>
                <w:sz w:val="20"/>
                <w:szCs w:val="20"/>
                <w:color w:val="auto"/>
              </w:rPr>
            </w:pPr>
            <w:r>
              <w:rPr>
                <w:rFonts w:ascii="Arial" w:cs="Arial" w:eastAsia="Arial" w:hAnsi="Arial"/>
                <w:sz w:val="17"/>
                <w:szCs w:val="17"/>
                <w:color w:val="auto"/>
              </w:rPr>
              <w:t>Unrealized gain on available-for-sale securities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99,748</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6"/>
        </w:trPr>
        <w:tc>
          <w:tcPr>
            <w:tcW w:w="8240" w:type="dxa"/>
            <w:vAlign w:val="bottom"/>
          </w:tcPr>
          <w:p>
            <w:pPr>
              <w:ind w:left="460"/>
              <w:spacing w:after="0" w:line="186" w:lineRule="exact"/>
              <w:rPr>
                <w:sz w:val="20"/>
                <w:szCs w:val="20"/>
                <w:color w:val="auto"/>
              </w:rPr>
            </w:pPr>
            <w:r>
              <w:rPr>
                <w:rFonts w:ascii="Arial" w:cs="Arial" w:eastAsia="Arial" w:hAnsi="Arial"/>
                <w:sz w:val="17"/>
                <w:szCs w:val="17"/>
                <w:color w:val="auto"/>
              </w:rPr>
              <w:t>Unrealized gain on pensions and other postretirement plans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64,348</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6"/>
        </w:trPr>
        <w:tc>
          <w:tcPr>
            <w:tcW w:w="8240" w:type="dxa"/>
            <w:vAlign w:val="bottom"/>
          </w:tcPr>
          <w:p>
            <w:pPr>
              <w:ind w:left="460"/>
              <w:spacing w:after="0" w:line="186" w:lineRule="exact"/>
              <w:rPr>
                <w:sz w:val="20"/>
                <w:szCs w:val="20"/>
                <w:color w:val="auto"/>
              </w:rPr>
            </w:pPr>
            <w:r>
              <w:rPr>
                <w:rFonts w:ascii="Arial" w:cs="Arial" w:eastAsia="Arial" w:hAnsi="Arial"/>
                <w:sz w:val="17"/>
                <w:szCs w:val="17"/>
                <w:color w:val="auto"/>
              </w:rPr>
              <w:t>Cash flow hedge</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(12)</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7"/>
                <w:szCs w:val="17"/>
                <w:color w:val="auto"/>
              </w:rPr>
              <w:t>Cost of Class B common stock held in treasury</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(2,393,119)</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79"/>
        </w:trPr>
        <w:tc>
          <w:tcPr>
            <w:tcW w:w="8240" w:type="dxa"/>
            <w:vAlign w:val="bottom"/>
          </w:tcPr>
          <w:p>
            <w:pPr>
              <w:ind w:left="460"/>
              <w:spacing w:after="0" w:line="179" w:lineRule="exact"/>
              <w:rPr>
                <w:sz w:val="20"/>
                <w:szCs w:val="20"/>
                <w:color w:val="auto"/>
              </w:rPr>
            </w:pPr>
            <w:r>
              <w:rPr>
                <w:rFonts w:ascii="Arial" w:cs="Arial" w:eastAsia="Arial" w:hAnsi="Arial"/>
                <w:sz w:val="17"/>
                <w:szCs w:val="17"/>
                <w:b w:val="1"/>
                <w:bCs w:val="1"/>
                <w:color w:val="auto"/>
              </w:rPr>
              <w:t>Total Equity</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2,626,824</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179"/>
        </w:trPr>
        <w:tc>
          <w:tcPr>
            <w:tcW w:w="8240" w:type="dxa"/>
            <w:vAlign w:val="bottom"/>
          </w:tcPr>
          <w:p>
            <w:pPr>
              <w:ind w:left="700"/>
              <w:spacing w:after="0" w:line="179" w:lineRule="exact"/>
              <w:rPr>
                <w:sz w:val="20"/>
                <w:szCs w:val="20"/>
                <w:color w:val="auto"/>
              </w:rPr>
            </w:pPr>
            <w:r>
              <w:rPr>
                <w:rFonts w:ascii="Arial" w:cs="Arial" w:eastAsia="Arial" w:hAnsi="Arial"/>
                <w:sz w:val="17"/>
                <w:szCs w:val="17"/>
                <w:b w:val="1"/>
                <w:bCs w:val="1"/>
                <w:color w:val="auto"/>
              </w:rPr>
              <w:t>Total Liabilities and Equity</w:t>
            </w:r>
          </w:p>
        </w:tc>
        <w:tc>
          <w:tcPr>
            <w:tcW w:w="24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4,939,823</w:t>
            </w: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5" w:name="page6"/>
    <w:bookmarkEnd w:id="5"/>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77"/>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459"/>
              <w:spacing w:after="0"/>
              <w:rPr>
                <w:sz w:val="20"/>
                <w:szCs w:val="20"/>
                <w:color w:val="auto"/>
              </w:rPr>
            </w:pPr>
            <w:r>
              <w:rPr>
                <w:rFonts w:ascii="Arial" w:cs="Arial" w:eastAsia="Arial" w:hAnsi="Arial"/>
                <w:sz w:val="12"/>
                <w:szCs w:val="12"/>
                <w:b w:val="1"/>
                <w:bCs w:val="1"/>
                <w:color w:val="auto"/>
              </w:rPr>
              <w:t>March 31,</w:t>
            </w:r>
          </w:p>
        </w:tc>
        <w:tc>
          <w:tcPr>
            <w:tcW w:w="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April 3,</w:t>
            </w:r>
          </w:p>
        </w:tc>
        <w:tc>
          <w:tcPr>
            <w:tcW w:w="0" w:type="dxa"/>
            <w:vAlign w:val="bottom"/>
          </w:tcPr>
          <w:p>
            <w:pPr>
              <w:spacing w:after="0"/>
              <w:rPr>
                <w:sz w:val="1"/>
                <w:szCs w:val="1"/>
                <w:color w:val="auto"/>
              </w:rPr>
            </w:pPr>
          </w:p>
        </w:tc>
      </w:tr>
      <w:tr>
        <w:trPr>
          <w:trHeight w:val="175"/>
        </w:trPr>
        <w:tc>
          <w:tcPr>
            <w:tcW w:w="8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58"/>
        </w:trPr>
        <w:tc>
          <w:tcPr>
            <w:tcW w:w="8460" w:type="dxa"/>
            <w:vAlign w:val="bottom"/>
          </w:tcPr>
          <w:p>
            <w:pPr>
              <w:spacing w:after="0" w:line="158" w:lineRule="exact"/>
              <w:rPr>
                <w:sz w:val="20"/>
                <w:szCs w:val="20"/>
                <w:color w:val="auto"/>
              </w:rPr>
            </w:pPr>
            <w:r>
              <w:rPr>
                <w:rFonts w:ascii="Arial" w:cs="Arial" w:eastAsia="Arial" w:hAnsi="Arial"/>
                <w:sz w:val="17"/>
                <w:szCs w:val="17"/>
                <w:b w:val="1"/>
                <w:bCs w:val="1"/>
                <w:color w:val="auto"/>
              </w:rPr>
              <w:t>Cash Flows from Operating Activities:</w:t>
            </w: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6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31,568</w:t>
            </w:r>
          </w:p>
        </w:tc>
        <w:tc>
          <w:tcPr>
            <w:tcW w:w="4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8460" w:type="dxa"/>
            <w:vAlign w:val="bottom"/>
          </w:tcPr>
          <w:p>
            <w:pPr>
              <w:spacing w:after="0" w:line="186" w:lineRule="exact"/>
              <w:rPr>
                <w:sz w:val="20"/>
                <w:szCs w:val="20"/>
                <w:color w:val="auto"/>
              </w:rPr>
            </w:pPr>
            <w:r>
              <w:rPr>
                <w:rFonts w:ascii="Arial" w:cs="Arial" w:eastAsia="Arial" w:hAnsi="Arial"/>
                <w:sz w:val="17"/>
                <w:szCs w:val="17"/>
                <w:color w:val="auto"/>
              </w:rPr>
              <w:t>Adjustments to reconcile net income to net cash provided by operating activities:</w:t>
            </w:r>
          </w:p>
        </w:tc>
        <w:tc>
          <w:tcPr>
            <w:tcW w:w="320" w:type="dxa"/>
            <w:vAlign w:val="bottom"/>
          </w:tcPr>
          <w:p>
            <w:pPr>
              <w:spacing w:after="0"/>
              <w:rPr>
                <w:sz w:val="16"/>
                <w:szCs w:val="16"/>
                <w:color w:val="auto"/>
              </w:rPr>
            </w:pPr>
          </w:p>
        </w:tc>
        <w:tc>
          <w:tcPr>
            <w:tcW w:w="12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63,254</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460" w:type="dxa"/>
            <w:vAlign w:val="bottom"/>
          </w:tcPr>
          <w:p>
            <w:pPr>
              <w:ind w:left="220"/>
              <w:spacing w:after="0" w:line="166" w:lineRule="exact"/>
              <w:rPr>
                <w:sz w:val="20"/>
                <w:szCs w:val="20"/>
                <w:color w:val="auto"/>
              </w:rPr>
            </w:pPr>
            <w:r>
              <w:rPr>
                <w:rFonts w:ascii="Arial" w:cs="Arial" w:eastAsia="Arial" w:hAnsi="Arial"/>
                <w:sz w:val="17"/>
                <w:szCs w:val="17"/>
                <w:color w:val="auto"/>
              </w:rPr>
              <w:t>Depreciation of property, plant and equipment</w:t>
            </w:r>
          </w:p>
        </w:tc>
        <w:tc>
          <w:tcPr>
            <w:tcW w:w="3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spacing w:after="0" w:line="16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Amortization of intangible assets</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4,278</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Net pension expense (benefit)</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2,192</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Early retirement program expense</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1,022</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Foreign exchange gain</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(2,660)</w:t>
            </w:r>
          </w:p>
        </w:tc>
        <w:tc>
          <w:tcPr>
            <w:tcW w:w="440" w:type="dxa"/>
            <w:vAlign w:val="bottom"/>
          </w:tcPr>
          <w:p>
            <w:pPr>
              <w:spacing w:after="0"/>
              <w:rPr>
                <w:sz w:val="16"/>
                <w:szCs w:val="16"/>
                <w:color w:val="auto"/>
              </w:rPr>
            </w:pPr>
          </w:p>
        </w:tc>
        <w:tc>
          <w:tcPr>
            <w:tcW w:w="52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Net loss on sale of a business</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3,082</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Net loss on write-down of marketable equity securities</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6"/>
                <w:szCs w:val="16"/>
                <w:color w:val="auto"/>
              </w:rPr>
            </w:pPr>
          </w:p>
        </w:tc>
        <w:tc>
          <w:tcPr>
            <w:tcW w:w="520" w:type="dxa"/>
            <w:vAlign w:val="bottom"/>
          </w:tcPr>
          <w:p>
            <w:pPr>
              <w:jc w:val="right"/>
              <w:spacing w:after="0" w:line="186"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Equity in earnings of affiliates, net of distributions</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(3,691)</w:t>
            </w:r>
          </w:p>
        </w:tc>
        <w:tc>
          <w:tcPr>
            <w:tcW w:w="440" w:type="dxa"/>
            <w:vAlign w:val="bottom"/>
          </w:tcPr>
          <w:p>
            <w:pPr>
              <w:spacing w:after="0"/>
              <w:rPr>
                <w:sz w:val="16"/>
                <w:szCs w:val="16"/>
                <w:color w:val="auto"/>
              </w:rPr>
            </w:pPr>
          </w:p>
        </w:tc>
        <w:tc>
          <w:tcPr>
            <w:tcW w:w="52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Benefit for deferred income taxes</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(23,744)</w:t>
            </w:r>
          </w:p>
        </w:tc>
        <w:tc>
          <w:tcPr>
            <w:tcW w:w="440" w:type="dxa"/>
            <w:vAlign w:val="bottom"/>
          </w:tcPr>
          <w:p>
            <w:pPr>
              <w:spacing w:after="0"/>
              <w:rPr>
                <w:sz w:val="16"/>
                <w:szCs w:val="16"/>
                <w:color w:val="auto"/>
              </w:rPr>
            </w:pPr>
          </w:p>
        </w:tc>
        <w:tc>
          <w:tcPr>
            <w:tcW w:w="52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460" w:type="dxa"/>
            <w:vAlign w:val="bottom"/>
          </w:tcPr>
          <w:p>
            <w:pPr>
              <w:ind w:left="220"/>
              <w:spacing w:after="0"/>
              <w:rPr>
                <w:sz w:val="20"/>
                <w:szCs w:val="20"/>
                <w:color w:val="auto"/>
              </w:rPr>
            </w:pPr>
            <w:r>
              <w:rPr>
                <w:rFonts w:ascii="Arial" w:cs="Arial" w:eastAsia="Arial" w:hAnsi="Arial"/>
                <w:sz w:val="17"/>
                <w:szCs w:val="17"/>
                <w:color w:val="auto"/>
              </w:rPr>
              <w:t>Net gain on sale or write-down of property, plant and equipment and other assets</w:t>
            </w:r>
          </w:p>
        </w:tc>
        <w:tc>
          <w:tcPr>
            <w:tcW w:w="32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(7,203)</w:t>
            </w: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Change in assets and liabilities:</w:t>
            </w:r>
          </w:p>
        </w:tc>
        <w:tc>
          <w:tcPr>
            <w:tcW w:w="320" w:type="dxa"/>
            <w:vAlign w:val="bottom"/>
          </w:tcPr>
          <w:p>
            <w:pPr>
              <w:spacing w:after="0"/>
              <w:rPr>
                <w:sz w:val="16"/>
                <w:szCs w:val="16"/>
                <w:color w:val="auto"/>
              </w:rPr>
            </w:pPr>
          </w:p>
        </w:tc>
        <w:tc>
          <w:tcPr>
            <w:tcW w:w="12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36,716</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460" w:type="dxa"/>
            <w:vAlign w:val="bottom"/>
          </w:tcPr>
          <w:p>
            <w:pPr>
              <w:ind w:left="460"/>
              <w:spacing w:after="0" w:line="166" w:lineRule="exact"/>
              <w:rPr>
                <w:sz w:val="20"/>
                <w:szCs w:val="20"/>
                <w:color w:val="auto"/>
              </w:rPr>
            </w:pPr>
            <w:r>
              <w:rPr>
                <w:rFonts w:ascii="Arial" w:cs="Arial" w:eastAsia="Arial" w:hAnsi="Arial"/>
                <w:sz w:val="17"/>
                <w:szCs w:val="17"/>
                <w:color w:val="auto"/>
              </w:rPr>
              <w:t>Decrease in accounts receivable, net</w:t>
            </w:r>
          </w:p>
        </w:tc>
        <w:tc>
          <w:tcPr>
            <w:tcW w:w="3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spacing w:after="0" w:line="16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6"/>
        </w:trPr>
        <w:tc>
          <w:tcPr>
            <w:tcW w:w="8460" w:type="dxa"/>
            <w:vAlign w:val="bottom"/>
          </w:tcPr>
          <w:p>
            <w:pPr>
              <w:ind w:left="460"/>
              <w:spacing w:after="0" w:line="186" w:lineRule="exact"/>
              <w:rPr>
                <w:sz w:val="20"/>
                <w:szCs w:val="20"/>
                <w:color w:val="auto"/>
              </w:rPr>
            </w:pPr>
            <w:r>
              <w:rPr>
                <w:rFonts w:ascii="Arial" w:cs="Arial" w:eastAsia="Arial" w:hAnsi="Arial"/>
                <w:sz w:val="17"/>
                <w:szCs w:val="17"/>
                <w:color w:val="auto"/>
              </w:rPr>
              <w:t>Decrease in inventories</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2,016</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60" w:type="dxa"/>
            <w:vAlign w:val="bottom"/>
          </w:tcPr>
          <w:p>
            <w:pPr>
              <w:ind w:left="460"/>
              <w:spacing w:after="0" w:line="186" w:lineRule="exact"/>
              <w:rPr>
                <w:sz w:val="20"/>
                <w:szCs w:val="20"/>
                <w:color w:val="auto"/>
              </w:rPr>
            </w:pPr>
            <w:r>
              <w:rPr>
                <w:rFonts w:ascii="Arial" w:cs="Arial" w:eastAsia="Arial" w:hAnsi="Arial"/>
                <w:sz w:val="17"/>
                <w:szCs w:val="17"/>
                <w:color w:val="auto"/>
              </w:rPr>
              <w:t>Decrease in accounts payable and accrued liabilities</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(22,828)</w:t>
            </w:r>
          </w:p>
        </w:tc>
        <w:tc>
          <w:tcPr>
            <w:tcW w:w="440" w:type="dxa"/>
            <w:vAlign w:val="bottom"/>
          </w:tcPr>
          <w:p>
            <w:pPr>
              <w:spacing w:after="0"/>
              <w:rPr>
                <w:sz w:val="16"/>
                <w:szCs w:val="16"/>
                <w:color w:val="auto"/>
              </w:rPr>
            </w:pPr>
          </w:p>
        </w:tc>
        <w:tc>
          <w:tcPr>
            <w:tcW w:w="520" w:type="dxa"/>
            <w:vAlign w:val="bottom"/>
          </w:tcPr>
          <w:p>
            <w:pPr>
              <w:jc w:val="right"/>
              <w:spacing w:after="0" w:line="186"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6"/>
        </w:trPr>
        <w:tc>
          <w:tcPr>
            <w:tcW w:w="8460" w:type="dxa"/>
            <w:vAlign w:val="bottom"/>
          </w:tcPr>
          <w:p>
            <w:pPr>
              <w:ind w:left="460"/>
              <w:spacing w:after="0" w:line="186" w:lineRule="exact"/>
              <w:rPr>
                <w:sz w:val="20"/>
                <w:szCs w:val="20"/>
                <w:color w:val="auto"/>
              </w:rPr>
            </w:pPr>
            <w:r>
              <w:rPr>
                <w:rFonts w:ascii="Arial" w:cs="Arial" w:eastAsia="Arial" w:hAnsi="Arial"/>
                <w:sz w:val="17"/>
                <w:szCs w:val="17"/>
                <w:color w:val="auto"/>
              </w:rPr>
              <w:t>Increase in deferred revenue</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3,647</w:t>
            </w:r>
          </w:p>
        </w:tc>
        <w:tc>
          <w:tcPr>
            <w:tcW w:w="440" w:type="dxa"/>
            <w:vAlign w:val="bottom"/>
          </w:tcPr>
          <w:p>
            <w:pPr>
              <w:spacing w:after="0"/>
              <w:rPr>
                <w:sz w:val="16"/>
                <w:szCs w:val="16"/>
                <w:color w:val="auto"/>
              </w:rPr>
            </w:pPr>
          </w:p>
        </w:tc>
        <w:tc>
          <w:tcPr>
            <w:tcW w:w="52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8460" w:type="dxa"/>
            <w:vAlign w:val="bottom"/>
          </w:tcPr>
          <w:p>
            <w:pPr>
              <w:ind w:left="460"/>
              <w:spacing w:after="0" w:line="186" w:lineRule="exact"/>
              <w:rPr>
                <w:sz w:val="20"/>
                <w:szCs w:val="20"/>
                <w:color w:val="auto"/>
              </w:rPr>
            </w:pPr>
            <w:r>
              <w:rPr>
                <w:rFonts w:ascii="Arial" w:cs="Arial" w:eastAsia="Arial" w:hAnsi="Arial"/>
                <w:sz w:val="17"/>
                <w:szCs w:val="17"/>
                <w:color w:val="auto"/>
              </w:rPr>
              <w:t>Decrease in income taxes receivable</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11,019</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60" w:type="dxa"/>
            <w:vAlign w:val="bottom"/>
          </w:tcPr>
          <w:p>
            <w:pPr>
              <w:ind w:left="460"/>
              <w:spacing w:after="0" w:line="186" w:lineRule="exact"/>
              <w:rPr>
                <w:sz w:val="20"/>
                <w:szCs w:val="20"/>
                <w:color w:val="auto"/>
              </w:rPr>
            </w:pPr>
            <w:r>
              <w:rPr>
                <w:rFonts w:ascii="Arial" w:cs="Arial" w:eastAsia="Arial" w:hAnsi="Arial"/>
                <w:sz w:val="17"/>
                <w:szCs w:val="17"/>
                <w:color w:val="auto"/>
              </w:rPr>
              <w:t>Increase in other assets and other liabilities, net</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(14,817)</w:t>
            </w:r>
          </w:p>
        </w:tc>
        <w:tc>
          <w:tcPr>
            <w:tcW w:w="440" w:type="dxa"/>
            <w:vAlign w:val="bottom"/>
          </w:tcPr>
          <w:p>
            <w:pPr>
              <w:spacing w:after="0"/>
              <w:rPr>
                <w:sz w:val="16"/>
                <w:szCs w:val="16"/>
                <w:color w:val="auto"/>
              </w:rPr>
            </w:pPr>
          </w:p>
        </w:tc>
        <w:tc>
          <w:tcPr>
            <w:tcW w:w="520" w:type="dxa"/>
            <w:vAlign w:val="bottom"/>
          </w:tcPr>
          <w:p>
            <w:pPr>
              <w:jc w:val="right"/>
              <w:spacing w:after="0" w:line="186"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7"/>
        </w:trPr>
        <w:tc>
          <w:tcPr>
            <w:tcW w:w="8460" w:type="dxa"/>
            <w:vAlign w:val="bottom"/>
          </w:tcPr>
          <w:p>
            <w:pPr>
              <w:ind w:left="2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165</w:t>
            </w: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460" w:type="dxa"/>
            <w:vAlign w:val="bottom"/>
          </w:tcPr>
          <w:p>
            <w:pPr>
              <w:ind w:left="460"/>
              <w:spacing w:after="0" w:line="179" w:lineRule="exact"/>
              <w:rPr>
                <w:sz w:val="20"/>
                <w:szCs w:val="20"/>
                <w:color w:val="auto"/>
              </w:rPr>
            </w:pPr>
            <w:r>
              <w:rPr>
                <w:rFonts w:ascii="Arial" w:cs="Arial" w:eastAsia="Arial" w:hAnsi="Arial"/>
                <w:sz w:val="17"/>
                <w:szCs w:val="17"/>
                <w:b w:val="1"/>
                <w:bCs w:val="1"/>
                <w:color w:val="auto"/>
              </w:rPr>
              <w:t>Net Cash Provided by Operating Activities</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84,016</w:t>
            </w: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64"/>
        </w:trPr>
        <w:tc>
          <w:tcPr>
            <w:tcW w:w="846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20" w:type="dxa"/>
            <w:vAlign w:val="bottom"/>
          </w:tcPr>
          <w:p>
            <w:pPr>
              <w:spacing w:after="0"/>
              <w:rPr>
                <w:sz w:val="24"/>
                <w:szCs w:val="24"/>
                <w:color w:val="auto"/>
              </w:rPr>
            </w:pPr>
          </w:p>
        </w:tc>
        <w:tc>
          <w:tcPr>
            <w:tcW w:w="12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(44,875)</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8460" w:type="dxa"/>
            <w:vAlign w:val="bottom"/>
          </w:tcPr>
          <w:p>
            <w:pPr>
              <w:ind w:left="220"/>
              <w:spacing w:after="0" w:line="166" w:lineRule="exact"/>
              <w:rPr>
                <w:sz w:val="20"/>
                <w:szCs w:val="20"/>
                <w:color w:val="auto"/>
              </w:rPr>
            </w:pPr>
            <w:r>
              <w:rPr>
                <w:rFonts w:ascii="Arial" w:cs="Arial" w:eastAsia="Arial" w:hAnsi="Arial"/>
                <w:sz w:val="17"/>
                <w:szCs w:val="17"/>
                <w:color w:val="auto"/>
              </w:rPr>
              <w:t>Purchases of property, plant and equipment</w:t>
            </w:r>
          </w:p>
        </w:tc>
        <w:tc>
          <w:tcPr>
            <w:tcW w:w="3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spacing w:after="0" w:line="166"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Purchase of marketable equity securities and other investments</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(23,003)</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Investments in certain businesses, net of cash acquired</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(2,545)</w:t>
            </w:r>
          </w:p>
        </w:tc>
        <w:tc>
          <w:tcPr>
            <w:tcW w:w="440" w:type="dxa"/>
            <w:vAlign w:val="bottom"/>
          </w:tcPr>
          <w:p>
            <w:pPr>
              <w:spacing w:after="0"/>
              <w:rPr>
                <w:sz w:val="16"/>
                <w:szCs w:val="16"/>
                <w:color w:val="auto"/>
              </w:rPr>
            </w:pPr>
          </w:p>
        </w:tc>
        <w:tc>
          <w:tcPr>
            <w:tcW w:w="52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Proceeds from sale of property, plant and equipment and other assets</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5,827</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Net proceeds from sale of business</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1,875</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460" w:type="dxa"/>
            <w:vAlign w:val="bottom"/>
          </w:tcPr>
          <w:p>
            <w:pPr>
              <w:ind w:left="2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1,571</w:t>
            </w: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460" w:type="dxa"/>
            <w:vAlign w:val="bottom"/>
          </w:tcPr>
          <w:p>
            <w:pPr>
              <w:ind w:left="460"/>
              <w:spacing w:after="0" w:line="179" w:lineRule="exact"/>
              <w:rPr>
                <w:sz w:val="20"/>
                <w:szCs w:val="20"/>
                <w:color w:val="auto"/>
              </w:rPr>
            </w:pPr>
            <w:r>
              <w:rPr>
                <w:rFonts w:ascii="Arial" w:cs="Arial" w:eastAsia="Arial" w:hAnsi="Arial"/>
                <w:sz w:val="17"/>
                <w:szCs w:val="17"/>
                <w:b w:val="1"/>
                <w:bCs w:val="1"/>
                <w:color w:val="auto"/>
              </w:rPr>
              <w:t>Net Cash Used in Investing Activities</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(61,150)</w:t>
            </w: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64"/>
        </w:trPr>
        <w:tc>
          <w:tcPr>
            <w:tcW w:w="84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20" w:type="dxa"/>
            <w:vAlign w:val="bottom"/>
          </w:tcPr>
          <w:p>
            <w:pPr>
              <w:spacing w:after="0"/>
              <w:rPr>
                <w:sz w:val="24"/>
                <w:szCs w:val="24"/>
                <w:color w:val="auto"/>
              </w:rPr>
            </w:pPr>
          </w:p>
        </w:tc>
        <w:tc>
          <w:tcPr>
            <w:tcW w:w="12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(109,671)</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8460" w:type="dxa"/>
            <w:vAlign w:val="bottom"/>
          </w:tcPr>
          <w:p>
            <w:pPr>
              <w:ind w:left="220"/>
              <w:spacing w:after="0" w:line="166" w:lineRule="exact"/>
              <w:rPr>
                <w:sz w:val="20"/>
                <w:szCs w:val="20"/>
                <w:color w:val="auto"/>
              </w:rPr>
            </w:pPr>
            <w:r>
              <w:rPr>
                <w:rFonts w:ascii="Arial" w:cs="Arial" w:eastAsia="Arial" w:hAnsi="Arial"/>
                <w:sz w:val="17"/>
                <w:szCs w:val="17"/>
                <w:color w:val="auto"/>
              </w:rPr>
              <w:t>Repayment of commercial paper, net</w:t>
            </w:r>
          </w:p>
        </w:tc>
        <w:tc>
          <w:tcPr>
            <w:tcW w:w="3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Dividends paid</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(18,889)</w:t>
            </w:r>
          </w:p>
        </w:tc>
        <w:tc>
          <w:tcPr>
            <w:tcW w:w="440" w:type="dxa"/>
            <w:vAlign w:val="bottom"/>
          </w:tcPr>
          <w:p>
            <w:pPr>
              <w:spacing w:after="0"/>
              <w:rPr>
                <w:sz w:val="16"/>
                <w:szCs w:val="16"/>
                <w:color w:val="auto"/>
              </w:rPr>
            </w:pPr>
          </w:p>
        </w:tc>
        <w:tc>
          <w:tcPr>
            <w:tcW w:w="52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8460" w:type="dxa"/>
            <w:vAlign w:val="bottom"/>
          </w:tcPr>
          <w:p>
            <w:pPr>
              <w:ind w:left="220"/>
              <w:spacing w:after="0" w:line="186" w:lineRule="exact"/>
              <w:rPr>
                <w:sz w:val="20"/>
                <w:szCs w:val="20"/>
                <w:color w:val="auto"/>
              </w:rPr>
            </w:pPr>
            <w:r>
              <w:rPr>
                <w:rFonts w:ascii="Arial" w:cs="Arial" w:eastAsia="Arial" w:hAnsi="Arial"/>
                <w:sz w:val="17"/>
                <w:szCs w:val="17"/>
                <w:color w:val="auto"/>
              </w:rPr>
              <w:t>Common shares repurchased</w:t>
            </w:r>
          </w:p>
        </w:tc>
        <w:tc>
          <w:tcPr>
            <w:tcW w:w="320" w:type="dxa"/>
            <w:vAlign w:val="bottom"/>
          </w:tcPr>
          <w:p>
            <w:pPr>
              <w:spacing w:after="0"/>
              <w:rPr>
                <w:sz w:val="16"/>
                <w:szCs w:val="16"/>
                <w:color w:val="auto"/>
              </w:rPr>
            </w:pPr>
          </w:p>
        </w:tc>
        <w:tc>
          <w:tcPr>
            <w:tcW w:w="12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(136)</w:t>
            </w:r>
          </w:p>
        </w:tc>
        <w:tc>
          <w:tcPr>
            <w:tcW w:w="440" w:type="dxa"/>
            <w:vAlign w:val="bottom"/>
          </w:tcPr>
          <w:p>
            <w:pPr>
              <w:spacing w:after="0"/>
              <w:rPr>
                <w:sz w:val="16"/>
                <w:szCs w:val="16"/>
                <w:color w:val="auto"/>
              </w:rPr>
            </w:pPr>
          </w:p>
        </w:tc>
        <w:tc>
          <w:tcPr>
            <w:tcW w:w="520" w:type="dxa"/>
            <w:vAlign w:val="bottom"/>
          </w:tcPr>
          <w:p>
            <w:pPr>
              <w:jc w:val="right"/>
              <w:spacing w:after="0" w:line="186"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7"/>
        </w:trPr>
        <w:tc>
          <w:tcPr>
            <w:tcW w:w="8460" w:type="dxa"/>
            <w:vAlign w:val="bottom"/>
          </w:tcPr>
          <w:p>
            <w:pPr>
              <w:ind w:left="2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16,459</w:t>
            </w: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79"/>
        </w:trPr>
        <w:tc>
          <w:tcPr>
            <w:tcW w:w="8460" w:type="dxa"/>
            <w:vAlign w:val="bottom"/>
          </w:tcPr>
          <w:p>
            <w:pPr>
              <w:ind w:left="460"/>
              <w:spacing w:after="0" w:line="179" w:lineRule="exact"/>
              <w:rPr>
                <w:sz w:val="20"/>
                <w:szCs w:val="20"/>
                <w:color w:val="auto"/>
              </w:rPr>
            </w:pPr>
            <w:r>
              <w:rPr>
                <w:rFonts w:ascii="Arial" w:cs="Arial" w:eastAsia="Arial" w:hAnsi="Arial"/>
                <w:sz w:val="17"/>
                <w:szCs w:val="17"/>
                <w:b w:val="1"/>
                <w:bCs w:val="1"/>
                <w:color w:val="auto"/>
              </w:rPr>
              <w:t>Net Cash Used in Financing Activities</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(112,237)</w:t>
            </w: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79"/>
        </w:trPr>
        <w:tc>
          <w:tcPr>
            <w:tcW w:w="8460" w:type="dxa"/>
            <w:vAlign w:val="bottom"/>
          </w:tcPr>
          <w:p>
            <w:pPr>
              <w:spacing w:after="0" w:line="179" w:lineRule="exact"/>
              <w:rPr>
                <w:sz w:val="20"/>
                <w:szCs w:val="20"/>
                <w:color w:val="auto"/>
              </w:rPr>
            </w:pPr>
            <w:r>
              <w:rPr>
                <w:rFonts w:ascii="Arial" w:cs="Arial" w:eastAsia="Arial" w:hAnsi="Arial"/>
                <w:sz w:val="17"/>
                <w:szCs w:val="17"/>
                <w:b w:val="1"/>
                <w:bCs w:val="1"/>
                <w:color w:val="auto"/>
              </w:rPr>
              <w:t>Effect of Currency Exchange Rate Change</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3,263</w:t>
            </w: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460" w:type="dxa"/>
            <w:vAlign w:val="bottom"/>
          </w:tcPr>
          <w:p>
            <w:pPr>
              <w:spacing w:after="0" w:line="158" w:lineRule="exact"/>
              <w:rPr>
                <w:sz w:val="20"/>
                <w:szCs w:val="20"/>
                <w:color w:val="auto"/>
              </w:rPr>
            </w:pPr>
            <w:r>
              <w:rPr>
                <w:rFonts w:ascii="Arial" w:cs="Arial" w:eastAsia="Arial" w:hAnsi="Arial"/>
                <w:sz w:val="17"/>
                <w:szCs w:val="17"/>
                <w:b w:val="1"/>
                <w:bCs w:val="1"/>
                <w:color w:val="auto"/>
              </w:rPr>
              <w:t>Net Decrease in Cash and Cash Equivalents</w:t>
            </w:r>
          </w:p>
        </w:tc>
        <w:tc>
          <w:tcPr>
            <w:tcW w:w="320" w:type="dxa"/>
            <w:vAlign w:val="bottom"/>
          </w:tcPr>
          <w:p>
            <w:pPr>
              <w:spacing w:after="0"/>
              <w:rPr>
                <w:sz w:val="13"/>
                <w:szCs w:val="13"/>
                <w:color w:val="auto"/>
              </w:rPr>
            </w:pPr>
          </w:p>
        </w:tc>
        <w:tc>
          <w:tcPr>
            <w:tcW w:w="120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(86,108)</w:t>
            </w:r>
          </w:p>
        </w:tc>
        <w:tc>
          <w:tcPr>
            <w:tcW w:w="44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7"/>
        </w:trPr>
        <w:tc>
          <w:tcPr>
            <w:tcW w:w="8460" w:type="dxa"/>
            <w:vAlign w:val="bottom"/>
          </w:tcPr>
          <w:p>
            <w:pPr>
              <w:spacing w:after="0"/>
              <w:rPr>
                <w:sz w:val="20"/>
                <w:szCs w:val="20"/>
                <w:color w:val="auto"/>
              </w:rPr>
            </w:pPr>
            <w:r>
              <w:rPr>
                <w:rFonts w:ascii="Arial" w:cs="Arial" w:eastAsia="Arial" w:hAnsi="Arial"/>
                <w:sz w:val="17"/>
                <w:szCs w:val="17"/>
                <w:b w:val="1"/>
                <w:bCs w:val="1"/>
                <w:color w:val="auto"/>
              </w:rPr>
              <w:t>Beginning Cash and Cash Equivalents</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381,099</w:t>
            </w: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79"/>
        </w:trPr>
        <w:tc>
          <w:tcPr>
            <w:tcW w:w="8460" w:type="dxa"/>
            <w:vAlign w:val="bottom"/>
          </w:tcPr>
          <w:p>
            <w:pPr>
              <w:spacing w:after="0" w:line="179" w:lineRule="exact"/>
              <w:rPr>
                <w:sz w:val="20"/>
                <w:szCs w:val="20"/>
                <w:color w:val="auto"/>
              </w:rPr>
            </w:pPr>
            <w:r>
              <w:rPr>
                <w:rFonts w:ascii="Arial" w:cs="Arial" w:eastAsia="Arial" w:hAnsi="Arial"/>
                <w:sz w:val="17"/>
                <w:szCs w:val="17"/>
                <w:b w:val="1"/>
                <w:bCs w:val="1"/>
                <w:color w:val="auto"/>
              </w:rPr>
              <w:t>Ending Cash and Cash Equivalents</w:t>
            </w:r>
          </w:p>
        </w:tc>
        <w:tc>
          <w:tcPr>
            <w:tcW w:w="3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294,991</w:t>
            </w:r>
          </w:p>
        </w:tc>
        <w:tc>
          <w:tcPr>
            <w:tcW w:w="44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6" w:name="page7"/>
    <w:bookmarkEnd w:id="6"/>
    <w:p>
      <w:pPr>
        <w:ind w:left="4260"/>
        <w:spacing w:after="0"/>
        <w:rPr>
          <w:sz w:val="20"/>
          <w:szCs w:val="20"/>
          <w:color w:val="auto"/>
        </w:rPr>
      </w:pPr>
      <w:r>
        <w:rPr>
          <w:rFonts w:ascii="Arial" w:cs="Arial" w:eastAsia="Arial" w:hAnsi="Arial"/>
          <w:sz w:val="17"/>
          <w:szCs w:val="17"/>
          <w:b w:val="1"/>
          <w:bCs w:val="1"/>
          <w:color w:val="auto"/>
        </w:rPr>
        <w:t>THE WASHINGTON POST COMPANY</w:t>
      </w:r>
    </w:p>
    <w:p>
      <w:pPr>
        <w:spacing w:after="0" w:line="177"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BASIS OF PRESENTATION AND RECENT ACCOUNTING PRONOUNCEMENTS</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 cable television systems, newspaper publishing (principally The Washington Post), and television broadcasting (through the ownership and operation television broadcast stations).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Financial Periods </w:t>
      </w:r>
      <w:r>
        <w:rPr>
          <w:rFonts w:ascii="Arial" w:cs="Arial" w:eastAsia="Arial" w:hAnsi="Arial"/>
          <w:sz w:val="17"/>
          <w:szCs w:val="17"/>
          <w:color w:val="auto"/>
        </w:rPr>
        <w:t>– In the fourth quarter of 2011, the Company changed its fiscal quarter from a thirteen week quarter ending on the Sunday nearest</w:t>
      </w:r>
      <w:r>
        <w:rPr>
          <w:rFonts w:ascii="Arial" w:cs="Arial" w:eastAsia="Arial" w:hAnsi="Arial"/>
          <w:sz w:val="17"/>
          <w:szCs w:val="17"/>
          <w:b w:val="1"/>
          <w:bCs w:val="1"/>
          <w:color w:val="auto"/>
        </w:rPr>
        <w:t xml:space="preserve"> </w:t>
      </w:r>
      <w:r>
        <w:rPr>
          <w:rFonts w:ascii="Arial" w:cs="Arial" w:eastAsia="Arial" w:hAnsi="Arial"/>
          <w:sz w:val="17"/>
          <w:szCs w:val="17"/>
          <w:color w:val="auto"/>
        </w:rPr>
        <w:t>calendar quarter-end to a quarterly month end. The fiscal quarters for 2012 and 2011 ended on March 31, 2012 and April 3, 2011, respectively. Subsid of the Company report on a calendar-quarter basis, with the exception of most of the newspaper publishing operations, which report on a thirteen wee quarter ending on the Sunday nearest the calendar quarter-end.</w:t>
      </w:r>
    </w:p>
    <w:p>
      <w:pPr>
        <w:spacing w:after="0" w:line="15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condensed consolidated financial statements have been prepared in accordance with: (i) generally acce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principles in the United States of America (“GAAP”) for interim financial information; (ii) the instructions to Form 10-Q; and (iii) the guidance Rule 10-01 of Regulation S-X under the Securities and Exchange Act of 1934, as amended, for financial statements required to be filed with the Secur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flows as of and for the periods presented herein. The Company’s results of operations for the quarterly periods ended March 31, 2012 and April 3, 201 not be indicative of the Company’s future results. These condensed consolidated financial statements are unaudited and should be read in conjunction the Company’s audited consolidated financial statements and the notes thereto included in the Company’s Annual Report on Form 10-K for the fiscal y ended December 31, 2011.</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year-end condensed consolidated balance sheet data was derived from audited financial statements, but does not include all disclosures required GAAP.</w:t>
      </w:r>
    </w:p>
    <w:p>
      <w:pPr>
        <w:spacing w:after="0" w:line="176" w:lineRule="exact"/>
        <w:rPr>
          <w:sz w:val="20"/>
          <w:szCs w:val="20"/>
          <w:color w:val="auto"/>
        </w:rPr>
      </w:pPr>
    </w:p>
    <w:p>
      <w:pPr>
        <w:ind w:right="440"/>
        <w:spacing w:after="0" w:line="235" w:lineRule="auto"/>
        <w:rPr>
          <w:sz w:val="20"/>
          <w:szCs w:val="20"/>
          <w:color w:val="auto"/>
        </w:rPr>
      </w:pPr>
      <w:r>
        <w:rPr>
          <w:rFonts w:ascii="Arial" w:cs="Arial" w:eastAsia="Arial" w:hAnsi="Arial"/>
          <w:sz w:val="17"/>
          <w:szCs w:val="17"/>
          <w:color w:val="auto"/>
        </w:rPr>
        <w:t>Certain amounts in previously issued financial statements have been reclassified to conform to the current year presentation, which includes the reclassification of the results of operations of certain Kaplan businesses as discontinued operations for all periods presented.</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 its estimates and assumptions on historical experience and on various other factors that are believed to be reasonable under the circumstances. Due inherent uncertainty involved in making estimates, actual results reported in future periods may be affected by changes in those estimates.</w:t>
      </w:r>
    </w:p>
    <w:p>
      <w:pPr>
        <w:spacing w:after="0" w:line="14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b w:val="1"/>
          <w:bCs w:val="1"/>
          <w:color w:val="auto"/>
        </w:rPr>
        <w:t xml:space="preserve">Assets Held for Sale </w:t>
      </w:r>
      <w:r>
        <w:rPr>
          <w:rFonts w:ascii="Arial" w:cs="Arial" w:eastAsia="Arial" w:hAnsi="Arial"/>
          <w:sz w:val="16"/>
          <w:szCs w:val="16"/>
          <w:color w:val="auto"/>
        </w:rPr>
        <w:t>– An asset or business is classified as held for sale when (i) management commits to a plan to sell the asset or business; (ii) th</w:t>
      </w:r>
      <w:r>
        <w:rPr>
          <w:rFonts w:ascii="Arial" w:cs="Arial" w:eastAsia="Arial" w:hAnsi="Arial"/>
          <w:sz w:val="16"/>
          <w:szCs w:val="16"/>
          <w:b w:val="1"/>
          <w:bCs w:val="1"/>
          <w:color w:val="auto"/>
        </w:rPr>
        <w:t xml:space="preserve"> </w:t>
      </w:r>
      <w:r>
        <w:rPr>
          <w:rFonts w:ascii="Arial" w:cs="Arial" w:eastAsia="Arial" w:hAnsi="Arial"/>
          <w:sz w:val="16"/>
          <w:szCs w:val="16"/>
          <w:color w:val="auto"/>
        </w:rPr>
        <w:t>asset or business is available for immediate sale in its present condition; (iii) the asset or business is actively marketed for sale at a reasonable price; the sale is expected to be completed within one year; and (v) it is unlikely significant changes to the plan will be made or that the plan will be withdraw assets and related liabilities are aggregated and reported separately in the Company’s condensed consolidated balance sheet.</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Recently Adopted and Issued Accounting Pronouncements </w:t>
      </w:r>
      <w:r>
        <w:rPr>
          <w:rFonts w:ascii="Arial" w:cs="Arial" w:eastAsia="Arial" w:hAnsi="Arial"/>
          <w:sz w:val="17"/>
          <w:szCs w:val="17"/>
          <w:color w:val="auto"/>
        </w:rPr>
        <w:t>– In June 2011, the Financial Accounting Standards Board (“FASB”) issued an amend</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 to increase the prominence of items reported in other comprehensive income. The amendment eliminates the option to present components other comprehensive income as part of the statement of changes in stockholders' equity and requires that all changes in stockholders' equity be prese either in a single continuous statement of comprehensive income or in two separate but consecutive statements. In addition, the amendment requires companies to present on the face of the financial statements reclassification adjustments for items</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7" w:name="page8"/>
    <w:bookmarkEnd w:id="7"/>
    <w:p>
      <w:pPr>
        <w:spacing w:after="0" w:line="230" w:lineRule="auto"/>
        <w:rPr>
          <w:sz w:val="20"/>
          <w:szCs w:val="20"/>
          <w:color w:val="auto"/>
        </w:rPr>
      </w:pPr>
      <w:r>
        <w:rPr>
          <w:rFonts w:ascii="Arial" w:cs="Arial" w:eastAsia="Arial" w:hAnsi="Arial"/>
          <w:sz w:val="17"/>
          <w:szCs w:val="17"/>
          <w:color w:val="auto"/>
        </w:rPr>
        <w:t>that are reclassified from other comprehensive income to net income in the statement(s) where the components of net income and the components of comprehensive income are presented. The amendment does not affect how earnings per share is calculated or presented. This amendment is effectiv interim and fiscal years beginning after December 15, 2011 and must be applied retrospectively. In December 2011, the FASB deferred the requireme related to the presentation of reclassification adjustments until further deliberations have taken place. Entities should continue to report reclassification of accumulated other comprehensive income consistent with the presentation requirements in effect prior to the issuance of the June 2011 amended standard. The adoption of the amendment not deferred by the FASB in the first quarter of 2012 is reflected in the Company’s Condensed Consolidated Statements of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DISCONTINUED OPERATIONS</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February 2012, Kaplan completed the stock sale of Kaplan Learning Technologies (KLT) and recorded an after-tax loss on the sale of $1.9 million, w is included in Income (loss) from discontinued operations, net of tax in the Company’s condensed consolidated statement of operations for the three m ended March 31, 2012.</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April 2012, the Company completed the sale of Kaplan EduNeering. Under the terms of the agreement, the purchaser acquired the stock of EduNe and received substantially all the assets and liabilities. In the second quarter of 2012, the Company will record an estimated pre-tax gain of $30 million an estimated after-tax gain of $19 million related to this sale, subject to net working capital adjustments. The assets and liabilities of EduNeering have classified on the Company’s condensed consolidated balance sheet as assets and liabilities of discontinued operations as of March 31, 2012. The Co did not reclassify its condensed consolidated balance sheet as of December 31, 2011 to reflect discontinued operations.</w:t>
      </w:r>
    </w:p>
    <w:p>
      <w:pPr>
        <w:spacing w:after="0" w:line="176"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Company recorded $ 23.2 million of income tax benefits in the first quarter of 2012 in connection with each of the sale of its stock in EduNeering a KLT related to the excess of the outside stock tax basis over the net book value of the net assets disposed. The Company recorded the tax benefit rel the sale of EduNeering in the first quarter of 2012 as the sale makes it apparent that the temporary difference will reverse in the foreseeable future, consistent with FASB Accounting Standards Codification Section 740-30-25-10.</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October 2011, Kaplan completed the sale of Kaplan Compliance Solutions (KCS) and in July 2011, Kaplan completed the sale of Kaplan Virtual Education (KVE). The results of operations of EduNeering, KLT, KCS and KVE, for the first quarter of 2012 and 2011, where applicable, are included i Company’s condensed consolidated statements of operations as Income (loss) from discontinued operations, net of tax. All corresponding prior period operating results presented in the Company’s condensed consolidated financial statements and the accompanying notes have been reclassified to ref the discontinued operations presented. The Company did not reclassify its condensed consolidated statements of cash flows to reflect the discontinue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summarized income (loss) from discontinued operations, net of tax, for the first quarter of 2012 and 2011 is presented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Arial" w:cs="Arial" w:eastAsia="Arial" w:hAnsi="Arial"/>
                <w:sz w:val="12"/>
                <w:szCs w:val="12"/>
                <w:b w:val="1"/>
                <w:bCs w:val="1"/>
                <w:color w:val="auto"/>
              </w:rPr>
              <w:t>March 31,</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April 3,</w:t>
            </w:r>
          </w:p>
        </w:tc>
      </w:tr>
      <w:tr>
        <w:trPr>
          <w:trHeight w:val="175"/>
        </w:trPr>
        <w:tc>
          <w:tcPr>
            <w:tcW w:w="8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68"/>
              <w:spacing w:after="0"/>
              <w:rPr>
                <w:sz w:val="20"/>
                <w:szCs w:val="20"/>
                <w:color w:val="auto"/>
              </w:rPr>
            </w:pPr>
            <w:r>
              <w:rPr>
                <w:rFonts w:ascii="Arial" w:cs="Arial" w:eastAsia="Arial" w:hAnsi="Arial"/>
                <w:sz w:val="12"/>
                <w:szCs w:val="12"/>
                <w:b w:val="1"/>
                <w:bCs w:val="1"/>
                <w:color w:val="auto"/>
              </w:rPr>
              <w:t>2012</w:t>
            </w: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color w:val="auto"/>
              </w:rPr>
              <w:t>2011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Operating revenues</w:t>
            </w:r>
          </w:p>
        </w:tc>
        <w:tc>
          <w:tcPr>
            <w:tcW w:w="320" w:type="dxa"/>
            <w:vAlign w:val="bottom"/>
          </w:tcPr>
          <w:p>
            <w:pPr>
              <w:jc w:val="right"/>
              <w:ind w:right="6"/>
              <w:spacing w:after="0" w:line="150" w:lineRule="exact"/>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128"/>
              <w:spacing w:after="0" w:line="150" w:lineRule="exact"/>
              <w:rPr>
                <w:sz w:val="20"/>
                <w:szCs w:val="20"/>
                <w:color w:val="auto"/>
              </w:rPr>
            </w:pPr>
            <w:r>
              <w:rPr>
                <w:rFonts w:ascii="Arial" w:cs="Arial" w:eastAsia="Arial" w:hAnsi="Arial"/>
                <w:sz w:val="15"/>
                <w:szCs w:val="15"/>
                <w:b w:val="1"/>
                <w:bCs w:val="1"/>
                <w:color w:val="auto"/>
              </w:rPr>
              <w:t>6,791</w:t>
            </w:r>
          </w:p>
        </w:tc>
        <w:tc>
          <w:tcPr>
            <w:tcW w:w="42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Operating costs and expenses</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(7,135)</w:t>
            </w:r>
          </w:p>
        </w:tc>
        <w:tc>
          <w:tcPr>
            <w:tcW w:w="4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Loss from discontinued operations</w:t>
            </w:r>
          </w:p>
        </w:tc>
        <w:tc>
          <w:tcPr>
            <w:tcW w:w="320" w:type="dxa"/>
            <w:vAlign w:val="bottom"/>
          </w:tcPr>
          <w:p>
            <w:pPr>
              <w:spacing w:after="0"/>
              <w:rPr>
                <w:sz w:val="13"/>
                <w:szCs w:val="13"/>
                <w:color w:val="auto"/>
              </w:rPr>
            </w:pPr>
          </w:p>
        </w:tc>
        <w:tc>
          <w:tcPr>
            <w:tcW w:w="1220" w:type="dxa"/>
            <w:vAlign w:val="bottom"/>
          </w:tcPr>
          <w:p>
            <w:pPr>
              <w:jc w:val="right"/>
              <w:ind w:right="128"/>
              <w:spacing w:after="0" w:line="150" w:lineRule="exact"/>
              <w:rPr>
                <w:sz w:val="20"/>
                <w:szCs w:val="20"/>
                <w:color w:val="auto"/>
              </w:rPr>
            </w:pPr>
            <w:r>
              <w:rPr>
                <w:rFonts w:ascii="Arial" w:cs="Arial" w:eastAsia="Arial" w:hAnsi="Arial"/>
                <w:sz w:val="15"/>
                <w:szCs w:val="15"/>
                <w:b w:val="1"/>
                <w:bCs w:val="1"/>
                <w:color w:val="auto"/>
              </w:rPr>
              <w:t>(344)</w:t>
            </w:r>
          </w:p>
        </w:tc>
        <w:tc>
          <w:tcPr>
            <w:tcW w:w="420" w:type="dxa"/>
            <w:vAlign w:val="bottom"/>
          </w:tcPr>
          <w:p>
            <w:pPr>
              <w:spacing w:after="0"/>
              <w:rPr>
                <w:sz w:val="13"/>
                <w:szCs w:val="13"/>
                <w:color w:val="auto"/>
              </w:rPr>
            </w:pPr>
          </w:p>
        </w:tc>
        <w:tc>
          <w:tcPr>
            <w:tcW w:w="52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Benefit from income taxes</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(22,500)</w:t>
            </w:r>
          </w:p>
        </w:tc>
        <w:tc>
          <w:tcPr>
            <w:tcW w:w="4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(Loss) from Discontinued Operations</w:t>
            </w:r>
          </w:p>
        </w:tc>
        <w:tc>
          <w:tcPr>
            <w:tcW w:w="320" w:type="dxa"/>
            <w:vAlign w:val="bottom"/>
          </w:tcPr>
          <w:p>
            <w:pPr>
              <w:spacing w:after="0"/>
              <w:rPr>
                <w:sz w:val="13"/>
                <w:szCs w:val="13"/>
                <w:color w:val="auto"/>
              </w:rPr>
            </w:pPr>
          </w:p>
        </w:tc>
        <w:tc>
          <w:tcPr>
            <w:tcW w:w="1220" w:type="dxa"/>
            <w:vAlign w:val="bottom"/>
          </w:tcPr>
          <w:p>
            <w:pPr>
              <w:jc w:val="right"/>
              <w:ind w:right="128"/>
              <w:spacing w:after="0" w:line="150" w:lineRule="exact"/>
              <w:rPr>
                <w:sz w:val="20"/>
                <w:szCs w:val="20"/>
                <w:color w:val="auto"/>
              </w:rPr>
            </w:pPr>
            <w:r>
              <w:rPr>
                <w:rFonts w:ascii="Arial" w:cs="Arial" w:eastAsia="Arial" w:hAnsi="Arial"/>
                <w:sz w:val="15"/>
                <w:szCs w:val="15"/>
                <w:b w:val="1"/>
                <w:bCs w:val="1"/>
                <w:color w:val="auto"/>
              </w:rPr>
              <w:t>22,156</w:t>
            </w:r>
          </w:p>
        </w:tc>
        <w:tc>
          <w:tcPr>
            <w:tcW w:w="420" w:type="dxa"/>
            <w:vAlign w:val="bottom"/>
          </w:tcPr>
          <w:p>
            <w:pPr>
              <w:spacing w:after="0"/>
              <w:rPr>
                <w:sz w:val="13"/>
                <w:szCs w:val="13"/>
                <w:color w:val="auto"/>
              </w:rPr>
            </w:pPr>
          </w:p>
        </w:tc>
        <w:tc>
          <w:tcPr>
            <w:tcW w:w="52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Loss on sale of discontinued operations</w:t>
            </w:r>
          </w:p>
        </w:tc>
        <w:tc>
          <w:tcPr>
            <w:tcW w:w="32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5"/>
                <w:szCs w:val="15"/>
                <w:b w:val="1"/>
                <w:bCs w:val="1"/>
                <w:color w:val="auto"/>
              </w:rPr>
              <w:t>(3,082)</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Benefit from income taxes on sale of discontinued operations</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(1,143)</w:t>
            </w:r>
          </w:p>
        </w:tc>
        <w:tc>
          <w:tcPr>
            <w:tcW w:w="4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166"/>
        </w:trPr>
        <w:tc>
          <w:tcPr>
            <w:tcW w:w="8460" w:type="dxa"/>
            <w:vAlign w:val="bottom"/>
          </w:tcPr>
          <w:p>
            <w:pPr>
              <w:spacing w:after="0" w:line="167" w:lineRule="exact"/>
              <w:rPr>
                <w:sz w:val="20"/>
                <w:szCs w:val="20"/>
                <w:color w:val="auto"/>
              </w:rPr>
            </w:pPr>
            <w:r>
              <w:rPr>
                <w:rFonts w:ascii="Arial" w:cs="Arial" w:eastAsia="Arial" w:hAnsi="Arial"/>
                <w:sz w:val="15"/>
                <w:szCs w:val="15"/>
                <w:b w:val="1"/>
                <w:bCs w:val="1"/>
                <w:color w:val="auto"/>
              </w:rPr>
              <w:t>Income (Loss) from Discontinued Operations, Net of Tax</w:t>
            </w: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20,217</w:t>
            </w:r>
          </w:p>
        </w:tc>
        <w:tc>
          <w:tcPr>
            <w:tcW w:w="4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line="235" w:lineRule="auto"/>
        <w:rPr>
          <w:sz w:val="20"/>
          <w:szCs w:val="20"/>
          <w:color w:val="auto"/>
        </w:rPr>
      </w:pPr>
      <w:r>
        <w:rPr>
          <w:rFonts w:ascii="Arial" w:cs="Arial" w:eastAsia="Arial" w:hAnsi="Arial"/>
          <w:sz w:val="17"/>
          <w:szCs w:val="17"/>
          <w:color w:val="auto"/>
        </w:rPr>
        <w:t>The following table summarizes the 2011 quarterly operating results of the Company following the reclassification of the operations discussed above a discontinued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26"/>
              <w:spacing w:after="0"/>
              <w:rPr>
                <w:sz w:val="20"/>
                <w:szCs w:val="20"/>
                <w:color w:val="auto"/>
              </w:rPr>
            </w:pPr>
            <w:r>
              <w:rPr>
                <w:rFonts w:ascii="Arial" w:cs="Arial" w:eastAsia="Arial" w:hAnsi="Arial"/>
                <w:sz w:val="12"/>
                <w:szCs w:val="12"/>
                <w:color w:val="auto"/>
              </w:rPr>
              <w:t>April 3,</w:t>
            </w:r>
          </w:p>
        </w:tc>
        <w:tc>
          <w:tcPr>
            <w:tcW w:w="360" w:type="dxa"/>
            <w:vAlign w:val="bottom"/>
          </w:tcPr>
          <w:p>
            <w:pPr>
              <w:spacing w:after="0"/>
              <w:rPr>
                <w:sz w:val="12"/>
                <w:szCs w:val="12"/>
                <w:color w:val="auto"/>
              </w:rPr>
            </w:pPr>
          </w:p>
        </w:tc>
        <w:tc>
          <w:tcPr>
            <w:tcW w:w="1120" w:type="dxa"/>
            <w:vAlign w:val="bottom"/>
          </w:tcPr>
          <w:p>
            <w:pPr>
              <w:jc w:val="right"/>
              <w:ind w:right="546"/>
              <w:spacing w:after="0"/>
              <w:rPr>
                <w:sz w:val="20"/>
                <w:szCs w:val="20"/>
                <w:color w:val="auto"/>
              </w:rPr>
            </w:pPr>
            <w:r>
              <w:rPr>
                <w:rFonts w:ascii="Arial" w:cs="Arial" w:eastAsia="Arial" w:hAnsi="Arial"/>
                <w:sz w:val="12"/>
                <w:szCs w:val="12"/>
                <w:color w:val="auto"/>
              </w:rPr>
              <w:t>July 3,</w:t>
            </w:r>
          </w:p>
        </w:tc>
        <w:tc>
          <w:tcPr>
            <w:tcW w:w="320" w:type="dxa"/>
            <w:vAlign w:val="bottom"/>
          </w:tcPr>
          <w:p>
            <w:pPr>
              <w:spacing w:after="0"/>
              <w:rPr>
                <w:sz w:val="12"/>
                <w:szCs w:val="12"/>
                <w:color w:val="auto"/>
              </w:rPr>
            </w:pPr>
          </w:p>
        </w:tc>
        <w:tc>
          <w:tcPr>
            <w:tcW w:w="1160" w:type="dxa"/>
            <w:vAlign w:val="bottom"/>
          </w:tcPr>
          <w:p>
            <w:pPr>
              <w:jc w:val="right"/>
              <w:ind w:right="426"/>
              <w:spacing w:after="0"/>
              <w:rPr>
                <w:sz w:val="20"/>
                <w:szCs w:val="20"/>
                <w:color w:val="auto"/>
              </w:rPr>
            </w:pPr>
            <w:r>
              <w:rPr>
                <w:rFonts w:ascii="Arial" w:cs="Arial" w:eastAsia="Arial" w:hAnsi="Arial"/>
                <w:sz w:val="12"/>
                <w:szCs w:val="12"/>
                <w:color w:val="auto"/>
              </w:rPr>
              <w:t>October 2,</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Decembe</w:t>
            </w:r>
          </w:p>
        </w:tc>
        <w:tc>
          <w:tcPr>
            <w:tcW w:w="0" w:type="dxa"/>
            <w:vAlign w:val="bottom"/>
          </w:tcPr>
          <w:p>
            <w:pPr>
              <w:spacing w:after="0"/>
              <w:rPr>
                <w:sz w:val="1"/>
                <w:szCs w:val="1"/>
                <w:color w:val="auto"/>
              </w:rPr>
            </w:pPr>
          </w:p>
        </w:tc>
      </w:tr>
      <w:tr>
        <w:trPr>
          <w:trHeight w:val="137"/>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color w:val="auto"/>
              </w:rPr>
              <w:t>2011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color w:val="auto"/>
              </w:rPr>
              <w:t>2011</w:t>
            </w: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color w:val="auto"/>
              </w:rPr>
              <w:t>2011</w:t>
            </w: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618,929</w:t>
            </w:r>
          </w:p>
        </w:tc>
        <w:tc>
          <w:tcPr>
            <w:tcW w:w="3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616,962</w:t>
            </w:r>
          </w:p>
        </w:tc>
        <w:tc>
          <w:tcPr>
            <w:tcW w:w="3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608,256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177,385</w:t>
            </w:r>
          </w:p>
        </w:tc>
        <w:tc>
          <w:tcPr>
            <w:tcW w:w="360" w:type="dxa"/>
            <w:vAlign w:val="bottom"/>
          </w:tcPr>
          <w:p>
            <w:pPr>
              <w:spacing w:after="0"/>
              <w:rPr>
                <w:sz w:val="15"/>
                <w:szCs w:val="15"/>
                <w:color w:val="auto"/>
              </w:rPr>
            </w:pP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193,352</w:t>
            </w:r>
          </w:p>
        </w:tc>
        <w:tc>
          <w:tcPr>
            <w:tcW w:w="320" w:type="dxa"/>
            <w:vAlign w:val="bottom"/>
          </w:tcPr>
          <w:p>
            <w:pPr>
              <w:spacing w:after="0"/>
              <w:rPr>
                <w:sz w:val="15"/>
                <w:szCs w:val="15"/>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170,552</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Circulation and subscriber</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214,523</w:t>
            </w:r>
          </w:p>
        </w:tc>
        <w:tc>
          <w:tcPr>
            <w:tcW w:w="360" w:type="dxa"/>
            <w:vAlign w:val="bottom"/>
          </w:tcPr>
          <w:p>
            <w:pPr>
              <w:spacing w:after="0"/>
              <w:rPr>
                <w:sz w:val="15"/>
                <w:szCs w:val="15"/>
                <w:color w:val="auto"/>
              </w:rPr>
            </w:pP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216,606</w:t>
            </w:r>
          </w:p>
        </w:tc>
        <w:tc>
          <w:tcPr>
            <w:tcW w:w="320" w:type="dxa"/>
            <w:vAlign w:val="bottom"/>
          </w:tcPr>
          <w:p>
            <w:pPr>
              <w:spacing w:after="0"/>
              <w:rPr>
                <w:sz w:val="15"/>
                <w:szCs w:val="15"/>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212,145</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2"/>
        </w:trPr>
        <w:tc>
          <w:tcPr>
            <w:tcW w:w="5740" w:type="dxa"/>
            <w:vAlign w:val="bottom"/>
          </w:tcPr>
          <w:p>
            <w:pPr>
              <w:ind w:left="22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31,075</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34,338</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34,059</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Operating Costs and Expenses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1,041,912</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1,061,258</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1,025,012</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476,081</w:t>
            </w:r>
          </w:p>
        </w:tc>
        <w:tc>
          <w:tcPr>
            <w:tcW w:w="360" w:type="dxa"/>
            <w:vAlign w:val="bottom"/>
          </w:tcPr>
          <w:p>
            <w:pPr>
              <w:spacing w:after="0"/>
              <w:rPr>
                <w:sz w:val="15"/>
                <w:szCs w:val="15"/>
                <w:color w:val="auto"/>
              </w:rPr>
            </w:pP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500,766</w:t>
            </w:r>
          </w:p>
        </w:tc>
        <w:tc>
          <w:tcPr>
            <w:tcW w:w="320" w:type="dxa"/>
            <w:vAlign w:val="bottom"/>
          </w:tcPr>
          <w:p>
            <w:pPr>
              <w:spacing w:after="0"/>
              <w:rPr>
                <w:sz w:val="15"/>
                <w:szCs w:val="15"/>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499,111</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441,366</w:t>
            </w:r>
          </w:p>
        </w:tc>
        <w:tc>
          <w:tcPr>
            <w:tcW w:w="360" w:type="dxa"/>
            <w:vAlign w:val="bottom"/>
          </w:tcPr>
          <w:p>
            <w:pPr>
              <w:spacing w:after="0"/>
              <w:rPr>
                <w:sz w:val="15"/>
                <w:szCs w:val="15"/>
                <w:color w:val="auto"/>
              </w:rPr>
            </w:pP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409,173</w:t>
            </w:r>
          </w:p>
        </w:tc>
        <w:tc>
          <w:tcPr>
            <w:tcW w:w="320" w:type="dxa"/>
            <w:vAlign w:val="bottom"/>
          </w:tcPr>
          <w:p>
            <w:pPr>
              <w:spacing w:after="0"/>
              <w:rPr>
                <w:sz w:val="15"/>
                <w:szCs w:val="15"/>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391,269</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62,196</w:t>
            </w:r>
          </w:p>
        </w:tc>
        <w:tc>
          <w:tcPr>
            <w:tcW w:w="360" w:type="dxa"/>
            <w:vAlign w:val="bottom"/>
          </w:tcPr>
          <w:p>
            <w:pPr>
              <w:spacing w:after="0"/>
              <w:rPr>
                <w:sz w:val="15"/>
                <w:szCs w:val="15"/>
                <w:color w:val="auto"/>
              </w:rPr>
            </w:pP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62,882</w:t>
            </w:r>
          </w:p>
        </w:tc>
        <w:tc>
          <w:tcPr>
            <w:tcW w:w="320" w:type="dxa"/>
            <w:vAlign w:val="bottom"/>
          </w:tcPr>
          <w:p>
            <w:pPr>
              <w:spacing w:after="0"/>
              <w:rPr>
                <w:sz w:val="15"/>
                <w:szCs w:val="15"/>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61,840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5,716</w:t>
            </w:r>
          </w:p>
        </w:tc>
        <w:tc>
          <w:tcPr>
            <w:tcW w:w="360" w:type="dxa"/>
            <w:vAlign w:val="bottom"/>
          </w:tcPr>
          <w:p>
            <w:pPr>
              <w:spacing w:after="0"/>
              <w:rPr>
                <w:sz w:val="15"/>
                <w:szCs w:val="15"/>
                <w:color w:val="auto"/>
              </w:rPr>
            </w:pP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6,338</w:t>
            </w:r>
          </w:p>
        </w:tc>
        <w:tc>
          <w:tcPr>
            <w:tcW w:w="320" w:type="dxa"/>
            <w:vAlign w:val="bottom"/>
          </w:tcPr>
          <w:p>
            <w:pPr>
              <w:spacing w:after="0"/>
              <w:rPr>
                <w:sz w:val="15"/>
                <w:szCs w:val="15"/>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8,187</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40" w:type="dxa"/>
            <w:vAlign w:val="bottom"/>
          </w:tcPr>
          <w:p>
            <w:pPr>
              <w:ind w:left="220"/>
              <w:spacing w:after="0"/>
              <w:rPr>
                <w:sz w:val="20"/>
                <w:szCs w:val="20"/>
                <w:color w:val="auto"/>
              </w:rPr>
            </w:pPr>
            <w:r>
              <w:rPr>
                <w:rFonts w:ascii="Arial" w:cs="Arial" w:eastAsia="Arial" w:hAnsi="Arial"/>
                <w:sz w:val="15"/>
                <w:szCs w:val="15"/>
                <w:color w:val="auto"/>
              </w:rPr>
              <w:t>Impairment of goodwill</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11,923</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Income from Operations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985,359</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979,159</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972,330</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6"/>
              <w:spacing w:after="0" w:line="168" w:lineRule="exact"/>
              <w:rPr>
                <w:sz w:val="20"/>
                <w:szCs w:val="20"/>
                <w:color w:val="auto"/>
              </w:rPr>
            </w:pPr>
            <w:r>
              <w:rPr>
                <w:rFonts w:ascii="Arial" w:cs="Arial" w:eastAsia="Arial" w:hAnsi="Arial"/>
                <w:sz w:val="15"/>
                <w:szCs w:val="15"/>
                <w:color w:val="auto"/>
              </w:rPr>
              <w:t>56,553</w:t>
            </w:r>
          </w:p>
        </w:tc>
        <w:tc>
          <w:tcPr>
            <w:tcW w:w="360" w:type="dxa"/>
            <w:vAlign w:val="bottom"/>
          </w:tcPr>
          <w:p>
            <w:pPr>
              <w:spacing w:after="0"/>
              <w:rPr>
                <w:sz w:val="14"/>
                <w:szCs w:val="14"/>
                <w:color w:val="auto"/>
              </w:rPr>
            </w:pPr>
          </w:p>
        </w:tc>
        <w:tc>
          <w:tcPr>
            <w:tcW w:w="1120" w:type="dxa"/>
            <w:vAlign w:val="bottom"/>
          </w:tcPr>
          <w:p>
            <w:pPr>
              <w:jc w:val="right"/>
              <w:ind w:right="86"/>
              <w:spacing w:after="0" w:line="168" w:lineRule="exact"/>
              <w:rPr>
                <w:sz w:val="20"/>
                <w:szCs w:val="20"/>
                <w:color w:val="auto"/>
              </w:rPr>
            </w:pPr>
            <w:r>
              <w:rPr>
                <w:rFonts w:ascii="Arial" w:cs="Arial" w:eastAsia="Arial" w:hAnsi="Arial"/>
                <w:sz w:val="15"/>
                <w:szCs w:val="15"/>
                <w:color w:val="auto"/>
              </w:rPr>
              <w:t>82,099</w:t>
            </w:r>
          </w:p>
        </w:tc>
        <w:tc>
          <w:tcPr>
            <w:tcW w:w="320" w:type="dxa"/>
            <w:vAlign w:val="bottom"/>
          </w:tcPr>
          <w:p>
            <w:pPr>
              <w:spacing w:after="0"/>
              <w:rPr>
                <w:sz w:val="14"/>
                <w:szCs w:val="14"/>
                <w:color w:val="auto"/>
              </w:rPr>
            </w:pPr>
          </w:p>
        </w:tc>
        <w:tc>
          <w:tcPr>
            <w:tcW w:w="1160" w:type="dxa"/>
            <w:vAlign w:val="bottom"/>
          </w:tcPr>
          <w:p>
            <w:pPr>
              <w:jc w:val="right"/>
              <w:ind w:right="86"/>
              <w:spacing w:after="0" w:line="168" w:lineRule="exact"/>
              <w:rPr>
                <w:sz w:val="20"/>
                <w:szCs w:val="20"/>
                <w:color w:val="auto"/>
              </w:rPr>
            </w:pPr>
            <w:r>
              <w:rPr>
                <w:rFonts w:ascii="Arial" w:cs="Arial" w:eastAsia="Arial" w:hAnsi="Arial"/>
                <w:sz w:val="15"/>
                <w:szCs w:val="15"/>
                <w:color w:val="auto"/>
              </w:rPr>
              <w:t>52,682</w:t>
            </w:r>
          </w:p>
        </w:tc>
        <w:tc>
          <w:tcPr>
            <w:tcW w:w="2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Equity in earnings (losses) of affiliates, net</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3,737</w:t>
            </w:r>
          </w:p>
        </w:tc>
        <w:tc>
          <w:tcPr>
            <w:tcW w:w="360" w:type="dxa"/>
            <w:vAlign w:val="bottom"/>
          </w:tcPr>
          <w:p>
            <w:pPr>
              <w:spacing w:after="0"/>
              <w:rPr>
                <w:sz w:val="15"/>
                <w:szCs w:val="15"/>
                <w:color w:val="auto"/>
              </w:rPr>
            </w:pP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3,138</w:t>
            </w:r>
          </w:p>
        </w:tc>
        <w:tc>
          <w:tcPr>
            <w:tcW w:w="320" w:type="dxa"/>
            <w:vAlign w:val="bottom"/>
          </w:tcPr>
          <w:p>
            <w:pPr>
              <w:spacing w:after="0"/>
              <w:rPr>
                <w:sz w:val="15"/>
                <w:szCs w:val="15"/>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(1,494)</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982</w:t>
            </w:r>
          </w:p>
        </w:tc>
        <w:tc>
          <w:tcPr>
            <w:tcW w:w="360" w:type="dxa"/>
            <w:vAlign w:val="bottom"/>
          </w:tcPr>
          <w:p>
            <w:pPr>
              <w:spacing w:after="0"/>
              <w:rPr>
                <w:sz w:val="15"/>
                <w:szCs w:val="15"/>
                <w:color w:val="auto"/>
              </w:rPr>
            </w:pP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997</w:t>
            </w:r>
          </w:p>
        </w:tc>
        <w:tc>
          <w:tcPr>
            <w:tcW w:w="320" w:type="dxa"/>
            <w:vAlign w:val="bottom"/>
          </w:tcPr>
          <w:p>
            <w:pPr>
              <w:spacing w:after="0"/>
              <w:rPr>
                <w:sz w:val="15"/>
                <w:szCs w:val="15"/>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994</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(7,961)</w:t>
            </w:r>
          </w:p>
        </w:tc>
        <w:tc>
          <w:tcPr>
            <w:tcW w:w="360" w:type="dxa"/>
            <w:vAlign w:val="bottom"/>
          </w:tcPr>
          <w:p>
            <w:pPr>
              <w:spacing w:after="0"/>
              <w:rPr>
                <w:sz w:val="15"/>
                <w:szCs w:val="15"/>
                <w:color w:val="auto"/>
              </w:rPr>
            </w:pP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(7,960)</w:t>
            </w:r>
          </w:p>
        </w:tc>
        <w:tc>
          <w:tcPr>
            <w:tcW w:w="320" w:type="dxa"/>
            <w:vAlign w:val="bottom"/>
          </w:tcPr>
          <w:p>
            <w:pPr>
              <w:spacing w:after="0"/>
              <w:rPr>
                <w:sz w:val="15"/>
                <w:szCs w:val="15"/>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(8,667)</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5740" w:type="dxa"/>
            <w:vAlign w:val="bottom"/>
          </w:tcPr>
          <w:p>
            <w:pPr>
              <w:ind w:left="220"/>
              <w:spacing w:after="0"/>
              <w:rPr>
                <w:sz w:val="20"/>
                <w:szCs w:val="20"/>
                <w:color w:val="auto"/>
              </w:rPr>
            </w:pPr>
            <w:r>
              <w:rPr>
                <w:rFonts w:ascii="Arial" w:cs="Arial" w:eastAsia="Arial" w:hAnsi="Arial"/>
                <w:sz w:val="15"/>
                <w:szCs w:val="15"/>
                <w:color w:val="auto"/>
              </w:rPr>
              <w:t>Other (expense) income, net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(24,032)</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(2,591)</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(29,650)</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360" w:type="dxa"/>
            <w:vAlign w:val="bottom"/>
          </w:tcPr>
          <w:p>
            <w:pPr>
              <w:spacing w:after="0"/>
              <w:rPr>
                <w:sz w:val="13"/>
                <w:szCs w:val="13"/>
                <w:color w:val="auto"/>
              </w:rPr>
            </w:pPr>
          </w:p>
        </w:tc>
        <w:tc>
          <w:tcPr>
            <w:tcW w:w="1120" w:type="dxa"/>
            <w:vAlign w:val="bottom"/>
          </w:tcPr>
          <w:p>
            <w:pPr>
              <w:jc w:val="right"/>
              <w:ind w:right="66"/>
              <w:spacing w:after="0" w:line="150" w:lineRule="exact"/>
              <w:rPr>
                <w:sz w:val="20"/>
                <w:szCs w:val="20"/>
                <w:color w:val="auto"/>
              </w:rPr>
            </w:pPr>
            <w:r>
              <w:rPr>
                <w:rFonts w:ascii="Arial" w:cs="Arial" w:eastAsia="Arial" w:hAnsi="Arial"/>
                <w:sz w:val="15"/>
                <w:szCs w:val="15"/>
                <w:color w:val="auto"/>
              </w:rPr>
              <w:t>29,279</w:t>
            </w:r>
          </w:p>
        </w:tc>
        <w:tc>
          <w:tcPr>
            <w:tcW w:w="360" w:type="dxa"/>
            <w:vAlign w:val="bottom"/>
          </w:tcPr>
          <w:p>
            <w:pPr>
              <w:spacing w:after="0"/>
              <w:rPr>
                <w:sz w:val="13"/>
                <w:szCs w:val="13"/>
                <w:color w:val="auto"/>
              </w:rPr>
            </w:pPr>
          </w:p>
        </w:tc>
        <w:tc>
          <w:tcPr>
            <w:tcW w:w="1120" w:type="dxa"/>
            <w:vAlign w:val="bottom"/>
          </w:tcPr>
          <w:p>
            <w:pPr>
              <w:jc w:val="right"/>
              <w:ind w:right="86"/>
              <w:spacing w:after="0" w:line="150" w:lineRule="exact"/>
              <w:rPr>
                <w:sz w:val="20"/>
                <w:szCs w:val="20"/>
                <w:color w:val="auto"/>
              </w:rPr>
            </w:pPr>
            <w:r>
              <w:rPr>
                <w:rFonts w:ascii="Arial" w:cs="Arial" w:eastAsia="Arial" w:hAnsi="Arial"/>
                <w:sz w:val="15"/>
                <w:szCs w:val="15"/>
                <w:color w:val="auto"/>
              </w:rPr>
              <w:t>75,683</w:t>
            </w:r>
          </w:p>
        </w:tc>
        <w:tc>
          <w:tcPr>
            <w:tcW w:w="320" w:type="dxa"/>
            <w:vAlign w:val="bottom"/>
          </w:tcPr>
          <w:p>
            <w:pPr>
              <w:spacing w:after="0"/>
              <w:rPr>
                <w:sz w:val="13"/>
                <w:szCs w:val="13"/>
                <w:color w:val="auto"/>
              </w:rPr>
            </w:pPr>
          </w:p>
        </w:tc>
        <w:tc>
          <w:tcPr>
            <w:tcW w:w="1160" w:type="dxa"/>
            <w:vAlign w:val="bottom"/>
          </w:tcPr>
          <w:p>
            <w:pPr>
              <w:jc w:val="right"/>
              <w:ind w:right="86"/>
              <w:spacing w:after="0" w:line="150" w:lineRule="exact"/>
              <w:rPr>
                <w:sz w:val="20"/>
                <w:szCs w:val="20"/>
                <w:color w:val="auto"/>
              </w:rPr>
            </w:pPr>
            <w:r>
              <w:rPr>
                <w:rFonts w:ascii="Arial" w:cs="Arial" w:eastAsia="Arial" w:hAnsi="Arial"/>
                <w:sz w:val="15"/>
                <w:szCs w:val="15"/>
                <w:color w:val="auto"/>
              </w:rPr>
              <w:t>13,865</w:t>
            </w:r>
          </w:p>
        </w:tc>
        <w:tc>
          <w:tcPr>
            <w:tcW w:w="220" w:type="dxa"/>
            <w:vAlign w:val="bottom"/>
          </w:tcPr>
          <w:p>
            <w:pPr>
              <w:spacing w:after="0"/>
              <w:rPr>
                <w:sz w:val="13"/>
                <w:szCs w:val="13"/>
                <w:color w:val="auto"/>
              </w:rPr>
            </w:pPr>
          </w:p>
        </w:tc>
        <w:tc>
          <w:tcPr>
            <w:tcW w:w="54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10,900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27,900</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16,800</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Income (Loss) from Continuing Operations</w:t>
            </w:r>
          </w:p>
        </w:tc>
        <w:tc>
          <w:tcPr>
            <w:tcW w:w="360" w:type="dxa"/>
            <w:vAlign w:val="bottom"/>
          </w:tcPr>
          <w:p>
            <w:pPr>
              <w:spacing w:after="0"/>
              <w:rPr>
                <w:sz w:val="13"/>
                <w:szCs w:val="13"/>
                <w:color w:val="auto"/>
              </w:rPr>
            </w:pPr>
          </w:p>
        </w:tc>
        <w:tc>
          <w:tcPr>
            <w:tcW w:w="1120" w:type="dxa"/>
            <w:vAlign w:val="bottom"/>
          </w:tcPr>
          <w:p>
            <w:pPr>
              <w:jc w:val="right"/>
              <w:ind w:right="66"/>
              <w:spacing w:after="0" w:line="150" w:lineRule="exact"/>
              <w:rPr>
                <w:sz w:val="20"/>
                <w:szCs w:val="20"/>
                <w:color w:val="auto"/>
              </w:rPr>
            </w:pPr>
            <w:r>
              <w:rPr>
                <w:rFonts w:ascii="Arial" w:cs="Arial" w:eastAsia="Arial" w:hAnsi="Arial"/>
                <w:sz w:val="15"/>
                <w:szCs w:val="15"/>
                <w:color w:val="auto"/>
              </w:rPr>
              <w:t>18,379</w:t>
            </w:r>
          </w:p>
        </w:tc>
        <w:tc>
          <w:tcPr>
            <w:tcW w:w="360" w:type="dxa"/>
            <w:vAlign w:val="bottom"/>
          </w:tcPr>
          <w:p>
            <w:pPr>
              <w:spacing w:after="0"/>
              <w:rPr>
                <w:sz w:val="13"/>
                <w:szCs w:val="13"/>
                <w:color w:val="auto"/>
              </w:rPr>
            </w:pPr>
          </w:p>
        </w:tc>
        <w:tc>
          <w:tcPr>
            <w:tcW w:w="1120" w:type="dxa"/>
            <w:vAlign w:val="bottom"/>
          </w:tcPr>
          <w:p>
            <w:pPr>
              <w:jc w:val="right"/>
              <w:ind w:right="86"/>
              <w:spacing w:after="0" w:line="150" w:lineRule="exact"/>
              <w:rPr>
                <w:sz w:val="20"/>
                <w:szCs w:val="20"/>
                <w:color w:val="auto"/>
              </w:rPr>
            </w:pPr>
            <w:r>
              <w:rPr>
                <w:rFonts w:ascii="Arial" w:cs="Arial" w:eastAsia="Arial" w:hAnsi="Arial"/>
                <w:sz w:val="15"/>
                <w:szCs w:val="15"/>
                <w:color w:val="auto"/>
              </w:rPr>
              <w:t>47,783</w:t>
            </w:r>
          </w:p>
        </w:tc>
        <w:tc>
          <w:tcPr>
            <w:tcW w:w="320" w:type="dxa"/>
            <w:vAlign w:val="bottom"/>
          </w:tcPr>
          <w:p>
            <w:pPr>
              <w:spacing w:after="0"/>
              <w:rPr>
                <w:sz w:val="13"/>
                <w:szCs w:val="13"/>
                <w:color w:val="auto"/>
              </w:rPr>
            </w:pPr>
          </w:p>
        </w:tc>
        <w:tc>
          <w:tcPr>
            <w:tcW w:w="1160" w:type="dxa"/>
            <w:vAlign w:val="bottom"/>
          </w:tcPr>
          <w:p>
            <w:pPr>
              <w:jc w:val="right"/>
              <w:ind w:right="86"/>
              <w:spacing w:after="0" w:line="150" w:lineRule="exact"/>
              <w:rPr>
                <w:sz w:val="20"/>
                <w:szCs w:val="20"/>
                <w:color w:val="auto"/>
              </w:rPr>
            </w:pPr>
            <w:r>
              <w:rPr>
                <w:rFonts w:ascii="Arial" w:cs="Arial" w:eastAsia="Arial" w:hAnsi="Arial"/>
                <w:sz w:val="15"/>
                <w:szCs w:val="15"/>
                <w:color w:val="auto"/>
              </w:rPr>
              <w:t>(2,935)</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(Loss) Income from Discontinued Operations, Net of Tax</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(2,750)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(2,020)</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(3,031)</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(Loss)</w:t>
            </w:r>
          </w:p>
        </w:tc>
        <w:tc>
          <w:tcPr>
            <w:tcW w:w="360" w:type="dxa"/>
            <w:vAlign w:val="bottom"/>
          </w:tcPr>
          <w:p>
            <w:pPr>
              <w:spacing w:after="0"/>
              <w:rPr>
                <w:sz w:val="13"/>
                <w:szCs w:val="13"/>
                <w:color w:val="auto"/>
              </w:rPr>
            </w:pPr>
          </w:p>
        </w:tc>
        <w:tc>
          <w:tcPr>
            <w:tcW w:w="1120" w:type="dxa"/>
            <w:vAlign w:val="bottom"/>
          </w:tcPr>
          <w:p>
            <w:pPr>
              <w:jc w:val="right"/>
              <w:ind w:right="66"/>
              <w:spacing w:after="0" w:line="150" w:lineRule="exact"/>
              <w:rPr>
                <w:sz w:val="20"/>
                <w:szCs w:val="20"/>
                <w:color w:val="auto"/>
              </w:rPr>
            </w:pPr>
            <w:r>
              <w:rPr>
                <w:rFonts w:ascii="Arial" w:cs="Arial" w:eastAsia="Arial" w:hAnsi="Arial"/>
                <w:sz w:val="15"/>
                <w:szCs w:val="15"/>
                <w:color w:val="auto"/>
              </w:rPr>
              <w:t>15,629</w:t>
            </w:r>
          </w:p>
        </w:tc>
        <w:tc>
          <w:tcPr>
            <w:tcW w:w="360" w:type="dxa"/>
            <w:vAlign w:val="bottom"/>
          </w:tcPr>
          <w:p>
            <w:pPr>
              <w:spacing w:after="0"/>
              <w:rPr>
                <w:sz w:val="13"/>
                <w:szCs w:val="13"/>
                <w:color w:val="auto"/>
              </w:rPr>
            </w:pPr>
          </w:p>
        </w:tc>
        <w:tc>
          <w:tcPr>
            <w:tcW w:w="1120" w:type="dxa"/>
            <w:vAlign w:val="bottom"/>
          </w:tcPr>
          <w:p>
            <w:pPr>
              <w:jc w:val="right"/>
              <w:ind w:right="86"/>
              <w:spacing w:after="0" w:line="150" w:lineRule="exact"/>
              <w:rPr>
                <w:sz w:val="20"/>
                <w:szCs w:val="20"/>
                <w:color w:val="auto"/>
              </w:rPr>
            </w:pPr>
            <w:r>
              <w:rPr>
                <w:rFonts w:ascii="Arial" w:cs="Arial" w:eastAsia="Arial" w:hAnsi="Arial"/>
                <w:sz w:val="15"/>
                <w:szCs w:val="15"/>
                <w:color w:val="auto"/>
              </w:rPr>
              <w:t>45,763</w:t>
            </w:r>
          </w:p>
        </w:tc>
        <w:tc>
          <w:tcPr>
            <w:tcW w:w="320" w:type="dxa"/>
            <w:vAlign w:val="bottom"/>
          </w:tcPr>
          <w:p>
            <w:pPr>
              <w:spacing w:after="0"/>
              <w:rPr>
                <w:sz w:val="13"/>
                <w:szCs w:val="13"/>
                <w:color w:val="auto"/>
              </w:rPr>
            </w:pPr>
          </w:p>
        </w:tc>
        <w:tc>
          <w:tcPr>
            <w:tcW w:w="1160" w:type="dxa"/>
            <w:vAlign w:val="bottom"/>
          </w:tcPr>
          <w:p>
            <w:pPr>
              <w:jc w:val="right"/>
              <w:ind w:right="86"/>
              <w:spacing w:after="0" w:line="150" w:lineRule="exact"/>
              <w:rPr>
                <w:sz w:val="20"/>
                <w:szCs w:val="20"/>
                <w:color w:val="auto"/>
              </w:rPr>
            </w:pPr>
            <w:r>
              <w:rPr>
                <w:rFonts w:ascii="Arial" w:cs="Arial" w:eastAsia="Arial" w:hAnsi="Arial"/>
                <w:sz w:val="15"/>
                <w:szCs w:val="15"/>
                <w:color w:val="auto"/>
              </w:rPr>
              <w:t>(5,966)</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Net (Income) Loss Attributable to Noncontrolling Interests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40</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(16)</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(Loss) Attributable to The Washington Post Company</w:t>
            </w:r>
          </w:p>
        </w:tc>
        <w:tc>
          <w:tcPr>
            <w:tcW w:w="360" w:type="dxa"/>
            <w:vAlign w:val="bottom"/>
          </w:tcPr>
          <w:p>
            <w:pPr>
              <w:spacing w:after="0"/>
              <w:rPr>
                <w:sz w:val="13"/>
                <w:szCs w:val="13"/>
                <w:color w:val="auto"/>
              </w:rPr>
            </w:pPr>
          </w:p>
        </w:tc>
        <w:tc>
          <w:tcPr>
            <w:tcW w:w="1120" w:type="dxa"/>
            <w:vAlign w:val="bottom"/>
          </w:tcPr>
          <w:p>
            <w:pPr>
              <w:jc w:val="right"/>
              <w:ind w:right="66"/>
              <w:spacing w:after="0" w:line="150" w:lineRule="exact"/>
              <w:rPr>
                <w:sz w:val="20"/>
                <w:szCs w:val="20"/>
                <w:color w:val="auto"/>
              </w:rPr>
            </w:pPr>
            <w:r>
              <w:rPr>
                <w:rFonts w:ascii="Arial" w:cs="Arial" w:eastAsia="Arial" w:hAnsi="Arial"/>
                <w:sz w:val="15"/>
                <w:szCs w:val="15"/>
                <w:color w:val="auto"/>
              </w:rPr>
              <w:t>15,615</w:t>
            </w:r>
          </w:p>
        </w:tc>
        <w:tc>
          <w:tcPr>
            <w:tcW w:w="360" w:type="dxa"/>
            <w:vAlign w:val="bottom"/>
          </w:tcPr>
          <w:p>
            <w:pPr>
              <w:spacing w:after="0"/>
              <w:rPr>
                <w:sz w:val="13"/>
                <w:szCs w:val="13"/>
                <w:color w:val="auto"/>
              </w:rPr>
            </w:pPr>
          </w:p>
        </w:tc>
        <w:tc>
          <w:tcPr>
            <w:tcW w:w="1120" w:type="dxa"/>
            <w:vAlign w:val="bottom"/>
          </w:tcPr>
          <w:p>
            <w:pPr>
              <w:jc w:val="right"/>
              <w:ind w:right="86"/>
              <w:spacing w:after="0" w:line="150" w:lineRule="exact"/>
              <w:rPr>
                <w:sz w:val="20"/>
                <w:szCs w:val="20"/>
                <w:color w:val="auto"/>
              </w:rPr>
            </w:pPr>
            <w:r>
              <w:rPr>
                <w:rFonts w:ascii="Arial" w:cs="Arial" w:eastAsia="Arial" w:hAnsi="Arial"/>
                <w:sz w:val="15"/>
                <w:szCs w:val="15"/>
                <w:color w:val="auto"/>
              </w:rPr>
              <w:t>45,803</w:t>
            </w:r>
          </w:p>
        </w:tc>
        <w:tc>
          <w:tcPr>
            <w:tcW w:w="320" w:type="dxa"/>
            <w:vAlign w:val="bottom"/>
          </w:tcPr>
          <w:p>
            <w:pPr>
              <w:spacing w:after="0"/>
              <w:rPr>
                <w:sz w:val="13"/>
                <w:szCs w:val="13"/>
                <w:color w:val="auto"/>
              </w:rPr>
            </w:pPr>
          </w:p>
        </w:tc>
        <w:tc>
          <w:tcPr>
            <w:tcW w:w="1160" w:type="dxa"/>
            <w:vAlign w:val="bottom"/>
          </w:tcPr>
          <w:p>
            <w:pPr>
              <w:jc w:val="right"/>
              <w:ind w:right="86"/>
              <w:spacing w:after="0" w:line="150" w:lineRule="exact"/>
              <w:rPr>
                <w:sz w:val="20"/>
                <w:szCs w:val="20"/>
                <w:color w:val="auto"/>
              </w:rPr>
            </w:pPr>
            <w:r>
              <w:rPr>
                <w:rFonts w:ascii="Arial" w:cs="Arial" w:eastAsia="Arial" w:hAnsi="Arial"/>
                <w:sz w:val="15"/>
                <w:szCs w:val="15"/>
                <w:color w:val="auto"/>
              </w:rPr>
              <w:t>(5,982)</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(461)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(230)</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(226)</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5"/>
                <w:szCs w:val="15"/>
                <w:b w:val="1"/>
                <w:bCs w:val="1"/>
                <w:color w:val="auto"/>
              </w:rPr>
              <w:t>Net Income (Loss) Attributable to The Washington Post Company</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740" w:type="dxa"/>
            <w:vAlign w:val="bottom"/>
          </w:tcPr>
          <w:p>
            <w:pPr>
              <w:ind w:left="220"/>
              <w:spacing w:after="0"/>
              <w:rPr>
                <w:sz w:val="20"/>
                <w:szCs w:val="20"/>
                <w:color w:val="auto"/>
              </w:rPr>
            </w:pPr>
            <w:r>
              <w:rPr>
                <w:rFonts w:ascii="Arial" w:cs="Arial" w:eastAsia="Arial" w:hAnsi="Arial"/>
                <w:sz w:val="15"/>
                <w:szCs w:val="15"/>
                <w:b w:val="1"/>
                <w:bCs w:val="1"/>
                <w:color w:val="auto"/>
              </w:rPr>
              <w:t>Common Stockholders</w:t>
            </w:r>
          </w:p>
        </w:tc>
        <w:tc>
          <w:tcPr>
            <w:tcW w:w="3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15,154</w:t>
            </w:r>
          </w:p>
        </w:tc>
        <w:tc>
          <w:tcPr>
            <w:tcW w:w="3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45,573</w:t>
            </w:r>
          </w:p>
        </w:tc>
        <w:tc>
          <w:tcPr>
            <w:tcW w:w="3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(6,208)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740" w:type="dxa"/>
            <w:vAlign w:val="bottom"/>
          </w:tcPr>
          <w:p>
            <w:pPr>
              <w:ind w:left="220"/>
              <w:spacing w:after="0"/>
              <w:rPr>
                <w:sz w:val="20"/>
                <w:szCs w:val="20"/>
                <w:color w:val="auto"/>
              </w:rPr>
            </w:pPr>
            <w:r>
              <w:rPr>
                <w:rFonts w:ascii="Arial" w:cs="Arial" w:eastAsia="Arial" w:hAnsi="Arial"/>
                <w:sz w:val="15"/>
                <w:szCs w:val="15"/>
                <w:b w:val="1"/>
                <w:bCs w:val="1"/>
                <w:color w:val="auto"/>
              </w:rPr>
              <w:t>Common Stockholders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Income (loss) from continuing operations</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17,904</w:t>
            </w:r>
          </w:p>
        </w:tc>
        <w:tc>
          <w:tcPr>
            <w:tcW w:w="3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47,593</w:t>
            </w:r>
          </w:p>
        </w:tc>
        <w:tc>
          <w:tcPr>
            <w:tcW w:w="3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(3,177)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(Loss) income from discontinued operations, net of tax</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(2,750)</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(2,020)</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(3,031)</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20"/>
                <w:szCs w:val="20"/>
                <w:color w:val="auto"/>
              </w:rPr>
            </w:pPr>
            <w:r>
              <w:rPr>
                <w:rFonts w:ascii="Arial" w:cs="Arial" w:eastAsia="Arial" w:hAnsi="Arial"/>
                <w:sz w:val="15"/>
                <w:szCs w:val="15"/>
                <w:color w:val="auto"/>
              </w:rPr>
              <w:t>Net income (loss) attributable to the Washington Post</w:t>
            </w: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ind w:right="66"/>
              <w:spacing w:after="0"/>
              <w:rPr>
                <w:sz w:val="20"/>
                <w:szCs w:val="20"/>
                <w:color w:val="auto"/>
              </w:rPr>
            </w:pPr>
            <w:r>
              <w:rPr>
                <w:rFonts w:ascii="Arial" w:cs="Arial" w:eastAsia="Arial" w:hAnsi="Arial"/>
                <w:sz w:val="15"/>
                <w:szCs w:val="15"/>
                <w:color w:val="auto"/>
              </w:rPr>
              <w:t>15,154</w:t>
            </w:r>
          </w:p>
        </w:tc>
        <w:tc>
          <w:tcPr>
            <w:tcW w:w="360" w:type="dxa"/>
            <w:vAlign w:val="bottom"/>
            <w:vMerge w:val="restart"/>
          </w:tcPr>
          <w:p>
            <w:pPr>
              <w:jc w:val="right"/>
              <w:ind w:right="66"/>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ind w:right="86"/>
              <w:spacing w:after="0"/>
              <w:rPr>
                <w:sz w:val="20"/>
                <w:szCs w:val="20"/>
                <w:color w:val="auto"/>
              </w:rPr>
            </w:pPr>
            <w:r>
              <w:rPr>
                <w:rFonts w:ascii="Arial" w:cs="Arial" w:eastAsia="Arial" w:hAnsi="Arial"/>
                <w:sz w:val="15"/>
                <w:szCs w:val="15"/>
                <w:color w:val="auto"/>
              </w:rPr>
              <w:t>45,573</w:t>
            </w:r>
          </w:p>
        </w:tc>
        <w:tc>
          <w:tcPr>
            <w:tcW w:w="320" w:type="dxa"/>
            <w:vAlign w:val="bottom"/>
            <w:vMerge w:val="restart"/>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86"/>
              <w:spacing w:after="0"/>
              <w:rPr>
                <w:sz w:val="20"/>
                <w:szCs w:val="20"/>
                <w:color w:val="auto"/>
              </w:rPr>
            </w:pPr>
            <w:r>
              <w:rPr>
                <w:rFonts w:ascii="Arial" w:cs="Arial" w:eastAsia="Arial" w:hAnsi="Arial"/>
                <w:sz w:val="15"/>
                <w:szCs w:val="15"/>
                <w:color w:val="auto"/>
              </w:rPr>
              <w:t>(6,208)</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740" w:type="dxa"/>
            <w:vAlign w:val="bottom"/>
          </w:tcPr>
          <w:p>
            <w:pPr>
              <w:ind w:left="220"/>
              <w:spacing w:after="0" w:line="167" w:lineRule="exact"/>
              <w:rPr>
                <w:sz w:val="20"/>
                <w:szCs w:val="20"/>
                <w:color w:val="auto"/>
              </w:rPr>
            </w:pPr>
            <w:r>
              <w:rPr>
                <w:rFonts w:ascii="Arial" w:cs="Arial" w:eastAsia="Arial" w:hAnsi="Arial"/>
                <w:sz w:val="15"/>
                <w:szCs w:val="15"/>
                <w:color w:val="auto"/>
              </w:rPr>
              <w:t>Company common stockholders</w:t>
            </w:r>
          </w:p>
        </w:tc>
        <w:tc>
          <w:tcPr>
            <w:tcW w:w="36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 Post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740" w:type="dxa"/>
            <w:vAlign w:val="bottom"/>
          </w:tcPr>
          <w:p>
            <w:pPr>
              <w:ind w:left="220"/>
              <w:spacing w:after="0"/>
              <w:rPr>
                <w:sz w:val="20"/>
                <w:szCs w:val="20"/>
                <w:color w:val="auto"/>
              </w:rPr>
            </w:pPr>
            <w:r>
              <w:rPr>
                <w:rFonts w:ascii="Arial" w:cs="Arial" w:eastAsia="Arial" w:hAnsi="Arial"/>
                <w:sz w:val="15"/>
                <w:szCs w:val="15"/>
                <w:b w:val="1"/>
                <w:bCs w:val="1"/>
                <w:color w:val="auto"/>
              </w:rPr>
              <w:t>Company Common Stockholders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Basic income (loss) per common share from continuing operations</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2.21</w:t>
            </w:r>
          </w:p>
        </w:tc>
        <w:tc>
          <w:tcPr>
            <w:tcW w:w="3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6.00</w:t>
            </w:r>
          </w:p>
        </w:tc>
        <w:tc>
          <w:tcPr>
            <w:tcW w:w="3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(0.43)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Basic (loss) income per common share from discontinued operations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(0.34)</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(0.26)</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(0.39)</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color w:val="auto"/>
              </w:rPr>
              <w:t>Basic net income (loss) per common share</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1.87</w:t>
            </w: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5.74</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(0.82)</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color w:val="auto"/>
              </w:rPr>
              <w:t>Diluted income (loss) per common share from continuing operations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40" w:type="dxa"/>
            <w:vAlign w:val="bottom"/>
            <w:vMerge w:val="continue"/>
          </w:tcPr>
          <w:p>
            <w:pPr>
              <w:spacing w:after="0"/>
              <w:rPr>
                <w:sz w:val="13"/>
                <w:szCs w:val="13"/>
                <w:color w:val="auto"/>
              </w:rPr>
            </w:pPr>
          </w:p>
        </w:tc>
        <w:tc>
          <w:tcPr>
            <w:tcW w:w="360" w:type="dxa"/>
            <w:vAlign w:val="bottom"/>
          </w:tcPr>
          <w:p>
            <w:pPr>
              <w:jc w:val="right"/>
              <w:ind w:right="46"/>
              <w:spacing w:after="0" w:line="153"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line="153" w:lineRule="exact"/>
              <w:rPr>
                <w:sz w:val="20"/>
                <w:szCs w:val="20"/>
                <w:color w:val="auto"/>
              </w:rPr>
            </w:pPr>
            <w:r>
              <w:rPr>
                <w:rFonts w:ascii="Arial" w:cs="Arial" w:eastAsia="Arial" w:hAnsi="Arial"/>
                <w:sz w:val="15"/>
                <w:szCs w:val="15"/>
                <w:color w:val="auto"/>
              </w:rPr>
              <w:t>2.21</w:t>
            </w:r>
          </w:p>
        </w:tc>
        <w:tc>
          <w:tcPr>
            <w:tcW w:w="360" w:type="dxa"/>
            <w:vAlign w:val="bottom"/>
          </w:tcPr>
          <w:p>
            <w:pPr>
              <w:jc w:val="right"/>
              <w:ind w:right="66"/>
              <w:spacing w:after="0" w:line="153"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86"/>
              <w:spacing w:after="0" w:line="153" w:lineRule="exact"/>
              <w:rPr>
                <w:sz w:val="20"/>
                <w:szCs w:val="20"/>
                <w:color w:val="auto"/>
              </w:rPr>
            </w:pPr>
            <w:r>
              <w:rPr>
                <w:rFonts w:ascii="Arial" w:cs="Arial" w:eastAsia="Arial" w:hAnsi="Arial"/>
                <w:sz w:val="15"/>
                <w:szCs w:val="15"/>
                <w:color w:val="auto"/>
              </w:rPr>
              <w:t>6.00</w:t>
            </w:r>
          </w:p>
        </w:tc>
        <w:tc>
          <w:tcPr>
            <w:tcW w:w="320" w:type="dxa"/>
            <w:vAlign w:val="bottom"/>
          </w:tcPr>
          <w:p>
            <w:pPr>
              <w:jc w:val="right"/>
              <w:ind w:right="26"/>
              <w:spacing w:after="0" w:line="153"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86"/>
              <w:spacing w:after="0" w:line="153" w:lineRule="exact"/>
              <w:rPr>
                <w:sz w:val="20"/>
                <w:szCs w:val="20"/>
                <w:color w:val="auto"/>
              </w:rPr>
            </w:pPr>
            <w:r>
              <w:rPr>
                <w:rFonts w:ascii="Arial" w:cs="Arial" w:eastAsia="Arial" w:hAnsi="Arial"/>
                <w:sz w:val="15"/>
                <w:szCs w:val="15"/>
                <w:color w:val="auto"/>
              </w:rPr>
              <w:t>(0.43)</w:t>
            </w:r>
          </w:p>
        </w:tc>
        <w:tc>
          <w:tcPr>
            <w:tcW w:w="22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Diluted (loss) income per common share from discontinued operations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(0.34)</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(0.26)</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(0.39)</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color w:val="auto"/>
              </w:rPr>
              <w:t>Diluted net income (loss) per common share</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1.87</w:t>
            </w: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5.74</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(0.82)</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40" w:right="139" w:bottom="1440" w:gutter="0" w:footer="0" w:header="0"/>
        </w:sectPr>
      </w:pPr>
    </w:p>
    <w:bookmarkStart w:id="10" w:name="page11"/>
    <w:bookmarkEnd w:id="10"/>
    <w:p>
      <w:pPr>
        <w:ind w:right="40"/>
        <w:spacing w:after="0" w:line="235" w:lineRule="auto"/>
        <w:rPr>
          <w:sz w:val="20"/>
          <w:szCs w:val="20"/>
          <w:color w:val="auto"/>
        </w:rPr>
      </w:pPr>
      <w:r>
        <w:rPr>
          <w:rFonts w:ascii="Arial" w:cs="Arial" w:eastAsia="Arial" w:hAnsi="Arial"/>
          <w:sz w:val="17"/>
          <w:szCs w:val="17"/>
          <w:color w:val="auto"/>
        </w:rPr>
        <w:t>The following table summarizes the operating results of the Company for fiscal year 2011 and 2010, following the reclassification of operations discus above as discontinued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2480" w:type="dxa"/>
            <w:vAlign w:val="bottom"/>
            <w:tcBorders>
              <w:bottom w:val="single" w:sz="8" w:color="auto"/>
            </w:tcBorders>
            <w:gridSpan w:val="2"/>
          </w:tcPr>
          <w:p>
            <w:pPr>
              <w:jc w:val="right"/>
              <w:ind w:right="398"/>
              <w:spacing w:after="0"/>
              <w:rPr>
                <w:sz w:val="20"/>
                <w:szCs w:val="20"/>
                <w:color w:val="auto"/>
              </w:rPr>
            </w:pPr>
            <w:r>
              <w:rPr>
                <w:rFonts w:ascii="Arial" w:cs="Arial" w:eastAsia="Arial" w:hAnsi="Arial"/>
                <w:sz w:val="12"/>
                <w:szCs w:val="12"/>
                <w:b w:val="1"/>
                <w:bCs w:val="1"/>
                <w:color w:val="auto"/>
              </w:rPr>
              <w:t>Fiscal Year Ended</w:t>
            </w:r>
          </w:p>
        </w:tc>
      </w:tr>
      <w:tr>
        <w:trPr>
          <w:trHeight w:val="128"/>
        </w:trPr>
        <w:tc>
          <w:tcPr>
            <w:tcW w:w="8460" w:type="dxa"/>
            <w:vAlign w:val="bottom"/>
          </w:tcPr>
          <w:p>
            <w:pPr>
              <w:spacing w:after="0"/>
              <w:rPr>
                <w:sz w:val="11"/>
                <w:szCs w:val="11"/>
                <w:color w:val="auto"/>
              </w:rPr>
            </w:pPr>
          </w:p>
        </w:tc>
        <w:tc>
          <w:tcPr>
            <w:tcW w:w="1540" w:type="dxa"/>
            <w:vAlign w:val="bottom"/>
          </w:tcPr>
          <w:p>
            <w:pPr>
              <w:jc w:val="center"/>
              <w:ind w:right="98"/>
              <w:spacing w:after="0" w:line="129" w:lineRule="exact"/>
              <w:rPr>
                <w:sz w:val="20"/>
                <w:szCs w:val="20"/>
                <w:color w:val="auto"/>
              </w:rPr>
            </w:pPr>
            <w:r>
              <w:rPr>
                <w:rFonts w:ascii="Arial" w:cs="Arial" w:eastAsia="Arial" w:hAnsi="Arial"/>
                <w:sz w:val="12"/>
                <w:szCs w:val="12"/>
                <w:color w:val="auto"/>
              </w:rPr>
              <w:t>December 31,</w:t>
            </w:r>
          </w:p>
        </w:tc>
        <w:tc>
          <w:tcPr>
            <w:tcW w:w="940" w:type="dxa"/>
            <w:vAlign w:val="bottom"/>
          </w:tcPr>
          <w:p>
            <w:pPr>
              <w:jc w:val="right"/>
              <w:spacing w:after="0" w:line="129" w:lineRule="exact"/>
              <w:rPr>
                <w:sz w:val="20"/>
                <w:szCs w:val="20"/>
                <w:color w:val="auto"/>
              </w:rPr>
            </w:pPr>
            <w:r>
              <w:rPr>
                <w:rFonts w:ascii="Arial" w:cs="Arial" w:eastAsia="Arial" w:hAnsi="Arial"/>
                <w:sz w:val="12"/>
                <w:szCs w:val="12"/>
                <w:color w:val="auto"/>
              </w:rPr>
              <w:t>January</w:t>
            </w:r>
          </w:p>
        </w:tc>
      </w:tr>
      <w:tr>
        <w:trPr>
          <w:trHeight w:val="148"/>
        </w:trPr>
        <w:tc>
          <w:tcPr>
            <w:tcW w:w="8460" w:type="dxa"/>
            <w:vAlign w:val="bottom"/>
          </w:tcPr>
          <w:p>
            <w:pPr>
              <w:spacing w:after="0"/>
              <w:rPr>
                <w:sz w:val="20"/>
                <w:szCs w:val="20"/>
                <w:color w:val="auto"/>
              </w:rPr>
            </w:pPr>
            <w:r>
              <w:rPr>
                <w:rFonts w:ascii="Arial" w:cs="Arial" w:eastAsia="Arial" w:hAnsi="Arial"/>
                <w:sz w:val="12"/>
                <w:szCs w:val="12"/>
                <w:color w:val="auto"/>
              </w:rPr>
              <w:t>(in thousands, except per share amounts)</w:t>
            </w:r>
          </w:p>
        </w:tc>
        <w:tc>
          <w:tcPr>
            <w:tcW w:w="1540" w:type="dxa"/>
            <w:vAlign w:val="bottom"/>
          </w:tcPr>
          <w:p>
            <w:pPr>
              <w:jc w:val="right"/>
              <w:ind w:right="678"/>
              <w:spacing w:after="0"/>
              <w:rPr>
                <w:sz w:val="20"/>
                <w:szCs w:val="20"/>
                <w:color w:val="auto"/>
              </w:rPr>
            </w:pPr>
            <w:r>
              <w:rPr>
                <w:rFonts w:ascii="Arial" w:cs="Arial" w:eastAsia="Arial" w:hAnsi="Arial"/>
                <w:sz w:val="12"/>
                <w:szCs w:val="12"/>
                <w:color w:val="auto"/>
              </w:rPr>
              <w:t>2011</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95325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sectPr>
      </w:pPr>
    </w:p>
    <w:p>
      <w:pPr>
        <w:spacing w:after="0"/>
        <w:rPr>
          <w:sz w:val="20"/>
          <w:szCs w:val="20"/>
          <w:color w:val="auto"/>
        </w:rPr>
      </w:pPr>
      <w:r>
        <w:rPr>
          <w:rFonts w:ascii="Arial" w:cs="Arial" w:eastAsia="Arial" w:hAnsi="Arial"/>
          <w:sz w:val="15"/>
          <w:szCs w:val="15"/>
          <w:b w:val="1"/>
          <w:bCs w:val="1"/>
          <w:color w:val="auto"/>
        </w:rPr>
        <w:t>Operating Revenues</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Education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Advertising</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Circulation and subscriber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Other</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Costs and Expenses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Operating</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Selling, general and administrative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Depreciation of property, plant and equipment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Amortization of intangible assets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Impairment of goodwill and other intangible assets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from Operations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Equity in earnings (losses) of affiliates, net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Interest income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Interest expense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Other (expense) income, net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from Continuing Operations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Provision for Income Taxes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from Continuing Operations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from Discontinued Operations, Net of Tax</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Loss attributable to noncontrolling interests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Attributable to The Washington Post Company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Redeemable Preferred Stock Dividends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Attributable to The Washington Post Company Common Stockholders</w:t>
      </w:r>
    </w:p>
    <w:p>
      <w:pPr>
        <w:spacing w:after="0" w:line="38" w:lineRule="exact"/>
        <w:rPr>
          <w:sz w:val="20"/>
          <w:szCs w:val="20"/>
          <w:color w:val="auto"/>
        </w:rPr>
      </w:pPr>
    </w:p>
    <w:p>
      <w:pPr>
        <w:ind w:right="2100"/>
        <w:spacing w:after="0" w:line="254" w:lineRule="auto"/>
        <w:rPr>
          <w:sz w:val="20"/>
          <w:szCs w:val="20"/>
          <w:color w:val="auto"/>
        </w:rPr>
      </w:pPr>
      <w:r>
        <w:rPr>
          <w:rFonts w:ascii="Arial" w:cs="Arial" w:eastAsia="Arial" w:hAnsi="Arial"/>
          <w:sz w:val="15"/>
          <w:szCs w:val="15"/>
          <w:b w:val="1"/>
          <w:bCs w:val="1"/>
          <w:color w:val="auto"/>
        </w:rPr>
        <w:t xml:space="preserve">Amounts Attributable to The Washington Post Company Common Stockholders </w:t>
      </w:r>
      <w:r>
        <w:rPr>
          <w:rFonts w:ascii="Arial" w:cs="Arial" w:eastAsia="Arial" w:hAnsi="Arial"/>
          <w:sz w:val="15"/>
          <w:szCs w:val="15"/>
          <w:color w:val="auto"/>
        </w:rPr>
        <w:t>Income from continuing operations</w:t>
      </w:r>
    </w:p>
    <w:p>
      <w:pPr>
        <w:spacing w:after="0"/>
        <w:rPr>
          <w:sz w:val="20"/>
          <w:szCs w:val="20"/>
          <w:color w:val="auto"/>
        </w:rPr>
      </w:pPr>
      <w:r>
        <w:rPr>
          <w:rFonts w:ascii="Arial" w:cs="Arial" w:eastAsia="Arial" w:hAnsi="Arial"/>
          <w:sz w:val="15"/>
          <w:szCs w:val="15"/>
          <w:color w:val="auto"/>
        </w:rPr>
        <w:t>Loss from discontinued operations, net of tax</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Net income attributable to the Washington Post Company common stockholders</w:t>
      </w:r>
    </w:p>
    <w:p>
      <w:pPr>
        <w:spacing w:after="0" w:line="8" w:lineRule="exact"/>
        <w:rPr>
          <w:sz w:val="20"/>
          <w:szCs w:val="20"/>
          <w:color w:val="auto"/>
        </w:rPr>
      </w:pPr>
    </w:p>
    <w:p>
      <w:pPr>
        <w:ind w:left="220" w:right="2180" w:hanging="235"/>
        <w:spacing w:after="0" w:line="254" w:lineRule="auto"/>
        <w:rPr>
          <w:sz w:val="20"/>
          <w:szCs w:val="20"/>
          <w:color w:val="auto"/>
        </w:rPr>
      </w:pPr>
      <w:r>
        <w:rPr>
          <w:rFonts w:ascii="Arial" w:cs="Arial" w:eastAsia="Arial" w:hAnsi="Arial"/>
          <w:sz w:val="15"/>
          <w:szCs w:val="15"/>
          <w:b w:val="1"/>
          <w:bCs w:val="1"/>
          <w:color w:val="auto"/>
        </w:rPr>
        <w:t>Per Share Information Attributable to The Washington Post Company Common Stockholders</w:t>
      </w:r>
    </w:p>
    <w:p>
      <w:pPr>
        <w:spacing w:after="0"/>
        <w:rPr>
          <w:sz w:val="20"/>
          <w:szCs w:val="20"/>
          <w:color w:val="auto"/>
        </w:rPr>
      </w:pPr>
      <w:r>
        <w:rPr>
          <w:rFonts w:ascii="Arial" w:cs="Arial" w:eastAsia="Arial" w:hAnsi="Arial"/>
          <w:sz w:val="15"/>
          <w:szCs w:val="15"/>
          <w:color w:val="auto"/>
        </w:rPr>
        <w:t>Basic income per common share from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Basic loss per common share from discontinued operations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Basic net income per common share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Diluted income per common share from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Diluted loss per common share from discontinued operations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Diluted net income per common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2,431,922</w:t>
            </w:r>
          </w:p>
        </w:tc>
        <w:tc>
          <w:tcPr>
            <w:tcW w:w="5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174"/>
        </w:trPr>
        <w:tc>
          <w:tcPr>
            <w:tcW w:w="44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754,544</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74"/>
        </w:trPr>
        <w:tc>
          <w:tcPr>
            <w:tcW w:w="44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856,457</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72"/>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138,784</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4,181,707</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4,6</w:t>
            </w:r>
          </w:p>
        </w:tc>
      </w:tr>
      <w:tr>
        <w:trPr>
          <w:trHeight w:val="342"/>
        </w:trPr>
        <w:tc>
          <w:tcPr>
            <w:tcW w:w="440" w:type="dxa"/>
            <w:vAlign w:val="bottom"/>
          </w:tcPr>
          <w:p>
            <w:pPr>
              <w:spacing w:after="0"/>
              <w:rPr>
                <w:sz w:val="24"/>
                <w:szCs w:val="24"/>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1,952,985</w:t>
            </w:r>
          </w:p>
        </w:tc>
        <w:tc>
          <w:tcPr>
            <w:tcW w:w="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74"/>
        </w:trPr>
        <w:tc>
          <w:tcPr>
            <w:tcW w:w="44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1,642,650</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74"/>
        </w:trPr>
        <w:tc>
          <w:tcPr>
            <w:tcW w:w="44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250,129</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74"/>
        </w:trPr>
        <w:tc>
          <w:tcPr>
            <w:tcW w:w="44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26,638</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2"/>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11,923</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66"/>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3,884,325</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4,0</w:t>
            </w:r>
          </w:p>
        </w:tc>
      </w:tr>
      <w:tr>
        <w:trPr>
          <w:trHeight w:val="168"/>
        </w:trPr>
        <w:tc>
          <w:tcPr>
            <w:tcW w:w="440" w:type="dxa"/>
            <w:vAlign w:val="bottom"/>
          </w:tcPr>
          <w:p>
            <w:pPr>
              <w:spacing w:after="0"/>
              <w:rPr>
                <w:sz w:val="14"/>
                <w:szCs w:val="14"/>
                <w:color w:val="auto"/>
              </w:rPr>
            </w:pPr>
          </w:p>
        </w:tc>
        <w:tc>
          <w:tcPr>
            <w:tcW w:w="110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297,382</w:t>
            </w:r>
          </w:p>
        </w:tc>
        <w:tc>
          <w:tcPr>
            <w:tcW w:w="5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Arial" w:cs="Arial" w:eastAsia="Arial" w:hAnsi="Arial"/>
                <w:sz w:val="15"/>
                <w:szCs w:val="15"/>
                <w:color w:val="auto"/>
              </w:rPr>
              <w:t>5</w:t>
            </w:r>
          </w:p>
        </w:tc>
      </w:tr>
      <w:tr>
        <w:trPr>
          <w:trHeight w:val="174"/>
        </w:trPr>
        <w:tc>
          <w:tcPr>
            <w:tcW w:w="44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5,949</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44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4,147</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4"/>
        </w:trPr>
        <w:tc>
          <w:tcPr>
            <w:tcW w:w="44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(33,226)</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2"/>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(55,200)</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110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219,052</w:t>
            </w:r>
          </w:p>
        </w:tc>
        <w:tc>
          <w:tcPr>
            <w:tcW w:w="5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Arial" w:cs="Arial" w:eastAsia="Arial" w:hAnsi="Arial"/>
                <w:sz w:val="15"/>
                <w:szCs w:val="15"/>
                <w:color w:val="auto"/>
              </w:rPr>
              <w:t>5</w:t>
            </w:r>
          </w:p>
        </w:tc>
      </w:tr>
      <w:tr>
        <w:trPr>
          <w:trHeight w:val="172"/>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96,600</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168"/>
        </w:trPr>
        <w:tc>
          <w:tcPr>
            <w:tcW w:w="440" w:type="dxa"/>
            <w:vAlign w:val="bottom"/>
          </w:tcPr>
          <w:p>
            <w:pPr>
              <w:spacing w:after="0"/>
              <w:rPr>
                <w:sz w:val="14"/>
                <w:szCs w:val="14"/>
                <w:color w:val="auto"/>
              </w:rPr>
            </w:pPr>
          </w:p>
        </w:tc>
        <w:tc>
          <w:tcPr>
            <w:tcW w:w="110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122,452</w:t>
            </w:r>
          </w:p>
        </w:tc>
        <w:tc>
          <w:tcPr>
            <w:tcW w:w="5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Arial" w:cs="Arial" w:eastAsia="Arial" w:hAnsi="Arial"/>
                <w:sz w:val="15"/>
                <w:szCs w:val="15"/>
                <w:color w:val="auto"/>
              </w:rPr>
              <w:t>3</w:t>
            </w:r>
          </w:p>
        </w:tc>
      </w:tr>
      <w:tr>
        <w:trPr>
          <w:trHeight w:val="172"/>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(5,295)</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r>
      <w:tr>
        <w:trPr>
          <w:trHeight w:val="168"/>
        </w:trPr>
        <w:tc>
          <w:tcPr>
            <w:tcW w:w="440" w:type="dxa"/>
            <w:vAlign w:val="bottom"/>
          </w:tcPr>
          <w:p>
            <w:pPr>
              <w:spacing w:after="0"/>
              <w:rPr>
                <w:sz w:val="14"/>
                <w:szCs w:val="14"/>
                <w:color w:val="auto"/>
              </w:rPr>
            </w:pPr>
          </w:p>
        </w:tc>
        <w:tc>
          <w:tcPr>
            <w:tcW w:w="110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117,157</w:t>
            </w:r>
          </w:p>
        </w:tc>
        <w:tc>
          <w:tcPr>
            <w:tcW w:w="5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Arial" w:cs="Arial" w:eastAsia="Arial" w:hAnsi="Arial"/>
                <w:sz w:val="15"/>
                <w:szCs w:val="15"/>
                <w:color w:val="auto"/>
              </w:rPr>
              <w:t>2</w:t>
            </w:r>
          </w:p>
        </w:tc>
      </w:tr>
      <w:tr>
        <w:trPr>
          <w:trHeight w:val="172"/>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110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117,150</w:t>
            </w:r>
          </w:p>
        </w:tc>
        <w:tc>
          <w:tcPr>
            <w:tcW w:w="5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Arial" w:cs="Arial" w:eastAsia="Arial" w:hAnsi="Arial"/>
                <w:sz w:val="15"/>
                <w:szCs w:val="15"/>
                <w:color w:val="auto"/>
              </w:rPr>
              <w:t>2</w:t>
            </w:r>
          </w:p>
        </w:tc>
      </w:tr>
      <w:tr>
        <w:trPr>
          <w:trHeight w:val="172"/>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(917)</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66"/>
        </w:trPr>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116,233</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326"/>
        </w:trPr>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121,528</w:t>
            </w:r>
          </w:p>
        </w:tc>
        <w:tc>
          <w:tcPr>
            <w:tcW w:w="5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2"/>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(5,295)</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r>
      <w:tr>
        <w:trPr>
          <w:trHeight w:val="166"/>
        </w:trPr>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116,233</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500"/>
        </w:trPr>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15.37</w:t>
            </w:r>
          </w:p>
        </w:tc>
        <w:tc>
          <w:tcPr>
            <w:tcW w:w="5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4"/>
                <w:szCs w:val="24"/>
                <w:color w:val="auto"/>
              </w:rPr>
            </w:pPr>
          </w:p>
        </w:tc>
      </w:tr>
      <w:tr>
        <w:trPr>
          <w:trHeight w:val="172"/>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(0.67)</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66"/>
        </w:trPr>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14.70</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4"/>
                <w:szCs w:val="14"/>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53"/>
        </w:trPr>
        <w:tc>
          <w:tcPr>
            <w:tcW w:w="440" w:type="dxa"/>
            <w:vAlign w:val="bottom"/>
          </w:tcPr>
          <w:p>
            <w:pPr>
              <w:jc w:val="right"/>
              <w:ind w:right="126"/>
              <w:spacing w:after="0" w:line="153"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126"/>
              <w:spacing w:after="0" w:line="153" w:lineRule="exact"/>
              <w:rPr>
                <w:sz w:val="20"/>
                <w:szCs w:val="20"/>
                <w:color w:val="auto"/>
              </w:rPr>
            </w:pPr>
            <w:r>
              <w:rPr>
                <w:rFonts w:ascii="Arial" w:cs="Arial" w:eastAsia="Arial" w:hAnsi="Arial"/>
                <w:sz w:val="15"/>
                <w:szCs w:val="15"/>
                <w:color w:val="auto"/>
              </w:rPr>
              <w:t>15.37</w:t>
            </w:r>
          </w:p>
        </w:tc>
        <w:tc>
          <w:tcPr>
            <w:tcW w:w="500" w:type="dxa"/>
            <w:vAlign w:val="bottom"/>
          </w:tcPr>
          <w:p>
            <w:pPr>
              <w:jc w:val="right"/>
              <w:ind w:right="146"/>
              <w:spacing w:after="0" w:line="153" w:lineRule="exact"/>
              <w:rPr>
                <w:sz w:val="20"/>
                <w:szCs w:val="20"/>
                <w:color w:val="auto"/>
              </w:rPr>
            </w:pPr>
            <w:r>
              <w:rPr>
                <w:rFonts w:ascii="Arial" w:cs="Arial" w:eastAsia="Arial" w:hAnsi="Arial"/>
                <w:sz w:val="15"/>
                <w:szCs w:val="15"/>
                <w:color w:val="auto"/>
              </w:rPr>
              <w:t>$</w:t>
            </w:r>
          </w:p>
        </w:tc>
        <w:tc>
          <w:tcPr>
            <w:tcW w:w="440" w:type="dxa"/>
            <w:vAlign w:val="bottom"/>
          </w:tcPr>
          <w:p>
            <w:pPr>
              <w:spacing w:after="0"/>
              <w:rPr>
                <w:sz w:val="13"/>
                <w:szCs w:val="13"/>
                <w:color w:val="auto"/>
              </w:rPr>
            </w:pPr>
          </w:p>
        </w:tc>
      </w:tr>
      <w:tr>
        <w:trPr>
          <w:trHeight w:val="172"/>
        </w:trPr>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(0.67)</w:t>
            </w: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66"/>
        </w:trPr>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14.70</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4"/>
                <w:szCs w:val="14"/>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2">
            <w:col w:w="7740" w:space="720"/>
            <w:col w:w="2480"/>
          </w:cols>
          <w:pgMar w:left="820" w:top="598" w:right="1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3.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marketable equity securities at March 31, 2012 and December 31, 2011 comprised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468"/>
              <w:spacing w:after="0"/>
              <w:rPr>
                <w:sz w:val="20"/>
                <w:szCs w:val="20"/>
                <w:color w:val="auto"/>
              </w:rPr>
            </w:pPr>
            <w:r>
              <w:rPr>
                <w:rFonts w:ascii="Arial" w:cs="Arial" w:eastAsia="Arial" w:hAnsi="Arial"/>
                <w:sz w:val="12"/>
                <w:szCs w:val="12"/>
                <w:b w:val="1"/>
                <w:bCs w:val="1"/>
                <w:color w:val="auto"/>
              </w:rPr>
              <w:t>March 31,</w:t>
            </w: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December</w:t>
            </w:r>
          </w:p>
        </w:tc>
      </w:tr>
      <w:tr>
        <w:trPr>
          <w:trHeight w:val="151"/>
        </w:trPr>
        <w:tc>
          <w:tcPr>
            <w:tcW w:w="8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color w:val="auto"/>
              </w:rPr>
              <w:t>2011</w:t>
            </w:r>
          </w:p>
        </w:tc>
      </w:tr>
      <w:tr>
        <w:trPr>
          <w:trHeight w:val="140"/>
        </w:trPr>
        <w:tc>
          <w:tcPr>
            <w:tcW w:w="8460" w:type="dxa"/>
            <w:vAlign w:val="bottom"/>
          </w:tcPr>
          <w:p>
            <w:pPr>
              <w:spacing w:after="0" w:line="141" w:lineRule="exact"/>
              <w:rPr>
                <w:sz w:val="20"/>
                <w:szCs w:val="20"/>
                <w:color w:val="auto"/>
              </w:rPr>
            </w:pPr>
            <w:r>
              <w:rPr>
                <w:rFonts w:ascii="Arial" w:cs="Arial" w:eastAsia="Arial" w:hAnsi="Arial"/>
                <w:sz w:val="16"/>
                <w:szCs w:val="16"/>
                <w:color w:val="auto"/>
              </w:rPr>
              <w:t>Total cost</w:t>
            </w:r>
          </w:p>
        </w:tc>
        <w:tc>
          <w:tcPr>
            <w:tcW w:w="320" w:type="dxa"/>
            <w:vAlign w:val="bottom"/>
          </w:tcPr>
          <w:p>
            <w:pPr>
              <w:jc w:val="right"/>
              <w:ind w:right="1"/>
              <w:spacing w:after="0" w:line="141" w:lineRule="exact"/>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28"/>
              <w:spacing w:after="0" w:line="141" w:lineRule="exact"/>
              <w:rPr>
                <w:sz w:val="20"/>
                <w:szCs w:val="20"/>
                <w:color w:val="auto"/>
              </w:rPr>
            </w:pPr>
            <w:r>
              <w:rPr>
                <w:rFonts w:ascii="Arial" w:cs="Arial" w:eastAsia="Arial" w:hAnsi="Arial"/>
                <w:sz w:val="16"/>
                <w:szCs w:val="16"/>
                <w:b w:val="1"/>
                <w:bCs w:val="1"/>
                <w:color w:val="auto"/>
              </w:rPr>
              <w:t>199,277</w:t>
            </w:r>
          </w:p>
        </w:tc>
        <w:tc>
          <w:tcPr>
            <w:tcW w:w="340" w:type="dxa"/>
            <w:vAlign w:val="bottom"/>
          </w:tcPr>
          <w:p>
            <w:pPr>
              <w:jc w:val="right"/>
              <w:spacing w:after="0" w:line="141"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41" w:lineRule="exact"/>
              <w:rPr>
                <w:sz w:val="20"/>
                <w:szCs w:val="20"/>
                <w:color w:val="auto"/>
              </w:rPr>
            </w:pPr>
            <w:r>
              <w:rPr>
                <w:rFonts w:ascii="Arial" w:cs="Arial" w:eastAsia="Arial" w:hAnsi="Arial"/>
                <w:sz w:val="16"/>
                <w:szCs w:val="16"/>
                <w:color w:val="auto"/>
              </w:rPr>
              <w:t>16</w:t>
            </w:r>
          </w:p>
        </w:tc>
      </w:tr>
      <w:tr>
        <w:trPr>
          <w:trHeight w:val="199"/>
        </w:trPr>
        <w:tc>
          <w:tcPr>
            <w:tcW w:w="8460" w:type="dxa"/>
            <w:vAlign w:val="bottom"/>
          </w:tcPr>
          <w:p>
            <w:pPr>
              <w:spacing w:after="0"/>
              <w:rPr>
                <w:sz w:val="20"/>
                <w:szCs w:val="20"/>
                <w:color w:val="auto"/>
              </w:rPr>
            </w:pPr>
            <w:r>
              <w:rPr>
                <w:rFonts w:ascii="Arial" w:cs="Arial" w:eastAsia="Arial" w:hAnsi="Arial"/>
                <w:sz w:val="16"/>
                <w:szCs w:val="16"/>
                <w:color w:val="auto"/>
              </w:rPr>
              <w:t>Net unrealized gains</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rPr>
              <w:t>166,246</w:t>
            </w: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66"/>
        </w:trPr>
        <w:tc>
          <w:tcPr>
            <w:tcW w:w="8460" w:type="dxa"/>
            <w:vAlign w:val="bottom"/>
          </w:tcPr>
          <w:p>
            <w:pPr>
              <w:spacing w:after="0" w:line="166" w:lineRule="exact"/>
              <w:rPr>
                <w:sz w:val="20"/>
                <w:szCs w:val="20"/>
                <w:color w:val="auto"/>
              </w:rPr>
            </w:pPr>
            <w:r>
              <w:rPr>
                <w:rFonts w:ascii="Arial" w:cs="Arial" w:eastAsia="Arial" w:hAnsi="Arial"/>
                <w:sz w:val="16"/>
                <w:szCs w:val="16"/>
                <w:b w:val="1"/>
                <w:bCs w:val="1"/>
                <w:color w:val="auto"/>
              </w:rPr>
              <w:t>Total Fair Value</w:t>
            </w:r>
          </w:p>
        </w:tc>
        <w:tc>
          <w:tcPr>
            <w:tcW w:w="320" w:type="dxa"/>
            <w:vAlign w:val="bottom"/>
            <w:tcBorders>
              <w:bottom w:val="single" w:sz="8" w:color="auto"/>
            </w:tcBorders>
          </w:tcPr>
          <w:p>
            <w:pPr>
              <w:jc w:val="right"/>
              <w:ind w:right="1"/>
              <w:spacing w:after="0" w:line="166" w:lineRule="exact"/>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28"/>
              <w:spacing w:after="0" w:line="166" w:lineRule="exact"/>
              <w:rPr>
                <w:sz w:val="20"/>
                <w:szCs w:val="20"/>
                <w:color w:val="auto"/>
              </w:rPr>
            </w:pPr>
            <w:r>
              <w:rPr>
                <w:rFonts w:ascii="Arial" w:cs="Arial" w:eastAsia="Arial" w:hAnsi="Arial"/>
                <w:sz w:val="16"/>
                <w:szCs w:val="16"/>
                <w:b w:val="1"/>
                <w:bCs w:val="1"/>
                <w:color w:val="auto"/>
              </w:rPr>
              <w:t>365,523</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30</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made $30.0 million in investments in marketable equity securities during the first quarter of 2012, of which $7.7 million was settled in Ap 2012, after the first quarter balance sheet date. There were no new investments in marketable equity securities during the first quarter of 2011. There no sales of marketable equity securities in the first quarter of 2012 and 2011.</w:t>
      </w:r>
    </w:p>
    <w:p>
      <w:pPr>
        <w:spacing w:after="0" w:line="17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At the end of the first quarter of 2011, the Company’s investment in Corinthian Colleges, Inc. had been in an unrealized loss position for over six mont The Company evaluated this investment for other-than-temporary impairment based on</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type w:val="continuous"/>
        </w:sectPr>
      </w:pPr>
    </w:p>
    <w:bookmarkStart w:id="11" w:name="page12"/>
    <w:bookmarkEnd w:id="11"/>
    <w:p>
      <w:pPr>
        <w:spacing w:after="0" w:line="231" w:lineRule="auto"/>
        <w:rPr>
          <w:sz w:val="20"/>
          <w:szCs w:val="20"/>
          <w:color w:val="auto"/>
        </w:rPr>
      </w:pPr>
      <w:r>
        <w:rPr>
          <w:rFonts w:ascii="Arial" w:cs="Arial" w:eastAsia="Arial" w:hAnsi="Arial"/>
          <w:sz w:val="17"/>
          <w:szCs w:val="17"/>
          <w:color w:val="auto"/>
        </w:rPr>
        <w:t>various factors, including the duration and severity of the unrealized loss, the reason for the decline in value and the potential recovery period, and the Company’s ability and intent to hold the investment. In the first quarter of 2011, the Company concluded the loss was other-than-temporary and record $30.7 million write-down on the investment. The investment continued to decline and in the third quarter of 2011, the Company recorded another $23. million write-down on the investment. The Company’s investment in Corinthian Colleges, Inc. accounted for $32.0 million of the total fair value of the Company’s investments in marketable equity securities at March 31, 2012.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ACQUISITIONS AND DISPOSITIONS</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the first quarter of 2012, Kaplan acquired two small businesses in its International division; the purchase price allocation mostly comprised goodwill other intangible assets on a preliminary basis. In the first quarter of 2011, Kaplan made one small acquisition in its Kaplan Ventures division. The asse liabilities of the companies acquired have been recorded at their estimated fair values at the date of acquisition.</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Kaplan completed the sales of Kaplan Learning Technologies in February 2012 and EduNeering in April 2012, which were part of the Kaplan Ventures division.</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5. GOODWILL AND OTHER INTANGIBLE ASSETS</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Amortization of intangible assets for the three months ended March 31, 2012 and April 3, 2011 was $4.3 million and $6.8 million, respectively. Amortiz of intangible assets is estimated to be approximately $13 million for the remainder of 2012, $13 million in 2013, $8 million in 2014, $7 million in 2015, $ million in 2016, $3 million in 2017 and $3 million thereafter.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segment, for the three months ended March 31, 2012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48"/>
              <w:spacing w:after="0"/>
              <w:rPr>
                <w:sz w:val="20"/>
                <w:szCs w:val="20"/>
                <w:color w:val="auto"/>
              </w:rPr>
            </w:pPr>
            <w:r>
              <w:rPr>
                <w:rFonts w:ascii="Arial" w:cs="Arial" w:eastAsia="Arial" w:hAnsi="Arial"/>
                <w:sz w:val="12"/>
                <w:szCs w:val="12"/>
                <w:b w:val="1"/>
                <w:bCs w:val="1"/>
                <w:color w:val="auto"/>
              </w:rPr>
              <w:t>Cable</w:t>
            </w:r>
          </w:p>
        </w:tc>
        <w:tc>
          <w:tcPr>
            <w:tcW w:w="240" w:type="dxa"/>
            <w:vAlign w:val="bottom"/>
          </w:tcPr>
          <w:p>
            <w:pPr>
              <w:spacing w:after="0"/>
              <w:rPr>
                <w:sz w:val="12"/>
                <w:szCs w:val="12"/>
                <w:color w:val="auto"/>
              </w:rPr>
            </w:pPr>
          </w:p>
        </w:tc>
        <w:tc>
          <w:tcPr>
            <w:tcW w:w="900" w:type="dxa"/>
            <w:vAlign w:val="bottom"/>
          </w:tcPr>
          <w:p>
            <w:pPr>
              <w:jc w:val="right"/>
              <w:ind w:right="128"/>
              <w:spacing w:after="0"/>
              <w:rPr>
                <w:sz w:val="20"/>
                <w:szCs w:val="20"/>
                <w:color w:val="auto"/>
              </w:rPr>
            </w:pPr>
            <w:r>
              <w:rPr>
                <w:rFonts w:ascii="Arial" w:cs="Arial" w:eastAsia="Arial" w:hAnsi="Arial"/>
                <w:sz w:val="12"/>
                <w:szCs w:val="12"/>
                <w:b w:val="1"/>
                <w:bCs w:val="1"/>
                <w:color w:val="auto"/>
              </w:rPr>
              <w:t>Newspaper</w:t>
            </w:r>
          </w:p>
        </w:tc>
        <w:tc>
          <w:tcPr>
            <w:tcW w:w="200" w:type="dxa"/>
            <w:vAlign w:val="bottom"/>
          </w:tcPr>
          <w:p>
            <w:pPr>
              <w:spacing w:after="0"/>
              <w:rPr>
                <w:sz w:val="12"/>
                <w:szCs w:val="12"/>
                <w:color w:val="auto"/>
              </w:rPr>
            </w:pPr>
          </w:p>
        </w:tc>
        <w:tc>
          <w:tcPr>
            <w:tcW w:w="940" w:type="dxa"/>
            <w:vAlign w:val="bottom"/>
          </w:tcPr>
          <w:p>
            <w:pPr>
              <w:jc w:val="right"/>
              <w:ind w:right="188"/>
              <w:spacing w:after="0"/>
              <w:rPr>
                <w:sz w:val="20"/>
                <w:szCs w:val="20"/>
                <w:color w:val="auto"/>
              </w:rPr>
            </w:pPr>
            <w:r>
              <w:rPr>
                <w:rFonts w:ascii="Arial" w:cs="Arial" w:eastAsia="Arial" w:hAnsi="Arial"/>
                <w:sz w:val="12"/>
                <w:szCs w:val="12"/>
                <w:b w:val="1"/>
                <w:bCs w:val="1"/>
                <w:color w:val="auto"/>
              </w:rPr>
              <w:t>Television</w:t>
            </w:r>
          </w:p>
        </w:tc>
        <w:tc>
          <w:tcPr>
            <w:tcW w:w="200" w:type="dxa"/>
            <w:vAlign w:val="bottom"/>
          </w:tcPr>
          <w:p>
            <w:pPr>
              <w:spacing w:after="0"/>
              <w:rPr>
                <w:sz w:val="12"/>
                <w:szCs w:val="12"/>
                <w:color w:val="auto"/>
              </w:rPr>
            </w:pPr>
          </w:p>
        </w:tc>
        <w:tc>
          <w:tcPr>
            <w:tcW w:w="920" w:type="dxa"/>
            <w:vAlign w:val="bottom"/>
          </w:tcPr>
          <w:p>
            <w:pPr>
              <w:jc w:val="right"/>
              <w:ind w:right="308"/>
              <w:spacing w:after="0"/>
              <w:rPr>
                <w:sz w:val="20"/>
                <w:szCs w:val="20"/>
                <w:color w:val="auto"/>
              </w:rPr>
            </w:pPr>
            <w:r>
              <w:rPr>
                <w:rFonts w:ascii="Arial" w:cs="Arial" w:eastAsia="Arial" w:hAnsi="Arial"/>
                <w:sz w:val="12"/>
                <w:szCs w:val="12"/>
                <w:b w:val="1"/>
                <w:bCs w:val="1"/>
                <w:color w:val="auto"/>
              </w:rPr>
              <w:t>Other</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Education</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Television</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Publishing</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w w:val="99"/>
              </w:rPr>
              <w:t>Broadcasting</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Businesses</w:t>
            </w:r>
          </w:p>
        </w:tc>
        <w:tc>
          <w:tcPr>
            <w:tcW w:w="4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4460" w:type="dxa"/>
            <w:vAlign w:val="bottom"/>
          </w:tcPr>
          <w:p>
            <w:pPr>
              <w:spacing w:after="0" w:line="168" w:lineRule="exact"/>
              <w:rPr>
                <w:sz w:val="20"/>
                <w:szCs w:val="20"/>
                <w:color w:val="auto"/>
              </w:rPr>
            </w:pPr>
            <w:r>
              <w:rPr>
                <w:rFonts w:ascii="Arial" w:cs="Arial" w:eastAsia="Arial" w:hAnsi="Arial"/>
                <w:sz w:val="15"/>
                <w:szCs w:val="15"/>
                <w:b w:val="1"/>
                <w:bCs w:val="1"/>
                <w:color w:val="auto"/>
              </w:rPr>
              <w:t>Balance as of December 31, 2011</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1,116,615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8"/>
              <w:spacing w:after="0"/>
              <w:rPr>
                <w:sz w:val="20"/>
                <w:szCs w:val="20"/>
                <w:color w:val="auto"/>
              </w:rPr>
            </w:pPr>
            <w:r>
              <w:rPr>
                <w:rFonts w:ascii="Arial" w:cs="Arial" w:eastAsia="Arial" w:hAnsi="Arial"/>
                <w:sz w:val="15"/>
                <w:szCs w:val="15"/>
                <w:color w:val="auto"/>
              </w:rPr>
              <w:t>85,488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
              <w:spacing w:after="0"/>
              <w:rPr>
                <w:sz w:val="20"/>
                <w:szCs w:val="20"/>
                <w:color w:val="auto"/>
              </w:rPr>
            </w:pPr>
            <w:r>
              <w:rPr>
                <w:rFonts w:ascii="Arial" w:cs="Arial" w:eastAsia="Arial" w:hAnsi="Arial"/>
                <w:sz w:val="15"/>
                <w:szCs w:val="15"/>
                <w:color w:val="auto"/>
              </w:rPr>
              <w:t>81,183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8"/>
              <w:spacing w:after="0"/>
              <w:rPr>
                <w:sz w:val="20"/>
                <w:szCs w:val="20"/>
                <w:color w:val="auto"/>
              </w:rPr>
            </w:pPr>
            <w:r>
              <w:rPr>
                <w:rFonts w:ascii="Arial" w:cs="Arial" w:eastAsia="Arial" w:hAnsi="Arial"/>
                <w:sz w:val="15"/>
                <w:szCs w:val="15"/>
                <w:color w:val="auto"/>
              </w:rPr>
              <w:t>203,165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
              <w:spacing w:after="0"/>
              <w:rPr>
                <w:sz w:val="20"/>
                <w:szCs w:val="20"/>
                <w:color w:val="auto"/>
              </w:rPr>
            </w:pPr>
            <w:r>
              <w:rPr>
                <w:rFonts w:ascii="Arial" w:cs="Arial" w:eastAsia="Arial" w:hAnsi="Arial"/>
                <w:sz w:val="15"/>
                <w:szCs w:val="15"/>
                <w:color w:val="auto"/>
              </w:rPr>
              <w:t>100,152</w:t>
            </w:r>
          </w:p>
        </w:tc>
        <w:tc>
          <w:tcPr>
            <w:tcW w:w="4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72"/>
        </w:trPr>
        <w:tc>
          <w:tcPr>
            <w:tcW w:w="44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(8,492)</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(65,772)</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(97,342)</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50"/>
        </w:trPr>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7"/>
              <w:spacing w:after="0" w:line="150" w:lineRule="exact"/>
              <w:rPr>
                <w:sz w:val="20"/>
                <w:szCs w:val="20"/>
                <w:color w:val="auto"/>
              </w:rPr>
            </w:pPr>
            <w:r>
              <w:rPr>
                <w:rFonts w:ascii="Arial" w:cs="Arial" w:eastAsia="Arial" w:hAnsi="Arial"/>
                <w:sz w:val="15"/>
                <w:szCs w:val="15"/>
                <w:color w:val="auto"/>
              </w:rPr>
              <w:t>1,108,123</w:t>
            </w:r>
          </w:p>
        </w:tc>
        <w:tc>
          <w:tcPr>
            <w:tcW w:w="220" w:type="dxa"/>
            <w:vAlign w:val="bottom"/>
          </w:tcPr>
          <w:p>
            <w:pPr>
              <w:spacing w:after="0"/>
              <w:rPr>
                <w:sz w:val="13"/>
                <w:szCs w:val="13"/>
                <w:color w:val="auto"/>
              </w:rPr>
            </w:pPr>
          </w:p>
        </w:tc>
        <w:tc>
          <w:tcPr>
            <w:tcW w:w="820" w:type="dxa"/>
            <w:vAlign w:val="bottom"/>
          </w:tcPr>
          <w:p>
            <w:pPr>
              <w:jc w:val="right"/>
              <w:ind w:right="8"/>
              <w:spacing w:after="0" w:line="150" w:lineRule="exact"/>
              <w:rPr>
                <w:sz w:val="20"/>
                <w:szCs w:val="20"/>
                <w:color w:val="auto"/>
              </w:rPr>
            </w:pPr>
            <w:r>
              <w:rPr>
                <w:rFonts w:ascii="Arial" w:cs="Arial" w:eastAsia="Arial" w:hAnsi="Arial"/>
                <w:sz w:val="15"/>
                <w:szCs w:val="15"/>
                <w:color w:val="auto"/>
              </w:rPr>
              <w:t>85,488</w:t>
            </w:r>
          </w:p>
        </w:tc>
        <w:tc>
          <w:tcPr>
            <w:tcW w:w="240" w:type="dxa"/>
            <w:vAlign w:val="bottom"/>
          </w:tcPr>
          <w:p>
            <w:pPr>
              <w:spacing w:after="0"/>
              <w:rPr>
                <w:sz w:val="13"/>
                <w:szCs w:val="13"/>
                <w:color w:val="auto"/>
              </w:rPr>
            </w:pPr>
          </w:p>
        </w:tc>
        <w:tc>
          <w:tcPr>
            <w:tcW w:w="900" w:type="dxa"/>
            <w:vAlign w:val="bottom"/>
          </w:tcPr>
          <w:p>
            <w:pPr>
              <w:jc w:val="right"/>
              <w:ind w:right="8"/>
              <w:spacing w:after="0" w:line="150" w:lineRule="exact"/>
              <w:rPr>
                <w:sz w:val="20"/>
                <w:szCs w:val="20"/>
                <w:color w:val="auto"/>
              </w:rPr>
            </w:pPr>
            <w:r>
              <w:rPr>
                <w:rFonts w:ascii="Arial" w:cs="Arial" w:eastAsia="Arial" w:hAnsi="Arial"/>
                <w:sz w:val="15"/>
                <w:szCs w:val="15"/>
                <w:color w:val="auto"/>
              </w:rPr>
              <w:t>15,411</w:t>
            </w:r>
          </w:p>
        </w:tc>
        <w:tc>
          <w:tcPr>
            <w:tcW w:w="200" w:type="dxa"/>
            <w:vAlign w:val="bottom"/>
          </w:tcPr>
          <w:p>
            <w:pPr>
              <w:spacing w:after="0"/>
              <w:rPr>
                <w:sz w:val="13"/>
                <w:szCs w:val="13"/>
                <w:color w:val="auto"/>
              </w:rPr>
            </w:pPr>
          </w:p>
        </w:tc>
        <w:tc>
          <w:tcPr>
            <w:tcW w:w="940" w:type="dxa"/>
            <w:vAlign w:val="bottom"/>
          </w:tcPr>
          <w:p>
            <w:pPr>
              <w:jc w:val="right"/>
              <w:ind w:right="8"/>
              <w:spacing w:after="0" w:line="150" w:lineRule="exact"/>
              <w:rPr>
                <w:sz w:val="20"/>
                <w:szCs w:val="20"/>
                <w:color w:val="auto"/>
              </w:rPr>
            </w:pPr>
            <w:r>
              <w:rPr>
                <w:rFonts w:ascii="Arial" w:cs="Arial" w:eastAsia="Arial" w:hAnsi="Arial"/>
                <w:sz w:val="15"/>
                <w:szCs w:val="15"/>
                <w:color w:val="auto"/>
              </w:rPr>
              <w:t>203,165</w:t>
            </w:r>
          </w:p>
        </w:tc>
        <w:tc>
          <w:tcPr>
            <w:tcW w:w="200" w:type="dxa"/>
            <w:vAlign w:val="bottom"/>
          </w:tcPr>
          <w:p>
            <w:pPr>
              <w:spacing w:after="0"/>
              <w:rPr>
                <w:sz w:val="13"/>
                <w:szCs w:val="13"/>
                <w:color w:val="auto"/>
              </w:rPr>
            </w:pPr>
          </w:p>
        </w:tc>
        <w:tc>
          <w:tcPr>
            <w:tcW w:w="920" w:type="dxa"/>
            <w:vAlign w:val="bottom"/>
          </w:tcPr>
          <w:p>
            <w:pPr>
              <w:jc w:val="right"/>
              <w:ind w:right="8"/>
              <w:spacing w:after="0" w:line="150" w:lineRule="exact"/>
              <w:rPr>
                <w:sz w:val="20"/>
                <w:szCs w:val="20"/>
                <w:color w:val="auto"/>
              </w:rPr>
            </w:pPr>
            <w:r>
              <w:rPr>
                <w:rFonts w:ascii="Arial" w:cs="Arial" w:eastAsia="Arial" w:hAnsi="Arial"/>
                <w:sz w:val="15"/>
                <w:szCs w:val="15"/>
                <w:color w:val="auto"/>
              </w:rPr>
              <w:t>2,810</w:t>
            </w:r>
          </w:p>
        </w:tc>
        <w:tc>
          <w:tcPr>
            <w:tcW w:w="420" w:type="dxa"/>
            <w:vAlign w:val="bottom"/>
          </w:tcPr>
          <w:p>
            <w:pPr>
              <w:spacing w:after="0"/>
              <w:rPr>
                <w:sz w:val="13"/>
                <w:szCs w:val="13"/>
                <w:color w:val="auto"/>
              </w:rPr>
            </w:pPr>
          </w:p>
        </w:tc>
        <w:tc>
          <w:tcPr>
            <w:tcW w:w="420" w:type="dxa"/>
            <w:vAlign w:val="bottom"/>
          </w:tcPr>
          <w:p>
            <w:pPr>
              <w:jc w:val="right"/>
              <w:spacing w:after="0" w:line="150"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74"/>
        </w:trPr>
        <w:tc>
          <w:tcPr>
            <w:tcW w:w="4460" w:type="dxa"/>
            <w:vAlign w:val="bottom"/>
          </w:tcPr>
          <w:p>
            <w:pPr>
              <w:spacing w:after="0"/>
              <w:rPr>
                <w:sz w:val="20"/>
                <w:szCs w:val="20"/>
                <w:color w:val="auto"/>
              </w:rPr>
            </w:pPr>
            <w:r>
              <w:rPr>
                <w:rFonts w:ascii="Arial" w:cs="Arial" w:eastAsia="Arial" w:hAnsi="Arial"/>
                <w:sz w:val="15"/>
                <w:szCs w:val="15"/>
                <w:color w:val="auto"/>
              </w:rPr>
              <w:t>Acquisitions</w:t>
            </w:r>
          </w:p>
        </w:tc>
        <w:tc>
          <w:tcPr>
            <w:tcW w:w="18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5,143</w:t>
            </w: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60" w:type="dxa"/>
            <w:vAlign w:val="bottom"/>
          </w:tcPr>
          <w:p>
            <w:pPr>
              <w:spacing w:after="0"/>
              <w:rPr>
                <w:sz w:val="20"/>
                <w:szCs w:val="20"/>
                <w:color w:val="auto"/>
              </w:rPr>
            </w:pPr>
            <w:r>
              <w:rPr>
                <w:rFonts w:ascii="Arial" w:cs="Arial" w:eastAsia="Arial" w:hAnsi="Arial"/>
                <w:sz w:val="15"/>
                <w:szCs w:val="15"/>
                <w:color w:val="auto"/>
              </w:rPr>
              <w:t>Dispositions</w:t>
            </w:r>
          </w:p>
        </w:tc>
        <w:tc>
          <w:tcPr>
            <w:tcW w:w="18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(4,660)</w:t>
            </w: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4"/>
        </w:trPr>
        <w:tc>
          <w:tcPr>
            <w:tcW w:w="4460" w:type="dxa"/>
            <w:vAlign w:val="bottom"/>
          </w:tcPr>
          <w:p>
            <w:pPr>
              <w:spacing w:after="0"/>
              <w:rPr>
                <w:sz w:val="20"/>
                <w:szCs w:val="20"/>
                <w:color w:val="auto"/>
              </w:rPr>
            </w:pPr>
            <w:r>
              <w:rPr>
                <w:rFonts w:ascii="Arial" w:cs="Arial" w:eastAsia="Arial" w:hAnsi="Arial"/>
                <w:sz w:val="15"/>
                <w:szCs w:val="15"/>
                <w:color w:val="auto"/>
              </w:rPr>
              <w:t>Reclassification to discontinued operations</w:t>
            </w:r>
          </w:p>
        </w:tc>
        <w:tc>
          <w:tcPr>
            <w:tcW w:w="18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(22,713)</w:t>
            </w: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190"/>
        </w:trPr>
        <w:tc>
          <w:tcPr>
            <w:tcW w:w="4460" w:type="dxa"/>
            <w:vAlign w:val="bottom"/>
          </w:tcPr>
          <w:p>
            <w:pPr>
              <w:spacing w:after="0"/>
              <w:rPr>
                <w:sz w:val="20"/>
                <w:szCs w:val="20"/>
                <w:color w:val="auto"/>
              </w:rPr>
            </w:pPr>
            <w:r>
              <w:rPr>
                <w:rFonts w:ascii="Arial" w:cs="Arial" w:eastAsia="Arial" w:hAnsi="Arial"/>
                <w:sz w:val="15"/>
                <w:szCs w:val="15"/>
                <w:color w:val="auto"/>
              </w:rPr>
              <w:t>Foreign currency exchange rate changes and other</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12,016</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460" w:type="dxa"/>
            <w:vAlign w:val="bottom"/>
          </w:tcPr>
          <w:p>
            <w:pPr>
              <w:spacing w:after="0" w:line="168" w:lineRule="exact"/>
              <w:rPr>
                <w:sz w:val="20"/>
                <w:szCs w:val="20"/>
                <w:color w:val="auto"/>
              </w:rPr>
            </w:pPr>
            <w:r>
              <w:rPr>
                <w:rFonts w:ascii="Arial" w:cs="Arial" w:eastAsia="Arial" w:hAnsi="Arial"/>
                <w:sz w:val="15"/>
                <w:szCs w:val="15"/>
                <w:b w:val="1"/>
                <w:bCs w:val="1"/>
                <w:color w:val="auto"/>
              </w:rPr>
              <w:t>Balance as of March 31, 2012</w:t>
            </w:r>
          </w:p>
        </w:tc>
        <w:tc>
          <w:tcPr>
            <w:tcW w:w="180" w:type="dxa"/>
            <w:vAlign w:val="bottom"/>
          </w:tcPr>
          <w:p>
            <w:pPr>
              <w:spacing w:after="0"/>
              <w:rPr>
                <w:sz w:val="14"/>
                <w:szCs w:val="14"/>
                <w:color w:val="auto"/>
              </w:rPr>
            </w:pPr>
          </w:p>
        </w:tc>
        <w:tc>
          <w:tcPr>
            <w:tcW w:w="102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auto"/>
              </w:rPr>
              <w:t>1,097,909</w:t>
            </w:r>
          </w:p>
        </w:tc>
        <w:tc>
          <w:tcPr>
            <w:tcW w:w="220" w:type="dxa"/>
            <w:vAlign w:val="bottom"/>
          </w:tcPr>
          <w:p>
            <w:pPr>
              <w:spacing w:after="0"/>
              <w:rPr>
                <w:sz w:val="14"/>
                <w:szCs w:val="14"/>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auto"/>
              </w:rPr>
              <w:t>85,488</w:t>
            </w:r>
          </w:p>
        </w:tc>
        <w:tc>
          <w:tcPr>
            <w:tcW w:w="24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auto"/>
              </w:rPr>
              <w:t>81,183</w:t>
            </w:r>
          </w:p>
        </w:tc>
        <w:tc>
          <w:tcPr>
            <w:tcW w:w="200" w:type="dxa"/>
            <w:vAlign w:val="bottom"/>
          </w:tcPr>
          <w:p>
            <w:pPr>
              <w:spacing w:after="0"/>
              <w:rPr>
                <w:sz w:val="14"/>
                <w:szCs w:val="14"/>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auto"/>
              </w:rPr>
              <w:t>203,165</w:t>
            </w:r>
          </w:p>
        </w:tc>
        <w:tc>
          <w:tcPr>
            <w:tcW w:w="20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auto"/>
              </w:rPr>
              <w:t>100,152</w:t>
            </w:r>
          </w:p>
        </w:tc>
        <w:tc>
          <w:tcPr>
            <w:tcW w:w="4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1,5</w:t>
            </w:r>
          </w:p>
        </w:tc>
        <w:tc>
          <w:tcPr>
            <w:tcW w:w="0" w:type="dxa"/>
            <w:vAlign w:val="bottom"/>
          </w:tcPr>
          <w:p>
            <w:pPr>
              <w:spacing w:after="0"/>
              <w:rPr>
                <w:sz w:val="1"/>
                <w:szCs w:val="1"/>
                <w:color w:val="auto"/>
              </w:rPr>
            </w:pPr>
          </w:p>
        </w:tc>
      </w:tr>
      <w:tr>
        <w:trPr>
          <w:trHeight w:val="156"/>
        </w:trPr>
        <w:tc>
          <w:tcPr>
            <w:tcW w:w="4460" w:type="dxa"/>
            <w:vAlign w:val="bottom"/>
          </w:tcPr>
          <w:p>
            <w:pPr>
              <w:ind w:left="220"/>
              <w:spacing w:after="0" w:line="156" w:lineRule="exact"/>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4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(65,772)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(97,342)</w:t>
            </w: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w:t>
            </w:r>
          </w:p>
        </w:tc>
        <w:tc>
          <w:tcPr>
            <w:tcW w:w="0" w:type="dxa"/>
            <w:vAlign w:val="bottom"/>
          </w:tcPr>
          <w:p>
            <w:pPr>
              <w:spacing w:after="0"/>
              <w:rPr>
                <w:sz w:val="1"/>
                <w:szCs w:val="1"/>
                <w:color w:val="auto"/>
              </w:rPr>
            </w:pPr>
          </w:p>
        </w:tc>
      </w:tr>
      <w:tr>
        <w:trPr>
          <w:trHeight w:val="166"/>
        </w:trPr>
        <w:tc>
          <w:tcPr>
            <w:tcW w:w="44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rPr>
              <w:t>1,097,909</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85,488</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15,411</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203,165</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2,810</w:t>
            </w:r>
          </w:p>
        </w:tc>
        <w:tc>
          <w:tcPr>
            <w:tcW w:w="42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carrying amount of goodwill at the Company’s education division for the three months ended March 31, 2012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488"/>
              <w:spacing w:after="0"/>
              <w:rPr>
                <w:sz w:val="20"/>
                <w:szCs w:val="20"/>
                <w:color w:val="auto"/>
              </w:rPr>
            </w:pPr>
            <w:r>
              <w:rPr>
                <w:rFonts w:ascii="Arial" w:cs="Arial" w:eastAsia="Arial" w:hAnsi="Arial"/>
                <w:sz w:val="12"/>
                <w:szCs w:val="12"/>
                <w:b w:val="1"/>
                <w:bCs w:val="1"/>
                <w:color w:val="auto"/>
              </w:rPr>
              <w:t>Higher</w:t>
            </w:r>
          </w:p>
        </w:tc>
        <w:tc>
          <w:tcPr>
            <w:tcW w:w="260" w:type="dxa"/>
            <w:vAlign w:val="bottom"/>
          </w:tcPr>
          <w:p>
            <w:pPr>
              <w:spacing w:after="0"/>
              <w:rPr>
                <w:sz w:val="12"/>
                <w:szCs w:val="12"/>
                <w:color w:val="auto"/>
              </w:rPr>
            </w:pPr>
          </w:p>
        </w:tc>
        <w:tc>
          <w:tcPr>
            <w:tcW w:w="1120" w:type="dxa"/>
            <w:vAlign w:val="bottom"/>
          </w:tcPr>
          <w:p>
            <w:pPr>
              <w:jc w:val="right"/>
              <w:ind w:right="548"/>
              <w:spacing w:after="0"/>
              <w:rPr>
                <w:sz w:val="20"/>
                <w:szCs w:val="20"/>
                <w:color w:val="auto"/>
              </w:rPr>
            </w:pPr>
            <w:r>
              <w:rPr>
                <w:rFonts w:ascii="Arial" w:cs="Arial" w:eastAsia="Arial" w:hAnsi="Arial"/>
                <w:sz w:val="12"/>
                <w:szCs w:val="12"/>
                <w:b w:val="1"/>
                <w:bCs w:val="1"/>
                <w:color w:val="auto"/>
              </w:rPr>
              <w:t>Test</w:t>
            </w:r>
          </w:p>
        </w:tc>
        <w:tc>
          <w:tcPr>
            <w:tcW w:w="260" w:type="dxa"/>
            <w:vAlign w:val="bottom"/>
          </w:tcPr>
          <w:p>
            <w:pPr>
              <w:spacing w:after="0"/>
              <w:rPr>
                <w:sz w:val="12"/>
                <w:szCs w:val="12"/>
                <w:color w:val="auto"/>
              </w:rPr>
            </w:pPr>
          </w:p>
        </w:tc>
        <w:tc>
          <w:tcPr>
            <w:tcW w:w="1100" w:type="dxa"/>
            <w:vAlign w:val="bottom"/>
          </w:tcPr>
          <w:p>
            <w:pPr>
              <w:jc w:val="right"/>
              <w:ind w:right="448"/>
              <w:spacing w:after="0"/>
              <w:rPr>
                <w:sz w:val="20"/>
                <w:szCs w:val="20"/>
                <w:color w:val="auto"/>
              </w:rPr>
            </w:pPr>
            <w:r>
              <w:rPr>
                <w:rFonts w:ascii="Arial" w:cs="Arial" w:eastAsia="Arial" w:hAnsi="Arial"/>
                <w:sz w:val="12"/>
                <w:szCs w:val="12"/>
                <w:b w:val="1"/>
                <w:bCs w:val="1"/>
                <w:color w:val="auto"/>
              </w:rPr>
              <w:t>Kaplan</w:t>
            </w:r>
          </w:p>
        </w:tc>
        <w:tc>
          <w:tcPr>
            <w:tcW w:w="300" w:type="dxa"/>
            <w:vAlign w:val="bottom"/>
          </w:tcPr>
          <w:p>
            <w:pPr>
              <w:spacing w:after="0"/>
              <w:rPr>
                <w:sz w:val="12"/>
                <w:szCs w:val="12"/>
                <w:color w:val="auto"/>
              </w:rPr>
            </w:pPr>
          </w:p>
        </w:tc>
        <w:tc>
          <w:tcPr>
            <w:tcW w:w="1060" w:type="dxa"/>
            <w:vAlign w:val="bottom"/>
          </w:tcPr>
          <w:p>
            <w:pPr>
              <w:jc w:val="right"/>
              <w:ind w:right="448"/>
              <w:spacing w:after="0"/>
              <w:rPr>
                <w:sz w:val="20"/>
                <w:szCs w:val="20"/>
                <w:color w:val="auto"/>
              </w:rPr>
            </w:pPr>
            <w:r>
              <w:rPr>
                <w:rFonts w:ascii="Arial" w:cs="Arial" w:eastAsia="Arial" w:hAnsi="Arial"/>
                <w:sz w:val="12"/>
                <w:szCs w:val="12"/>
                <w:b w:val="1"/>
                <w:bCs w:val="1"/>
                <w:color w:val="auto"/>
              </w:rPr>
              <w:t>Kaplan</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2"/>
                <w:szCs w:val="12"/>
                <w:b w:val="1"/>
                <w:bCs w:val="1"/>
                <w:color w:val="auto"/>
              </w:rPr>
              <w:t>Education</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rPr>
              <w:t>Preparation</w:t>
            </w: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2"/>
                <w:szCs w:val="12"/>
                <w:b w:val="1"/>
                <w:bCs w:val="1"/>
                <w:color w:val="auto"/>
                <w:w w:val="99"/>
              </w:rPr>
              <w:t>International</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2"/>
                <w:szCs w:val="12"/>
                <w:b w:val="1"/>
                <w:bCs w:val="1"/>
                <w:color w:val="auto"/>
              </w:rPr>
              <w:t>Ventures</w:t>
            </w: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4560" w:type="dxa"/>
            <w:vAlign w:val="bottom"/>
          </w:tcPr>
          <w:p>
            <w:pPr>
              <w:spacing w:after="0" w:line="168" w:lineRule="exact"/>
              <w:rPr>
                <w:sz w:val="20"/>
                <w:szCs w:val="20"/>
                <w:color w:val="auto"/>
              </w:rPr>
            </w:pPr>
            <w:r>
              <w:rPr>
                <w:rFonts w:ascii="Arial" w:cs="Arial" w:eastAsia="Arial" w:hAnsi="Arial"/>
                <w:sz w:val="15"/>
                <w:szCs w:val="15"/>
                <w:b w:val="1"/>
                <w:bCs w:val="1"/>
                <w:color w:val="auto"/>
              </w:rPr>
              <w:t>Balance as of December 31, 2011</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5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88"/>
              <w:spacing w:after="0"/>
              <w:rPr>
                <w:sz w:val="20"/>
                <w:szCs w:val="20"/>
                <w:color w:val="auto"/>
              </w:rPr>
            </w:pPr>
            <w:r>
              <w:rPr>
                <w:rFonts w:ascii="Arial" w:cs="Arial" w:eastAsia="Arial" w:hAnsi="Arial"/>
                <w:sz w:val="15"/>
                <w:szCs w:val="15"/>
                <w:color w:val="auto"/>
              </w:rPr>
              <w:t>409,128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88"/>
              <w:spacing w:after="0"/>
              <w:rPr>
                <w:sz w:val="20"/>
                <w:szCs w:val="20"/>
                <w:color w:val="auto"/>
              </w:rPr>
            </w:pPr>
            <w:r>
              <w:rPr>
                <w:rFonts w:ascii="Arial" w:cs="Arial" w:eastAsia="Arial" w:hAnsi="Arial"/>
                <w:sz w:val="15"/>
                <w:szCs w:val="15"/>
                <w:color w:val="auto"/>
              </w:rPr>
              <w:t>152,187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8"/>
              <w:spacing w:after="0"/>
              <w:rPr>
                <w:sz w:val="20"/>
                <w:szCs w:val="20"/>
                <w:color w:val="auto"/>
              </w:rPr>
            </w:pPr>
            <w:r>
              <w:rPr>
                <w:rFonts w:ascii="Arial" w:cs="Arial" w:eastAsia="Arial" w:hAnsi="Arial"/>
                <w:sz w:val="15"/>
                <w:szCs w:val="15"/>
                <w:color w:val="auto"/>
              </w:rPr>
              <w:t>515,936</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8"/>
              <w:spacing w:after="0"/>
              <w:rPr>
                <w:sz w:val="20"/>
                <w:szCs w:val="20"/>
                <w:color w:val="auto"/>
              </w:rPr>
            </w:pPr>
            <w:r>
              <w:rPr>
                <w:rFonts w:ascii="Arial" w:cs="Arial" w:eastAsia="Arial" w:hAnsi="Arial"/>
                <w:sz w:val="15"/>
                <w:szCs w:val="15"/>
                <w:color w:val="auto"/>
              </w:rPr>
              <w:t>39,364</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1,116</w:t>
            </w:r>
          </w:p>
        </w:tc>
        <w:tc>
          <w:tcPr>
            <w:tcW w:w="0" w:type="dxa"/>
            <w:vAlign w:val="bottom"/>
          </w:tcPr>
          <w:p>
            <w:pPr>
              <w:spacing w:after="0"/>
              <w:rPr>
                <w:sz w:val="1"/>
                <w:szCs w:val="1"/>
                <w:color w:val="auto"/>
              </w:rPr>
            </w:pPr>
          </w:p>
        </w:tc>
      </w:tr>
      <w:tr>
        <w:trPr>
          <w:trHeight w:val="172"/>
        </w:trPr>
        <w:tc>
          <w:tcPr>
            <w:tcW w:w="45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(8,492)</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50"/>
        </w:trPr>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88"/>
              <w:spacing w:after="0" w:line="150" w:lineRule="exact"/>
              <w:rPr>
                <w:sz w:val="20"/>
                <w:szCs w:val="20"/>
                <w:color w:val="auto"/>
              </w:rPr>
            </w:pPr>
            <w:r>
              <w:rPr>
                <w:rFonts w:ascii="Arial" w:cs="Arial" w:eastAsia="Arial" w:hAnsi="Arial"/>
                <w:sz w:val="15"/>
                <w:szCs w:val="15"/>
                <w:color w:val="auto"/>
              </w:rPr>
              <w:t>409,128</w:t>
            </w:r>
          </w:p>
        </w:tc>
        <w:tc>
          <w:tcPr>
            <w:tcW w:w="260" w:type="dxa"/>
            <w:vAlign w:val="bottom"/>
          </w:tcPr>
          <w:p>
            <w:pPr>
              <w:spacing w:after="0"/>
              <w:rPr>
                <w:sz w:val="13"/>
                <w:szCs w:val="13"/>
                <w:color w:val="auto"/>
              </w:rPr>
            </w:pPr>
          </w:p>
        </w:tc>
        <w:tc>
          <w:tcPr>
            <w:tcW w:w="1120" w:type="dxa"/>
            <w:vAlign w:val="bottom"/>
          </w:tcPr>
          <w:p>
            <w:pPr>
              <w:jc w:val="right"/>
              <w:ind w:right="88"/>
              <w:spacing w:after="0" w:line="150" w:lineRule="exact"/>
              <w:rPr>
                <w:sz w:val="20"/>
                <w:szCs w:val="20"/>
                <w:color w:val="auto"/>
              </w:rPr>
            </w:pPr>
            <w:r>
              <w:rPr>
                <w:rFonts w:ascii="Arial" w:cs="Arial" w:eastAsia="Arial" w:hAnsi="Arial"/>
                <w:sz w:val="15"/>
                <w:szCs w:val="15"/>
                <w:color w:val="auto"/>
              </w:rPr>
              <w:t>152,187</w:t>
            </w:r>
          </w:p>
        </w:tc>
        <w:tc>
          <w:tcPr>
            <w:tcW w:w="260" w:type="dxa"/>
            <w:vAlign w:val="bottom"/>
          </w:tcPr>
          <w:p>
            <w:pPr>
              <w:spacing w:after="0"/>
              <w:rPr>
                <w:sz w:val="13"/>
                <w:szCs w:val="13"/>
                <w:color w:val="auto"/>
              </w:rPr>
            </w:pPr>
          </w:p>
        </w:tc>
        <w:tc>
          <w:tcPr>
            <w:tcW w:w="1100" w:type="dxa"/>
            <w:vAlign w:val="bottom"/>
          </w:tcPr>
          <w:p>
            <w:pPr>
              <w:jc w:val="right"/>
              <w:ind w:right="68"/>
              <w:spacing w:after="0" w:line="150" w:lineRule="exact"/>
              <w:rPr>
                <w:sz w:val="20"/>
                <w:szCs w:val="20"/>
                <w:color w:val="auto"/>
              </w:rPr>
            </w:pPr>
            <w:r>
              <w:rPr>
                <w:rFonts w:ascii="Arial" w:cs="Arial" w:eastAsia="Arial" w:hAnsi="Arial"/>
                <w:sz w:val="15"/>
                <w:szCs w:val="15"/>
                <w:color w:val="auto"/>
              </w:rPr>
              <w:t>515,936</w:t>
            </w:r>
          </w:p>
        </w:tc>
        <w:tc>
          <w:tcPr>
            <w:tcW w:w="300" w:type="dxa"/>
            <w:vAlign w:val="bottom"/>
          </w:tcPr>
          <w:p>
            <w:pPr>
              <w:spacing w:after="0"/>
              <w:rPr>
                <w:sz w:val="13"/>
                <w:szCs w:val="13"/>
                <w:color w:val="auto"/>
              </w:rPr>
            </w:pPr>
          </w:p>
        </w:tc>
        <w:tc>
          <w:tcPr>
            <w:tcW w:w="1060" w:type="dxa"/>
            <w:vAlign w:val="bottom"/>
          </w:tcPr>
          <w:p>
            <w:pPr>
              <w:jc w:val="right"/>
              <w:ind w:right="68"/>
              <w:spacing w:after="0" w:line="150" w:lineRule="exact"/>
              <w:rPr>
                <w:sz w:val="20"/>
                <w:szCs w:val="20"/>
                <w:color w:val="auto"/>
              </w:rPr>
            </w:pPr>
            <w:r>
              <w:rPr>
                <w:rFonts w:ascii="Arial" w:cs="Arial" w:eastAsia="Arial" w:hAnsi="Arial"/>
                <w:sz w:val="15"/>
                <w:szCs w:val="15"/>
                <w:color w:val="auto"/>
              </w:rPr>
              <w:t>30,872</w:t>
            </w:r>
          </w:p>
        </w:tc>
        <w:tc>
          <w:tcPr>
            <w:tcW w:w="360" w:type="dxa"/>
            <w:vAlign w:val="bottom"/>
          </w:tcPr>
          <w:p>
            <w:pPr>
              <w:spacing w:after="0"/>
              <w:rPr>
                <w:sz w:val="13"/>
                <w:szCs w:val="13"/>
                <w:color w:val="auto"/>
              </w:rPr>
            </w:pPr>
          </w:p>
        </w:tc>
        <w:tc>
          <w:tcPr>
            <w:tcW w:w="520" w:type="dxa"/>
            <w:vAlign w:val="bottom"/>
          </w:tcPr>
          <w:p>
            <w:pPr>
              <w:jc w:val="right"/>
              <w:spacing w:after="0" w:line="150" w:lineRule="exact"/>
              <w:rPr>
                <w:sz w:val="20"/>
                <w:szCs w:val="20"/>
                <w:color w:val="auto"/>
              </w:rPr>
            </w:pPr>
            <w:r>
              <w:rPr>
                <w:rFonts w:ascii="Arial" w:cs="Arial" w:eastAsia="Arial" w:hAnsi="Arial"/>
                <w:sz w:val="15"/>
                <w:szCs w:val="15"/>
                <w:color w:val="auto"/>
              </w:rPr>
              <w:t>1,108</w:t>
            </w:r>
          </w:p>
        </w:tc>
        <w:tc>
          <w:tcPr>
            <w:tcW w:w="0" w:type="dxa"/>
            <w:vAlign w:val="bottom"/>
          </w:tcPr>
          <w:p>
            <w:pPr>
              <w:spacing w:after="0"/>
              <w:rPr>
                <w:sz w:val="1"/>
                <w:szCs w:val="1"/>
                <w:color w:val="auto"/>
              </w:rPr>
            </w:pPr>
          </w:p>
        </w:tc>
      </w:tr>
      <w:tr>
        <w:trPr>
          <w:trHeight w:val="174"/>
        </w:trPr>
        <w:tc>
          <w:tcPr>
            <w:tcW w:w="4560" w:type="dxa"/>
            <w:vAlign w:val="bottom"/>
          </w:tcPr>
          <w:p>
            <w:pPr>
              <w:spacing w:after="0"/>
              <w:rPr>
                <w:sz w:val="20"/>
                <w:szCs w:val="20"/>
                <w:color w:val="auto"/>
              </w:rPr>
            </w:pPr>
            <w:r>
              <w:rPr>
                <w:rFonts w:ascii="Arial" w:cs="Arial" w:eastAsia="Arial" w:hAnsi="Arial"/>
                <w:sz w:val="15"/>
                <w:szCs w:val="15"/>
                <w:color w:val="auto"/>
              </w:rPr>
              <w:t>Acquisitions</w:t>
            </w:r>
          </w:p>
        </w:tc>
        <w:tc>
          <w:tcPr>
            <w:tcW w:w="22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5"/>
                <w:szCs w:val="15"/>
                <w:b w:val="1"/>
                <w:bCs w:val="1"/>
                <w:color w:val="auto"/>
              </w:rPr>
              <w:t>5,143</w:t>
            </w:r>
          </w:p>
        </w:tc>
        <w:tc>
          <w:tcPr>
            <w:tcW w:w="30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74"/>
        </w:trPr>
        <w:tc>
          <w:tcPr>
            <w:tcW w:w="4560" w:type="dxa"/>
            <w:vAlign w:val="bottom"/>
          </w:tcPr>
          <w:p>
            <w:pPr>
              <w:spacing w:after="0"/>
              <w:rPr>
                <w:sz w:val="20"/>
                <w:szCs w:val="20"/>
                <w:color w:val="auto"/>
              </w:rPr>
            </w:pPr>
            <w:r>
              <w:rPr>
                <w:rFonts w:ascii="Arial" w:cs="Arial" w:eastAsia="Arial" w:hAnsi="Arial"/>
                <w:sz w:val="15"/>
                <w:szCs w:val="15"/>
                <w:color w:val="auto"/>
              </w:rPr>
              <w:t>Dispositions</w:t>
            </w:r>
          </w:p>
        </w:tc>
        <w:tc>
          <w:tcPr>
            <w:tcW w:w="22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5"/>
                <w:szCs w:val="15"/>
                <w:b w:val="1"/>
                <w:bCs w:val="1"/>
                <w:color w:val="auto"/>
              </w:rPr>
              <w:t>(4,660)</w:t>
            </w:r>
          </w:p>
        </w:tc>
        <w:tc>
          <w:tcPr>
            <w:tcW w:w="3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174"/>
        </w:trPr>
        <w:tc>
          <w:tcPr>
            <w:tcW w:w="4560" w:type="dxa"/>
            <w:vAlign w:val="bottom"/>
          </w:tcPr>
          <w:p>
            <w:pPr>
              <w:spacing w:after="0"/>
              <w:rPr>
                <w:sz w:val="20"/>
                <w:szCs w:val="20"/>
                <w:color w:val="auto"/>
              </w:rPr>
            </w:pPr>
            <w:r>
              <w:rPr>
                <w:rFonts w:ascii="Arial" w:cs="Arial" w:eastAsia="Arial" w:hAnsi="Arial"/>
                <w:sz w:val="15"/>
                <w:szCs w:val="15"/>
                <w:color w:val="auto"/>
              </w:rPr>
              <w:t>Reclassification to discontinued operations</w:t>
            </w:r>
          </w:p>
        </w:tc>
        <w:tc>
          <w:tcPr>
            <w:tcW w:w="22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5"/>
                <w:szCs w:val="15"/>
                <w:b w:val="1"/>
                <w:bCs w:val="1"/>
                <w:color w:val="auto"/>
              </w:rPr>
              <w:t>(22,713)</w:t>
            </w:r>
          </w:p>
        </w:tc>
        <w:tc>
          <w:tcPr>
            <w:tcW w:w="3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Arial" w:cs="Arial" w:eastAsia="Arial" w:hAnsi="Arial"/>
                <w:sz w:val="15"/>
                <w:szCs w:val="15"/>
                <w:color w:val="auto"/>
              </w:rPr>
              <w:t>Foreign currency exchange rate changes and other</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55</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10,791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1,170</w:t>
            </w:r>
          </w:p>
        </w:tc>
        <w:tc>
          <w:tcPr>
            <w:tcW w:w="3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w:t>
            </w:r>
          </w:p>
        </w:tc>
        <w:tc>
          <w:tcPr>
            <w:tcW w:w="0" w:type="dxa"/>
            <w:vAlign w:val="bottom"/>
          </w:tcPr>
          <w:p>
            <w:pPr>
              <w:spacing w:after="0"/>
              <w:rPr>
                <w:sz w:val="1"/>
                <w:szCs w:val="1"/>
                <w:color w:val="auto"/>
              </w:rPr>
            </w:pPr>
          </w:p>
        </w:tc>
      </w:tr>
      <w:tr>
        <w:trPr>
          <w:trHeight w:val="168"/>
        </w:trPr>
        <w:tc>
          <w:tcPr>
            <w:tcW w:w="4560" w:type="dxa"/>
            <w:vAlign w:val="bottom"/>
          </w:tcPr>
          <w:p>
            <w:pPr>
              <w:spacing w:after="0" w:line="168" w:lineRule="exact"/>
              <w:rPr>
                <w:sz w:val="20"/>
                <w:szCs w:val="20"/>
                <w:color w:val="auto"/>
              </w:rPr>
            </w:pPr>
            <w:r>
              <w:rPr>
                <w:rFonts w:ascii="Arial" w:cs="Arial" w:eastAsia="Arial" w:hAnsi="Arial"/>
                <w:sz w:val="15"/>
                <w:szCs w:val="15"/>
                <w:b w:val="1"/>
                <w:bCs w:val="1"/>
                <w:color w:val="auto"/>
              </w:rPr>
              <w:t>Balance as of March 31, 2012</w:t>
            </w:r>
          </w:p>
        </w:tc>
        <w:tc>
          <w:tcPr>
            <w:tcW w:w="220" w:type="dxa"/>
            <w:vAlign w:val="bottom"/>
          </w:tcPr>
          <w:p>
            <w:pPr>
              <w:spacing w:after="0"/>
              <w:rPr>
                <w:sz w:val="14"/>
                <w:szCs w:val="14"/>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409,183</w:t>
            </w:r>
          </w:p>
        </w:tc>
        <w:tc>
          <w:tcPr>
            <w:tcW w:w="260" w:type="dxa"/>
            <w:vAlign w:val="bottom"/>
          </w:tcPr>
          <w:p>
            <w:pPr>
              <w:spacing w:after="0"/>
              <w:rPr>
                <w:sz w:val="14"/>
                <w:szCs w:val="14"/>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152,187</w:t>
            </w:r>
          </w:p>
        </w:tc>
        <w:tc>
          <w:tcPr>
            <w:tcW w:w="260" w:type="dxa"/>
            <w:vAlign w:val="bottom"/>
          </w:tcPr>
          <w:p>
            <w:pPr>
              <w:spacing w:after="0"/>
              <w:rPr>
                <w:sz w:val="14"/>
                <w:szCs w:val="14"/>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531,870</w:t>
            </w:r>
          </w:p>
        </w:tc>
        <w:tc>
          <w:tcPr>
            <w:tcW w:w="300" w:type="dxa"/>
            <w:vAlign w:val="bottom"/>
          </w:tcPr>
          <w:p>
            <w:pPr>
              <w:spacing w:after="0"/>
              <w:rPr>
                <w:sz w:val="14"/>
                <w:szCs w:val="14"/>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4,669</w:t>
            </w:r>
          </w:p>
        </w:tc>
        <w:tc>
          <w:tcPr>
            <w:tcW w:w="3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1,097</w:t>
            </w:r>
          </w:p>
        </w:tc>
        <w:tc>
          <w:tcPr>
            <w:tcW w:w="0" w:type="dxa"/>
            <w:vAlign w:val="bottom"/>
          </w:tcPr>
          <w:p>
            <w:pPr>
              <w:spacing w:after="0"/>
              <w:rPr>
                <w:sz w:val="1"/>
                <w:szCs w:val="1"/>
                <w:color w:val="auto"/>
              </w:rPr>
            </w:pPr>
          </w:p>
        </w:tc>
      </w:tr>
      <w:tr>
        <w:trPr>
          <w:trHeight w:val="156"/>
        </w:trPr>
        <w:tc>
          <w:tcPr>
            <w:tcW w:w="4560" w:type="dxa"/>
            <w:vAlign w:val="bottom"/>
          </w:tcPr>
          <w:p>
            <w:pPr>
              <w:ind w:left="220"/>
              <w:spacing w:after="0" w:line="156" w:lineRule="exact"/>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22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409,183</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152,187</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531,870</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4,669</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1,097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Other intangible assets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2"/>
                <w:szCs w:val="12"/>
                <w:b w:val="1"/>
                <w:bCs w:val="1"/>
                <w:color w:val="auto"/>
              </w:rPr>
              <w:t>As of March 31, 2012</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As of December 31, 2011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9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center"/>
              <w:ind w:right="128"/>
              <w:spacing w:after="0" w:line="114" w:lineRule="exact"/>
              <w:rPr>
                <w:sz w:val="20"/>
                <w:szCs w:val="20"/>
                <w:color w:val="auto"/>
              </w:rPr>
            </w:pPr>
            <w:r>
              <w:rPr>
                <w:rFonts w:ascii="Arial" w:cs="Arial" w:eastAsia="Arial" w:hAnsi="Arial"/>
                <w:sz w:val="12"/>
                <w:szCs w:val="12"/>
                <w:b w:val="1"/>
                <w:bCs w:val="1"/>
                <w:color w:val="auto"/>
              </w:rPr>
              <w:t>Gross</w:t>
            </w: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jc w:val="center"/>
              <w:ind w:right="210"/>
              <w:spacing w:after="0" w:line="114" w:lineRule="exact"/>
              <w:rPr>
                <w:sz w:val="20"/>
                <w:szCs w:val="20"/>
                <w:color w:val="auto"/>
              </w:rPr>
            </w:pPr>
            <w:r>
              <w:rPr>
                <w:rFonts w:ascii="Arial" w:cs="Arial" w:eastAsia="Arial" w:hAnsi="Arial"/>
                <w:sz w:val="12"/>
                <w:szCs w:val="12"/>
                <w:b w:val="1"/>
                <w:bCs w:val="1"/>
                <w:color w:val="auto"/>
              </w:rPr>
              <w:t>Net</w:t>
            </w:r>
          </w:p>
        </w:tc>
        <w:tc>
          <w:tcPr>
            <w:tcW w:w="200" w:type="dxa"/>
            <w:vAlign w:val="bottom"/>
          </w:tcPr>
          <w:p>
            <w:pPr>
              <w:spacing w:after="0"/>
              <w:rPr>
                <w:sz w:val="9"/>
                <w:szCs w:val="9"/>
                <w:color w:val="auto"/>
              </w:rPr>
            </w:pPr>
          </w:p>
        </w:tc>
        <w:tc>
          <w:tcPr>
            <w:tcW w:w="920" w:type="dxa"/>
            <w:vAlign w:val="bottom"/>
          </w:tcPr>
          <w:p>
            <w:pPr>
              <w:jc w:val="center"/>
              <w:ind w:right="109"/>
              <w:spacing w:after="0" w:line="114" w:lineRule="exact"/>
              <w:rPr>
                <w:sz w:val="20"/>
                <w:szCs w:val="20"/>
                <w:color w:val="auto"/>
              </w:rPr>
            </w:pPr>
            <w:r>
              <w:rPr>
                <w:rFonts w:ascii="Arial" w:cs="Arial" w:eastAsia="Arial" w:hAnsi="Arial"/>
                <w:sz w:val="12"/>
                <w:szCs w:val="12"/>
                <w:color w:val="auto"/>
              </w:rPr>
              <w:t>Gross</w:t>
            </w: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2"/>
                <w:szCs w:val="12"/>
                <w:color w:val="auto"/>
              </w:rPr>
              <w:t>Ne</w:t>
            </w: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300" w:type="dxa"/>
            <w:vAlign w:val="bottom"/>
          </w:tcPr>
          <w:p>
            <w:pPr>
              <w:jc w:val="center"/>
              <w:ind w:left="69"/>
              <w:spacing w:after="0" w:line="137" w:lineRule="exact"/>
              <w:rPr>
                <w:sz w:val="20"/>
                <w:szCs w:val="20"/>
                <w:color w:val="auto"/>
              </w:rPr>
            </w:pPr>
            <w:r>
              <w:rPr>
                <w:rFonts w:ascii="Arial" w:cs="Arial" w:eastAsia="Arial" w:hAnsi="Arial"/>
                <w:sz w:val="12"/>
                <w:szCs w:val="12"/>
                <w:b w:val="1"/>
                <w:bCs w:val="1"/>
                <w:color w:val="auto"/>
              </w:rPr>
              <w:t>Useful Life</w:t>
            </w:r>
          </w:p>
        </w:tc>
        <w:tc>
          <w:tcPr>
            <w:tcW w:w="200" w:type="dxa"/>
            <w:vAlign w:val="bottom"/>
          </w:tcPr>
          <w:p>
            <w:pPr>
              <w:spacing w:after="0"/>
              <w:rPr>
                <w:sz w:val="11"/>
                <w:szCs w:val="11"/>
                <w:color w:val="auto"/>
              </w:rPr>
            </w:pPr>
          </w:p>
        </w:tc>
        <w:tc>
          <w:tcPr>
            <w:tcW w:w="960" w:type="dxa"/>
            <w:vAlign w:val="bottom"/>
          </w:tcPr>
          <w:p>
            <w:pPr>
              <w:jc w:val="center"/>
              <w:ind w:right="128"/>
              <w:spacing w:after="0" w:line="137" w:lineRule="exact"/>
              <w:rPr>
                <w:sz w:val="20"/>
                <w:szCs w:val="20"/>
                <w:color w:val="auto"/>
              </w:rPr>
            </w:pPr>
            <w:r>
              <w:rPr>
                <w:rFonts w:ascii="Arial" w:cs="Arial" w:eastAsia="Arial" w:hAnsi="Arial"/>
                <w:sz w:val="12"/>
                <w:szCs w:val="12"/>
                <w:b w:val="1"/>
                <w:bCs w:val="1"/>
                <w:color w:val="auto"/>
              </w:rPr>
              <w:t>Carrying</w:t>
            </w:r>
          </w:p>
        </w:tc>
        <w:tc>
          <w:tcPr>
            <w:tcW w:w="260" w:type="dxa"/>
            <w:vAlign w:val="bottom"/>
          </w:tcPr>
          <w:p>
            <w:pPr>
              <w:spacing w:after="0"/>
              <w:rPr>
                <w:sz w:val="11"/>
                <w:szCs w:val="11"/>
                <w:color w:val="auto"/>
              </w:rPr>
            </w:pPr>
          </w:p>
        </w:tc>
        <w:tc>
          <w:tcPr>
            <w:tcW w:w="1060" w:type="dxa"/>
            <w:vAlign w:val="bottom"/>
          </w:tcPr>
          <w:p>
            <w:pPr>
              <w:jc w:val="right"/>
              <w:ind w:right="149"/>
              <w:spacing w:after="0" w:line="137" w:lineRule="exact"/>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11"/>
                <w:szCs w:val="11"/>
                <w:color w:val="auto"/>
              </w:rPr>
            </w:pPr>
          </w:p>
        </w:tc>
        <w:tc>
          <w:tcPr>
            <w:tcW w:w="960" w:type="dxa"/>
            <w:vAlign w:val="bottom"/>
          </w:tcPr>
          <w:p>
            <w:pPr>
              <w:jc w:val="center"/>
              <w:ind w:right="210"/>
              <w:spacing w:after="0" w:line="137" w:lineRule="exact"/>
              <w:rPr>
                <w:sz w:val="20"/>
                <w:szCs w:val="20"/>
                <w:color w:val="auto"/>
              </w:rPr>
            </w:pPr>
            <w:r>
              <w:rPr>
                <w:rFonts w:ascii="Arial" w:cs="Arial" w:eastAsia="Arial" w:hAnsi="Arial"/>
                <w:sz w:val="12"/>
                <w:szCs w:val="12"/>
                <w:b w:val="1"/>
                <w:bCs w:val="1"/>
                <w:color w:val="auto"/>
              </w:rPr>
              <w:t>Carrying</w:t>
            </w:r>
          </w:p>
        </w:tc>
        <w:tc>
          <w:tcPr>
            <w:tcW w:w="200" w:type="dxa"/>
            <w:vAlign w:val="bottom"/>
          </w:tcPr>
          <w:p>
            <w:pPr>
              <w:spacing w:after="0"/>
              <w:rPr>
                <w:sz w:val="11"/>
                <w:szCs w:val="11"/>
                <w:color w:val="auto"/>
              </w:rPr>
            </w:pPr>
          </w:p>
        </w:tc>
        <w:tc>
          <w:tcPr>
            <w:tcW w:w="920" w:type="dxa"/>
            <w:vAlign w:val="bottom"/>
          </w:tcPr>
          <w:p>
            <w:pPr>
              <w:jc w:val="center"/>
              <w:ind w:right="109"/>
              <w:spacing w:after="0" w:line="137" w:lineRule="exact"/>
              <w:rPr>
                <w:sz w:val="20"/>
                <w:szCs w:val="20"/>
                <w:color w:val="auto"/>
              </w:rPr>
            </w:pPr>
            <w:r>
              <w:rPr>
                <w:rFonts w:ascii="Arial" w:cs="Arial" w:eastAsia="Arial" w:hAnsi="Arial"/>
                <w:sz w:val="12"/>
                <w:szCs w:val="12"/>
                <w:color w:val="auto"/>
              </w:rPr>
              <w:t>Carrying</w:t>
            </w:r>
          </w:p>
        </w:tc>
        <w:tc>
          <w:tcPr>
            <w:tcW w:w="260" w:type="dxa"/>
            <w:vAlign w:val="bottom"/>
          </w:tcPr>
          <w:p>
            <w:pPr>
              <w:spacing w:after="0"/>
              <w:rPr>
                <w:sz w:val="11"/>
                <w:szCs w:val="11"/>
                <w:color w:val="auto"/>
              </w:rPr>
            </w:pPr>
          </w:p>
        </w:tc>
        <w:tc>
          <w:tcPr>
            <w:tcW w:w="1080" w:type="dxa"/>
            <w:vAlign w:val="bottom"/>
          </w:tcPr>
          <w:p>
            <w:pPr>
              <w:jc w:val="right"/>
              <w:ind w:right="229"/>
              <w:spacing w:after="0" w:line="137" w:lineRule="exact"/>
              <w:rPr>
                <w:sz w:val="20"/>
                <w:szCs w:val="20"/>
                <w:color w:val="auto"/>
              </w:rPr>
            </w:pPr>
            <w:r>
              <w:rPr>
                <w:rFonts w:ascii="Arial" w:cs="Arial" w:eastAsia="Arial" w:hAnsi="Arial"/>
                <w:sz w:val="12"/>
                <w:szCs w:val="12"/>
                <w:color w:val="auto"/>
              </w:rPr>
              <w:t>Accumulated</w:t>
            </w: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Carr</w:t>
            </w:r>
          </w:p>
        </w:tc>
        <w:tc>
          <w:tcPr>
            <w:tcW w:w="0" w:type="dxa"/>
            <w:vAlign w:val="bottom"/>
          </w:tcPr>
          <w:p>
            <w:pPr>
              <w:spacing w:after="0"/>
              <w:rPr>
                <w:sz w:val="1"/>
                <w:szCs w:val="1"/>
                <w:color w:val="auto"/>
              </w:rPr>
            </w:pPr>
          </w:p>
        </w:tc>
      </w:tr>
      <w:tr>
        <w:trPr>
          <w:trHeight w:val="151"/>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300" w:type="dxa"/>
            <w:vAlign w:val="bottom"/>
            <w:tcBorders>
              <w:bottom w:val="single" w:sz="8" w:color="auto"/>
            </w:tcBorders>
          </w:tcPr>
          <w:p>
            <w:pPr>
              <w:jc w:val="center"/>
              <w:ind w:left="89"/>
              <w:spacing w:after="0"/>
              <w:rPr>
                <w:sz w:val="20"/>
                <w:szCs w:val="20"/>
                <w:color w:val="auto"/>
              </w:rPr>
            </w:pPr>
            <w:r>
              <w:rPr>
                <w:rFonts w:ascii="Arial" w:cs="Arial" w:eastAsia="Arial" w:hAnsi="Arial"/>
                <w:sz w:val="12"/>
                <w:szCs w:val="12"/>
                <w:b w:val="1"/>
                <w:bCs w:val="1"/>
                <w:color w:val="auto"/>
              </w:rPr>
              <w:t>Range</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Amortization</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2"/>
                <w:szCs w:val="12"/>
                <w:b w:val="1"/>
                <w:bCs w:val="1"/>
                <w:color w:val="auto"/>
              </w:rPr>
              <w:t>Amount</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09"/>
              <w:spacing w:after="0"/>
              <w:rPr>
                <w:sz w:val="20"/>
                <w:szCs w:val="20"/>
                <w:color w:val="auto"/>
              </w:rPr>
            </w:pPr>
            <w:r>
              <w:rPr>
                <w:rFonts w:ascii="Arial" w:cs="Arial" w:eastAsia="Arial" w:hAnsi="Arial"/>
                <w:sz w:val="12"/>
                <w:szCs w:val="12"/>
                <w:color w:val="auto"/>
              </w:rPr>
              <w:t>Amount</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color w:val="auto"/>
              </w:rPr>
              <w:t>Amortization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Amo</w:t>
            </w:r>
          </w:p>
        </w:tc>
        <w:tc>
          <w:tcPr>
            <w:tcW w:w="0" w:type="dxa"/>
            <w:vAlign w:val="bottom"/>
          </w:tcPr>
          <w:p>
            <w:pPr>
              <w:spacing w:after="0"/>
              <w:rPr>
                <w:sz w:val="1"/>
                <w:szCs w:val="1"/>
                <w:color w:val="auto"/>
              </w:rPr>
            </w:pPr>
          </w:p>
        </w:tc>
      </w:tr>
      <w:tr>
        <w:trPr>
          <w:trHeight w:val="168"/>
        </w:trPr>
        <w:tc>
          <w:tcPr>
            <w:tcW w:w="2940" w:type="dxa"/>
            <w:vAlign w:val="bottom"/>
          </w:tcPr>
          <w:p>
            <w:pPr>
              <w:spacing w:after="0" w:line="168" w:lineRule="exact"/>
              <w:rPr>
                <w:sz w:val="20"/>
                <w:szCs w:val="20"/>
                <w:color w:val="auto"/>
              </w:rPr>
            </w:pPr>
            <w:r>
              <w:rPr>
                <w:rFonts w:ascii="Arial" w:cs="Arial" w:eastAsia="Arial" w:hAnsi="Arial"/>
                <w:sz w:val="15"/>
                <w:szCs w:val="15"/>
                <w:b w:val="1"/>
                <w:bCs w:val="1"/>
                <w:color w:val="auto"/>
              </w:rPr>
              <w:t>Amortized Intangible Assets</w:t>
            </w:r>
          </w:p>
        </w:tc>
        <w:tc>
          <w:tcPr>
            <w:tcW w:w="1300" w:type="dxa"/>
            <w:vAlign w:val="bottom"/>
            <w:vMerge w:val="restart"/>
          </w:tcPr>
          <w:p>
            <w:pPr>
              <w:jc w:val="center"/>
              <w:ind w:left="69"/>
              <w:spacing w:after="0"/>
              <w:rPr>
                <w:sz w:val="20"/>
                <w:szCs w:val="20"/>
                <w:color w:val="auto"/>
              </w:rPr>
            </w:pPr>
            <w:r>
              <w:rPr>
                <w:rFonts w:ascii="Arial" w:cs="Arial" w:eastAsia="Arial" w:hAnsi="Arial"/>
                <w:sz w:val="15"/>
                <w:szCs w:val="15"/>
                <w:b w:val="1"/>
                <w:bCs w:val="1"/>
                <w:color w:val="auto"/>
                <w:w w:val="98"/>
              </w:rPr>
              <w:t>2-5 years</w:t>
            </w:r>
          </w:p>
        </w:tc>
        <w:tc>
          <w:tcPr>
            <w:tcW w:w="2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14,362</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9"/>
              <w:spacing w:after="0"/>
              <w:rPr>
                <w:sz w:val="20"/>
                <w:szCs w:val="20"/>
                <w:color w:val="auto"/>
              </w:rPr>
            </w:pPr>
            <w:r>
              <w:rPr>
                <w:rFonts w:ascii="Arial" w:cs="Arial" w:eastAsia="Arial" w:hAnsi="Arial"/>
                <w:sz w:val="15"/>
                <w:szCs w:val="15"/>
                <w:b w:val="1"/>
                <w:bCs w:val="1"/>
                <w:color w:val="auto"/>
              </w:rPr>
              <w:t>11,165</w:t>
            </w:r>
          </w:p>
        </w:tc>
        <w:tc>
          <w:tcPr>
            <w:tcW w:w="24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960" w:type="dxa"/>
            <w:vAlign w:val="bottom"/>
            <w:vMerge w:val="restart"/>
          </w:tcPr>
          <w:p>
            <w:pPr>
              <w:jc w:val="right"/>
              <w:ind w:right="90"/>
              <w:spacing w:after="0"/>
              <w:rPr>
                <w:sz w:val="20"/>
                <w:szCs w:val="20"/>
                <w:color w:val="auto"/>
              </w:rPr>
            </w:pPr>
            <w:r>
              <w:rPr>
                <w:rFonts w:ascii="Arial" w:cs="Arial" w:eastAsia="Arial" w:hAnsi="Arial"/>
                <w:sz w:val="15"/>
                <w:szCs w:val="15"/>
                <w:b w:val="1"/>
                <w:bCs w:val="1"/>
                <w:color w:val="auto"/>
              </w:rPr>
              <w:t>3,197</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20"/>
              <w:spacing w:after="0" w:line="156" w:lineRule="exact"/>
              <w:rPr>
                <w:sz w:val="20"/>
                <w:szCs w:val="20"/>
                <w:color w:val="auto"/>
              </w:rPr>
            </w:pPr>
            <w:r>
              <w:rPr>
                <w:rFonts w:ascii="Arial" w:cs="Arial" w:eastAsia="Arial" w:hAnsi="Arial"/>
                <w:sz w:val="15"/>
                <w:szCs w:val="15"/>
                <w:color w:val="auto"/>
              </w:rPr>
              <w:t>Non-compete agreements</w:t>
            </w:r>
          </w:p>
        </w:tc>
        <w:tc>
          <w:tcPr>
            <w:tcW w:w="13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00" w:type="dxa"/>
            <w:vAlign w:val="bottom"/>
          </w:tcPr>
          <w:p>
            <w:pPr>
              <w:jc w:val="right"/>
              <w:ind w:right="46"/>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14,493</w:t>
            </w:r>
          </w:p>
        </w:tc>
        <w:tc>
          <w:tcPr>
            <w:tcW w:w="2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69"/>
              <w:spacing w:after="0" w:line="156" w:lineRule="exact"/>
              <w:rPr>
                <w:sz w:val="20"/>
                <w:szCs w:val="20"/>
                <w:color w:val="auto"/>
              </w:rPr>
            </w:pPr>
            <w:r>
              <w:rPr>
                <w:rFonts w:ascii="Arial" w:cs="Arial" w:eastAsia="Arial" w:hAnsi="Arial"/>
                <w:sz w:val="15"/>
                <w:szCs w:val="15"/>
                <w:color w:val="auto"/>
              </w:rPr>
              <w:t>10,764</w:t>
            </w:r>
          </w:p>
        </w:tc>
        <w:tc>
          <w:tcPr>
            <w:tcW w:w="560" w:type="dxa"/>
            <w:vAlign w:val="bottom"/>
          </w:tcPr>
          <w:p>
            <w:pPr>
              <w:jc w:val="right"/>
              <w:ind w:right="393"/>
              <w:spacing w:after="0" w:line="156" w:lineRule="exact"/>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Student and customer relationships</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2-10 years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63,851</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5"/>
                <w:szCs w:val="15"/>
                <w:b w:val="1"/>
                <w:bCs w:val="1"/>
                <w:color w:val="auto"/>
              </w:rPr>
              <w:t>36,100</w:t>
            </w:r>
          </w:p>
        </w:tc>
        <w:tc>
          <w:tcPr>
            <w:tcW w:w="24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5"/>
                <w:szCs w:val="15"/>
                <w:b w:val="1"/>
                <w:bCs w:val="1"/>
                <w:color w:val="auto"/>
              </w:rPr>
              <w:t>27,751</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75,734</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47,888</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Databases and technology</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3-5 years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10,514</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5"/>
                <w:szCs w:val="15"/>
                <w:b w:val="1"/>
                <w:bCs w:val="1"/>
                <w:color w:val="auto"/>
              </w:rPr>
              <w:t>8,591</w:t>
            </w:r>
          </w:p>
        </w:tc>
        <w:tc>
          <w:tcPr>
            <w:tcW w:w="24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5"/>
                <w:szCs w:val="15"/>
                <w:b w:val="1"/>
                <w:bCs w:val="1"/>
                <w:color w:val="auto"/>
              </w:rPr>
              <w:t>1,923</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10,514</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8,159</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Trade names and trademarks</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2-10 years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32,564</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5"/>
                <w:szCs w:val="15"/>
                <w:b w:val="1"/>
                <w:bCs w:val="1"/>
                <w:color w:val="auto"/>
              </w:rPr>
              <w:t>15,778</w:t>
            </w:r>
          </w:p>
        </w:tc>
        <w:tc>
          <w:tcPr>
            <w:tcW w:w="24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5"/>
                <w:szCs w:val="15"/>
                <w:b w:val="1"/>
                <w:bCs w:val="1"/>
                <w:color w:val="auto"/>
              </w:rPr>
              <w:t>16,786</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36,222</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18,936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20"/>
              <w:spacing w:after="0"/>
              <w:rPr>
                <w:sz w:val="20"/>
                <w:szCs w:val="20"/>
                <w:color w:val="auto"/>
              </w:rPr>
            </w:pPr>
            <w:r>
              <w:rPr>
                <w:rFonts w:ascii="Arial" w:cs="Arial" w:eastAsia="Arial" w:hAnsi="Arial"/>
                <w:sz w:val="15"/>
                <w:szCs w:val="15"/>
                <w:color w:val="auto"/>
              </w:rPr>
              <w:t>Other</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1-25 years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9,604</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6,524</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5"/>
                <w:szCs w:val="15"/>
                <w:b w:val="1"/>
                <w:bCs w:val="1"/>
                <w:color w:val="auto"/>
              </w:rPr>
              <w:t>3,080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6,565</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130,895</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b w:val="1"/>
                <w:bCs w:val="1"/>
                <w:color w:val="auto"/>
              </w:rPr>
              <w:t>78,158</w:t>
            </w:r>
          </w:p>
        </w:tc>
        <w:tc>
          <w:tcPr>
            <w:tcW w:w="2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90"/>
              <w:spacing w:after="0" w:line="167" w:lineRule="exact"/>
              <w:rPr>
                <w:sz w:val="20"/>
                <w:szCs w:val="20"/>
                <w:color w:val="auto"/>
              </w:rPr>
            </w:pPr>
            <w:r>
              <w:rPr>
                <w:rFonts w:ascii="Arial" w:cs="Arial" w:eastAsia="Arial" w:hAnsi="Arial"/>
                <w:sz w:val="15"/>
                <w:szCs w:val="15"/>
                <w:b w:val="1"/>
                <w:bCs w:val="1"/>
                <w:color w:val="auto"/>
              </w:rPr>
              <w:t>52,737</w:t>
            </w: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146,934</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92,312</w:t>
            </w:r>
          </w:p>
        </w:tc>
        <w:tc>
          <w:tcPr>
            <w:tcW w:w="560" w:type="dxa"/>
            <w:vAlign w:val="bottom"/>
            <w:tcBorders>
              <w:bottom w:val="single" w:sz="8" w:color="auto"/>
            </w:tcBorders>
          </w:tcPr>
          <w:p>
            <w:pPr>
              <w:jc w:val="right"/>
              <w:ind w:right="393"/>
              <w:spacing w:after="0" w:line="167" w:lineRule="exact"/>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4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496,321</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20"/>
              <w:spacing w:after="0" w:line="156" w:lineRule="exact"/>
              <w:rPr>
                <w:sz w:val="20"/>
                <w:szCs w:val="20"/>
                <w:color w:val="auto"/>
              </w:rPr>
            </w:pPr>
            <w:r>
              <w:rPr>
                <w:rFonts w:ascii="Arial" w:cs="Arial" w:eastAsia="Arial" w:hAnsi="Arial"/>
                <w:sz w:val="15"/>
                <w:szCs w:val="15"/>
                <w:color w:val="auto"/>
              </w:rPr>
              <w:t>Franchise agreements</w:t>
            </w:r>
          </w:p>
        </w:tc>
        <w:tc>
          <w:tcPr>
            <w:tcW w:w="13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jc w:val="right"/>
              <w:ind w:right="46"/>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496,321</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Wireless licenses</w:t>
            </w: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22,150</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22,150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Licensure and accreditation</w:t>
            </w: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7,862</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7,862</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20"/>
              <w:spacing w:after="0"/>
              <w:rPr>
                <w:sz w:val="20"/>
                <w:szCs w:val="20"/>
                <w:color w:val="auto"/>
              </w:rPr>
            </w:pPr>
            <w:r>
              <w:rPr>
                <w:rFonts w:ascii="Arial" w:cs="Arial" w:eastAsia="Arial" w:hAnsi="Arial"/>
                <w:sz w:val="15"/>
                <w:szCs w:val="15"/>
                <w:color w:val="auto"/>
              </w:rPr>
              <w:t>Other</w:t>
            </w:r>
          </w:p>
        </w:tc>
        <w:tc>
          <w:tcPr>
            <w:tcW w:w="1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4,420</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4,308</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530,753</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530,641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borrowings consist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ind w:right="545"/>
              <w:spacing w:after="0"/>
              <w:rPr>
                <w:sz w:val="20"/>
                <w:szCs w:val="20"/>
                <w:color w:val="auto"/>
              </w:rPr>
            </w:pPr>
            <w:r>
              <w:rPr>
                <w:rFonts w:ascii="Arial" w:cs="Arial" w:eastAsia="Arial" w:hAnsi="Arial"/>
                <w:sz w:val="12"/>
                <w:szCs w:val="12"/>
                <w:b w:val="1"/>
                <w:bCs w:val="1"/>
                <w:color w:val="auto"/>
              </w:rPr>
              <w:t>March 31,</w:t>
            </w: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December 3</w:t>
            </w:r>
          </w:p>
        </w:tc>
      </w:tr>
      <w:tr>
        <w:trPr>
          <w:trHeight w:val="151"/>
        </w:trPr>
        <w:tc>
          <w:tcPr>
            <w:tcW w:w="8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05"/>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2"/>
                <w:szCs w:val="12"/>
                <w:color w:val="auto"/>
              </w:rPr>
              <w:t>2011</w:t>
            </w:r>
          </w:p>
        </w:tc>
      </w:tr>
      <w:tr>
        <w:trPr>
          <w:trHeight w:val="140"/>
        </w:trPr>
        <w:tc>
          <w:tcPr>
            <w:tcW w:w="8240" w:type="dxa"/>
            <w:vAlign w:val="bottom"/>
          </w:tcPr>
          <w:p>
            <w:pPr>
              <w:spacing w:after="0" w:line="141" w:lineRule="exact"/>
              <w:rPr>
                <w:sz w:val="20"/>
                <w:szCs w:val="20"/>
                <w:color w:val="auto"/>
              </w:rPr>
            </w:pPr>
            <w:r>
              <w:rPr>
                <w:rFonts w:ascii="Arial" w:cs="Arial" w:eastAsia="Arial" w:hAnsi="Arial"/>
                <w:sz w:val="16"/>
                <w:szCs w:val="16"/>
                <w:color w:val="auto"/>
              </w:rPr>
              <w:t>7.25% unsecured notes due February 1, 2019</w:t>
            </w:r>
          </w:p>
        </w:tc>
        <w:tc>
          <w:tcPr>
            <w:tcW w:w="340" w:type="dxa"/>
            <w:vAlign w:val="bottom"/>
          </w:tcPr>
          <w:p>
            <w:pPr>
              <w:jc w:val="right"/>
              <w:ind w:right="41"/>
              <w:spacing w:after="0" w:line="141" w:lineRule="exact"/>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25"/>
              <w:spacing w:after="0" w:line="141" w:lineRule="exact"/>
              <w:rPr>
                <w:sz w:val="20"/>
                <w:szCs w:val="20"/>
                <w:color w:val="auto"/>
              </w:rPr>
            </w:pPr>
            <w:r>
              <w:rPr>
                <w:rFonts w:ascii="Arial" w:cs="Arial" w:eastAsia="Arial" w:hAnsi="Arial"/>
                <w:sz w:val="16"/>
                <w:szCs w:val="16"/>
                <w:b w:val="1"/>
                <w:bCs w:val="1"/>
                <w:color w:val="auto"/>
              </w:rPr>
              <w:t>397,168</w:t>
            </w:r>
          </w:p>
        </w:tc>
        <w:tc>
          <w:tcPr>
            <w:tcW w:w="340" w:type="dxa"/>
            <w:vAlign w:val="bottom"/>
          </w:tcPr>
          <w:p>
            <w:pPr>
              <w:jc w:val="right"/>
              <w:spacing w:after="0" w:line="14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6"/>
                <w:szCs w:val="16"/>
                <w:color w:val="auto"/>
              </w:rPr>
              <w:t>39</w:t>
            </w:r>
          </w:p>
        </w:tc>
      </w:tr>
      <w:tr>
        <w:trPr>
          <w:trHeight w:val="174"/>
        </w:trPr>
        <w:tc>
          <w:tcPr>
            <w:tcW w:w="8240" w:type="dxa"/>
            <w:vAlign w:val="bottom"/>
          </w:tcPr>
          <w:p>
            <w:pPr>
              <w:spacing w:after="0" w:line="174" w:lineRule="exact"/>
              <w:rPr>
                <w:sz w:val="20"/>
                <w:szCs w:val="20"/>
                <w:color w:val="auto"/>
              </w:rPr>
            </w:pPr>
            <w:r>
              <w:rPr>
                <w:rFonts w:ascii="Arial" w:cs="Arial" w:eastAsia="Arial" w:hAnsi="Arial"/>
                <w:sz w:val="16"/>
                <w:szCs w:val="16"/>
                <w:color w:val="auto"/>
              </w:rPr>
              <w:t>Commercial paper borrowings</w:t>
            </w:r>
          </w:p>
        </w:tc>
        <w:tc>
          <w:tcPr>
            <w:tcW w:w="340" w:type="dxa"/>
            <w:vAlign w:val="bottom"/>
          </w:tcPr>
          <w:p>
            <w:pPr>
              <w:spacing w:after="0"/>
              <w:rPr>
                <w:sz w:val="15"/>
                <w:szCs w:val="15"/>
                <w:color w:val="auto"/>
              </w:rPr>
            </w:pPr>
          </w:p>
        </w:tc>
        <w:tc>
          <w:tcPr>
            <w:tcW w:w="1300" w:type="dxa"/>
            <w:vAlign w:val="bottom"/>
          </w:tcPr>
          <w:p>
            <w:pPr>
              <w:jc w:val="right"/>
              <w:ind w:right="125"/>
              <w:spacing w:after="0" w:line="174" w:lineRule="exact"/>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5"/>
                <w:szCs w:val="15"/>
                <w:color w:val="auto"/>
              </w:rPr>
            </w:pPr>
          </w:p>
        </w:tc>
        <w:tc>
          <w:tcPr>
            <w:tcW w:w="720" w:type="dxa"/>
            <w:vAlign w:val="bottom"/>
          </w:tcPr>
          <w:p>
            <w:pPr>
              <w:jc w:val="right"/>
              <w:spacing w:after="0" w:line="174" w:lineRule="exact"/>
              <w:rPr>
                <w:sz w:val="20"/>
                <w:szCs w:val="20"/>
                <w:color w:val="auto"/>
              </w:rPr>
            </w:pPr>
            <w:r>
              <w:rPr>
                <w:rFonts w:ascii="Arial" w:cs="Arial" w:eastAsia="Arial" w:hAnsi="Arial"/>
                <w:sz w:val="16"/>
                <w:szCs w:val="16"/>
                <w:color w:val="auto"/>
              </w:rPr>
              <w:t>10</w:t>
            </w:r>
          </w:p>
        </w:tc>
      </w:tr>
      <w:tr>
        <w:trPr>
          <w:trHeight w:val="174"/>
        </w:trPr>
        <w:tc>
          <w:tcPr>
            <w:tcW w:w="8240" w:type="dxa"/>
            <w:vAlign w:val="bottom"/>
          </w:tcPr>
          <w:p>
            <w:pPr>
              <w:spacing w:after="0" w:line="174" w:lineRule="exact"/>
              <w:rPr>
                <w:sz w:val="20"/>
                <w:szCs w:val="20"/>
                <w:color w:val="auto"/>
              </w:rPr>
            </w:pPr>
            <w:r>
              <w:rPr>
                <w:rFonts w:ascii="Arial" w:cs="Arial" w:eastAsia="Arial" w:hAnsi="Arial"/>
                <w:sz w:val="16"/>
                <w:szCs w:val="16"/>
                <w:color w:val="auto"/>
              </w:rPr>
              <w:t>AUD 50M borrowing</w:t>
            </w:r>
          </w:p>
        </w:tc>
        <w:tc>
          <w:tcPr>
            <w:tcW w:w="340" w:type="dxa"/>
            <w:vAlign w:val="bottom"/>
          </w:tcPr>
          <w:p>
            <w:pPr>
              <w:spacing w:after="0"/>
              <w:rPr>
                <w:sz w:val="15"/>
                <w:szCs w:val="15"/>
                <w:color w:val="auto"/>
              </w:rPr>
            </w:pPr>
          </w:p>
        </w:tc>
        <w:tc>
          <w:tcPr>
            <w:tcW w:w="1300" w:type="dxa"/>
            <w:vAlign w:val="bottom"/>
          </w:tcPr>
          <w:p>
            <w:pPr>
              <w:jc w:val="right"/>
              <w:ind w:right="125"/>
              <w:spacing w:after="0" w:line="174" w:lineRule="exact"/>
              <w:rPr>
                <w:sz w:val="20"/>
                <w:szCs w:val="20"/>
                <w:color w:val="auto"/>
              </w:rPr>
            </w:pPr>
            <w:r>
              <w:rPr>
                <w:rFonts w:ascii="Arial" w:cs="Arial" w:eastAsia="Arial" w:hAnsi="Arial"/>
                <w:sz w:val="16"/>
                <w:szCs w:val="16"/>
                <w:b w:val="1"/>
                <w:bCs w:val="1"/>
                <w:color w:val="auto"/>
              </w:rPr>
              <w:t>51,717</w:t>
            </w:r>
          </w:p>
        </w:tc>
        <w:tc>
          <w:tcPr>
            <w:tcW w:w="340" w:type="dxa"/>
            <w:vAlign w:val="bottom"/>
          </w:tcPr>
          <w:p>
            <w:pPr>
              <w:spacing w:after="0"/>
              <w:rPr>
                <w:sz w:val="15"/>
                <w:szCs w:val="15"/>
                <w:color w:val="auto"/>
              </w:rPr>
            </w:pPr>
          </w:p>
        </w:tc>
        <w:tc>
          <w:tcPr>
            <w:tcW w:w="720" w:type="dxa"/>
            <w:vAlign w:val="bottom"/>
          </w:tcPr>
          <w:p>
            <w:pPr>
              <w:jc w:val="right"/>
              <w:spacing w:after="0" w:line="174" w:lineRule="exact"/>
              <w:rPr>
                <w:sz w:val="20"/>
                <w:szCs w:val="20"/>
                <w:color w:val="auto"/>
              </w:rPr>
            </w:pPr>
            <w:r>
              <w:rPr>
                <w:rFonts w:ascii="Arial" w:cs="Arial" w:eastAsia="Arial" w:hAnsi="Arial"/>
                <w:sz w:val="16"/>
                <w:szCs w:val="16"/>
                <w:color w:val="auto"/>
              </w:rPr>
              <w:t>5</w:t>
            </w:r>
          </w:p>
        </w:tc>
      </w:tr>
      <w:tr>
        <w:trPr>
          <w:trHeight w:val="199"/>
        </w:trPr>
        <w:tc>
          <w:tcPr>
            <w:tcW w:w="8240" w:type="dxa"/>
            <w:vAlign w:val="bottom"/>
          </w:tcPr>
          <w:p>
            <w:pPr>
              <w:spacing w:after="0"/>
              <w:rPr>
                <w:sz w:val="20"/>
                <w:szCs w:val="20"/>
                <w:color w:val="auto"/>
              </w:rPr>
            </w:pPr>
            <w:r>
              <w:rPr>
                <w:rFonts w:ascii="Arial" w:cs="Arial" w:eastAsia="Arial" w:hAnsi="Arial"/>
                <w:sz w:val="16"/>
                <w:szCs w:val="16"/>
                <w:color w:val="auto"/>
              </w:rPr>
              <w:t>Other indebtedness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7,493</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40"/>
        </w:trPr>
        <w:tc>
          <w:tcPr>
            <w:tcW w:w="8240" w:type="dxa"/>
            <w:vAlign w:val="bottom"/>
          </w:tcPr>
          <w:p>
            <w:pPr>
              <w:spacing w:after="0" w:line="141" w:lineRule="exact"/>
              <w:rPr>
                <w:sz w:val="20"/>
                <w:szCs w:val="20"/>
                <w:color w:val="auto"/>
              </w:rPr>
            </w:pPr>
            <w:r>
              <w:rPr>
                <w:rFonts w:ascii="Arial" w:cs="Arial" w:eastAsia="Arial" w:hAnsi="Arial"/>
                <w:sz w:val="16"/>
                <w:szCs w:val="16"/>
                <w:b w:val="1"/>
                <w:bCs w:val="1"/>
                <w:color w:val="auto"/>
              </w:rPr>
              <w:t>Total Debt</w:t>
            </w:r>
          </w:p>
        </w:tc>
        <w:tc>
          <w:tcPr>
            <w:tcW w:w="340" w:type="dxa"/>
            <w:vAlign w:val="bottom"/>
          </w:tcPr>
          <w:p>
            <w:pPr>
              <w:spacing w:after="0"/>
              <w:rPr>
                <w:sz w:val="12"/>
                <w:szCs w:val="12"/>
                <w:color w:val="auto"/>
              </w:rPr>
            </w:pPr>
          </w:p>
        </w:tc>
        <w:tc>
          <w:tcPr>
            <w:tcW w:w="1300" w:type="dxa"/>
            <w:vAlign w:val="bottom"/>
          </w:tcPr>
          <w:p>
            <w:pPr>
              <w:jc w:val="right"/>
              <w:ind w:right="125"/>
              <w:spacing w:after="0" w:line="141" w:lineRule="exact"/>
              <w:rPr>
                <w:sz w:val="20"/>
                <w:szCs w:val="20"/>
                <w:color w:val="auto"/>
              </w:rPr>
            </w:pPr>
            <w:r>
              <w:rPr>
                <w:rFonts w:ascii="Arial" w:cs="Arial" w:eastAsia="Arial" w:hAnsi="Arial"/>
                <w:sz w:val="16"/>
                <w:szCs w:val="16"/>
                <w:b w:val="1"/>
                <w:bCs w:val="1"/>
                <w:color w:val="auto"/>
              </w:rPr>
              <w:t>456,378</w:t>
            </w:r>
          </w:p>
        </w:tc>
        <w:tc>
          <w:tcPr>
            <w:tcW w:w="3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6"/>
                <w:szCs w:val="16"/>
                <w:color w:val="auto"/>
              </w:rPr>
              <w:t>56</w:t>
            </w:r>
          </w:p>
        </w:tc>
      </w:tr>
      <w:tr>
        <w:trPr>
          <w:trHeight w:val="199"/>
        </w:trPr>
        <w:tc>
          <w:tcPr>
            <w:tcW w:w="8240" w:type="dxa"/>
            <w:vAlign w:val="bottom"/>
          </w:tcPr>
          <w:p>
            <w:pPr>
              <w:spacing w:after="0"/>
              <w:rPr>
                <w:sz w:val="20"/>
                <w:szCs w:val="20"/>
                <w:color w:val="auto"/>
              </w:rPr>
            </w:pPr>
            <w:r>
              <w:rPr>
                <w:rFonts w:ascii="Arial" w:cs="Arial" w:eastAsia="Arial" w:hAnsi="Arial"/>
                <w:sz w:val="16"/>
                <w:szCs w:val="16"/>
                <w:color w:val="auto"/>
              </w:rPr>
              <w:t>Less: current portion</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(3,250)</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66"/>
        </w:trPr>
        <w:tc>
          <w:tcPr>
            <w:tcW w:w="8240" w:type="dxa"/>
            <w:vAlign w:val="bottom"/>
          </w:tcPr>
          <w:p>
            <w:pPr>
              <w:spacing w:after="0" w:line="166" w:lineRule="exact"/>
              <w:rPr>
                <w:sz w:val="20"/>
                <w:szCs w:val="20"/>
                <w:color w:val="auto"/>
              </w:rPr>
            </w:pPr>
            <w:r>
              <w:rPr>
                <w:rFonts w:ascii="Arial" w:cs="Arial" w:eastAsia="Arial" w:hAnsi="Arial"/>
                <w:sz w:val="16"/>
                <w:szCs w:val="16"/>
                <w:b w:val="1"/>
                <w:bCs w:val="1"/>
                <w:color w:val="auto"/>
              </w:rPr>
              <w:t>Total Long-Term Debt</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25"/>
              <w:spacing w:after="0" w:line="166" w:lineRule="exact"/>
              <w:rPr>
                <w:sz w:val="20"/>
                <w:szCs w:val="20"/>
                <w:color w:val="auto"/>
              </w:rPr>
            </w:pPr>
            <w:r>
              <w:rPr>
                <w:rFonts w:ascii="Arial" w:cs="Arial" w:eastAsia="Arial" w:hAnsi="Arial"/>
                <w:sz w:val="16"/>
                <w:szCs w:val="16"/>
                <w:b w:val="1"/>
                <w:bCs w:val="1"/>
                <w:color w:val="auto"/>
              </w:rPr>
              <w:t>453,128</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45</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Company’s other indebtedness at March 31, 2012 and December 31, 2011 is at interest rates from 0% to 6% and matures from 2012 to 2016.</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During the first quarter of 2012 and 2011, the Company had average borrowings outstanding of approximately $484.5 million and $399.7 million, respectively, at average annual interest rates of approximately 7.0% and 7.2%. During the first quarter of 2012 and 2011, the Company incurred net in expense of $8.1 million and $7.0 million, respectively.</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At March 31, 2012, the fair value of the Company’s 7.25% unsecured notes, based on quoted market prices, totaled $465.3 million, compared with the carrying amount of $397.2 million. At December 31, 2011, the fair value of the Company’s 7.25% unsecured notes, based on quoted market prices, to $460.5 million, compared with the carrying amount of $397.1 million. The carrying value of the Company’s other unsecured debt at March 31, 2012 approximates fair value.</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sectPr>
      </w:pPr>
    </w:p>
    <w:bookmarkStart w:id="13" w:name="page14"/>
    <w:bookmarkEnd w:id="13"/>
    <w:p>
      <w:pPr>
        <w:ind w:left="40"/>
        <w:spacing w:after="0"/>
        <w:rPr>
          <w:sz w:val="20"/>
          <w:szCs w:val="20"/>
          <w:color w:val="auto"/>
        </w:rPr>
      </w:pPr>
      <w:r>
        <w:rPr>
          <w:rFonts w:ascii="Arial" w:cs="Arial" w:eastAsia="Arial" w:hAnsi="Arial"/>
          <w:sz w:val="17"/>
          <w:szCs w:val="17"/>
          <w:b w:val="1"/>
          <w:bCs w:val="1"/>
          <w:color w:val="auto"/>
        </w:rPr>
        <w:t>7. EARNINGS PER SHARE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earnings per share from continuing operations (basic and diluted) for the first quarter of 2012 and 2011 are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5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14"/>
        </w:trPr>
        <w:tc>
          <w:tcPr>
            <w:tcW w:w="8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jc w:val="right"/>
              <w:ind w:right="428"/>
              <w:spacing w:after="0" w:line="114" w:lineRule="exact"/>
              <w:rPr>
                <w:sz w:val="20"/>
                <w:szCs w:val="20"/>
                <w:color w:val="auto"/>
              </w:rPr>
            </w:pPr>
            <w:r>
              <w:rPr>
                <w:rFonts w:ascii="Arial" w:cs="Arial" w:eastAsia="Arial" w:hAnsi="Arial"/>
                <w:sz w:val="12"/>
                <w:szCs w:val="12"/>
                <w:b w:val="1"/>
                <w:bCs w:val="1"/>
                <w:color w:val="auto"/>
              </w:rPr>
              <w:t>March 31,</w:t>
            </w:r>
          </w:p>
        </w:tc>
        <w:tc>
          <w:tcPr>
            <w:tcW w:w="900" w:type="dxa"/>
            <w:vAlign w:val="bottom"/>
          </w:tcPr>
          <w:p>
            <w:pPr>
              <w:jc w:val="right"/>
              <w:spacing w:after="0" w:line="114" w:lineRule="exact"/>
              <w:rPr>
                <w:sz w:val="20"/>
                <w:szCs w:val="20"/>
                <w:color w:val="auto"/>
              </w:rPr>
            </w:pPr>
            <w:r>
              <w:rPr>
                <w:rFonts w:ascii="Arial" w:cs="Arial" w:eastAsia="Arial" w:hAnsi="Arial"/>
                <w:sz w:val="12"/>
                <w:szCs w:val="12"/>
                <w:color w:val="auto"/>
              </w:rPr>
              <w:t>April 3,</w:t>
            </w:r>
          </w:p>
        </w:tc>
        <w:tc>
          <w:tcPr>
            <w:tcW w:w="0" w:type="dxa"/>
            <w:vAlign w:val="bottom"/>
          </w:tcPr>
          <w:p>
            <w:pPr>
              <w:spacing w:after="0"/>
              <w:rPr>
                <w:sz w:val="1"/>
                <w:szCs w:val="1"/>
                <w:color w:val="auto"/>
              </w:rPr>
            </w:pPr>
          </w:p>
        </w:tc>
      </w:tr>
      <w:tr>
        <w:trPr>
          <w:trHeight w:val="151"/>
        </w:trPr>
        <w:tc>
          <w:tcPr>
            <w:tcW w:w="8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2012</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8580" w:type="dxa"/>
            <w:vAlign w:val="bottom"/>
          </w:tcPr>
          <w:p>
            <w:pPr>
              <w:spacing w:after="0" w:line="168" w:lineRule="exact"/>
              <w:rPr>
                <w:sz w:val="20"/>
                <w:szCs w:val="20"/>
                <w:color w:val="auto"/>
              </w:rPr>
            </w:pPr>
            <w:r>
              <w:rPr>
                <w:rFonts w:ascii="Arial" w:cs="Arial" w:eastAsia="Arial" w:hAnsi="Arial"/>
                <w:sz w:val="15"/>
                <w:szCs w:val="15"/>
                <w:color w:val="auto"/>
              </w:rPr>
              <w:t>Income from continuing operations attributable to The Washington Post Company</w:t>
            </w: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10,830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580" w:type="dxa"/>
            <w:vAlign w:val="bottom"/>
          </w:tcPr>
          <w:p>
            <w:pPr>
              <w:ind w:left="220"/>
              <w:spacing w:after="0" w:line="156" w:lineRule="exact"/>
              <w:rPr>
                <w:sz w:val="20"/>
                <w:szCs w:val="20"/>
                <w:color w:val="auto"/>
              </w:rPr>
            </w:pPr>
            <w:r>
              <w:rPr>
                <w:rFonts w:ascii="Arial" w:cs="Arial" w:eastAsia="Arial" w:hAnsi="Arial"/>
                <w:sz w:val="15"/>
                <w:szCs w:val="15"/>
                <w:color w:val="auto"/>
              </w:rPr>
              <w:t>common stockholders</w:t>
            </w:r>
          </w:p>
        </w:tc>
        <w:tc>
          <w:tcPr>
            <w:tcW w:w="30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00" w:type="dxa"/>
            <w:vAlign w:val="bottom"/>
          </w:tcPr>
          <w:p>
            <w:pPr>
              <w:jc w:val="right"/>
              <w:ind w:right="589"/>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Less: Amount attributable to participating securities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(501)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580" w:type="dxa"/>
            <w:vAlign w:val="bottom"/>
          </w:tcPr>
          <w:p>
            <w:pPr>
              <w:spacing w:after="0"/>
              <w:rPr>
                <w:sz w:val="20"/>
                <w:szCs w:val="20"/>
                <w:color w:val="auto"/>
              </w:rPr>
            </w:pPr>
            <w:r>
              <w:rPr>
                <w:rFonts w:ascii="Arial" w:cs="Arial" w:eastAsia="Arial" w:hAnsi="Arial"/>
                <w:sz w:val="15"/>
                <w:szCs w:val="15"/>
                <w:color w:val="auto"/>
              </w:rPr>
              <w:t>Basic income from continuing operations attributable to The Washington Post Company</w:t>
            </w: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10,329</w:t>
            </w:r>
          </w:p>
        </w:tc>
        <w:tc>
          <w:tcPr>
            <w:tcW w:w="900" w:type="dxa"/>
            <w:vAlign w:val="bottom"/>
            <w:vMerge w:val="restart"/>
          </w:tcPr>
          <w:p>
            <w:pPr>
              <w:jc w:val="right"/>
              <w:ind w:right="58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8580" w:type="dxa"/>
            <w:vAlign w:val="bottom"/>
          </w:tcPr>
          <w:p>
            <w:pPr>
              <w:ind w:left="220"/>
              <w:spacing w:after="0" w:line="167" w:lineRule="exact"/>
              <w:rPr>
                <w:sz w:val="20"/>
                <w:szCs w:val="20"/>
                <w:color w:val="auto"/>
              </w:rPr>
            </w:pPr>
            <w:r>
              <w:rPr>
                <w:rFonts w:ascii="Arial" w:cs="Arial" w:eastAsia="Arial" w:hAnsi="Arial"/>
                <w:sz w:val="15"/>
                <w:szCs w:val="15"/>
                <w:color w:val="auto"/>
              </w:rPr>
              <w:t>common stockholders</w:t>
            </w:r>
          </w:p>
        </w:tc>
        <w:tc>
          <w:tcPr>
            <w:tcW w:w="3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580" w:type="dxa"/>
            <w:vAlign w:val="bottom"/>
          </w:tcPr>
          <w:p>
            <w:pPr>
              <w:spacing w:after="0"/>
              <w:rPr>
                <w:sz w:val="20"/>
                <w:szCs w:val="20"/>
                <w:color w:val="auto"/>
              </w:rPr>
            </w:pPr>
            <w:r>
              <w:rPr>
                <w:rFonts w:ascii="Arial" w:cs="Arial" w:eastAsia="Arial" w:hAnsi="Arial"/>
                <w:sz w:val="15"/>
                <w:szCs w:val="15"/>
                <w:color w:val="auto"/>
              </w:rPr>
              <w:t>Plus: Amount attributable to participating securities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501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580" w:type="dxa"/>
            <w:vAlign w:val="bottom"/>
          </w:tcPr>
          <w:p>
            <w:pPr>
              <w:spacing w:after="0"/>
              <w:rPr>
                <w:sz w:val="20"/>
                <w:szCs w:val="20"/>
                <w:color w:val="auto"/>
              </w:rPr>
            </w:pPr>
            <w:r>
              <w:rPr>
                <w:rFonts w:ascii="Arial" w:cs="Arial" w:eastAsia="Arial" w:hAnsi="Arial"/>
                <w:sz w:val="15"/>
                <w:szCs w:val="15"/>
                <w:color w:val="auto"/>
              </w:rPr>
              <w:t>Diluted income from continuing operations attributable to The Washington Post Company</w:t>
            </w: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10,830</w:t>
            </w:r>
          </w:p>
        </w:tc>
        <w:tc>
          <w:tcPr>
            <w:tcW w:w="900" w:type="dxa"/>
            <w:vAlign w:val="bottom"/>
            <w:vMerge w:val="restart"/>
          </w:tcPr>
          <w:p>
            <w:pPr>
              <w:jc w:val="right"/>
              <w:ind w:right="58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8580" w:type="dxa"/>
            <w:vAlign w:val="bottom"/>
          </w:tcPr>
          <w:p>
            <w:pPr>
              <w:ind w:left="220"/>
              <w:spacing w:after="0" w:line="167" w:lineRule="exact"/>
              <w:rPr>
                <w:sz w:val="20"/>
                <w:szCs w:val="20"/>
                <w:color w:val="auto"/>
              </w:rPr>
            </w:pPr>
            <w:r>
              <w:rPr>
                <w:rFonts w:ascii="Arial" w:cs="Arial" w:eastAsia="Arial" w:hAnsi="Arial"/>
                <w:sz w:val="15"/>
                <w:szCs w:val="15"/>
                <w:color w:val="auto"/>
              </w:rPr>
              <w:t>common stockholders</w:t>
            </w:r>
          </w:p>
        </w:tc>
        <w:tc>
          <w:tcPr>
            <w:tcW w:w="3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580" w:type="dxa"/>
            <w:vAlign w:val="bottom"/>
          </w:tcPr>
          <w:p>
            <w:pPr>
              <w:spacing w:after="0"/>
              <w:rPr>
                <w:sz w:val="20"/>
                <w:szCs w:val="20"/>
                <w:color w:val="auto"/>
              </w:rPr>
            </w:pPr>
            <w:r>
              <w:rPr>
                <w:rFonts w:ascii="Arial" w:cs="Arial" w:eastAsia="Arial" w:hAnsi="Arial"/>
                <w:sz w:val="15"/>
                <w:szCs w:val="15"/>
                <w:color w:val="auto"/>
              </w:rPr>
              <w:t>Basic weighted average shares outstanding</w:t>
            </w:r>
          </w:p>
        </w:tc>
        <w:tc>
          <w:tcPr>
            <w:tcW w:w="30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5"/>
                <w:szCs w:val="15"/>
                <w:b w:val="1"/>
                <w:bCs w:val="1"/>
                <w:color w:val="auto"/>
              </w:rPr>
              <w:t>7,514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Plus: Effect of dilutive shares related to stock options and restricted stock</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101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580" w:type="dxa"/>
            <w:vAlign w:val="bottom"/>
          </w:tcPr>
          <w:p>
            <w:pPr>
              <w:spacing w:after="0" w:line="167" w:lineRule="exact"/>
              <w:rPr>
                <w:sz w:val="20"/>
                <w:szCs w:val="20"/>
                <w:color w:val="auto"/>
              </w:rPr>
            </w:pPr>
            <w:r>
              <w:rPr>
                <w:rFonts w:ascii="Arial" w:cs="Arial" w:eastAsia="Arial" w:hAnsi="Arial"/>
                <w:sz w:val="15"/>
                <w:szCs w:val="15"/>
                <w:color w:val="auto"/>
              </w:rPr>
              <w:t>Diluted weighted average shares outstanding</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7,615</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5"/>
                <w:szCs w:val="15"/>
                <w:b w:val="1"/>
                <w:bCs w:val="1"/>
                <w:color w:val="auto"/>
              </w:rPr>
              <w:t>Income Per Share from Continuing Operations Attributable to The Washington Post Company</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580" w:type="dxa"/>
            <w:vAlign w:val="bottom"/>
          </w:tcPr>
          <w:p>
            <w:pPr>
              <w:ind w:left="220"/>
              <w:spacing w:after="0"/>
              <w:rPr>
                <w:sz w:val="20"/>
                <w:szCs w:val="20"/>
                <w:color w:val="auto"/>
              </w:rPr>
            </w:pPr>
            <w:r>
              <w:rPr>
                <w:rFonts w:ascii="Arial" w:cs="Arial" w:eastAsia="Arial" w:hAnsi="Arial"/>
                <w:sz w:val="15"/>
                <w:szCs w:val="15"/>
                <w:b w:val="1"/>
                <w:bCs w:val="1"/>
                <w:color w:val="auto"/>
              </w:rPr>
              <w:t>Common Stockholders:</w:t>
            </w: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1.37</w:t>
            </w:r>
          </w:p>
        </w:tc>
        <w:tc>
          <w:tcPr>
            <w:tcW w:w="900" w:type="dxa"/>
            <w:vAlign w:val="bottom"/>
            <w:vMerge w:val="restart"/>
          </w:tcPr>
          <w:p>
            <w:pPr>
              <w:jc w:val="right"/>
              <w:ind w:right="58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8580" w:type="dxa"/>
            <w:vAlign w:val="bottom"/>
          </w:tcPr>
          <w:p>
            <w:pPr>
              <w:ind w:left="460"/>
              <w:spacing w:after="0" w:line="167" w:lineRule="exact"/>
              <w:rPr>
                <w:sz w:val="20"/>
                <w:szCs w:val="20"/>
                <w:color w:val="auto"/>
              </w:rPr>
            </w:pPr>
            <w:r>
              <w:rPr>
                <w:rFonts w:ascii="Arial" w:cs="Arial" w:eastAsia="Arial" w:hAnsi="Arial"/>
                <w:sz w:val="15"/>
                <w:szCs w:val="15"/>
                <w:color w:val="auto"/>
              </w:rPr>
              <w:t>Basic</w:t>
            </w:r>
          </w:p>
        </w:tc>
        <w:tc>
          <w:tcPr>
            <w:tcW w:w="3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580" w:type="dxa"/>
            <w:vAlign w:val="bottom"/>
          </w:tcPr>
          <w:p>
            <w:pPr>
              <w:ind w:left="460"/>
              <w:spacing w:after="0" w:line="151" w:lineRule="exact"/>
              <w:rPr>
                <w:sz w:val="20"/>
                <w:szCs w:val="20"/>
                <w:color w:val="auto"/>
              </w:rPr>
            </w:pPr>
            <w:r>
              <w:rPr>
                <w:rFonts w:ascii="Arial" w:cs="Arial" w:eastAsia="Arial" w:hAnsi="Arial"/>
                <w:sz w:val="15"/>
                <w:szCs w:val="15"/>
                <w:color w:val="auto"/>
              </w:rPr>
              <w:t>Diluted</w:t>
            </w:r>
          </w:p>
        </w:tc>
        <w:tc>
          <w:tcPr>
            <w:tcW w:w="300" w:type="dxa"/>
            <w:vAlign w:val="bottom"/>
            <w:tcBorders>
              <w:bottom w:val="single" w:sz="8" w:color="auto"/>
            </w:tcBorders>
          </w:tcPr>
          <w:p>
            <w:pPr>
              <w:jc w:val="right"/>
              <w:ind w:right="6"/>
              <w:spacing w:after="0" w:line="151"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5"/>
                <w:szCs w:val="15"/>
                <w:b w:val="1"/>
                <w:bCs w:val="1"/>
                <w:color w:val="auto"/>
              </w:rPr>
              <w:t>1.37</w:t>
            </w:r>
          </w:p>
        </w:tc>
        <w:tc>
          <w:tcPr>
            <w:tcW w:w="900" w:type="dxa"/>
            <w:vAlign w:val="bottom"/>
            <w:tcBorders>
              <w:bottom w:val="single" w:sz="8" w:color="auto"/>
            </w:tcBorders>
          </w:tcPr>
          <w:p>
            <w:pPr>
              <w:jc w:val="right"/>
              <w:ind w:right="589"/>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For the first quarter of 2012, the basic earnings per share computed under the two-class method is lower than the diluted earnings per share compute under the if-converted method for participating securities, resulting in the presentation of the lower amount in diluted earnings per share. The first quar 2012 and 2011 diluted earnings per share amounts exclude the effects of 115,294 and 79,850 stock options outstanding, respectively, as their inclusio would be antidilutive.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 the first quarter of 2012 and 2011, the Company declared regular dividends totaling $4.90 and $4.70 per share,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PENSION AND POSTRETIREMENT PLANS</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color w:val="auto"/>
        </w:rPr>
        <w:t>Defined Benefit Plans</w:t>
      </w:r>
      <w:r>
        <w:rPr>
          <w:rFonts w:ascii="Arial" w:cs="Arial" w:eastAsia="Arial" w:hAnsi="Arial"/>
          <w:sz w:val="17"/>
          <w:szCs w:val="17"/>
          <w:color w:val="auto"/>
        </w:rPr>
        <w:t>. The total cost arising from the Company’s defined benefit pension plans for the first quarter of 2012 and 2011, consists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components: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2"/>
          </w:tcPr>
          <w:p>
            <w:pPr>
              <w:jc w:val="center"/>
              <w:ind w:left="90"/>
              <w:spacing w:after="0"/>
              <w:rPr>
                <w:sz w:val="20"/>
                <w:szCs w:val="20"/>
                <w:color w:val="auto"/>
              </w:rPr>
            </w:pPr>
            <w:r>
              <w:rPr>
                <w:rFonts w:ascii="Arial" w:cs="Arial" w:eastAsia="Arial" w:hAnsi="Arial"/>
                <w:sz w:val="12"/>
                <w:szCs w:val="12"/>
                <w:b w:val="1"/>
                <w:bCs w:val="1"/>
                <w:color w:val="auto"/>
              </w:rPr>
              <w:t>Supplemental Executive</w:t>
            </w:r>
          </w:p>
        </w:tc>
      </w:tr>
      <w:tr>
        <w:trPr>
          <w:trHeight w:val="151"/>
        </w:trPr>
        <w:tc>
          <w:tcPr>
            <w:tcW w:w="5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Pension Plans</w:t>
            </w:r>
          </w:p>
        </w:tc>
        <w:tc>
          <w:tcPr>
            <w:tcW w:w="9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center"/>
              <w:ind w:left="90"/>
              <w:spacing w:after="0"/>
              <w:rPr>
                <w:sz w:val="20"/>
                <w:szCs w:val="20"/>
                <w:color w:val="auto"/>
              </w:rPr>
            </w:pPr>
            <w:r>
              <w:rPr>
                <w:rFonts w:ascii="Arial" w:cs="Arial" w:eastAsia="Arial" w:hAnsi="Arial"/>
                <w:sz w:val="12"/>
                <w:szCs w:val="12"/>
                <w:b w:val="1"/>
                <w:bCs w:val="1"/>
                <w:color w:val="auto"/>
              </w:rPr>
              <w:t>Retirement Plan</w:t>
            </w:r>
          </w:p>
        </w:tc>
      </w:tr>
      <w:tr>
        <w:trPr>
          <w:trHeight w:val="114"/>
        </w:trPr>
        <w:tc>
          <w:tcPr>
            <w:tcW w:w="5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jc w:val="right"/>
              <w:ind w:right="369"/>
              <w:spacing w:after="0" w:line="114" w:lineRule="exact"/>
              <w:rPr>
                <w:sz w:val="20"/>
                <w:szCs w:val="20"/>
                <w:color w:val="auto"/>
              </w:rPr>
            </w:pPr>
            <w:r>
              <w:rPr>
                <w:rFonts w:ascii="Arial" w:cs="Arial" w:eastAsia="Arial" w:hAnsi="Arial"/>
                <w:sz w:val="12"/>
                <w:szCs w:val="12"/>
                <w:b w:val="1"/>
                <w:bCs w:val="1"/>
                <w:color w:val="auto"/>
              </w:rPr>
              <w:t>March 31,</w:t>
            </w:r>
          </w:p>
        </w:tc>
        <w:tc>
          <w:tcPr>
            <w:tcW w:w="500" w:type="dxa"/>
            <w:vAlign w:val="bottom"/>
          </w:tcPr>
          <w:p>
            <w:pPr>
              <w:spacing w:after="0"/>
              <w:rPr>
                <w:sz w:val="9"/>
                <w:szCs w:val="9"/>
                <w:color w:val="auto"/>
              </w:rPr>
            </w:pPr>
          </w:p>
        </w:tc>
        <w:tc>
          <w:tcPr>
            <w:tcW w:w="980" w:type="dxa"/>
            <w:vAlign w:val="bottom"/>
          </w:tcPr>
          <w:p>
            <w:pPr>
              <w:jc w:val="right"/>
              <w:ind w:right="448"/>
              <w:spacing w:after="0" w:line="114" w:lineRule="exact"/>
              <w:rPr>
                <w:sz w:val="20"/>
                <w:szCs w:val="20"/>
                <w:color w:val="auto"/>
              </w:rPr>
            </w:pPr>
            <w:r>
              <w:rPr>
                <w:rFonts w:ascii="Arial" w:cs="Arial" w:eastAsia="Arial" w:hAnsi="Arial"/>
                <w:sz w:val="12"/>
                <w:szCs w:val="12"/>
                <w:color w:val="auto"/>
              </w:rPr>
              <w:t>April 3,</w:t>
            </w:r>
          </w:p>
        </w:tc>
        <w:tc>
          <w:tcPr>
            <w:tcW w:w="400" w:type="dxa"/>
            <w:vAlign w:val="bottom"/>
          </w:tcPr>
          <w:p>
            <w:pPr>
              <w:spacing w:after="0"/>
              <w:rPr>
                <w:sz w:val="9"/>
                <w:szCs w:val="9"/>
                <w:color w:val="auto"/>
              </w:rPr>
            </w:pPr>
          </w:p>
        </w:tc>
        <w:tc>
          <w:tcPr>
            <w:tcW w:w="1080" w:type="dxa"/>
            <w:vAlign w:val="bottom"/>
          </w:tcPr>
          <w:p>
            <w:pPr>
              <w:jc w:val="right"/>
              <w:ind w:right="350"/>
              <w:spacing w:after="0" w:line="114" w:lineRule="exact"/>
              <w:rPr>
                <w:sz w:val="20"/>
                <w:szCs w:val="20"/>
                <w:color w:val="auto"/>
              </w:rPr>
            </w:pPr>
            <w:r>
              <w:rPr>
                <w:rFonts w:ascii="Arial" w:cs="Arial" w:eastAsia="Arial" w:hAnsi="Arial"/>
                <w:sz w:val="12"/>
                <w:szCs w:val="12"/>
                <w:b w:val="1"/>
                <w:bCs w:val="1"/>
                <w:color w:val="auto"/>
              </w:rPr>
              <w:t>March 31,</w:t>
            </w:r>
          </w:p>
        </w:tc>
        <w:tc>
          <w:tcPr>
            <w:tcW w:w="840" w:type="dxa"/>
            <w:vAlign w:val="bottom"/>
          </w:tcPr>
          <w:p>
            <w:pPr>
              <w:jc w:val="center"/>
              <w:ind w:left="432"/>
              <w:spacing w:after="0" w:line="114" w:lineRule="exact"/>
              <w:rPr>
                <w:sz w:val="20"/>
                <w:szCs w:val="20"/>
                <w:color w:val="auto"/>
              </w:rPr>
            </w:pPr>
            <w:r>
              <w:rPr>
                <w:rFonts w:ascii="Arial" w:cs="Arial" w:eastAsia="Arial" w:hAnsi="Arial"/>
                <w:sz w:val="12"/>
                <w:szCs w:val="12"/>
                <w:color w:val="auto"/>
                <w:w w:val="99"/>
              </w:rPr>
              <w:t>April 3</w:t>
            </w:r>
          </w:p>
        </w:tc>
      </w:tr>
      <w:tr>
        <w:trPr>
          <w:trHeight w:val="151"/>
        </w:trPr>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2012</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color w:val="auto"/>
              </w:rPr>
              <w:t>2011</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240" w:type="dxa"/>
            <w:vAlign w:val="bottom"/>
          </w:tcPr>
          <w:p>
            <w:pPr>
              <w:jc w:val="right"/>
              <w:ind w:right="86"/>
              <w:spacing w:after="0" w:line="150" w:lineRule="exact"/>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9,107</w:t>
            </w:r>
          </w:p>
        </w:tc>
        <w:tc>
          <w:tcPr>
            <w:tcW w:w="50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8"/>
              <w:spacing w:after="0" w:line="150" w:lineRule="exact"/>
              <w:rPr>
                <w:sz w:val="20"/>
                <w:szCs w:val="20"/>
                <w:color w:val="auto"/>
              </w:rPr>
            </w:pPr>
            <w:r>
              <w:rPr>
                <w:rFonts w:ascii="Arial" w:cs="Arial" w:eastAsia="Arial" w:hAnsi="Arial"/>
                <w:sz w:val="15"/>
                <w:szCs w:val="15"/>
                <w:color w:val="auto"/>
              </w:rPr>
              <w:t>7,214</w:t>
            </w:r>
          </w:p>
        </w:tc>
        <w:tc>
          <w:tcPr>
            <w:tcW w:w="40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10"/>
              <w:spacing w:after="0" w:line="150" w:lineRule="exact"/>
              <w:rPr>
                <w:sz w:val="20"/>
                <w:szCs w:val="20"/>
                <w:color w:val="auto"/>
              </w:rPr>
            </w:pPr>
            <w:r>
              <w:rPr>
                <w:rFonts w:ascii="Arial" w:cs="Arial" w:eastAsia="Arial" w:hAnsi="Arial"/>
                <w:sz w:val="15"/>
                <w:szCs w:val="15"/>
                <w:b w:val="1"/>
                <w:bCs w:val="1"/>
                <w:color w:val="auto"/>
              </w:rPr>
              <w:t>367</w:t>
            </w:r>
          </w:p>
        </w:tc>
        <w:tc>
          <w:tcPr>
            <w:tcW w:w="840" w:type="dxa"/>
            <w:vAlign w:val="bottom"/>
          </w:tcPr>
          <w:p>
            <w:pPr>
              <w:jc w:val="right"/>
              <w:ind w:right="472"/>
              <w:spacing w:after="0" w:line="150" w:lineRule="exact"/>
              <w:rPr>
                <w:sz w:val="20"/>
                <w:szCs w:val="20"/>
                <w:color w:val="auto"/>
              </w:rPr>
            </w:pPr>
            <w:r>
              <w:rPr>
                <w:rFonts w:ascii="Arial" w:cs="Arial" w:eastAsia="Arial" w:hAnsi="Arial"/>
                <w:sz w:val="15"/>
                <w:szCs w:val="15"/>
                <w:color w:val="auto"/>
              </w:rPr>
              <w:t>$</w:t>
            </w: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Interest cost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14,591</w:t>
            </w:r>
          </w:p>
        </w:tc>
        <w:tc>
          <w:tcPr>
            <w:tcW w:w="5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5"/>
                <w:szCs w:val="15"/>
                <w:color w:val="auto"/>
              </w:rPr>
              <w:t>15,105</w:t>
            </w:r>
          </w:p>
        </w:tc>
        <w:tc>
          <w:tcPr>
            <w:tcW w:w="4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5"/>
                <w:szCs w:val="15"/>
                <w:b w:val="1"/>
                <w:bCs w:val="1"/>
                <w:color w:val="auto"/>
              </w:rPr>
              <w:t>1,060</w:t>
            </w:r>
          </w:p>
        </w:tc>
        <w:tc>
          <w:tcPr>
            <w:tcW w:w="840" w:type="dxa"/>
            <w:vAlign w:val="bottom"/>
          </w:tcPr>
          <w:p>
            <w:pPr>
              <w:spacing w:after="0"/>
              <w:rPr>
                <w:sz w:val="15"/>
                <w:szCs w:val="15"/>
                <w:color w:val="auto"/>
              </w:rPr>
            </w:pP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Expected return on assets</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(24,012)</w:t>
            </w:r>
          </w:p>
        </w:tc>
        <w:tc>
          <w:tcPr>
            <w:tcW w:w="5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5"/>
                <w:szCs w:val="15"/>
                <w:color w:val="auto"/>
              </w:rPr>
              <w:t>(23,489)</w:t>
            </w:r>
          </w:p>
        </w:tc>
        <w:tc>
          <w:tcPr>
            <w:tcW w:w="4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spacing w:after="0"/>
              <w:rPr>
                <w:sz w:val="15"/>
                <w:szCs w:val="15"/>
                <w:color w:val="auto"/>
              </w:rPr>
            </w:pP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937</w:t>
            </w:r>
          </w:p>
        </w:tc>
        <w:tc>
          <w:tcPr>
            <w:tcW w:w="5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5"/>
                <w:szCs w:val="15"/>
                <w:color w:val="auto"/>
              </w:rPr>
              <w:t>881</w:t>
            </w:r>
          </w:p>
        </w:tc>
        <w:tc>
          <w:tcPr>
            <w:tcW w:w="4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5"/>
                <w:szCs w:val="15"/>
                <w:b w:val="1"/>
                <w:bCs w:val="1"/>
                <w:color w:val="auto"/>
              </w:rPr>
              <w:t>14</w:t>
            </w:r>
          </w:p>
        </w:tc>
        <w:tc>
          <w:tcPr>
            <w:tcW w:w="840" w:type="dxa"/>
            <w:vAlign w:val="bottom"/>
          </w:tcPr>
          <w:p>
            <w:pPr>
              <w:spacing w:after="0"/>
              <w:rPr>
                <w:sz w:val="15"/>
                <w:szCs w:val="15"/>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Recognized actuarial loss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1,569</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458</w:t>
            </w:r>
          </w:p>
        </w:tc>
        <w:tc>
          <w:tcPr>
            <w:tcW w:w="840" w:type="dxa"/>
            <w:vAlign w:val="bottom"/>
            <w:tcBorders>
              <w:bottom w:val="single" w:sz="8" w:color="auto"/>
            </w:tcBorders>
          </w:tcPr>
          <w:p>
            <w:pPr>
              <w:spacing w:after="0"/>
              <w:rPr>
                <w:sz w:val="16"/>
                <w:szCs w:val="16"/>
                <w:color w:val="auto"/>
              </w:rPr>
            </w:pP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b w:val="1"/>
                <w:bCs w:val="1"/>
                <w:color w:val="auto"/>
              </w:rPr>
              <w:t>Net Periodic Cost (Benefit)</w:t>
            </w:r>
          </w:p>
        </w:tc>
        <w:tc>
          <w:tcPr>
            <w:tcW w:w="240" w:type="dxa"/>
            <w:vAlign w:val="bottom"/>
          </w:tcPr>
          <w:p>
            <w:pPr>
              <w:spacing w:after="0"/>
              <w:rPr>
                <w:sz w:val="13"/>
                <w:szCs w:val="13"/>
                <w:color w:val="auto"/>
              </w:rPr>
            </w:pPr>
          </w:p>
        </w:tc>
        <w:tc>
          <w:tcPr>
            <w:tcW w:w="11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2,192</w:t>
            </w:r>
          </w:p>
        </w:tc>
        <w:tc>
          <w:tcPr>
            <w:tcW w:w="500" w:type="dxa"/>
            <w:vAlign w:val="bottom"/>
          </w:tcPr>
          <w:p>
            <w:pPr>
              <w:spacing w:after="0"/>
              <w:rPr>
                <w:sz w:val="13"/>
                <w:szCs w:val="13"/>
                <w:color w:val="auto"/>
              </w:rPr>
            </w:pPr>
          </w:p>
        </w:tc>
        <w:tc>
          <w:tcPr>
            <w:tcW w:w="980" w:type="dxa"/>
            <w:vAlign w:val="bottom"/>
          </w:tcPr>
          <w:p>
            <w:pPr>
              <w:jc w:val="right"/>
              <w:ind w:right="8"/>
              <w:spacing w:after="0" w:line="150" w:lineRule="exact"/>
              <w:rPr>
                <w:sz w:val="20"/>
                <w:szCs w:val="20"/>
                <w:color w:val="auto"/>
              </w:rPr>
            </w:pPr>
            <w:r>
              <w:rPr>
                <w:rFonts w:ascii="Arial" w:cs="Arial" w:eastAsia="Arial" w:hAnsi="Arial"/>
                <w:sz w:val="15"/>
                <w:szCs w:val="15"/>
                <w:color w:val="auto"/>
              </w:rPr>
              <w:t>(289)</w:t>
            </w:r>
          </w:p>
        </w:tc>
        <w:tc>
          <w:tcPr>
            <w:tcW w:w="400" w:type="dxa"/>
            <w:vAlign w:val="bottom"/>
          </w:tcPr>
          <w:p>
            <w:pPr>
              <w:spacing w:after="0"/>
              <w:rPr>
                <w:sz w:val="13"/>
                <w:szCs w:val="13"/>
                <w:color w:val="auto"/>
              </w:rPr>
            </w:pPr>
          </w:p>
        </w:tc>
        <w:tc>
          <w:tcPr>
            <w:tcW w:w="1080" w:type="dxa"/>
            <w:vAlign w:val="bottom"/>
          </w:tcPr>
          <w:p>
            <w:pPr>
              <w:jc w:val="right"/>
              <w:ind w:right="10"/>
              <w:spacing w:after="0" w:line="150" w:lineRule="exact"/>
              <w:rPr>
                <w:sz w:val="20"/>
                <w:szCs w:val="20"/>
                <w:color w:val="auto"/>
              </w:rPr>
            </w:pPr>
            <w:r>
              <w:rPr>
                <w:rFonts w:ascii="Arial" w:cs="Arial" w:eastAsia="Arial" w:hAnsi="Arial"/>
                <w:sz w:val="15"/>
                <w:szCs w:val="15"/>
                <w:b w:val="1"/>
                <w:bCs w:val="1"/>
                <w:color w:val="auto"/>
              </w:rPr>
              <w:t>1,899</w:t>
            </w:r>
          </w:p>
        </w:tc>
        <w:tc>
          <w:tcPr>
            <w:tcW w:w="840" w:type="dxa"/>
            <w:vAlign w:val="bottom"/>
          </w:tcPr>
          <w:p>
            <w:pPr>
              <w:spacing w:after="0"/>
              <w:rPr>
                <w:sz w:val="13"/>
                <w:szCs w:val="13"/>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Early retirement program expense</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1,022</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430</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spacing w:after="0"/>
              <w:rPr>
                <w:sz w:val="16"/>
                <w:szCs w:val="16"/>
                <w:color w:val="auto"/>
              </w:rPr>
            </w:pPr>
          </w:p>
        </w:tc>
      </w:tr>
      <w:tr>
        <w:trPr>
          <w:trHeight w:val="166"/>
        </w:trPr>
        <w:tc>
          <w:tcPr>
            <w:tcW w:w="5720" w:type="dxa"/>
            <w:vAlign w:val="bottom"/>
          </w:tcPr>
          <w:p>
            <w:pPr>
              <w:spacing w:after="0" w:line="167" w:lineRule="exact"/>
              <w:rPr>
                <w:sz w:val="20"/>
                <w:szCs w:val="20"/>
                <w:color w:val="auto"/>
              </w:rPr>
            </w:pPr>
            <w:r>
              <w:rPr>
                <w:rFonts w:ascii="Arial" w:cs="Arial" w:eastAsia="Arial" w:hAnsi="Arial"/>
                <w:sz w:val="15"/>
                <w:szCs w:val="15"/>
                <w:b w:val="1"/>
                <w:bCs w:val="1"/>
                <w:color w:val="auto"/>
              </w:rPr>
              <w:t>Total Cost</w:t>
            </w:r>
          </w:p>
        </w:tc>
        <w:tc>
          <w:tcPr>
            <w:tcW w:w="2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3,214</w:t>
            </w:r>
          </w:p>
        </w:tc>
        <w:tc>
          <w:tcPr>
            <w:tcW w:w="500" w:type="dxa"/>
            <w:vAlign w:val="bottom"/>
            <w:tcBorders>
              <w:bottom w:val="single" w:sz="8" w:color="auto"/>
            </w:tcBorders>
          </w:tcPr>
          <w:p>
            <w:pPr>
              <w:jc w:val="right"/>
              <w:ind w:right="26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color w:val="auto"/>
              </w:rPr>
              <w:t>141</w:t>
            </w:r>
          </w:p>
        </w:tc>
        <w:tc>
          <w:tcPr>
            <w:tcW w:w="400" w:type="dxa"/>
            <w:vAlign w:val="bottom"/>
            <w:tcBorders>
              <w:bottom w:val="single" w:sz="8" w:color="auto"/>
            </w:tcBorders>
          </w:tcPr>
          <w:p>
            <w:pPr>
              <w:jc w:val="right"/>
              <w:ind w:right="166"/>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1,899</w:t>
            </w:r>
          </w:p>
        </w:tc>
        <w:tc>
          <w:tcPr>
            <w:tcW w:w="840" w:type="dxa"/>
            <w:vAlign w:val="bottom"/>
            <w:tcBorders>
              <w:bottom w:val="single" w:sz="8" w:color="auto"/>
            </w:tcBorders>
          </w:tcPr>
          <w:p>
            <w:pPr>
              <w:jc w:val="right"/>
              <w:ind w:right="612"/>
              <w:spacing w:after="0" w:line="167" w:lineRule="exact"/>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the first quarter of 2012, the Company offered a Voluntary Retirement Incentive Program to certain employees of Post-Newsweek Media and record early retirement program expense of $1.0 million. In the first quarter of 2011, the Company offered a Voluntary Retirement Incentive Program to certai employees of Robinson Terminal Warehouse and recorded early retirement program expense of $0.4 million. The early retirement program expense fo these programs is funded from the assets of the Company’s pension plans.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14" w:name="page15"/>
    <w:bookmarkEnd w:id="14"/>
    <w:p>
      <w:pPr>
        <w:jc w:val="both"/>
        <w:ind w:right="20"/>
        <w:spacing w:after="0" w:line="242" w:lineRule="auto"/>
        <w:rPr>
          <w:sz w:val="20"/>
          <w:szCs w:val="20"/>
          <w:color w:val="auto"/>
        </w:rPr>
      </w:pPr>
      <w:r>
        <w:rPr>
          <w:rFonts w:ascii="Arial" w:cs="Arial" w:eastAsia="Arial" w:hAnsi="Arial"/>
          <w:sz w:val="17"/>
          <w:szCs w:val="17"/>
          <w:b w:val="1"/>
          <w:bCs w:val="1"/>
          <w:color w:val="auto"/>
        </w:rPr>
        <w:t>Defined Benefit Plan Assets</w:t>
      </w:r>
      <w:r>
        <w:rPr>
          <w:rFonts w:ascii="Arial" w:cs="Arial" w:eastAsia="Arial" w:hAnsi="Arial"/>
          <w:sz w:val="17"/>
          <w:szCs w:val="17"/>
          <w:color w:val="auto"/>
        </w:rPr>
        <w:t>. The Company’s defined benefit pension obligations are funded by a portfolio made up of a relatively small number of s</w:t>
      </w:r>
      <w:r>
        <w:rPr>
          <w:rFonts w:ascii="Arial" w:cs="Arial" w:eastAsia="Arial" w:hAnsi="Arial"/>
          <w:sz w:val="17"/>
          <w:szCs w:val="17"/>
          <w:b w:val="1"/>
          <w:bCs w:val="1"/>
          <w:color w:val="auto"/>
        </w:rPr>
        <w:t xml:space="preserve"> </w:t>
      </w:r>
      <w:r>
        <w:rPr>
          <w:rFonts w:ascii="Arial" w:cs="Arial" w:eastAsia="Arial" w:hAnsi="Arial"/>
          <w:sz w:val="17"/>
          <w:szCs w:val="17"/>
          <w:color w:val="auto"/>
        </w:rPr>
        <w:t>and high-quality fixed-income securities that are held by a third-party trustee. As of March 31, 2012 and December 31, 2011, the assets of the Compa pension plans were allocated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1100" w:type="dxa"/>
            <w:vAlign w:val="bottom"/>
          </w:tcPr>
          <w:p>
            <w:pPr>
              <w:jc w:val="center"/>
              <w:ind w:left="458"/>
              <w:spacing w:after="0"/>
              <w:rPr>
                <w:sz w:val="20"/>
                <w:szCs w:val="20"/>
                <w:color w:val="auto"/>
              </w:rPr>
            </w:pPr>
            <w:r>
              <w:rPr>
                <w:rFonts w:ascii="Arial" w:cs="Arial" w:eastAsia="Arial" w:hAnsi="Arial"/>
                <w:sz w:val="12"/>
                <w:szCs w:val="12"/>
                <w:b w:val="1"/>
                <w:bCs w:val="1"/>
                <w:color w:val="auto"/>
              </w:rPr>
              <w:t>March 31,</w:t>
            </w:r>
          </w:p>
        </w:tc>
        <w:tc>
          <w:tcPr>
            <w:tcW w:w="1840" w:type="dxa"/>
            <w:vAlign w:val="bottom"/>
          </w:tcPr>
          <w:p>
            <w:pPr>
              <w:jc w:val="right"/>
              <w:spacing w:after="0"/>
              <w:rPr>
                <w:sz w:val="20"/>
                <w:szCs w:val="20"/>
                <w:color w:val="auto"/>
              </w:rPr>
            </w:pPr>
            <w:r>
              <w:rPr>
                <w:rFonts w:ascii="Arial" w:cs="Arial" w:eastAsia="Arial" w:hAnsi="Arial"/>
                <w:sz w:val="12"/>
                <w:szCs w:val="12"/>
                <w:color w:val="auto"/>
              </w:rPr>
              <w:t>December 3</w:t>
            </w:r>
          </w:p>
        </w:tc>
      </w:tr>
      <w:tr>
        <w:trPr>
          <w:trHeight w:val="151"/>
        </w:trPr>
        <w:tc>
          <w:tcPr>
            <w:tcW w:w="910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2"/>
                <w:szCs w:val="12"/>
                <w:b w:val="1"/>
                <w:bCs w:val="1"/>
                <w:color w:val="auto"/>
              </w:rPr>
              <w:t>2012</w:t>
            </w:r>
          </w:p>
        </w:tc>
        <w:tc>
          <w:tcPr>
            <w:tcW w:w="184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color w:val="auto"/>
              </w:rPr>
              <w:t>2011</w:t>
            </w:r>
          </w:p>
        </w:tc>
      </w:tr>
      <w:tr>
        <w:trPr>
          <w:trHeight w:val="150"/>
        </w:trPr>
        <w:tc>
          <w:tcPr>
            <w:tcW w:w="9100" w:type="dxa"/>
            <w:vAlign w:val="bottom"/>
            <w:gridSpan w:val="2"/>
          </w:tcPr>
          <w:p>
            <w:pPr>
              <w:spacing w:after="0" w:line="150" w:lineRule="exact"/>
              <w:rPr>
                <w:sz w:val="20"/>
                <w:szCs w:val="20"/>
                <w:color w:val="auto"/>
              </w:rPr>
            </w:pPr>
            <w:r>
              <w:rPr>
                <w:rFonts w:ascii="Arial" w:cs="Arial" w:eastAsia="Arial" w:hAnsi="Arial"/>
                <w:sz w:val="15"/>
                <w:szCs w:val="15"/>
                <w:color w:val="auto"/>
              </w:rPr>
              <w:t>U.S. equities</w:t>
            </w:r>
          </w:p>
        </w:tc>
        <w:tc>
          <w:tcPr>
            <w:tcW w:w="1840" w:type="dxa"/>
            <w:vAlign w:val="bottom"/>
          </w:tcPr>
          <w:p>
            <w:pPr>
              <w:jc w:val="right"/>
              <w:ind w:right="1350"/>
              <w:spacing w:after="0" w:line="150" w:lineRule="exact"/>
              <w:rPr>
                <w:sz w:val="20"/>
                <w:szCs w:val="20"/>
                <w:color w:val="auto"/>
              </w:rPr>
            </w:pPr>
            <w:r>
              <w:rPr>
                <w:rFonts w:ascii="Arial" w:cs="Arial" w:eastAsia="Arial" w:hAnsi="Arial"/>
                <w:sz w:val="15"/>
                <w:szCs w:val="15"/>
                <w:b w:val="1"/>
                <w:bCs w:val="1"/>
                <w:color w:val="auto"/>
              </w:rPr>
              <w:t>69 %</w:t>
            </w:r>
          </w:p>
        </w:tc>
      </w:tr>
      <w:tr>
        <w:trPr>
          <w:trHeight w:val="174"/>
        </w:trPr>
        <w:tc>
          <w:tcPr>
            <w:tcW w:w="9100" w:type="dxa"/>
            <w:vAlign w:val="bottom"/>
            <w:gridSpan w:val="2"/>
          </w:tcPr>
          <w:p>
            <w:pPr>
              <w:spacing w:after="0"/>
              <w:rPr>
                <w:sz w:val="20"/>
                <w:szCs w:val="20"/>
                <w:color w:val="auto"/>
              </w:rPr>
            </w:pPr>
            <w:r>
              <w:rPr>
                <w:rFonts w:ascii="Arial" w:cs="Arial" w:eastAsia="Arial" w:hAnsi="Arial"/>
                <w:sz w:val="15"/>
                <w:szCs w:val="15"/>
                <w:color w:val="auto"/>
              </w:rPr>
              <w:t>U.S. fixed income</w:t>
            </w:r>
          </w:p>
        </w:tc>
        <w:tc>
          <w:tcPr>
            <w:tcW w:w="1840" w:type="dxa"/>
            <w:vAlign w:val="bottom"/>
          </w:tcPr>
          <w:p>
            <w:pPr>
              <w:jc w:val="right"/>
              <w:ind w:right="1350"/>
              <w:spacing w:after="0"/>
              <w:rPr>
                <w:sz w:val="20"/>
                <w:szCs w:val="20"/>
                <w:color w:val="auto"/>
              </w:rPr>
            </w:pPr>
            <w:r>
              <w:rPr>
                <w:rFonts w:ascii="Arial" w:cs="Arial" w:eastAsia="Arial" w:hAnsi="Arial"/>
                <w:sz w:val="15"/>
                <w:szCs w:val="15"/>
                <w:b w:val="1"/>
                <w:bCs w:val="1"/>
                <w:color w:val="auto"/>
              </w:rPr>
              <w:t>10 %</w:t>
            </w:r>
          </w:p>
        </w:tc>
      </w:tr>
      <w:tr>
        <w:trPr>
          <w:trHeight w:val="190"/>
        </w:trPr>
        <w:tc>
          <w:tcPr>
            <w:tcW w:w="9100" w:type="dxa"/>
            <w:vAlign w:val="bottom"/>
            <w:gridSpan w:val="2"/>
          </w:tcPr>
          <w:p>
            <w:pPr>
              <w:spacing w:after="0"/>
              <w:rPr>
                <w:sz w:val="20"/>
                <w:szCs w:val="20"/>
                <w:color w:val="auto"/>
              </w:rPr>
            </w:pPr>
            <w:r>
              <w:rPr>
                <w:rFonts w:ascii="Arial" w:cs="Arial" w:eastAsia="Arial" w:hAnsi="Arial"/>
                <w:sz w:val="15"/>
                <w:szCs w:val="15"/>
                <w:color w:val="auto"/>
              </w:rPr>
              <w:t>International equities</w:t>
            </w:r>
          </w:p>
        </w:tc>
        <w:tc>
          <w:tcPr>
            <w:tcW w:w="1840" w:type="dxa"/>
            <w:vAlign w:val="bottom"/>
          </w:tcPr>
          <w:p>
            <w:pPr>
              <w:jc w:val="right"/>
              <w:ind w:right="1350"/>
              <w:spacing w:after="0"/>
              <w:rPr>
                <w:sz w:val="20"/>
                <w:szCs w:val="20"/>
                <w:color w:val="auto"/>
              </w:rPr>
            </w:pPr>
            <w:r>
              <w:rPr>
                <w:rFonts w:ascii="Arial" w:cs="Arial" w:eastAsia="Arial" w:hAnsi="Arial"/>
                <w:sz w:val="15"/>
                <w:szCs w:val="15"/>
                <w:b w:val="1"/>
                <w:bCs w:val="1"/>
                <w:color w:val="auto"/>
              </w:rPr>
              <w:t>21 %</w:t>
            </w:r>
          </w:p>
        </w:tc>
      </w:tr>
      <w:tr>
        <w:trPr>
          <w:trHeight w:val="166"/>
        </w:trPr>
        <w:tc>
          <w:tcPr>
            <w:tcW w:w="800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350"/>
              <w:spacing w:after="0" w:line="167" w:lineRule="exact"/>
              <w:rPr>
                <w:sz w:val="20"/>
                <w:szCs w:val="20"/>
                <w:color w:val="auto"/>
              </w:rPr>
            </w:pPr>
            <w:r>
              <w:rPr>
                <w:rFonts w:ascii="Arial" w:cs="Arial" w:eastAsia="Arial" w:hAnsi="Arial"/>
                <w:sz w:val="15"/>
                <w:szCs w:val="15"/>
                <w:b w:val="1"/>
                <w:bCs w:val="1"/>
                <w:color w:val="auto"/>
                <w:w w:val="93"/>
              </w:rPr>
              <w:t>100 %</w:t>
            </w: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Essentially all of the assets are actively managed by two investment companies. The goal of the investment managers is to produce moderate long-te growth in the value of these assets, while protecting them against large decreases in value. Both of these managers may invest in a combination of eq and fixed-income securities and cash. The managers are not permitted to invest in securities of the Company or in alternative investments. The invest managers cannot invest more than 20% of the assets at the time of purchase in the stock of Berkshire Hathaway or more than 10% of the assets in th securities of any other single issuer, except for obligations of the U.S. Government, without receiving prior approval by the Plan administrator. As of M 31, 2012, the managers can invest no more than 24% of the assets in international stocks at the time the investment is made, and no less than 10% o assets could be invested in fixed-income securities. None of the assets is managed internally by the Company.</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determining the expected rate of return on plan assets, the Company considers the relative weighting of plan assets, the historical performance of t plan assets and individual asset classes and economic and other indicators of future performance. In addition, the Company may consult with and con the input of financial and other professionals in developing appropriate return benchmarks.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Company evaluated its defined benefit pension plan asset portfolio for the existence of significant concentrations (defined as greater than 10% of assets) of credit risk as of March 31, 2012. Types of concentrations that were evaluated include, but are not limited to, investment concentrations in a entity, type of industry, foreign country and individual fund. At March 31, 2012 the Company held common stock in one investment which exceeded 10 total plan assets. This investment was valued at $237.5 million and $222.4 million at March 31, 2012 and December 31, 2011, respectively, or approxi 12% of total plan assets at these respective dates. Assets also included $163.6 million and $154.0 million of Berkshire Hathaway common stock at Ma 31, 2012 and December 31, 2011, respectively. At March 31, 2012 the Company held investments in one foreign country which exceeded 10% of total assets. These investments were valued at $257.3 million and $241.4 million at March 31, 2012 and December 31, 2011, respectively, or approximatel of total plan assets at these respective dates.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w w:val="97"/>
              </w:rPr>
              <w:t>Other Postretirement Plans</w:t>
            </w:r>
            <w:r>
              <w:rPr>
                <w:rFonts w:ascii="Arial" w:cs="Arial" w:eastAsia="Arial" w:hAnsi="Arial"/>
                <w:sz w:val="17"/>
                <w:szCs w:val="17"/>
                <w:color w:val="auto"/>
                <w:w w:val="97"/>
              </w:rPr>
              <w:t>. The total benefit arising from the Company’s postretirement plans for the first quarter of</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w w:val="96"/>
              </w:rPr>
              <w:t>2012 and 2011, consists of the</w:t>
            </w:r>
          </w:p>
        </w:tc>
      </w:tr>
      <w:tr>
        <w:trPr>
          <w:trHeight w:val="198"/>
        </w:trPr>
        <w:tc>
          <w:tcPr>
            <w:tcW w:w="8580" w:type="dxa"/>
            <w:vAlign w:val="bottom"/>
          </w:tcPr>
          <w:p>
            <w:pPr>
              <w:spacing w:after="0"/>
              <w:rPr>
                <w:sz w:val="20"/>
                <w:szCs w:val="20"/>
                <w:color w:val="auto"/>
              </w:rPr>
            </w:pPr>
            <w:r>
              <w:rPr>
                <w:rFonts w:ascii="Arial" w:cs="Arial" w:eastAsia="Arial" w:hAnsi="Arial"/>
                <w:sz w:val="17"/>
                <w:szCs w:val="17"/>
                <w:color w:val="auto"/>
              </w:rPr>
              <w:t>following components:</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97"/>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Arial" w:cs="Arial" w:eastAsia="Arial" w:hAnsi="Arial"/>
                <w:sz w:val="12"/>
                <w:szCs w:val="12"/>
                <w:b w:val="1"/>
                <w:bCs w:val="1"/>
                <w:color w:val="auto"/>
              </w:rPr>
              <w:t>March 31,</w:t>
            </w:r>
          </w:p>
        </w:tc>
        <w:tc>
          <w:tcPr>
            <w:tcW w:w="960" w:type="dxa"/>
            <w:vAlign w:val="bottom"/>
          </w:tcPr>
          <w:p>
            <w:pPr>
              <w:jc w:val="right"/>
              <w:spacing w:after="0"/>
              <w:rPr>
                <w:sz w:val="20"/>
                <w:szCs w:val="20"/>
                <w:color w:val="auto"/>
              </w:rPr>
            </w:pPr>
            <w:r>
              <w:rPr>
                <w:rFonts w:ascii="Arial" w:cs="Arial" w:eastAsia="Arial" w:hAnsi="Arial"/>
                <w:sz w:val="12"/>
                <w:szCs w:val="12"/>
                <w:color w:val="auto"/>
              </w:rPr>
              <w:t>April 3,</w:t>
            </w:r>
          </w:p>
        </w:tc>
      </w:tr>
      <w:tr>
        <w:trPr>
          <w:trHeight w:val="151"/>
        </w:trPr>
        <w:tc>
          <w:tcPr>
            <w:tcW w:w="8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b w:val="1"/>
                <w:bCs w:val="1"/>
                <w:color w:val="auto"/>
              </w:rPr>
              <w:t>2012</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color w:val="auto"/>
              </w:rPr>
              <w:t>2011</w:t>
            </w:r>
          </w:p>
        </w:tc>
      </w:tr>
      <w:tr>
        <w:trPr>
          <w:trHeight w:val="150"/>
        </w:trPr>
        <w:tc>
          <w:tcPr>
            <w:tcW w:w="858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100" w:type="dxa"/>
            <w:vAlign w:val="bottom"/>
          </w:tcPr>
          <w:p>
            <w:pPr>
              <w:jc w:val="right"/>
              <w:spacing w:after="0" w:line="150" w:lineRule="exact"/>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8"/>
              <w:spacing w:after="0" w:line="150" w:lineRule="exact"/>
              <w:rPr>
                <w:sz w:val="20"/>
                <w:szCs w:val="20"/>
                <w:color w:val="auto"/>
              </w:rPr>
            </w:pPr>
            <w:r>
              <w:rPr>
                <w:rFonts w:ascii="Arial" w:cs="Arial" w:eastAsia="Arial" w:hAnsi="Arial"/>
                <w:sz w:val="15"/>
                <w:szCs w:val="15"/>
                <w:b w:val="1"/>
                <w:bCs w:val="1"/>
                <w:color w:val="auto"/>
              </w:rPr>
              <w:t>778</w:t>
            </w:r>
          </w:p>
        </w:tc>
        <w:tc>
          <w:tcPr>
            <w:tcW w:w="960" w:type="dxa"/>
            <w:vAlign w:val="bottom"/>
          </w:tcPr>
          <w:p>
            <w:pPr>
              <w:jc w:val="right"/>
              <w:ind w:right="591"/>
              <w:spacing w:after="0" w:line="150" w:lineRule="exact"/>
              <w:rPr>
                <w:sz w:val="20"/>
                <w:szCs w:val="20"/>
                <w:color w:val="auto"/>
              </w:rPr>
            </w:pPr>
            <w:r>
              <w:rPr>
                <w:rFonts w:ascii="Arial" w:cs="Arial" w:eastAsia="Arial" w:hAnsi="Arial"/>
                <w:sz w:val="15"/>
                <w:szCs w:val="15"/>
                <w:color w:val="auto"/>
              </w:rPr>
              <w:t>$</w:t>
            </w:r>
          </w:p>
        </w:tc>
      </w:tr>
      <w:tr>
        <w:trPr>
          <w:trHeight w:val="174"/>
        </w:trPr>
        <w:tc>
          <w:tcPr>
            <w:tcW w:w="8580" w:type="dxa"/>
            <w:vAlign w:val="bottom"/>
          </w:tcPr>
          <w:p>
            <w:pPr>
              <w:spacing w:after="0"/>
              <w:rPr>
                <w:sz w:val="20"/>
                <w:szCs w:val="20"/>
                <w:color w:val="auto"/>
              </w:rPr>
            </w:pPr>
            <w:r>
              <w:rPr>
                <w:rFonts w:ascii="Arial" w:cs="Arial" w:eastAsia="Arial" w:hAnsi="Arial"/>
                <w:sz w:val="15"/>
                <w:szCs w:val="15"/>
                <w:color w:val="auto"/>
              </w:rPr>
              <w:t>Interest cost</w:t>
            </w:r>
          </w:p>
        </w:tc>
        <w:tc>
          <w:tcPr>
            <w:tcW w:w="10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5"/>
                <w:szCs w:val="15"/>
                <w:b w:val="1"/>
                <w:bCs w:val="1"/>
                <w:color w:val="auto"/>
              </w:rPr>
              <w:t>684</w:t>
            </w:r>
          </w:p>
        </w:tc>
        <w:tc>
          <w:tcPr>
            <w:tcW w:w="960" w:type="dxa"/>
            <w:vAlign w:val="bottom"/>
          </w:tcPr>
          <w:p>
            <w:pPr>
              <w:spacing w:after="0"/>
              <w:rPr>
                <w:sz w:val="15"/>
                <w:szCs w:val="15"/>
                <w:color w:val="auto"/>
              </w:rPr>
            </w:pPr>
          </w:p>
        </w:tc>
      </w:tr>
      <w:tr>
        <w:trPr>
          <w:trHeight w:val="174"/>
        </w:trPr>
        <w:tc>
          <w:tcPr>
            <w:tcW w:w="8580" w:type="dxa"/>
            <w:vAlign w:val="bottom"/>
          </w:tcPr>
          <w:p>
            <w:pPr>
              <w:spacing w:after="0"/>
              <w:rPr>
                <w:sz w:val="20"/>
                <w:szCs w:val="20"/>
                <w:color w:val="auto"/>
              </w:rPr>
            </w:pPr>
            <w:r>
              <w:rPr>
                <w:rFonts w:ascii="Arial" w:cs="Arial" w:eastAsia="Arial" w:hAnsi="Arial"/>
                <w:sz w:val="15"/>
                <w:szCs w:val="15"/>
                <w:color w:val="auto"/>
              </w:rPr>
              <w:t>Amortization of prior service credit</w:t>
            </w:r>
          </w:p>
        </w:tc>
        <w:tc>
          <w:tcPr>
            <w:tcW w:w="10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5"/>
                <w:szCs w:val="15"/>
                <w:b w:val="1"/>
                <w:bCs w:val="1"/>
                <w:color w:val="auto"/>
              </w:rPr>
              <w:t>(1,402)</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Recognized actuarial gain</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(370)</w:t>
            </w:r>
          </w:p>
        </w:tc>
        <w:tc>
          <w:tcPr>
            <w:tcW w:w="960" w:type="dxa"/>
            <w:vAlign w:val="bottom"/>
            <w:tcBorders>
              <w:bottom w:val="single" w:sz="8" w:color="auto"/>
            </w:tcBorders>
          </w:tcPr>
          <w:p>
            <w:pPr>
              <w:spacing w:after="0"/>
              <w:rPr>
                <w:sz w:val="16"/>
                <w:szCs w:val="16"/>
                <w:color w:val="auto"/>
              </w:rPr>
            </w:pPr>
          </w:p>
        </w:tc>
      </w:tr>
      <w:tr>
        <w:trPr>
          <w:trHeight w:val="166"/>
        </w:trPr>
        <w:tc>
          <w:tcPr>
            <w:tcW w:w="8580" w:type="dxa"/>
            <w:vAlign w:val="bottom"/>
          </w:tcPr>
          <w:p>
            <w:pPr>
              <w:spacing w:after="0" w:line="167" w:lineRule="exact"/>
              <w:rPr>
                <w:sz w:val="20"/>
                <w:szCs w:val="20"/>
                <w:color w:val="auto"/>
              </w:rPr>
            </w:pPr>
            <w:r>
              <w:rPr>
                <w:rFonts w:ascii="Arial" w:cs="Arial" w:eastAsia="Arial" w:hAnsi="Arial"/>
                <w:sz w:val="15"/>
                <w:szCs w:val="15"/>
                <w:b w:val="1"/>
                <w:bCs w:val="1"/>
                <w:color w:val="auto"/>
              </w:rPr>
              <w:t>Total Periodic Benefit</w:t>
            </w:r>
          </w:p>
        </w:tc>
        <w:tc>
          <w:tcPr>
            <w:tcW w:w="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(310)</w:t>
            </w:r>
          </w:p>
        </w:tc>
        <w:tc>
          <w:tcPr>
            <w:tcW w:w="960" w:type="dxa"/>
            <w:vAlign w:val="bottom"/>
            <w:tcBorders>
              <w:bottom w:val="single" w:sz="8" w:color="auto"/>
            </w:tcBorders>
          </w:tcPr>
          <w:p>
            <w:pPr>
              <w:jc w:val="right"/>
              <w:ind w:right="731"/>
              <w:spacing w:after="0" w:line="167" w:lineRule="exact"/>
              <w:rPr>
                <w:sz w:val="20"/>
                <w:szCs w:val="20"/>
                <w:color w:val="auto"/>
              </w:rPr>
            </w:pPr>
            <w:r>
              <w:rPr>
                <w:rFonts w:ascii="Arial" w:cs="Arial" w:eastAsia="Arial" w:hAnsi="Arial"/>
                <w:sz w:val="15"/>
                <w:szCs w:val="15"/>
                <w:color w:val="auto"/>
              </w:rPr>
              <w:t>$</w:t>
            </w: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OTHER NON-OPERATING INCOME (EXPENSE)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income (expense) for the three months ended March 31, 2012 and April 3, 2011, is as follows:</w:t>
      </w:r>
    </w:p>
    <w:p>
      <w:pPr>
        <w:sectPr>
          <w:pgSz w:w="11900" w:h="16838" w:orient="portrait"/>
          <w:cols w:equalWidth="0" w:num="1">
            <w:col w:w="10940"/>
          </w:cols>
          <w:pgMar w:left="820" w:top="578" w:right="1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95325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Gain on sale of cost method investments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Foreign currency gains, net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Impairment write-down on a marketable equity security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Other, net</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Total Other Non-Operating Income (Expense)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1160" w:type="dxa"/>
            <w:vAlign w:val="bottom"/>
          </w:tcPr>
          <w:p>
            <w:pPr>
              <w:jc w:val="right"/>
              <w:ind w:right="369"/>
              <w:spacing w:after="0"/>
              <w:rPr>
                <w:sz w:val="20"/>
                <w:szCs w:val="20"/>
                <w:color w:val="auto"/>
              </w:rPr>
            </w:pPr>
            <w:r>
              <w:rPr>
                <w:rFonts w:ascii="Arial" w:cs="Arial" w:eastAsia="Arial" w:hAnsi="Arial"/>
                <w:sz w:val="12"/>
                <w:szCs w:val="12"/>
                <w:b w:val="1"/>
                <w:bCs w:val="1"/>
                <w:color w:val="auto"/>
              </w:rPr>
              <w:t>March 31,</w:t>
            </w:r>
          </w:p>
        </w:tc>
        <w:tc>
          <w:tcPr>
            <w:tcW w:w="3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April 3,</w:t>
            </w:r>
          </w:p>
        </w:tc>
      </w:tr>
      <w:tr>
        <w:trPr>
          <w:trHeight w:val="147"/>
        </w:trPr>
        <w:tc>
          <w:tcPr>
            <w:tcW w:w="240" w:type="dxa"/>
            <w:vAlign w:val="bottom"/>
          </w:tcPr>
          <w:p>
            <w:pPr>
              <w:spacing w:after="0"/>
              <w:rPr>
                <w:sz w:val="12"/>
                <w:szCs w:val="12"/>
                <w:color w:val="auto"/>
              </w:rPr>
            </w:pPr>
          </w:p>
        </w:tc>
        <w:tc>
          <w:tcPr>
            <w:tcW w:w="1160" w:type="dxa"/>
            <w:vAlign w:val="bottom"/>
          </w:tcPr>
          <w:p>
            <w:pPr>
              <w:jc w:val="right"/>
              <w:ind w:right="529"/>
              <w:spacing w:after="0"/>
              <w:rPr>
                <w:sz w:val="20"/>
                <w:szCs w:val="20"/>
                <w:color w:val="auto"/>
              </w:rPr>
            </w:pPr>
            <w:r>
              <w:rPr>
                <w:rFonts w:ascii="Arial" w:cs="Arial" w:eastAsia="Arial" w:hAnsi="Arial"/>
                <w:sz w:val="12"/>
                <w:szCs w:val="12"/>
                <w:b w:val="1"/>
                <w:bCs w:val="1"/>
                <w:color w:val="auto"/>
              </w:rPr>
              <w:t>2012</w:t>
            </w:r>
          </w:p>
        </w:tc>
        <w:tc>
          <w:tcPr>
            <w:tcW w:w="360" w:type="dxa"/>
            <w:vAlign w:val="bottom"/>
          </w:tcPr>
          <w:p>
            <w:pPr>
              <w:spacing w:after="0"/>
              <w:rPr>
                <w:sz w:val="12"/>
                <w:szCs w:val="12"/>
                <w:color w:val="auto"/>
              </w:rPr>
            </w:pPr>
          </w:p>
        </w:tc>
        <w:tc>
          <w:tcPr>
            <w:tcW w:w="600" w:type="dxa"/>
            <w:vAlign w:val="bottom"/>
          </w:tcPr>
          <w:p>
            <w:pPr>
              <w:jc w:val="right"/>
              <w:ind w:right="12"/>
              <w:spacing w:after="0"/>
              <w:rPr>
                <w:sz w:val="20"/>
                <w:szCs w:val="20"/>
                <w:color w:val="auto"/>
              </w:rPr>
            </w:pPr>
            <w:r>
              <w:rPr>
                <w:rFonts w:ascii="Arial" w:cs="Arial" w:eastAsia="Arial" w:hAnsi="Arial"/>
                <w:sz w:val="12"/>
                <w:szCs w:val="12"/>
                <w:color w:val="auto"/>
              </w:rPr>
              <w:t>2011</w:t>
            </w:r>
          </w:p>
        </w:tc>
      </w:tr>
      <w:tr>
        <w:trPr>
          <w:trHeight w:val="174"/>
        </w:trPr>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ind w:right="9"/>
              <w:spacing w:after="0"/>
              <w:rPr>
                <w:sz w:val="20"/>
                <w:szCs w:val="20"/>
                <w:color w:val="auto"/>
              </w:rPr>
            </w:pPr>
            <w:r>
              <w:rPr>
                <w:rFonts w:ascii="Arial" w:cs="Arial" w:eastAsia="Arial" w:hAnsi="Arial"/>
                <w:sz w:val="15"/>
                <w:szCs w:val="15"/>
                <w:b w:val="1"/>
                <w:bCs w:val="1"/>
                <w:color w:val="auto"/>
              </w:rPr>
              <w:t>5,817</w:t>
            </w:r>
          </w:p>
        </w:tc>
        <w:tc>
          <w:tcPr>
            <w:tcW w:w="3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b w:val="1"/>
                <w:bCs w:val="1"/>
                <w:color w:val="auto"/>
              </w:rPr>
              <w:t>2,660</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111</w:t>
            </w: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66"/>
        </w:trPr>
        <w:tc>
          <w:tcPr>
            <w:tcW w:w="2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b w:val="1"/>
                <w:bCs w:val="1"/>
                <w:color w:val="auto"/>
              </w:rPr>
              <w:t>8,588</w:t>
            </w:r>
          </w:p>
        </w:tc>
        <w:tc>
          <w:tcPr>
            <w:tcW w:w="36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7860" w:space="720"/>
            <w:col w:w="2360"/>
          </w:cols>
          <w:pgMar w:left="820" w:top="578" w:right="139" w:bottom="1440" w:gutter="0" w:footer="0" w:header="0"/>
          <w:type w:val="continuous"/>
        </w:sectPr>
      </w:pPr>
    </w:p>
    <w:p>
      <w:pPr>
        <w:jc w:val="center"/>
        <w:ind w:left="1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86360</wp:posOffset>
            </wp:positionV>
            <wp:extent cx="727837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78" w:right="1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10. CONTINGENCIES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Litigation and Legal Matters. </w:t>
      </w:r>
      <w:r>
        <w:rPr>
          <w:rFonts w:ascii="Arial" w:cs="Arial" w:eastAsia="Arial" w:hAnsi="Arial"/>
          <w:sz w:val="16"/>
          <w:szCs w:val="16"/>
          <w:color w:val="auto"/>
        </w:rPr>
        <w:t>The Company is involved in various legal proceedings that arise in the ordinary course of its business. Although the ou</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legal claims and proceedings against the Company cannot be predicted with certainty, based on currently available information, management b that there are no existing claims or proceedings that are likely to have a material effect on the Company's business, financial condition, results of oper or cash flows. Also, based on currently available information, management is of the opinion that the exposure to future material losses from existing le proceedings is not reasonably possible, or that future material losses in excess of the amounts accrued are not reasonably possible.</w:t>
      </w:r>
    </w:p>
    <w:p>
      <w:pPr>
        <w:spacing w:after="0" w:line="167"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A purported class action complaint was filed against the Company, Donald E. Graham and Hal S. Jones on October 28, 2010, in the U.S. District Cour the District of Columbia, by the Plumbers Local #200 Pension Fund. The complaint alleged that the Company and certain of its officers made materiall and misleading statements, or failed to disclose material facts relating to KHE, in violation of the U.S. Federal securities laws. The complaint sought damages, attorneys’ fees, costs and equitable/injunctive relief. The Company moved to dismiss the complaint, and on December 23, 2011, the court g the Company’s motion and dismissed the case with prejudice. On January 25, 2012, the Plaintiff filed a motion seeking leave to amend or alter that fin judgment. The court granted the Plaintiff’s motion to alter the dismissal and granted leave to file an amended complaint. The Company intends to file a motion to dismiss the amended complaint and will continue to vigorously defend against this action.</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With regard to the previously disclosed Gatsiopoulos case, the federal False Claims Act allegations have been dismissed and the employment claim h been resolved.</w:t>
      </w:r>
    </w:p>
    <w:p>
      <w:pPr>
        <w:spacing w:after="0" w:line="15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b w:val="1"/>
          <w:bCs w:val="1"/>
          <w:color w:val="auto"/>
        </w:rPr>
        <w:t xml:space="preserve">DOE Program Reviews. </w:t>
      </w:r>
      <w:r>
        <w:rPr>
          <w:rFonts w:ascii="Arial" w:cs="Arial" w:eastAsia="Arial" w:hAnsi="Arial"/>
          <w:sz w:val="16"/>
          <w:szCs w:val="16"/>
          <w:color w:val="auto"/>
        </w:rPr>
        <w:t>The U.S. Department of Education (DOE) has undertaken program reviews at various KHE campus locations and at Kaplan</w:t>
      </w:r>
      <w:r>
        <w:rPr>
          <w:rFonts w:ascii="Arial" w:cs="Arial" w:eastAsia="Arial" w:hAnsi="Arial"/>
          <w:sz w:val="16"/>
          <w:szCs w:val="16"/>
          <w:b w:val="1"/>
          <w:bCs w:val="1"/>
          <w:color w:val="auto"/>
        </w:rPr>
        <w:t xml:space="preserve"> </w:t>
      </w:r>
      <w:r>
        <w:rPr>
          <w:rFonts w:ascii="Arial" w:cs="Arial" w:eastAsia="Arial" w:hAnsi="Arial"/>
          <w:sz w:val="16"/>
          <w:szCs w:val="16"/>
          <w:color w:val="auto"/>
        </w:rPr>
        <w:t>University. Currently, there are three pending program reviews, including Kaplan University. In addition, the Company is awaiting the DOE’s final repor the program review at KHE’s Broomall, PA, location. The results of these open reviews and their impact on Kaplan’s operations are uncertain.</w:t>
      </w:r>
    </w:p>
    <w:p>
      <w:pPr>
        <w:spacing w:after="0" w:line="13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In December 2011, the United Kingdom Border Agency (UKBA) conducted a compliance review at Kaplan UK’ s Borough High Street Center in</w:t>
      </w:r>
      <w:r>
        <w:rPr>
          <w:rFonts w:ascii="Arial" w:cs="Arial" w:eastAsia="Arial" w:hAnsi="Arial"/>
          <w:sz w:val="17"/>
          <w:szCs w:val="17"/>
          <w:b w:val="1"/>
          <w:bCs w:val="1"/>
          <w:color w:val="auto"/>
        </w:rPr>
        <w:t xml:space="preserve"> </w:t>
      </w:r>
      <w:r>
        <w:rPr>
          <w:rFonts w:ascii="Arial" w:cs="Arial" w:eastAsia="Arial" w:hAnsi="Arial"/>
          <w:sz w:val="17"/>
          <w:szCs w:val="17"/>
          <w:color w:val="auto"/>
        </w:rPr>
        <w:t>London, England. The review focused on Kaplan UK’s compliance with regulations regarding Tier 4 students, who are adult students seeking to study U.K. Kaplan UK is fully cooperating with this inquiry and is in the process of responding to requests for additional information. In cases of noncomplian the UKBA has the authority to take a range of actions to limit, suspend or revoke an institution’s ability to sponsor foreign students. At this time, Kaplan cannot predict what determinations the UKBA will make or the ultimate impact of this review on Kaplan UK.</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Additionally, UKBA issued revised immigration rules that became operational on April 21, 2011. Students from outside the European Economic Area ( and Switzerland who were issued a Confirmation of Acceptance for Studies (CAS) after July 4, 2011 will be given permission to work part-time during studies only if they attend an institution which qualifies as a Higher Education Institution (HEI). Many of the Kaplan UK international students currently part-time. Kaplan UK is not in receipt of public funding for the courses upon which international students study and, therefore, does not qualify as an H Also, certain Kaplan UK schools have gained, applied for or are in the process of applying for Highly Trusted Sponsor status (HTS). Without HTS, thes schools cannot issue a CAS to potential incoming international students starting in April 2012. These new rules have the potential to adversely impact number of international students studying at Kaplan UK.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FAIR VALUE MEASUREMENTS</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Fair value measurements are determined based on the assumptions that a market participant would use in pricing an asset or liability based on a thre tiered hierarchy that draws a distinction between market participant assumptions based on (i) observable inputs, such as quoted prices in active mark (Level 1); (ii) inputs other than quoted prices in active markets that are observable either directly or indirectly (Level 2); and (iii) unobservable inputs th require the Company to use present value and other valuation techniques in the determination of fair value (Level 3). Financial assets and liabilities ar classified in their entirety based on the lowest level of input that is significant to the fair value measure. The Company’s assessment of the significance particular input to the fair value measurements requires judgment and may affect the valuation of the assets and liabilities being measured and their placement within the fair value hierarchy.</w:t>
      </w:r>
    </w:p>
    <w:p>
      <w:pPr>
        <w:spacing w:after="0" w:line="17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14" w:right="139" w:bottom="1440" w:gutter="0" w:footer="0" w:header="0"/>
        </w:sectPr>
      </w:pPr>
    </w:p>
    <w:bookmarkStart w:id="16" w:name="page17"/>
    <w:bookmarkEnd w:id="16"/>
    <w:p>
      <w:pPr>
        <w:ind w:left="10"/>
        <w:spacing w:after="0"/>
        <w:rPr>
          <w:sz w:val="20"/>
          <w:szCs w:val="20"/>
          <w:color w:val="auto"/>
        </w:rPr>
      </w:pPr>
      <w:r>
        <w:rPr>
          <w:rFonts w:ascii="Arial" w:cs="Arial" w:eastAsia="Arial" w:hAnsi="Arial"/>
          <w:sz w:val="17"/>
          <w:szCs w:val="17"/>
          <w:color w:val="auto"/>
        </w:rPr>
        <w:t>The Company’s financial assets and liabilities measured at fair value on a recurring basis were as follows: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7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2"/>
                <w:szCs w:val="12"/>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2"/>
                <w:szCs w:val="12"/>
                <w:b w:val="1"/>
                <w:bCs w:val="1"/>
                <w:color w:val="auto"/>
              </w:rPr>
              <w:t>Level 2</w:t>
            </w: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25"/>
        </w:trPr>
        <w:tc>
          <w:tcPr>
            <w:tcW w:w="7100" w:type="dxa"/>
            <w:vAlign w:val="bottom"/>
          </w:tcPr>
          <w:p>
            <w:pPr>
              <w:spacing w:after="0"/>
              <w:rPr>
                <w:sz w:val="20"/>
                <w:szCs w:val="20"/>
                <w:color w:val="auto"/>
              </w:rPr>
            </w:pPr>
            <w:r>
              <w:rPr>
                <w:rFonts w:ascii="Arial" w:cs="Arial" w:eastAsia="Arial" w:hAnsi="Arial"/>
                <w:sz w:val="16"/>
                <w:szCs w:val="16"/>
                <w:b w:val="1"/>
                <w:bCs w:val="1"/>
                <w:color w:val="auto"/>
              </w:rPr>
              <w:t>At March 31, 2012</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w:t>
            </w: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159,324</w:t>
            </w:r>
          </w:p>
        </w:tc>
        <w:tc>
          <w:tcPr>
            <w:tcW w:w="4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17"/>
        </w:trPr>
        <w:tc>
          <w:tcPr>
            <w:tcW w:w="7100" w:type="dxa"/>
            <w:vAlign w:val="bottom"/>
          </w:tcPr>
          <w:p>
            <w:pPr>
              <w:ind w:left="220"/>
              <w:spacing w:after="0" w:line="217" w:lineRule="exact"/>
              <w:rPr>
                <w:sz w:val="20"/>
                <w:szCs w:val="20"/>
                <w:color w:val="auto"/>
              </w:rPr>
            </w:pPr>
            <w:r>
              <w:rPr>
                <w:rFonts w:ascii="Arial" w:cs="Arial" w:eastAsia="Arial" w:hAnsi="Arial"/>
                <w:sz w:val="15"/>
                <w:szCs w:val="15"/>
                <w:color w:val="auto"/>
              </w:rPr>
              <w:t>Money market investments</w:t>
            </w:r>
            <w:r>
              <w:rPr>
                <w:rFonts w:ascii="Arial" w:cs="Arial" w:eastAsia="Arial" w:hAnsi="Arial"/>
                <w:sz w:val="25"/>
                <w:szCs w:val="25"/>
                <w:color w:val="auto"/>
                <w:vertAlign w:val="superscript"/>
              </w:rPr>
              <w:t>(1)</w:t>
            </w:r>
          </w:p>
        </w:tc>
        <w:tc>
          <w:tcPr>
            <w:tcW w:w="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20"/>
              <w:spacing w:after="0" w:line="223" w:lineRule="exact"/>
              <w:rPr>
                <w:sz w:val="20"/>
                <w:szCs w:val="20"/>
                <w:color w:val="auto"/>
              </w:rPr>
            </w:pPr>
            <w:r>
              <w:rPr>
                <w:rFonts w:ascii="Arial" w:cs="Arial" w:eastAsia="Arial" w:hAnsi="Arial"/>
                <w:sz w:val="15"/>
                <w:szCs w:val="15"/>
                <w:color w:val="auto"/>
              </w:rPr>
              <w:t>Marketable equity securities</w:t>
            </w:r>
            <w:r>
              <w:rPr>
                <w:rFonts w:ascii="Arial" w:cs="Arial" w:eastAsia="Arial" w:hAnsi="Arial"/>
                <w:sz w:val="25"/>
                <w:szCs w:val="25"/>
                <w:color w:val="auto"/>
                <w:vertAlign w:val="superscript"/>
              </w:rPr>
              <w:t>(3)</w:t>
            </w:r>
          </w:p>
        </w:tc>
        <w:tc>
          <w:tcPr>
            <w:tcW w:w="34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b w:val="1"/>
                <w:bCs w:val="1"/>
                <w:color w:val="auto"/>
              </w:rPr>
              <w:t>365,523</w:t>
            </w:r>
          </w:p>
        </w:tc>
        <w:tc>
          <w:tcPr>
            <w:tcW w:w="36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24"/>
        </w:trPr>
        <w:tc>
          <w:tcPr>
            <w:tcW w:w="7100" w:type="dxa"/>
            <w:vAlign w:val="bottom"/>
          </w:tcPr>
          <w:p>
            <w:pPr>
              <w:ind w:left="220"/>
              <w:spacing w:after="0" w:line="224" w:lineRule="exact"/>
              <w:rPr>
                <w:sz w:val="20"/>
                <w:szCs w:val="20"/>
                <w:color w:val="auto"/>
              </w:rPr>
            </w:pPr>
            <w:r>
              <w:rPr>
                <w:rFonts w:ascii="Arial" w:cs="Arial" w:eastAsia="Arial" w:hAnsi="Arial"/>
                <w:sz w:val="15"/>
                <w:szCs w:val="15"/>
                <w:color w:val="auto"/>
              </w:rPr>
              <w:t>Other current investments</w:t>
            </w:r>
            <w:r>
              <w:rPr>
                <w:rFonts w:ascii="Arial" w:cs="Arial" w:eastAsia="Arial" w:hAnsi="Arial"/>
                <w:sz w:val="25"/>
                <w:szCs w:val="25"/>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13,045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24,238</w:t>
            </w: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16"/>
        </w:trPr>
        <w:tc>
          <w:tcPr>
            <w:tcW w:w="7100" w:type="dxa"/>
            <w:vAlign w:val="bottom"/>
          </w:tcPr>
          <w:p>
            <w:pPr>
              <w:ind w:left="460"/>
              <w:spacing w:after="0"/>
              <w:rPr>
                <w:sz w:val="20"/>
                <w:szCs w:val="20"/>
                <w:color w:val="auto"/>
              </w:rPr>
            </w:pPr>
            <w:r>
              <w:rPr>
                <w:rFonts w:ascii="Arial" w:cs="Arial" w:eastAsia="Arial" w:hAnsi="Arial"/>
                <w:sz w:val="16"/>
                <w:szCs w:val="16"/>
                <w:b w:val="1"/>
                <w:bCs w:val="1"/>
                <w:color w:val="auto"/>
              </w:rPr>
              <w:t>Total Financial Assets</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378,568</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183,562</w:t>
            </w: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7100" w:type="dxa"/>
            <w:vAlign w:val="bottom"/>
            <w:vMerge w:val="continue"/>
          </w:tcPr>
          <w:p>
            <w:pPr>
              <w:spacing w:after="0"/>
              <w:rPr>
                <w:sz w:val="24"/>
                <w:szCs w:val="24"/>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w:t>
            </w: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60,940</w:t>
            </w:r>
          </w:p>
        </w:tc>
        <w:tc>
          <w:tcPr>
            <w:tcW w:w="4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17"/>
        </w:trPr>
        <w:tc>
          <w:tcPr>
            <w:tcW w:w="7100" w:type="dxa"/>
            <w:vAlign w:val="bottom"/>
          </w:tcPr>
          <w:p>
            <w:pPr>
              <w:ind w:left="220"/>
              <w:spacing w:after="0" w:line="217" w:lineRule="exact"/>
              <w:rPr>
                <w:sz w:val="20"/>
                <w:szCs w:val="20"/>
                <w:color w:val="auto"/>
              </w:rPr>
            </w:pPr>
            <w:r>
              <w:rPr>
                <w:rFonts w:ascii="Arial" w:cs="Arial" w:eastAsia="Arial" w:hAnsi="Arial"/>
                <w:sz w:val="15"/>
                <w:szCs w:val="15"/>
                <w:color w:val="auto"/>
              </w:rPr>
              <w:t>Deferred compensation plan liabilities</w:t>
            </w:r>
            <w:r>
              <w:rPr>
                <w:rFonts w:ascii="Arial" w:cs="Arial" w:eastAsia="Arial" w:hAnsi="Arial"/>
                <w:sz w:val="25"/>
                <w:szCs w:val="25"/>
                <w:color w:val="auto"/>
                <w:vertAlign w:val="superscript"/>
              </w:rPr>
              <w:t>(6)</w:t>
            </w:r>
          </w:p>
        </w:tc>
        <w:tc>
          <w:tcPr>
            <w:tcW w:w="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20"/>
              <w:spacing w:after="0" w:line="223" w:lineRule="exact"/>
              <w:rPr>
                <w:sz w:val="20"/>
                <w:szCs w:val="20"/>
                <w:color w:val="auto"/>
              </w:rPr>
            </w:pPr>
            <w:r>
              <w:rPr>
                <w:rFonts w:ascii="Arial" w:cs="Arial" w:eastAsia="Arial" w:hAnsi="Arial"/>
                <w:sz w:val="15"/>
                <w:szCs w:val="15"/>
                <w:color w:val="auto"/>
              </w:rPr>
              <w:t>7.25% unsecured notes</w:t>
            </w:r>
            <w:r>
              <w:rPr>
                <w:rFonts w:ascii="Arial" w:cs="Arial" w:eastAsia="Arial" w:hAnsi="Arial"/>
                <w:sz w:val="25"/>
                <w:szCs w:val="25"/>
                <w:color w:val="auto"/>
                <w:vertAlign w:val="superscript"/>
              </w:rPr>
              <w:t>(7)</w:t>
            </w:r>
          </w:p>
        </w:tc>
        <w:tc>
          <w:tcPr>
            <w:tcW w:w="34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b w:val="1"/>
                <w:bCs w:val="1"/>
                <w:color w:val="auto"/>
              </w:rPr>
              <w:t>465,288</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223"/>
        </w:trPr>
        <w:tc>
          <w:tcPr>
            <w:tcW w:w="7100" w:type="dxa"/>
            <w:vAlign w:val="bottom"/>
          </w:tcPr>
          <w:p>
            <w:pPr>
              <w:ind w:left="220"/>
              <w:spacing w:after="0" w:line="223" w:lineRule="exact"/>
              <w:rPr>
                <w:sz w:val="20"/>
                <w:szCs w:val="20"/>
                <w:color w:val="auto"/>
              </w:rPr>
            </w:pPr>
            <w:r>
              <w:rPr>
                <w:rFonts w:ascii="Arial" w:cs="Arial" w:eastAsia="Arial" w:hAnsi="Arial"/>
                <w:sz w:val="15"/>
                <w:szCs w:val="15"/>
                <w:color w:val="auto"/>
              </w:rPr>
              <w:t>AUD 50M borrowing</w:t>
            </w:r>
            <w:r>
              <w:rPr>
                <w:rFonts w:ascii="Arial" w:cs="Arial" w:eastAsia="Arial" w:hAnsi="Arial"/>
                <w:sz w:val="25"/>
                <w:szCs w:val="25"/>
                <w:color w:val="auto"/>
                <w:vertAlign w:val="superscript"/>
              </w:rPr>
              <w:t>(7)</w:t>
            </w:r>
          </w:p>
        </w:tc>
        <w:tc>
          <w:tcPr>
            <w:tcW w:w="34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b w:val="1"/>
                <w:bCs w:val="1"/>
                <w:color w:val="auto"/>
              </w:rPr>
              <w:t>51,717</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24"/>
        </w:trPr>
        <w:tc>
          <w:tcPr>
            <w:tcW w:w="7100" w:type="dxa"/>
            <w:vAlign w:val="bottom"/>
          </w:tcPr>
          <w:p>
            <w:pPr>
              <w:ind w:left="220"/>
              <w:spacing w:after="0" w:line="224" w:lineRule="exact"/>
              <w:rPr>
                <w:sz w:val="20"/>
                <w:szCs w:val="20"/>
                <w:color w:val="auto"/>
              </w:rPr>
            </w:pPr>
            <w:r>
              <w:rPr>
                <w:rFonts w:ascii="Arial" w:cs="Arial" w:eastAsia="Arial" w:hAnsi="Arial"/>
                <w:sz w:val="15"/>
                <w:szCs w:val="15"/>
                <w:color w:val="auto"/>
              </w:rPr>
              <w:t>Interest rate swap</w:t>
            </w:r>
            <w:r>
              <w:rPr>
                <w:rFonts w:ascii="Arial" w:cs="Arial" w:eastAsia="Arial" w:hAnsi="Arial"/>
                <w:sz w:val="25"/>
                <w:szCs w:val="25"/>
                <w:color w:val="auto"/>
                <w:vertAlign w:val="superscript"/>
              </w:rPr>
              <w:t>(8)</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21</w:t>
            </w: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60"/>
              <w:spacing w:after="0"/>
              <w:rPr>
                <w:sz w:val="20"/>
                <w:szCs w:val="20"/>
                <w:color w:val="auto"/>
              </w:rPr>
            </w:pPr>
            <w:r>
              <w:rPr>
                <w:rFonts w:ascii="Arial" w:cs="Arial" w:eastAsia="Arial" w:hAnsi="Arial"/>
                <w:sz w:val="16"/>
                <w:szCs w:val="16"/>
                <w:b w:val="1"/>
                <w:bCs w:val="1"/>
                <w:color w:val="auto"/>
              </w:rPr>
              <w:t>Total Financial Liabilities</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577,966</w:t>
            </w: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b w:val="1"/>
                <w:bCs w:val="1"/>
                <w:color w:val="auto"/>
              </w:rPr>
              <w:t>At December 31, 2011</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20"/>
              <w:spacing w:after="0" w:line="223" w:lineRule="exact"/>
              <w:rPr>
                <w:sz w:val="20"/>
                <w:szCs w:val="20"/>
                <w:color w:val="auto"/>
              </w:rPr>
            </w:pPr>
            <w:r>
              <w:rPr>
                <w:rFonts w:ascii="Arial" w:cs="Arial" w:eastAsia="Arial" w:hAnsi="Arial"/>
                <w:sz w:val="15"/>
                <w:szCs w:val="15"/>
                <w:color w:val="auto"/>
              </w:rPr>
              <w:t>Money market investments</w:t>
            </w:r>
            <w:r>
              <w:rPr>
                <w:rFonts w:ascii="Arial" w:cs="Arial" w:eastAsia="Arial" w:hAnsi="Arial"/>
                <w:sz w:val="25"/>
                <w:szCs w:val="25"/>
                <w:color w:val="auto"/>
                <w:vertAlign w:val="superscript"/>
              </w:rPr>
              <w:t>(2)</w:t>
            </w: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180,136</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3"/>
        </w:trPr>
        <w:tc>
          <w:tcPr>
            <w:tcW w:w="7100" w:type="dxa"/>
            <w:vAlign w:val="bottom"/>
          </w:tcPr>
          <w:p>
            <w:pPr>
              <w:ind w:left="220"/>
              <w:spacing w:after="0" w:line="223" w:lineRule="exact"/>
              <w:rPr>
                <w:sz w:val="20"/>
                <w:szCs w:val="20"/>
                <w:color w:val="auto"/>
              </w:rPr>
            </w:pPr>
            <w:r>
              <w:rPr>
                <w:rFonts w:ascii="Arial" w:cs="Arial" w:eastAsia="Arial" w:hAnsi="Arial"/>
                <w:sz w:val="15"/>
                <w:szCs w:val="15"/>
                <w:color w:val="auto"/>
              </w:rPr>
              <w:t>Marketable equity securities</w:t>
            </w:r>
            <w:r>
              <w:rPr>
                <w:rFonts w:ascii="Arial" w:cs="Arial" w:eastAsia="Arial" w:hAnsi="Arial"/>
                <w:sz w:val="25"/>
                <w:szCs w:val="25"/>
                <w:color w:val="auto"/>
                <w:vertAlign w:val="superscript"/>
              </w:rPr>
              <w:t>(3)</w:t>
            </w:r>
          </w:p>
        </w:tc>
        <w:tc>
          <w:tcPr>
            <w:tcW w:w="34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303,201</w:t>
            </w:r>
          </w:p>
        </w:tc>
        <w:tc>
          <w:tcPr>
            <w:tcW w:w="36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3"/>
        </w:trPr>
        <w:tc>
          <w:tcPr>
            <w:tcW w:w="7100" w:type="dxa"/>
            <w:vAlign w:val="bottom"/>
          </w:tcPr>
          <w:p>
            <w:pPr>
              <w:ind w:left="220"/>
              <w:spacing w:after="0" w:line="223" w:lineRule="exact"/>
              <w:rPr>
                <w:sz w:val="20"/>
                <w:szCs w:val="20"/>
                <w:color w:val="auto"/>
              </w:rPr>
            </w:pPr>
            <w:r>
              <w:rPr>
                <w:rFonts w:ascii="Arial" w:cs="Arial" w:eastAsia="Arial" w:hAnsi="Arial"/>
                <w:sz w:val="15"/>
                <w:szCs w:val="15"/>
                <w:color w:val="auto"/>
              </w:rPr>
              <w:t>Other current investments</w:t>
            </w:r>
            <w:r>
              <w:rPr>
                <w:rFonts w:ascii="Arial" w:cs="Arial" w:eastAsia="Arial" w:hAnsi="Arial"/>
                <w:sz w:val="25"/>
                <w:szCs w:val="25"/>
                <w:color w:val="auto"/>
                <w:vertAlign w:val="superscript"/>
              </w:rPr>
              <w:t>(4)</w:t>
            </w:r>
          </w:p>
        </w:tc>
        <w:tc>
          <w:tcPr>
            <w:tcW w:w="34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15,223</w:t>
            </w:r>
          </w:p>
        </w:tc>
        <w:tc>
          <w:tcPr>
            <w:tcW w:w="36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20,250</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8"/>
        </w:trPr>
        <w:tc>
          <w:tcPr>
            <w:tcW w:w="7100" w:type="dxa"/>
            <w:vAlign w:val="bottom"/>
          </w:tcPr>
          <w:p>
            <w:pPr>
              <w:ind w:left="220"/>
              <w:spacing w:after="0" w:line="217" w:lineRule="exact"/>
              <w:rPr>
                <w:sz w:val="20"/>
                <w:szCs w:val="20"/>
                <w:color w:val="auto"/>
              </w:rPr>
            </w:pPr>
            <w:r>
              <w:rPr>
                <w:rFonts w:ascii="Arial" w:cs="Arial" w:eastAsia="Arial" w:hAnsi="Arial"/>
                <w:sz w:val="15"/>
                <w:szCs w:val="15"/>
                <w:color w:val="auto"/>
              </w:rPr>
              <w:t>Interest rate swap</w:t>
            </w:r>
            <w:r>
              <w:rPr>
                <w:rFonts w:ascii="Arial" w:cs="Arial" w:eastAsia="Arial" w:hAnsi="Arial"/>
                <w:sz w:val="25"/>
                <w:szCs w:val="25"/>
                <w:color w:val="auto"/>
                <w:vertAlign w:val="superscript"/>
              </w:rPr>
              <w:t>(5)</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60"/>
              <w:spacing w:after="0"/>
              <w:rPr>
                <w:sz w:val="20"/>
                <w:szCs w:val="20"/>
                <w:color w:val="auto"/>
              </w:rPr>
            </w:pPr>
            <w:r>
              <w:rPr>
                <w:rFonts w:ascii="Arial" w:cs="Arial" w:eastAsia="Arial" w:hAnsi="Arial"/>
                <w:sz w:val="16"/>
                <w:szCs w:val="16"/>
                <w:b w:val="1"/>
                <w:bCs w:val="1"/>
                <w:color w:val="auto"/>
              </w:rPr>
              <w:t>Total Financial Assets</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318,424</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200,400</w:t>
            </w: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20"/>
              <w:spacing w:after="0" w:line="223" w:lineRule="exact"/>
              <w:rPr>
                <w:sz w:val="20"/>
                <w:szCs w:val="20"/>
                <w:color w:val="auto"/>
              </w:rPr>
            </w:pPr>
            <w:r>
              <w:rPr>
                <w:rFonts w:ascii="Arial" w:cs="Arial" w:eastAsia="Arial" w:hAnsi="Arial"/>
                <w:sz w:val="15"/>
                <w:szCs w:val="15"/>
                <w:color w:val="auto"/>
              </w:rPr>
              <w:t>Deferred compensation plan liabilities</w:t>
            </w:r>
            <w:r>
              <w:rPr>
                <w:rFonts w:ascii="Arial" w:cs="Arial" w:eastAsia="Arial" w:hAnsi="Arial"/>
                <w:sz w:val="25"/>
                <w:szCs w:val="25"/>
                <w:color w:val="auto"/>
                <w:vertAlign w:val="superscript"/>
              </w:rPr>
              <w:t>(6)</w:t>
            </w: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63,403</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3"/>
        </w:trPr>
        <w:tc>
          <w:tcPr>
            <w:tcW w:w="7100" w:type="dxa"/>
            <w:vAlign w:val="bottom"/>
          </w:tcPr>
          <w:p>
            <w:pPr>
              <w:ind w:left="220"/>
              <w:spacing w:after="0" w:line="223" w:lineRule="exact"/>
              <w:rPr>
                <w:sz w:val="20"/>
                <w:szCs w:val="20"/>
                <w:color w:val="auto"/>
              </w:rPr>
            </w:pPr>
            <w:r>
              <w:rPr>
                <w:rFonts w:ascii="Arial" w:cs="Arial" w:eastAsia="Arial" w:hAnsi="Arial"/>
                <w:sz w:val="15"/>
                <w:szCs w:val="15"/>
                <w:color w:val="auto"/>
              </w:rPr>
              <w:t>7.25% unsecured notes</w:t>
            </w:r>
            <w:r>
              <w:rPr>
                <w:rFonts w:ascii="Arial" w:cs="Arial" w:eastAsia="Arial" w:hAnsi="Arial"/>
                <w:sz w:val="25"/>
                <w:szCs w:val="25"/>
                <w:color w:val="auto"/>
                <w:vertAlign w:val="superscript"/>
              </w:rPr>
              <w:t>(7)</w:t>
            </w:r>
          </w:p>
        </w:tc>
        <w:tc>
          <w:tcPr>
            <w:tcW w:w="34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460,500</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8"/>
        </w:trPr>
        <w:tc>
          <w:tcPr>
            <w:tcW w:w="7100" w:type="dxa"/>
            <w:vAlign w:val="bottom"/>
          </w:tcPr>
          <w:p>
            <w:pPr>
              <w:ind w:left="220"/>
              <w:spacing w:after="0" w:line="217" w:lineRule="exact"/>
              <w:rPr>
                <w:sz w:val="20"/>
                <w:szCs w:val="20"/>
                <w:color w:val="auto"/>
              </w:rPr>
            </w:pPr>
            <w:r>
              <w:rPr>
                <w:rFonts w:ascii="Arial" w:cs="Arial" w:eastAsia="Arial" w:hAnsi="Arial"/>
                <w:sz w:val="15"/>
                <w:szCs w:val="15"/>
                <w:color w:val="auto"/>
              </w:rPr>
              <w:t>AUD 50M borrowing</w:t>
            </w:r>
            <w:r>
              <w:rPr>
                <w:rFonts w:ascii="Arial" w:cs="Arial" w:eastAsia="Arial" w:hAnsi="Arial"/>
                <w:sz w:val="25"/>
                <w:szCs w:val="25"/>
                <w:color w:val="auto"/>
                <w:vertAlign w:val="superscript"/>
              </w:rPr>
              <w:t>(7)</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51,012</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7100" w:type="dxa"/>
            <w:vAlign w:val="bottom"/>
          </w:tcPr>
          <w:p>
            <w:pPr>
              <w:ind w:left="460"/>
              <w:spacing w:after="0"/>
              <w:rPr>
                <w:sz w:val="20"/>
                <w:szCs w:val="20"/>
                <w:color w:val="auto"/>
              </w:rPr>
            </w:pPr>
            <w:r>
              <w:rPr>
                <w:rFonts w:ascii="Arial" w:cs="Arial" w:eastAsia="Arial" w:hAnsi="Arial"/>
                <w:sz w:val="16"/>
                <w:szCs w:val="16"/>
                <w:b w:val="1"/>
                <w:bCs w:val="1"/>
                <w:color w:val="auto"/>
              </w:rPr>
              <w:t>Total Financial Liabilities</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574,915</w:t>
            </w: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
        <w:spacing w:after="0"/>
        <w:rPr>
          <w:sz w:val="20"/>
          <w:szCs w:val="20"/>
          <w:color w:val="auto"/>
        </w:rPr>
      </w:pPr>
      <w:r>
        <w:rPr>
          <w:rFonts w:ascii="Arial" w:cs="Arial" w:eastAsia="Arial" w:hAnsi="Arial"/>
          <w:sz w:val="12"/>
          <w:szCs w:val="12"/>
          <w:color w:val="auto"/>
        </w:rPr>
        <w:t>____________</w:t>
      </w:r>
    </w:p>
    <w:p>
      <w:pPr>
        <w:spacing w:after="0" w:line="11" w:lineRule="exact"/>
        <w:rPr>
          <w:sz w:val="20"/>
          <w:szCs w:val="20"/>
          <w:color w:val="auto"/>
        </w:rPr>
      </w:pPr>
    </w:p>
    <w:p>
      <w:pPr>
        <w:ind w:left="390" w:hanging="390"/>
        <w:spacing w:after="0"/>
        <w:tabs>
          <w:tab w:leader="none" w:pos="39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money market investments at March 31, 2012 are included in cash and cash equivalents.</w:t>
      </w:r>
    </w:p>
    <w:p>
      <w:pPr>
        <w:spacing w:after="0" w:line="23" w:lineRule="exact"/>
        <w:rPr>
          <w:rFonts w:ascii="Arial" w:cs="Arial" w:eastAsia="Arial" w:hAnsi="Arial"/>
          <w:sz w:val="12"/>
          <w:szCs w:val="12"/>
          <w:color w:val="auto"/>
        </w:rPr>
      </w:pPr>
    </w:p>
    <w:p>
      <w:pPr>
        <w:ind w:left="390" w:hanging="390"/>
        <w:spacing w:after="0"/>
        <w:tabs>
          <w:tab w:leader="none" w:pos="39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money market investments at December 31, 2011 are included in cash, cash equivalents and restricted cash.</w:t>
      </w:r>
    </w:p>
    <w:p>
      <w:pPr>
        <w:spacing w:after="0" w:line="10" w:lineRule="exact"/>
        <w:rPr>
          <w:rFonts w:ascii="Arial" w:cs="Arial" w:eastAsia="Arial" w:hAnsi="Arial"/>
          <w:sz w:val="12"/>
          <w:szCs w:val="12"/>
          <w:color w:val="auto"/>
        </w:rPr>
      </w:pPr>
    </w:p>
    <w:p>
      <w:pPr>
        <w:ind w:left="390" w:hanging="390"/>
        <w:spacing w:after="0"/>
        <w:tabs>
          <w:tab w:leader="none" w:pos="39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investments in marketable equity securities are classified as available-for-sale.</w:t>
      </w:r>
    </w:p>
    <w:p>
      <w:pPr>
        <w:spacing w:after="0" w:line="10" w:lineRule="exact"/>
        <w:rPr>
          <w:rFonts w:ascii="Arial" w:cs="Arial" w:eastAsia="Arial" w:hAnsi="Arial"/>
          <w:sz w:val="12"/>
          <w:szCs w:val="12"/>
          <w:color w:val="auto"/>
        </w:rPr>
      </w:pPr>
    </w:p>
    <w:p>
      <w:pPr>
        <w:ind w:left="390" w:hanging="390"/>
        <w:spacing w:after="0"/>
        <w:tabs>
          <w:tab w:leader="none" w:pos="39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Includes U.S. Government Securities, corporate bonds, mutual funds and time deposits (with original maturities greater than 90 days, but less than one year).</w:t>
      </w:r>
    </w:p>
    <w:p>
      <w:pPr>
        <w:spacing w:after="0" w:line="23" w:lineRule="exact"/>
        <w:rPr>
          <w:rFonts w:ascii="Arial" w:cs="Arial" w:eastAsia="Arial" w:hAnsi="Arial"/>
          <w:sz w:val="12"/>
          <w:szCs w:val="12"/>
          <w:color w:val="auto"/>
        </w:rPr>
      </w:pPr>
    </w:p>
    <w:p>
      <w:pPr>
        <w:ind w:left="410" w:right="40" w:hanging="410"/>
        <w:spacing w:after="0" w:line="248" w:lineRule="auto"/>
        <w:tabs>
          <w:tab w:leader="none" w:pos="398"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Included in Deferred charges and other assets. The fair value utilized a market approach model using the notional amount of the interest rate swap multiplied by the observable inputs of time to and market interest rates.</w:t>
      </w:r>
    </w:p>
    <w:p>
      <w:pPr>
        <w:ind w:left="410" w:right="20" w:hanging="410"/>
        <w:spacing w:after="0" w:line="248" w:lineRule="auto"/>
        <w:tabs>
          <w:tab w:leader="none" w:pos="398"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Includes The Washington Post Company Deferred Compensation Plan and supplemental savings plan benefits under The Washington Post Company Supplemental Executive Retirement Plan, are included in accrued compensation and related benefits.</w:t>
      </w:r>
    </w:p>
    <w:p>
      <w:pPr>
        <w:ind w:left="390" w:hanging="389"/>
        <w:spacing w:after="0"/>
        <w:tabs>
          <w:tab w:leader="none" w:pos="390" w:val="left"/>
        </w:tabs>
        <w:numPr>
          <w:ilvl w:val="0"/>
          <w:numId w:val="4"/>
        </w:numPr>
        <w:rPr>
          <w:rFonts w:ascii="Arial" w:cs="Arial" w:eastAsia="Arial" w:hAnsi="Arial"/>
          <w:sz w:val="12"/>
          <w:szCs w:val="12"/>
          <w:color w:val="auto"/>
        </w:rPr>
      </w:pPr>
      <w:r>
        <w:rPr>
          <w:rFonts w:ascii="Arial" w:cs="Arial" w:eastAsia="Arial" w:hAnsi="Arial"/>
          <w:sz w:val="12"/>
          <w:szCs w:val="12"/>
          <w:color w:val="auto"/>
        </w:rPr>
        <w:t>See Note 6 for carrying amount of these notes and borrowing.</w:t>
      </w:r>
    </w:p>
    <w:p>
      <w:pPr>
        <w:spacing w:after="0" w:line="23" w:lineRule="exact"/>
        <w:rPr>
          <w:rFonts w:ascii="Arial" w:cs="Arial" w:eastAsia="Arial" w:hAnsi="Arial"/>
          <w:sz w:val="12"/>
          <w:szCs w:val="12"/>
          <w:color w:val="auto"/>
        </w:rPr>
      </w:pPr>
    </w:p>
    <w:p>
      <w:pPr>
        <w:ind w:left="410" w:hanging="409"/>
        <w:spacing w:after="0" w:line="247" w:lineRule="auto"/>
        <w:tabs>
          <w:tab w:leader="none" w:pos="398"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Included in Other liabilities. The fair value utilized a market approach model using the notional amount of the interest rate swap multiplied by the observable inputs of time to maturity and market rates.</w:t>
      </w:r>
    </w:p>
    <w:p>
      <w:pPr>
        <w:spacing w:after="0" w:line="267" w:lineRule="exact"/>
        <w:rPr>
          <w:sz w:val="20"/>
          <w:szCs w:val="20"/>
          <w:color w:val="auto"/>
        </w:rPr>
      </w:pPr>
    </w:p>
    <w:p>
      <w:pPr>
        <w:jc w:val="both"/>
        <w:ind w:left="10"/>
        <w:spacing w:after="0" w:line="233"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 number units held without consideration of transaction costs. Assets and liabilities that are measured using significant other observable inputs are primarily val by reference to quoted prices of similar assets or liabilities in active markets, adjusted for any terms specific to that asset or liability.</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12. BUSINESS SEGMENTS</w:t>
      </w:r>
    </w:p>
    <w:p>
      <w:pPr>
        <w:spacing w:after="0" w:line="197" w:lineRule="exact"/>
        <w:rPr>
          <w:sz w:val="20"/>
          <w:szCs w:val="20"/>
          <w:color w:val="auto"/>
        </w:rPr>
      </w:pPr>
    </w:p>
    <w:p>
      <w:pPr>
        <w:jc w:val="both"/>
        <w:ind w:left="10"/>
        <w:spacing w:after="0" w:line="235" w:lineRule="auto"/>
        <w:rPr>
          <w:sz w:val="20"/>
          <w:szCs w:val="20"/>
          <w:color w:val="auto"/>
        </w:rPr>
      </w:pPr>
      <w:r>
        <w:rPr>
          <w:rFonts w:ascii="Arial" w:cs="Arial" w:eastAsia="Arial" w:hAnsi="Arial"/>
          <w:sz w:val="17"/>
          <w:szCs w:val="17"/>
          <w:color w:val="auto"/>
        </w:rPr>
        <w:t>The Company has eight reportable segments: Kaplan Higher Education, Kaplan Test Preparation, Kaplan International, Kaplan Ventures, cable televis newspaper publishing, television broadcasting and other businesses.</w:t>
      </w:r>
    </w:p>
    <w:p>
      <w:pPr>
        <w:spacing w:after="0" w:line="156" w:lineRule="exact"/>
        <w:rPr>
          <w:sz w:val="20"/>
          <w:szCs w:val="20"/>
          <w:color w:val="auto"/>
        </w:rPr>
      </w:pPr>
    </w:p>
    <w:p>
      <w:pPr>
        <w:jc w:val="both"/>
        <w:ind w:left="10"/>
        <w:spacing w:after="0" w:line="242" w:lineRule="auto"/>
        <w:rPr>
          <w:sz w:val="20"/>
          <w:szCs w:val="20"/>
          <w:color w:val="auto"/>
        </w:rPr>
      </w:pPr>
      <w:r>
        <w:rPr>
          <w:rFonts w:ascii="Arial" w:cs="Arial" w:eastAsia="Arial" w:hAnsi="Arial"/>
          <w:sz w:val="17"/>
          <w:szCs w:val="17"/>
          <w:b w:val="1"/>
          <w:bCs w:val="1"/>
          <w:color w:val="auto"/>
        </w:rPr>
        <w:t xml:space="preserve">Education. </w:t>
      </w:r>
      <w:r>
        <w:rPr>
          <w:rFonts w:ascii="Arial" w:cs="Arial" w:eastAsia="Arial" w:hAnsi="Arial"/>
          <w:sz w:val="17"/>
          <w:szCs w:val="17"/>
          <w:color w:val="auto"/>
        </w:rPr>
        <w:t>Kaplan sold EduNeering in April 2012, KLT in February 2012, KCS in October 2011 and KVE in July 2011; therefore, the education divisio</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results exclude these businesses. Also, Kaplan’s Colloquy and U.S. Pathways business moved from Kaplan Ventures to Kaplan Internationa Segment operating results of the education division have been restated to reflect these changes.</w:t>
      </w:r>
    </w:p>
    <w:p>
      <w:pPr>
        <w:spacing w:after="0" w:line="17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598" w:right="1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The following table summarizes the quarterly financial information related to each of the Company’s business segments: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Arial" w:cs="Arial" w:eastAsia="Arial" w:hAnsi="Arial"/>
                <w:sz w:val="12"/>
                <w:szCs w:val="12"/>
                <w:b w:val="1"/>
                <w:bCs w:val="1"/>
                <w:color w:val="auto"/>
              </w:rPr>
              <w:t>March 31,</w:t>
            </w:r>
          </w:p>
        </w:tc>
        <w:tc>
          <w:tcPr>
            <w:tcW w:w="300" w:type="dxa"/>
            <w:vAlign w:val="bottom"/>
          </w:tcPr>
          <w:p>
            <w:pPr>
              <w:spacing w:after="0"/>
              <w:rPr>
                <w:sz w:val="14"/>
                <w:szCs w:val="14"/>
                <w:color w:val="auto"/>
              </w:rPr>
            </w:pPr>
          </w:p>
        </w:tc>
        <w:tc>
          <w:tcPr>
            <w:tcW w:w="940" w:type="dxa"/>
            <w:vAlign w:val="bottom"/>
          </w:tcPr>
          <w:p>
            <w:pPr>
              <w:jc w:val="right"/>
              <w:ind w:right="346"/>
              <w:spacing w:after="0"/>
              <w:rPr>
                <w:sz w:val="20"/>
                <w:szCs w:val="20"/>
                <w:color w:val="auto"/>
              </w:rPr>
            </w:pPr>
            <w:r>
              <w:rPr>
                <w:rFonts w:ascii="Arial" w:cs="Arial" w:eastAsia="Arial" w:hAnsi="Arial"/>
                <w:sz w:val="12"/>
                <w:szCs w:val="12"/>
                <w:color w:val="auto"/>
              </w:rPr>
              <w:t>April 3,</w:t>
            </w:r>
          </w:p>
        </w:tc>
        <w:tc>
          <w:tcPr>
            <w:tcW w:w="320" w:type="dxa"/>
            <w:vAlign w:val="bottom"/>
          </w:tcPr>
          <w:p>
            <w:pPr>
              <w:spacing w:after="0"/>
              <w:rPr>
                <w:sz w:val="14"/>
                <w:szCs w:val="14"/>
                <w:color w:val="auto"/>
              </w:rPr>
            </w:pPr>
          </w:p>
        </w:tc>
        <w:tc>
          <w:tcPr>
            <w:tcW w:w="920" w:type="dxa"/>
            <w:vAlign w:val="bottom"/>
          </w:tcPr>
          <w:p>
            <w:pPr>
              <w:jc w:val="right"/>
              <w:ind w:right="346"/>
              <w:spacing w:after="0"/>
              <w:rPr>
                <w:sz w:val="20"/>
                <w:szCs w:val="20"/>
                <w:color w:val="auto"/>
              </w:rPr>
            </w:pPr>
            <w:r>
              <w:rPr>
                <w:rFonts w:ascii="Arial" w:cs="Arial" w:eastAsia="Arial" w:hAnsi="Arial"/>
                <w:sz w:val="12"/>
                <w:szCs w:val="12"/>
                <w:color w:val="auto"/>
              </w:rPr>
              <w:t>July 3,</w:t>
            </w:r>
          </w:p>
        </w:tc>
        <w:tc>
          <w:tcPr>
            <w:tcW w:w="2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Arial" w:cs="Arial" w:eastAsia="Arial" w:hAnsi="Arial"/>
                <w:sz w:val="12"/>
                <w:szCs w:val="12"/>
                <w:color w:val="auto"/>
              </w:rPr>
              <w:t>October 2,</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Decemb</w:t>
            </w:r>
          </w:p>
        </w:tc>
        <w:tc>
          <w:tcPr>
            <w:tcW w:w="0" w:type="dxa"/>
            <w:vAlign w:val="bottom"/>
          </w:tcPr>
          <w:p>
            <w:pPr>
              <w:spacing w:after="0"/>
              <w:rPr>
                <w:sz w:val="1"/>
                <w:szCs w:val="1"/>
                <w:color w:val="auto"/>
              </w:rPr>
            </w:pPr>
          </w:p>
        </w:tc>
      </w:tr>
      <w:tr>
        <w:trPr>
          <w:trHeight w:val="163"/>
        </w:trPr>
        <w:tc>
          <w:tcPr>
            <w:tcW w:w="52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2012</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color w:val="auto"/>
              </w:rPr>
              <w:t>2011</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6"/>
              <w:spacing w:after="0"/>
              <w:rPr>
                <w:sz w:val="20"/>
                <w:szCs w:val="20"/>
                <w:color w:val="auto"/>
              </w:rPr>
            </w:pPr>
            <w:r>
              <w:rPr>
                <w:rFonts w:ascii="Arial" w:cs="Arial" w:eastAsia="Arial" w:hAnsi="Arial"/>
                <w:sz w:val="12"/>
                <w:szCs w:val="12"/>
                <w:color w:val="auto"/>
              </w:rPr>
              <w:t>2011</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6"/>
              <w:spacing w:after="0"/>
              <w:rPr>
                <w:sz w:val="20"/>
                <w:szCs w:val="20"/>
                <w:color w:val="auto"/>
              </w:rPr>
            </w:pPr>
            <w:r>
              <w:rPr>
                <w:rFonts w:ascii="Arial" w:cs="Arial" w:eastAsia="Arial" w:hAnsi="Arial"/>
                <w:sz w:val="12"/>
                <w:szCs w:val="12"/>
                <w:color w:val="auto"/>
              </w:rPr>
              <w:t>2011</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20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553,401</w:t>
            </w:r>
          </w:p>
        </w:tc>
        <w:tc>
          <w:tcPr>
            <w:tcW w:w="3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618,929</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616,962</w:t>
            </w:r>
          </w:p>
        </w:tc>
        <w:tc>
          <w:tcPr>
            <w:tcW w:w="2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608,256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190,210</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190,280</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191,231</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187,892</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Newspaper publishing</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142,321</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154,997</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162,772</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149,257</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81,497</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72,183</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84,940</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73,830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6,015</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6,662</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6,095</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6,257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(968)</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(1,139)</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(742)</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(480)</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972,476</w:t>
            </w: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1,041,912</w:t>
            </w:r>
          </w:p>
        </w:tc>
        <w:tc>
          <w:tcPr>
            <w:tcW w:w="3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1,061,258</w:t>
            </w:r>
          </w:p>
        </w:tc>
        <w:tc>
          <w:tcPr>
            <w:tcW w:w="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1,025,012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8"/>
        </w:trPr>
        <w:tc>
          <w:tcPr>
            <w:tcW w:w="5280" w:type="dxa"/>
            <w:vAlign w:val="bottom"/>
          </w:tcPr>
          <w:p>
            <w:pPr>
              <w:spacing w:after="0"/>
              <w:rPr>
                <w:sz w:val="20"/>
                <w:szCs w:val="20"/>
                <w:color w:val="auto"/>
              </w:rPr>
            </w:pPr>
            <w:r>
              <w:rPr>
                <w:rFonts w:ascii="Arial" w:cs="Arial" w:eastAsia="Arial" w:hAnsi="Arial"/>
                <w:sz w:val="15"/>
                <w:szCs w:val="15"/>
                <w:b w:val="1"/>
                <w:bCs w:val="1"/>
                <w:color w:val="auto"/>
              </w:rPr>
              <w:t>Income (Loss) From Operations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20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(13,188)</w:t>
            </w:r>
          </w:p>
        </w:tc>
        <w:tc>
          <w:tcPr>
            <w:tcW w:w="3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20,049</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21,468</w:t>
            </w:r>
          </w:p>
        </w:tc>
        <w:tc>
          <w:tcPr>
            <w:tcW w:w="2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18,768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32,777</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37,707</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40,425</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36,795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Newspaper publishing</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(22,560)</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(12,827)</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(2,918)</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(9,897)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30,999</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19,591</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32,571</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24,073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(5,251)</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(5,039)</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(5,014)</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(18,126)</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28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(5,308)</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(2,928)</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(4,433)</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1,069</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17,469</w:t>
            </w: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56,553</w:t>
            </w:r>
          </w:p>
        </w:tc>
        <w:tc>
          <w:tcPr>
            <w:tcW w:w="3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82,099</w:t>
            </w:r>
          </w:p>
        </w:tc>
        <w:tc>
          <w:tcPr>
            <w:tcW w:w="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52,682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5280" w:type="dxa"/>
            <w:vAlign w:val="bottom"/>
          </w:tcPr>
          <w:p>
            <w:pPr>
              <w:spacing w:after="0"/>
              <w:rPr>
                <w:sz w:val="20"/>
                <w:szCs w:val="20"/>
                <w:color w:val="auto"/>
              </w:rPr>
            </w:pPr>
            <w:r>
              <w:rPr>
                <w:rFonts w:ascii="Arial" w:cs="Arial" w:eastAsia="Arial" w:hAnsi="Arial"/>
                <w:sz w:val="15"/>
                <w:szCs w:val="15"/>
                <w:b w:val="1"/>
                <w:bCs w:val="1"/>
                <w:color w:val="auto"/>
              </w:rPr>
              <w:t>Equity in Earnings of Affiliates, Net</w:t>
            </w:r>
          </w:p>
        </w:tc>
        <w:tc>
          <w:tcPr>
            <w:tcW w:w="200" w:type="dxa"/>
            <w:vAlign w:val="bottom"/>
          </w:tcPr>
          <w:p>
            <w:pPr>
              <w:spacing w:after="0"/>
              <w:rPr>
                <w:sz w:val="17"/>
                <w:szCs w:val="17"/>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3,888</w:t>
            </w:r>
          </w:p>
        </w:tc>
        <w:tc>
          <w:tcPr>
            <w:tcW w:w="30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3,737</w:t>
            </w:r>
          </w:p>
        </w:tc>
        <w:tc>
          <w:tcPr>
            <w:tcW w:w="320" w:type="dxa"/>
            <w:vAlign w:val="bottom"/>
          </w:tcPr>
          <w:p>
            <w:pPr>
              <w:spacing w:after="0"/>
              <w:rPr>
                <w:sz w:val="17"/>
                <w:szCs w:val="17"/>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3,138</w:t>
            </w:r>
          </w:p>
        </w:tc>
        <w:tc>
          <w:tcPr>
            <w:tcW w:w="26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(1,494)</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Arial" w:cs="Arial" w:eastAsia="Arial" w:hAnsi="Arial"/>
                <w:sz w:val="15"/>
                <w:szCs w:val="15"/>
                <w:b w:val="1"/>
                <w:bCs w:val="1"/>
                <w:color w:val="auto"/>
              </w:rPr>
              <w:t>Interest Expense, Net</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(8,094)</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(6,979)</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(6,963)</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(7,673)</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Arial" w:cs="Arial" w:eastAsia="Arial" w:hAnsi="Arial"/>
                <w:sz w:val="15"/>
                <w:szCs w:val="15"/>
                <w:b w:val="1"/>
                <w:bCs w:val="1"/>
                <w:color w:val="auto"/>
              </w:rPr>
              <w:t>Other Income (Expense), Net</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8,588</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(24,032)</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(2,591)</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(29,650)</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28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21,851</w:t>
            </w: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29,279</w:t>
            </w:r>
          </w:p>
        </w:tc>
        <w:tc>
          <w:tcPr>
            <w:tcW w:w="3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75,683</w:t>
            </w:r>
          </w:p>
        </w:tc>
        <w:tc>
          <w:tcPr>
            <w:tcW w:w="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13,865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80" w:type="dxa"/>
            <w:vAlign w:val="bottom"/>
            <w:vMerge w:val="continue"/>
          </w:tcPr>
          <w:p>
            <w:pPr>
              <w:spacing w:after="0"/>
              <w:rPr>
                <w:sz w:val="14"/>
                <w:szCs w:val="14"/>
                <w:color w:val="auto"/>
              </w:rPr>
            </w:pPr>
          </w:p>
        </w:tc>
        <w:tc>
          <w:tcPr>
            <w:tcW w:w="2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20,862</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2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20,175</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21,491</w:t>
            </w:r>
          </w:p>
        </w:tc>
        <w:tc>
          <w:tcPr>
            <w:tcW w:w="2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20,510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32,197</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31,786</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31,533</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31,661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Newspaper publishing</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6,236</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6,900</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6,540</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6,453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3,125</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3,110</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3,134</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3,137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81</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81</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84</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79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8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144</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100</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62,501</w:t>
            </w: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62,196</w:t>
            </w:r>
          </w:p>
        </w:tc>
        <w:tc>
          <w:tcPr>
            <w:tcW w:w="3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62,882</w:t>
            </w:r>
          </w:p>
        </w:tc>
        <w:tc>
          <w:tcPr>
            <w:tcW w:w="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61,840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rPr>
                <w:sz w:val="20"/>
                <w:szCs w:val="20"/>
                <w:color w:val="auto"/>
              </w:rPr>
            </w:pPr>
            <w:r>
              <w:rPr>
                <w:rFonts w:ascii="Arial" w:cs="Arial" w:eastAsia="Arial" w:hAnsi="Arial"/>
                <w:sz w:val="15"/>
                <w:szCs w:val="15"/>
                <w:b w:val="1"/>
                <w:bCs w:val="1"/>
                <w:color w:val="auto"/>
              </w:rPr>
              <w:t>Amortization of Intangible Assets and</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b w:val="1"/>
                <w:bCs w:val="1"/>
                <w:color w:val="auto"/>
              </w:rPr>
              <w:t>Impairment of Goodwill and Other Intangible Assets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20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3,243</w:t>
            </w:r>
          </w:p>
        </w:tc>
        <w:tc>
          <w:tcPr>
            <w:tcW w:w="3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4,420</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5,049</w:t>
            </w:r>
          </w:p>
        </w:tc>
        <w:tc>
          <w:tcPr>
            <w:tcW w:w="2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5,576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54</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73</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66</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Newspaper publishing</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183</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290</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289</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290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457</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933</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934</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14,182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8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3,937</w:t>
            </w: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5,716</w:t>
            </w:r>
          </w:p>
        </w:tc>
        <w:tc>
          <w:tcPr>
            <w:tcW w:w="3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6,338</w:t>
            </w:r>
          </w:p>
        </w:tc>
        <w:tc>
          <w:tcPr>
            <w:tcW w:w="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rPr>
                <w:sz w:val="20"/>
                <w:szCs w:val="20"/>
                <w:color w:val="auto"/>
              </w:rPr>
            </w:pPr>
            <w:r>
              <w:rPr>
                <w:rFonts w:ascii="Arial" w:cs="Arial" w:eastAsia="Arial" w:hAnsi="Arial"/>
                <w:sz w:val="15"/>
                <w:szCs w:val="15"/>
                <w:b w:val="1"/>
                <w:bCs w:val="1"/>
                <w:color w:val="auto"/>
              </w:rPr>
              <w:t>Net Pension Expense (Credit)</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20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2,392</w:t>
            </w:r>
          </w:p>
        </w:tc>
        <w:tc>
          <w:tcPr>
            <w:tcW w:w="3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1,552</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1,652</w:t>
            </w:r>
          </w:p>
        </w:tc>
        <w:tc>
          <w:tcPr>
            <w:tcW w:w="2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1,655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8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200" w:type="dxa"/>
            <w:vAlign w:val="bottom"/>
          </w:tcPr>
          <w:p>
            <w:pPr>
              <w:spacing w:after="0"/>
              <w:rPr>
                <w:sz w:val="17"/>
                <w:szCs w:val="17"/>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530</w:t>
            </w:r>
          </w:p>
        </w:tc>
        <w:tc>
          <w:tcPr>
            <w:tcW w:w="30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518</w:t>
            </w:r>
          </w:p>
        </w:tc>
        <w:tc>
          <w:tcPr>
            <w:tcW w:w="320" w:type="dxa"/>
            <w:vAlign w:val="bottom"/>
          </w:tcPr>
          <w:p>
            <w:pPr>
              <w:spacing w:after="0"/>
              <w:rPr>
                <w:sz w:val="17"/>
                <w:szCs w:val="17"/>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497</w:t>
            </w:r>
          </w:p>
        </w:tc>
        <w:tc>
          <w:tcPr>
            <w:tcW w:w="26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455</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280" w:type="dxa"/>
            <w:vAlign w:val="bottom"/>
          </w:tcPr>
          <w:p>
            <w:pPr>
              <w:ind w:left="220"/>
              <w:spacing w:after="0" w:line="233" w:lineRule="exact"/>
              <w:rPr>
                <w:sz w:val="20"/>
                <w:szCs w:val="20"/>
                <w:color w:val="auto"/>
              </w:rPr>
            </w:pPr>
            <w:r>
              <w:rPr>
                <w:rFonts w:ascii="Arial" w:cs="Arial" w:eastAsia="Arial" w:hAnsi="Arial"/>
                <w:sz w:val="15"/>
                <w:szCs w:val="15"/>
                <w:color w:val="auto"/>
              </w:rPr>
              <w:t>Newspaper publishing</w:t>
            </w:r>
            <w:r>
              <w:rPr>
                <w:rFonts w:ascii="Arial" w:cs="Arial" w:eastAsia="Arial" w:hAnsi="Arial"/>
                <w:sz w:val="24"/>
                <w:szCs w:val="24"/>
                <w:color w:val="auto"/>
                <w:vertAlign w:val="superscript"/>
              </w:rPr>
              <w:t>(1)</w:t>
            </w:r>
          </w:p>
        </w:tc>
        <w:tc>
          <w:tcPr>
            <w:tcW w:w="200" w:type="dxa"/>
            <w:vAlign w:val="bottom"/>
          </w:tcPr>
          <w:p>
            <w:pPr>
              <w:spacing w:after="0"/>
              <w:rPr>
                <w:sz w:val="20"/>
                <w:szCs w:val="20"/>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8,611</w:t>
            </w:r>
          </w:p>
        </w:tc>
        <w:tc>
          <w:tcPr>
            <w:tcW w:w="300" w:type="dxa"/>
            <w:vAlign w:val="bottom"/>
          </w:tcPr>
          <w:p>
            <w:pPr>
              <w:spacing w:after="0"/>
              <w:rPr>
                <w:sz w:val="20"/>
                <w:szCs w:val="20"/>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6,705</w:t>
            </w:r>
          </w:p>
        </w:tc>
        <w:tc>
          <w:tcPr>
            <w:tcW w:w="320" w:type="dxa"/>
            <w:vAlign w:val="bottom"/>
          </w:tcPr>
          <w:p>
            <w:pPr>
              <w:spacing w:after="0"/>
              <w:rPr>
                <w:sz w:val="20"/>
                <w:szCs w:val="20"/>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5,288</w:t>
            </w:r>
          </w:p>
        </w:tc>
        <w:tc>
          <w:tcPr>
            <w:tcW w:w="260" w:type="dxa"/>
            <w:vAlign w:val="bottom"/>
          </w:tcPr>
          <w:p>
            <w:pPr>
              <w:spacing w:after="0"/>
              <w:rPr>
                <w:sz w:val="20"/>
                <w:szCs w:val="20"/>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5,244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8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200" w:type="dxa"/>
            <w:vAlign w:val="bottom"/>
          </w:tcPr>
          <w:p>
            <w:pPr>
              <w:spacing w:after="0"/>
              <w:rPr>
                <w:sz w:val="17"/>
                <w:szCs w:val="17"/>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960</w:t>
            </w:r>
          </w:p>
        </w:tc>
        <w:tc>
          <w:tcPr>
            <w:tcW w:w="30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646</w:t>
            </w:r>
          </w:p>
        </w:tc>
        <w:tc>
          <w:tcPr>
            <w:tcW w:w="320" w:type="dxa"/>
            <w:vAlign w:val="bottom"/>
          </w:tcPr>
          <w:p>
            <w:pPr>
              <w:spacing w:after="0"/>
              <w:rPr>
                <w:sz w:val="17"/>
                <w:szCs w:val="17"/>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335</w:t>
            </w:r>
          </w:p>
        </w:tc>
        <w:tc>
          <w:tcPr>
            <w:tcW w:w="26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325</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20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19</w:t>
            </w:r>
          </w:p>
        </w:tc>
        <w:tc>
          <w:tcPr>
            <w:tcW w:w="30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17</w:t>
            </w:r>
          </w:p>
        </w:tc>
        <w:tc>
          <w:tcPr>
            <w:tcW w:w="32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17</w:t>
            </w:r>
          </w:p>
        </w:tc>
        <w:tc>
          <w:tcPr>
            <w:tcW w:w="2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8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(9,298)</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(9,297)</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(9,247)</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(9,185)</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3,214</w:t>
            </w: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141</w:t>
            </w:r>
          </w:p>
        </w:tc>
        <w:tc>
          <w:tcPr>
            <w:tcW w:w="3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(1,458)</w:t>
            </w:r>
          </w:p>
        </w:tc>
        <w:tc>
          <w:tcPr>
            <w:tcW w:w="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(1,489)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(1) Includes a $2.4 million charge in the fourth quarter of 2011 related to the withdrawal from a multiemployer pension plan.</w:t>
      </w:r>
    </w:p>
    <w:p>
      <w:pPr>
        <w:spacing w:after="0" w:line="18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The following table summarizes financial information related to each of the Company’s business segments for the fiscal years 2011 and 2010: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Fiscal Year Ended</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ind w:right="486"/>
              <w:spacing w:after="0"/>
              <w:rPr>
                <w:sz w:val="20"/>
                <w:szCs w:val="20"/>
                <w:color w:val="auto"/>
              </w:rPr>
            </w:pPr>
            <w:r>
              <w:rPr>
                <w:rFonts w:ascii="Arial" w:cs="Arial" w:eastAsia="Arial" w:hAnsi="Arial"/>
                <w:sz w:val="12"/>
                <w:szCs w:val="12"/>
                <w:color w:val="auto"/>
              </w:rPr>
              <w:t>December 31,</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January 2,</w:t>
            </w:r>
          </w:p>
        </w:tc>
        <w:tc>
          <w:tcPr>
            <w:tcW w:w="0" w:type="dxa"/>
            <w:vAlign w:val="bottom"/>
          </w:tcPr>
          <w:p>
            <w:pPr>
              <w:spacing w:after="0"/>
              <w:rPr>
                <w:sz w:val="1"/>
                <w:szCs w:val="1"/>
                <w:color w:val="auto"/>
              </w:rPr>
            </w:pPr>
          </w:p>
        </w:tc>
      </w:tr>
      <w:tr>
        <w:trPr>
          <w:trHeight w:val="163"/>
        </w:trPr>
        <w:tc>
          <w:tcPr>
            <w:tcW w:w="8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66"/>
              <w:spacing w:after="0"/>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Education</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2,431,922</w:t>
            </w:r>
          </w:p>
        </w:tc>
        <w:tc>
          <w:tcPr>
            <w:tcW w:w="54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Cable television</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760,221</w:t>
            </w:r>
          </w:p>
        </w:tc>
        <w:tc>
          <w:tcPr>
            <w:tcW w:w="540" w:type="dxa"/>
            <w:vAlign w:val="bottom"/>
          </w:tcPr>
          <w:p>
            <w:pPr>
              <w:spacing w:after="0"/>
              <w:rPr>
                <w:sz w:val="18"/>
                <w:szCs w:val="18"/>
                <w:color w:val="auto"/>
              </w:rPr>
            </w:pPr>
          </w:p>
        </w:tc>
        <w:tc>
          <w:tcPr>
            <w:tcW w:w="640" w:type="dxa"/>
            <w:vAlign w:val="bottom"/>
          </w:tcPr>
          <w:p>
            <w:pPr>
              <w:jc w:val="center"/>
              <w:ind w:left="447"/>
              <w:spacing w:after="0"/>
              <w:rPr>
                <w:sz w:val="20"/>
                <w:szCs w:val="20"/>
                <w:color w:val="auto"/>
              </w:rPr>
            </w:pPr>
            <w:r>
              <w:rPr>
                <w:rFonts w:ascii="Arial" w:cs="Arial" w:eastAsia="Arial" w:hAnsi="Arial"/>
                <w:sz w:val="15"/>
                <w:szCs w:val="15"/>
                <w:color w:val="auto"/>
                <w:w w:val="95"/>
              </w:rPr>
              <w:t>7</w:t>
            </w: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Newspaper publishing</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648,039</w:t>
            </w:r>
          </w:p>
        </w:tc>
        <w:tc>
          <w:tcPr>
            <w:tcW w:w="540" w:type="dxa"/>
            <w:vAlign w:val="bottom"/>
          </w:tcPr>
          <w:p>
            <w:pPr>
              <w:spacing w:after="0"/>
              <w:rPr>
                <w:sz w:val="18"/>
                <w:szCs w:val="18"/>
                <w:color w:val="auto"/>
              </w:rPr>
            </w:pPr>
          </w:p>
        </w:tc>
        <w:tc>
          <w:tcPr>
            <w:tcW w:w="640" w:type="dxa"/>
            <w:vAlign w:val="bottom"/>
          </w:tcPr>
          <w:p>
            <w:pPr>
              <w:jc w:val="center"/>
              <w:ind w:left="447"/>
              <w:spacing w:after="0"/>
              <w:rPr>
                <w:sz w:val="20"/>
                <w:szCs w:val="20"/>
                <w:color w:val="auto"/>
              </w:rPr>
            </w:pPr>
            <w:r>
              <w:rPr>
                <w:rFonts w:ascii="Arial" w:cs="Arial" w:eastAsia="Arial" w:hAnsi="Arial"/>
                <w:sz w:val="15"/>
                <w:szCs w:val="15"/>
                <w:color w:val="auto"/>
                <w:w w:val="95"/>
              </w:rPr>
              <w:t>6</w:t>
            </w: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Television broadcasting</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319,206</w:t>
            </w:r>
          </w:p>
        </w:tc>
        <w:tc>
          <w:tcPr>
            <w:tcW w:w="540" w:type="dxa"/>
            <w:vAlign w:val="bottom"/>
          </w:tcPr>
          <w:p>
            <w:pPr>
              <w:spacing w:after="0"/>
              <w:rPr>
                <w:sz w:val="18"/>
                <w:szCs w:val="18"/>
                <w:color w:val="auto"/>
              </w:rPr>
            </w:pPr>
          </w:p>
        </w:tc>
        <w:tc>
          <w:tcPr>
            <w:tcW w:w="640" w:type="dxa"/>
            <w:vAlign w:val="bottom"/>
          </w:tcPr>
          <w:p>
            <w:pPr>
              <w:jc w:val="center"/>
              <w:ind w:left="447"/>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Other businesses</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26,135</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Corporate office</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40"/>
              <w:spacing w:after="0"/>
              <w:rPr>
                <w:sz w:val="20"/>
                <w:szCs w:val="20"/>
                <w:color w:val="auto"/>
              </w:rPr>
            </w:pPr>
            <w:r>
              <w:rPr>
                <w:rFonts w:ascii="Arial" w:cs="Arial" w:eastAsia="Arial" w:hAnsi="Arial"/>
                <w:sz w:val="15"/>
                <w:szCs w:val="15"/>
                <w:color w:val="auto"/>
              </w:rPr>
              <w:t>Intersegment elimination</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(3,816)</w:t>
            </w: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4,181,707</w:t>
            </w:r>
          </w:p>
        </w:tc>
        <w:tc>
          <w:tcPr>
            <w:tcW w:w="5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98"/>
        </w:trPr>
        <w:tc>
          <w:tcPr>
            <w:tcW w:w="8000" w:type="dxa"/>
            <w:vAlign w:val="bottom"/>
          </w:tcPr>
          <w:p>
            <w:pPr>
              <w:spacing w:after="0"/>
              <w:rPr>
                <w:sz w:val="20"/>
                <w:szCs w:val="20"/>
                <w:color w:val="auto"/>
              </w:rPr>
            </w:pPr>
            <w:r>
              <w:rPr>
                <w:rFonts w:ascii="Arial" w:cs="Arial" w:eastAsia="Arial" w:hAnsi="Arial"/>
                <w:sz w:val="15"/>
                <w:szCs w:val="15"/>
                <w:b w:val="1"/>
                <w:bCs w:val="1"/>
                <w:color w:val="auto"/>
              </w:rPr>
              <w:t>Income (Loss) from Operations</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Education</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90,858</w:t>
            </w:r>
          </w:p>
        </w:tc>
        <w:tc>
          <w:tcPr>
            <w:tcW w:w="54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640" w:type="dxa"/>
            <w:vAlign w:val="bottom"/>
          </w:tcPr>
          <w:p>
            <w:pPr>
              <w:jc w:val="center"/>
              <w:ind w:left="447"/>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Cable television</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156,844</w:t>
            </w:r>
          </w:p>
        </w:tc>
        <w:tc>
          <w:tcPr>
            <w:tcW w:w="540" w:type="dxa"/>
            <w:vAlign w:val="bottom"/>
          </w:tcPr>
          <w:p>
            <w:pPr>
              <w:spacing w:after="0"/>
              <w:rPr>
                <w:sz w:val="18"/>
                <w:szCs w:val="18"/>
                <w:color w:val="auto"/>
              </w:rPr>
            </w:pPr>
          </w:p>
        </w:tc>
        <w:tc>
          <w:tcPr>
            <w:tcW w:w="640" w:type="dxa"/>
            <w:vAlign w:val="bottom"/>
          </w:tcPr>
          <w:p>
            <w:pPr>
              <w:jc w:val="center"/>
              <w:ind w:left="447"/>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Newspaper publishing</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(18,200)</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Television broadcasting</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117,089</w:t>
            </w:r>
          </w:p>
        </w:tc>
        <w:tc>
          <w:tcPr>
            <w:tcW w:w="540" w:type="dxa"/>
            <w:vAlign w:val="bottom"/>
          </w:tcPr>
          <w:p>
            <w:pPr>
              <w:spacing w:after="0"/>
              <w:rPr>
                <w:sz w:val="18"/>
                <w:szCs w:val="18"/>
                <w:color w:val="auto"/>
              </w:rPr>
            </w:pPr>
          </w:p>
        </w:tc>
        <w:tc>
          <w:tcPr>
            <w:tcW w:w="640" w:type="dxa"/>
            <w:vAlign w:val="bottom"/>
          </w:tcPr>
          <w:p>
            <w:pPr>
              <w:jc w:val="center"/>
              <w:ind w:left="447"/>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Other businesses</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(34,787)</w:t>
            </w:r>
          </w:p>
        </w:tc>
        <w:tc>
          <w:tcPr>
            <w:tcW w:w="540" w:type="dxa"/>
            <w:vAlign w:val="bottom"/>
          </w:tcPr>
          <w:p>
            <w:pPr>
              <w:spacing w:after="0"/>
              <w:rPr>
                <w:sz w:val="18"/>
                <w:szCs w:val="18"/>
                <w:color w:val="auto"/>
              </w:rPr>
            </w:pPr>
          </w:p>
        </w:tc>
        <w:tc>
          <w:tcPr>
            <w:tcW w:w="640" w:type="dxa"/>
            <w:vAlign w:val="bottom"/>
          </w:tcPr>
          <w:p>
            <w:pPr>
              <w:jc w:val="center"/>
              <w:ind w:left="447"/>
              <w:spacing w:after="0"/>
              <w:rPr>
                <w:sz w:val="20"/>
                <w:szCs w:val="20"/>
                <w:color w:val="auto"/>
              </w:rPr>
            </w:pPr>
            <w:r>
              <w:rPr>
                <w:rFonts w:ascii="Arial" w:cs="Arial" w:eastAsia="Arial" w:hAnsi="Arial"/>
                <w:sz w:val="15"/>
                <w:szCs w:val="15"/>
                <w:color w:val="auto"/>
                <w:w w:val="89"/>
              </w:rPr>
              <w:t>(3</w:t>
            </w:r>
          </w:p>
        </w:tc>
        <w:tc>
          <w:tcPr>
            <w:tcW w:w="0" w:type="dxa"/>
            <w:vAlign w:val="bottom"/>
          </w:tcPr>
          <w:p>
            <w:pPr>
              <w:spacing w:after="0"/>
              <w:rPr>
                <w:sz w:val="1"/>
                <w:szCs w:val="1"/>
                <w:color w:val="auto"/>
              </w:rPr>
            </w:pPr>
          </w:p>
        </w:tc>
      </w:tr>
      <w:tr>
        <w:trPr>
          <w:trHeight w:val="204"/>
        </w:trPr>
        <w:tc>
          <w:tcPr>
            <w:tcW w:w="8000" w:type="dxa"/>
            <w:vAlign w:val="bottom"/>
          </w:tcPr>
          <w:p>
            <w:pPr>
              <w:ind w:left="340"/>
              <w:spacing w:after="0"/>
              <w:rPr>
                <w:sz w:val="20"/>
                <w:szCs w:val="20"/>
                <w:color w:val="auto"/>
              </w:rPr>
            </w:pPr>
            <w:r>
              <w:rPr>
                <w:rFonts w:ascii="Arial" w:cs="Arial" w:eastAsia="Arial" w:hAnsi="Arial"/>
                <w:sz w:val="15"/>
                <w:szCs w:val="15"/>
                <w:color w:val="auto"/>
              </w:rPr>
              <w:t>Corporate office</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(14,422)</w:t>
            </w: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left="447"/>
              <w:spacing w:after="0"/>
              <w:rPr>
                <w:sz w:val="20"/>
                <w:szCs w:val="20"/>
                <w:color w:val="auto"/>
              </w:rPr>
            </w:pPr>
            <w:r>
              <w:rPr>
                <w:rFonts w:ascii="Arial" w:cs="Arial" w:eastAsia="Arial" w:hAnsi="Arial"/>
                <w:sz w:val="15"/>
                <w:szCs w:val="15"/>
                <w:color w:val="auto"/>
                <w:w w:val="89"/>
              </w:rPr>
              <w:t>(2</w:t>
            </w: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297,382</w:t>
            </w:r>
          </w:p>
        </w:tc>
        <w:tc>
          <w:tcPr>
            <w:tcW w:w="5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center"/>
              <w:ind w:left="447"/>
              <w:spacing w:after="0"/>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198"/>
        </w:trPr>
        <w:tc>
          <w:tcPr>
            <w:tcW w:w="8000" w:type="dxa"/>
            <w:vAlign w:val="bottom"/>
          </w:tcPr>
          <w:p>
            <w:pPr>
              <w:spacing w:after="0"/>
              <w:rPr>
                <w:sz w:val="20"/>
                <w:szCs w:val="20"/>
                <w:color w:val="auto"/>
              </w:rPr>
            </w:pPr>
            <w:r>
              <w:rPr>
                <w:rFonts w:ascii="Arial" w:cs="Arial" w:eastAsia="Arial" w:hAnsi="Arial"/>
                <w:sz w:val="15"/>
                <w:szCs w:val="15"/>
                <w:b w:val="1"/>
                <w:bCs w:val="1"/>
                <w:color w:val="auto"/>
              </w:rPr>
              <w:t>Equity in Earnings (Losses) of Affiliates, Net</w:t>
            </w:r>
          </w:p>
        </w:tc>
        <w:tc>
          <w:tcPr>
            <w:tcW w:w="340" w:type="dxa"/>
            <w:vAlign w:val="bottom"/>
          </w:tcPr>
          <w:p>
            <w:pPr>
              <w:spacing w:after="0"/>
              <w:rPr>
                <w:sz w:val="17"/>
                <w:szCs w:val="17"/>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5,949</w:t>
            </w:r>
          </w:p>
        </w:tc>
        <w:tc>
          <w:tcPr>
            <w:tcW w:w="5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8000" w:type="dxa"/>
            <w:vAlign w:val="bottom"/>
          </w:tcPr>
          <w:p>
            <w:pPr>
              <w:spacing w:after="0"/>
              <w:rPr>
                <w:sz w:val="20"/>
                <w:szCs w:val="20"/>
                <w:color w:val="auto"/>
              </w:rPr>
            </w:pPr>
            <w:r>
              <w:rPr>
                <w:rFonts w:ascii="Arial" w:cs="Arial" w:eastAsia="Arial" w:hAnsi="Arial"/>
                <w:sz w:val="15"/>
                <w:szCs w:val="15"/>
                <w:b w:val="1"/>
                <w:bCs w:val="1"/>
                <w:color w:val="auto"/>
              </w:rPr>
              <w:t>Interest Expense, Net</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(29,079)</w:t>
            </w:r>
          </w:p>
        </w:tc>
        <w:tc>
          <w:tcPr>
            <w:tcW w:w="540" w:type="dxa"/>
            <w:vAlign w:val="bottom"/>
          </w:tcPr>
          <w:p>
            <w:pPr>
              <w:spacing w:after="0"/>
              <w:rPr>
                <w:sz w:val="18"/>
                <w:szCs w:val="18"/>
                <w:color w:val="auto"/>
              </w:rPr>
            </w:pPr>
          </w:p>
        </w:tc>
        <w:tc>
          <w:tcPr>
            <w:tcW w:w="640" w:type="dxa"/>
            <w:vAlign w:val="bottom"/>
          </w:tcPr>
          <w:p>
            <w:pPr>
              <w:jc w:val="center"/>
              <w:ind w:left="447"/>
              <w:spacing w:after="0"/>
              <w:rPr>
                <w:sz w:val="20"/>
                <w:szCs w:val="20"/>
                <w:color w:val="auto"/>
              </w:rPr>
            </w:pPr>
            <w:r>
              <w:rPr>
                <w:rFonts w:ascii="Arial" w:cs="Arial" w:eastAsia="Arial" w:hAnsi="Arial"/>
                <w:sz w:val="15"/>
                <w:szCs w:val="15"/>
                <w:color w:val="auto"/>
                <w:w w:val="89"/>
              </w:rPr>
              <w:t>(2</w:t>
            </w:r>
          </w:p>
        </w:tc>
        <w:tc>
          <w:tcPr>
            <w:tcW w:w="0" w:type="dxa"/>
            <w:vAlign w:val="bottom"/>
          </w:tcPr>
          <w:p>
            <w:pPr>
              <w:spacing w:after="0"/>
              <w:rPr>
                <w:sz w:val="1"/>
                <w:szCs w:val="1"/>
                <w:color w:val="auto"/>
              </w:rPr>
            </w:pPr>
          </w:p>
        </w:tc>
      </w:tr>
      <w:tr>
        <w:trPr>
          <w:trHeight w:val="204"/>
        </w:trPr>
        <w:tc>
          <w:tcPr>
            <w:tcW w:w="8000" w:type="dxa"/>
            <w:vAlign w:val="bottom"/>
          </w:tcPr>
          <w:p>
            <w:pPr>
              <w:spacing w:after="0"/>
              <w:rPr>
                <w:sz w:val="20"/>
                <w:szCs w:val="20"/>
                <w:color w:val="auto"/>
              </w:rPr>
            </w:pPr>
            <w:r>
              <w:rPr>
                <w:rFonts w:ascii="Arial" w:cs="Arial" w:eastAsia="Arial" w:hAnsi="Arial"/>
                <w:sz w:val="15"/>
                <w:szCs w:val="15"/>
                <w:b w:val="1"/>
                <w:bCs w:val="1"/>
                <w:color w:val="auto"/>
              </w:rPr>
              <w:t>Other (Expense) Income, Net</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(55,200)</w:t>
            </w: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0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219,052</w:t>
            </w:r>
          </w:p>
        </w:tc>
        <w:tc>
          <w:tcPr>
            <w:tcW w:w="5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center"/>
              <w:ind w:left="447"/>
              <w:spacing w:after="0"/>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Education</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84,474</w:t>
            </w:r>
          </w:p>
        </w:tc>
        <w:tc>
          <w:tcPr>
            <w:tcW w:w="54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Cable television</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126,302</w:t>
            </w:r>
          </w:p>
        </w:tc>
        <w:tc>
          <w:tcPr>
            <w:tcW w:w="540" w:type="dxa"/>
            <w:vAlign w:val="bottom"/>
          </w:tcPr>
          <w:p>
            <w:pPr>
              <w:spacing w:after="0"/>
              <w:rPr>
                <w:sz w:val="18"/>
                <w:szCs w:val="18"/>
                <w:color w:val="auto"/>
              </w:rPr>
            </w:pPr>
          </w:p>
        </w:tc>
        <w:tc>
          <w:tcPr>
            <w:tcW w:w="640" w:type="dxa"/>
            <w:vAlign w:val="bottom"/>
          </w:tcPr>
          <w:p>
            <w:pPr>
              <w:jc w:val="center"/>
              <w:ind w:left="447"/>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Newspaper publishing</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26,336</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Television broadcasting</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12,448</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Other businesses</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325</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40"/>
              <w:spacing w:after="0"/>
              <w:rPr>
                <w:sz w:val="20"/>
                <w:szCs w:val="20"/>
                <w:color w:val="auto"/>
              </w:rPr>
            </w:pPr>
            <w:r>
              <w:rPr>
                <w:rFonts w:ascii="Arial" w:cs="Arial" w:eastAsia="Arial" w:hAnsi="Arial"/>
                <w:sz w:val="15"/>
                <w:szCs w:val="15"/>
                <w:color w:val="auto"/>
              </w:rPr>
              <w:t>Corporate office</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244</w:t>
            </w: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250,129</w:t>
            </w:r>
          </w:p>
        </w:tc>
        <w:tc>
          <w:tcPr>
            <w:tcW w:w="5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center"/>
              <w:ind w:left="447"/>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198"/>
        </w:trPr>
        <w:tc>
          <w:tcPr>
            <w:tcW w:w="8000" w:type="dxa"/>
            <w:vAlign w:val="bottom"/>
          </w:tcPr>
          <w:p>
            <w:pPr>
              <w:spacing w:after="0"/>
              <w:rPr>
                <w:sz w:val="20"/>
                <w:szCs w:val="20"/>
                <w:color w:val="auto"/>
              </w:rPr>
            </w:pPr>
            <w:r>
              <w:rPr>
                <w:rFonts w:ascii="Arial" w:cs="Arial" w:eastAsia="Arial" w:hAnsi="Arial"/>
                <w:sz w:val="15"/>
                <w:szCs w:val="15"/>
                <w:b w:val="1"/>
                <w:bCs w:val="1"/>
                <w:color w:val="auto"/>
              </w:rPr>
              <w:t>Amortization of Intangible Assets and Impairment of Goodwill and Other Intangible Assets</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Education</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19,446</w:t>
            </w:r>
          </w:p>
        </w:tc>
        <w:tc>
          <w:tcPr>
            <w:tcW w:w="54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Cable television</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267</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Newspaper publishing</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1,051</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Television broadcasting</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Other businesses</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17,797</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40"/>
              <w:spacing w:after="0"/>
              <w:rPr>
                <w:sz w:val="20"/>
                <w:szCs w:val="20"/>
                <w:color w:val="auto"/>
              </w:rPr>
            </w:pPr>
            <w:r>
              <w:rPr>
                <w:rFonts w:ascii="Arial" w:cs="Arial" w:eastAsia="Arial" w:hAnsi="Arial"/>
                <w:sz w:val="15"/>
                <w:szCs w:val="15"/>
                <w:color w:val="auto"/>
              </w:rPr>
              <w:t>Corporate office</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38,561</w:t>
            </w:r>
          </w:p>
        </w:tc>
        <w:tc>
          <w:tcPr>
            <w:tcW w:w="5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000" w:type="dxa"/>
            <w:vAlign w:val="bottom"/>
          </w:tcPr>
          <w:p>
            <w:pPr>
              <w:spacing w:after="0"/>
              <w:rPr>
                <w:sz w:val="20"/>
                <w:szCs w:val="20"/>
                <w:color w:val="auto"/>
              </w:rPr>
            </w:pPr>
            <w:r>
              <w:rPr>
                <w:rFonts w:ascii="Arial" w:cs="Arial" w:eastAsia="Arial" w:hAnsi="Arial"/>
                <w:sz w:val="15"/>
                <w:szCs w:val="15"/>
                <w:b w:val="1"/>
                <w:bCs w:val="1"/>
                <w:color w:val="auto"/>
              </w:rPr>
              <w:t>Net Pension (Credit) Expense</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Education</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6,345</w:t>
            </w:r>
          </w:p>
        </w:tc>
        <w:tc>
          <w:tcPr>
            <w:tcW w:w="54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40"/>
              <w:spacing w:after="0"/>
              <w:rPr>
                <w:sz w:val="20"/>
                <w:szCs w:val="20"/>
                <w:color w:val="auto"/>
              </w:rPr>
            </w:pPr>
            <w:r>
              <w:rPr>
                <w:rFonts w:ascii="Arial" w:cs="Arial" w:eastAsia="Arial" w:hAnsi="Arial"/>
                <w:sz w:val="15"/>
                <w:szCs w:val="15"/>
                <w:color w:val="auto"/>
              </w:rPr>
              <w:t>Cable television</w:t>
            </w:r>
          </w:p>
        </w:tc>
        <w:tc>
          <w:tcPr>
            <w:tcW w:w="340" w:type="dxa"/>
            <w:vAlign w:val="bottom"/>
          </w:tcPr>
          <w:p>
            <w:pPr>
              <w:spacing w:after="0"/>
              <w:rPr>
                <w:sz w:val="17"/>
                <w:szCs w:val="17"/>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1,924</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000" w:type="dxa"/>
            <w:vAlign w:val="bottom"/>
          </w:tcPr>
          <w:p>
            <w:pPr>
              <w:ind w:left="340"/>
              <w:spacing w:after="0" w:line="250" w:lineRule="exact"/>
              <w:rPr>
                <w:sz w:val="20"/>
                <w:szCs w:val="20"/>
                <w:color w:val="auto"/>
              </w:rPr>
            </w:pPr>
            <w:r>
              <w:rPr>
                <w:rFonts w:ascii="Arial" w:cs="Arial" w:eastAsia="Arial" w:hAnsi="Arial"/>
                <w:sz w:val="15"/>
                <w:szCs w:val="15"/>
                <w:color w:val="auto"/>
              </w:rPr>
              <w:t>Newspaper publishing</w:t>
            </w:r>
            <w:r>
              <w:rPr>
                <w:rFonts w:ascii="Arial" w:cs="Arial" w:eastAsia="Arial" w:hAnsi="Arial"/>
                <w:sz w:val="24"/>
                <w:szCs w:val="24"/>
                <w:color w:val="auto"/>
                <w:vertAlign w:val="superscript"/>
              </w:rPr>
              <w:t>(1)</w:t>
            </w:r>
          </w:p>
        </w:tc>
        <w:tc>
          <w:tcPr>
            <w:tcW w:w="340" w:type="dxa"/>
            <w:vAlign w:val="bottom"/>
          </w:tcPr>
          <w:p>
            <w:pPr>
              <w:spacing w:after="0"/>
              <w:rPr>
                <w:sz w:val="21"/>
                <w:szCs w:val="21"/>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25,300</w:t>
            </w: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8000" w:type="dxa"/>
            <w:vAlign w:val="bottom"/>
          </w:tcPr>
          <w:p>
            <w:pPr>
              <w:ind w:left="340"/>
              <w:spacing w:after="0"/>
              <w:rPr>
                <w:sz w:val="20"/>
                <w:szCs w:val="20"/>
                <w:color w:val="auto"/>
              </w:rPr>
            </w:pPr>
            <w:r>
              <w:rPr>
                <w:rFonts w:ascii="Arial" w:cs="Arial" w:eastAsia="Arial" w:hAnsi="Arial"/>
                <w:sz w:val="15"/>
                <w:szCs w:val="15"/>
                <w:color w:val="auto"/>
              </w:rPr>
              <w:t>Television broadcasting</w:t>
            </w:r>
          </w:p>
        </w:tc>
        <w:tc>
          <w:tcPr>
            <w:tcW w:w="340" w:type="dxa"/>
            <w:vAlign w:val="bottom"/>
          </w:tcPr>
          <w:p>
            <w:pPr>
              <w:spacing w:after="0"/>
              <w:rPr>
                <w:sz w:val="15"/>
                <w:szCs w:val="15"/>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1,669</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000" w:type="dxa"/>
            <w:vAlign w:val="bottom"/>
          </w:tcPr>
          <w:p>
            <w:pPr>
              <w:ind w:left="340"/>
              <w:spacing w:after="0"/>
              <w:rPr>
                <w:sz w:val="20"/>
                <w:szCs w:val="20"/>
                <w:color w:val="auto"/>
              </w:rPr>
            </w:pPr>
            <w:r>
              <w:rPr>
                <w:rFonts w:ascii="Arial" w:cs="Arial" w:eastAsia="Arial" w:hAnsi="Arial"/>
                <w:sz w:val="15"/>
                <w:szCs w:val="15"/>
                <w:color w:val="auto"/>
              </w:rPr>
              <w:t>Other businesses</w:t>
            </w:r>
          </w:p>
        </w:tc>
        <w:tc>
          <w:tcPr>
            <w:tcW w:w="340" w:type="dxa"/>
            <w:vAlign w:val="bottom"/>
          </w:tcPr>
          <w:p>
            <w:pPr>
              <w:spacing w:after="0"/>
              <w:rPr>
                <w:sz w:val="18"/>
                <w:szCs w:val="18"/>
                <w:color w:val="auto"/>
              </w:rPr>
            </w:pP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68</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40"/>
              <w:spacing w:after="0"/>
              <w:rPr>
                <w:sz w:val="20"/>
                <w:szCs w:val="20"/>
                <w:color w:val="auto"/>
              </w:rPr>
            </w:pPr>
            <w:r>
              <w:rPr>
                <w:rFonts w:ascii="Arial" w:cs="Arial" w:eastAsia="Arial" w:hAnsi="Arial"/>
                <w:sz w:val="15"/>
                <w:szCs w:val="15"/>
                <w:color w:val="auto"/>
              </w:rPr>
              <w:t>Corporate office</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(36,983)</w:t>
            </w: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left="447"/>
              <w:spacing w:after="0"/>
              <w:rPr>
                <w:sz w:val="20"/>
                <w:szCs w:val="20"/>
                <w:color w:val="auto"/>
              </w:rPr>
            </w:pPr>
            <w:r>
              <w:rPr>
                <w:rFonts w:ascii="Arial" w:cs="Arial" w:eastAsia="Arial" w:hAnsi="Arial"/>
                <w:sz w:val="15"/>
                <w:szCs w:val="15"/>
                <w:color w:val="auto"/>
                <w:w w:val="89"/>
              </w:rPr>
              <w:t>(3</w:t>
            </w: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(1,677)</w:t>
            </w:r>
          </w:p>
        </w:tc>
        <w:tc>
          <w:tcPr>
            <w:tcW w:w="5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(1) Includes a $2.4 and $20.4 million charge in 2011 and 2010, respectively, related to the withdrawal from a multiemployer pension plan.</w:t>
      </w:r>
    </w:p>
    <w:p>
      <w:pPr>
        <w:spacing w:after="0" w:line="18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Asset information for the Company’s business segments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As of</w:t>
            </w: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jc w:val="right"/>
              <w:ind w:right="447"/>
              <w:spacing w:after="0" w:line="114" w:lineRule="exact"/>
              <w:rPr>
                <w:sz w:val="20"/>
                <w:szCs w:val="20"/>
                <w:color w:val="auto"/>
              </w:rPr>
            </w:pPr>
            <w:r>
              <w:rPr>
                <w:rFonts w:ascii="Arial" w:cs="Arial" w:eastAsia="Arial" w:hAnsi="Arial"/>
                <w:sz w:val="12"/>
                <w:szCs w:val="12"/>
                <w:b w:val="1"/>
                <w:bCs w:val="1"/>
                <w:color w:val="auto"/>
              </w:rPr>
              <w:t>March 31,</w:t>
            </w:r>
          </w:p>
        </w:tc>
        <w:tc>
          <w:tcPr>
            <w:tcW w:w="520" w:type="dxa"/>
            <w:vAlign w:val="bottom"/>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Arial" w:cs="Arial" w:eastAsia="Arial" w:hAnsi="Arial"/>
                <w:sz w:val="12"/>
                <w:szCs w:val="12"/>
                <w:color w:val="auto"/>
              </w:rPr>
              <w:t>December 3</w:t>
            </w:r>
          </w:p>
        </w:tc>
        <w:tc>
          <w:tcPr>
            <w:tcW w:w="0" w:type="dxa"/>
            <w:vAlign w:val="bottom"/>
          </w:tcPr>
          <w:p>
            <w:pPr>
              <w:spacing w:after="0"/>
              <w:rPr>
                <w:sz w:val="1"/>
                <w:szCs w:val="1"/>
                <w:color w:val="auto"/>
              </w:rPr>
            </w:pPr>
          </w:p>
        </w:tc>
      </w:tr>
      <w:tr>
        <w:trPr>
          <w:trHeight w:val="151"/>
        </w:trPr>
        <w:tc>
          <w:tcPr>
            <w:tcW w:w="8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2012</w:t>
            </w: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8020" w:type="dxa"/>
            <w:vAlign w:val="bottom"/>
          </w:tcPr>
          <w:p>
            <w:pPr>
              <w:spacing w:after="0" w:line="168" w:lineRule="exact"/>
              <w:rPr>
                <w:sz w:val="20"/>
                <w:szCs w:val="20"/>
                <w:color w:val="auto"/>
              </w:rPr>
            </w:pPr>
            <w:r>
              <w:rPr>
                <w:rFonts w:ascii="Arial" w:cs="Arial" w:eastAsia="Arial" w:hAnsi="Arial"/>
                <w:sz w:val="15"/>
                <w:szCs w:val="15"/>
                <w:b w:val="1"/>
                <w:bCs w:val="1"/>
                <w:color w:val="auto"/>
              </w:rPr>
              <w:t>Identifiable Assets</w:t>
            </w:r>
          </w:p>
        </w:tc>
        <w:tc>
          <w:tcPr>
            <w:tcW w:w="36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1,877,759</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20" w:type="dxa"/>
            <w:vAlign w:val="bottom"/>
          </w:tcPr>
          <w:p>
            <w:pPr>
              <w:ind w:left="220"/>
              <w:spacing w:after="0" w:line="156" w:lineRule="exact"/>
              <w:rPr>
                <w:sz w:val="20"/>
                <w:szCs w:val="20"/>
                <w:color w:val="auto"/>
              </w:rPr>
            </w:pPr>
            <w:r>
              <w:rPr>
                <w:rFonts w:ascii="Arial" w:cs="Arial" w:eastAsia="Arial" w:hAnsi="Arial"/>
                <w:sz w:val="15"/>
                <w:szCs w:val="15"/>
                <w:color w:val="auto"/>
              </w:rPr>
              <w:t>Education</w:t>
            </w:r>
          </w:p>
        </w:tc>
        <w:tc>
          <w:tcPr>
            <w:tcW w:w="3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520" w:type="dxa"/>
            <w:vAlign w:val="bottom"/>
          </w:tcPr>
          <w:p>
            <w:pPr>
              <w:jc w:val="right"/>
              <w:ind w:right="8"/>
              <w:spacing w:after="0" w:line="156"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56"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74"/>
        </w:trPr>
        <w:tc>
          <w:tcPr>
            <w:tcW w:w="802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1,150,124</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4"/>
        </w:trPr>
        <w:tc>
          <w:tcPr>
            <w:tcW w:w="8020" w:type="dxa"/>
            <w:vAlign w:val="bottom"/>
          </w:tcPr>
          <w:p>
            <w:pPr>
              <w:ind w:left="220"/>
              <w:spacing w:after="0"/>
              <w:rPr>
                <w:sz w:val="20"/>
                <w:szCs w:val="20"/>
                <w:color w:val="auto"/>
              </w:rPr>
            </w:pPr>
            <w:r>
              <w:rPr>
                <w:rFonts w:ascii="Arial" w:cs="Arial" w:eastAsia="Arial" w:hAnsi="Arial"/>
                <w:sz w:val="15"/>
                <w:szCs w:val="15"/>
                <w:color w:val="auto"/>
              </w:rPr>
              <w:t>Newspaper publishing</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83,641</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802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415,787</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802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9,811</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976,672</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66"/>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Investments in Marketable Equity Securities</w:t>
            </w: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4,513,794</w:t>
            </w:r>
          </w:p>
        </w:tc>
        <w:tc>
          <w:tcPr>
            <w:tcW w:w="52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50"/>
        </w:trPr>
        <w:tc>
          <w:tcPr>
            <w:tcW w:w="8020" w:type="dxa"/>
            <w:vAlign w:val="bottom"/>
            <w:vMerge w:val="continue"/>
          </w:tcPr>
          <w:p>
            <w:pPr>
              <w:spacing w:after="0"/>
              <w:rPr>
                <w:sz w:val="13"/>
                <w:szCs w:val="13"/>
                <w:color w:val="auto"/>
              </w:rPr>
            </w:pPr>
          </w:p>
        </w:tc>
        <w:tc>
          <w:tcPr>
            <w:tcW w:w="36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w:t>
            </w:r>
          </w:p>
        </w:tc>
        <w:tc>
          <w:tcPr>
            <w:tcW w:w="124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365,523</w:t>
            </w:r>
          </w:p>
        </w:tc>
        <w:tc>
          <w:tcPr>
            <w:tcW w:w="520" w:type="dxa"/>
            <w:vAlign w:val="bottom"/>
          </w:tcPr>
          <w:p>
            <w:pPr>
              <w:jc w:val="right"/>
              <w:ind w:right="8"/>
              <w:spacing w:after="0" w:line="150"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50"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02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19,329</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20" w:type="dxa"/>
            <w:vAlign w:val="bottom"/>
          </w:tcPr>
          <w:p>
            <w:pPr>
              <w:spacing w:after="0"/>
              <w:rPr>
                <w:sz w:val="20"/>
                <w:szCs w:val="20"/>
                <w:color w:val="auto"/>
              </w:rPr>
            </w:pPr>
            <w:r>
              <w:rPr>
                <w:rFonts w:ascii="Arial" w:cs="Arial" w:eastAsia="Arial" w:hAnsi="Arial"/>
                <w:sz w:val="15"/>
                <w:szCs w:val="15"/>
                <w:b w:val="1"/>
                <w:bCs w:val="1"/>
                <w:color w:val="auto"/>
              </w:rPr>
              <w:t>Assets of Discontinued Operations</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41,177</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020" w:type="dxa"/>
            <w:vAlign w:val="bottom"/>
          </w:tcPr>
          <w:p>
            <w:pPr>
              <w:spacing w:after="0" w:line="167" w:lineRule="exact"/>
              <w:rPr>
                <w:sz w:val="20"/>
                <w:szCs w:val="20"/>
                <w:color w:val="auto"/>
              </w:rPr>
            </w:pPr>
            <w:r>
              <w:rPr>
                <w:rFonts w:ascii="Arial" w:cs="Arial" w:eastAsia="Arial" w:hAnsi="Arial"/>
                <w:sz w:val="15"/>
                <w:szCs w:val="15"/>
                <w:b w:val="1"/>
                <w:bCs w:val="1"/>
                <w:color w:val="auto"/>
              </w:rPr>
              <w:t>Total Assets</w:t>
            </w: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4,939,823</w:t>
            </w:r>
          </w:p>
        </w:tc>
        <w:tc>
          <w:tcPr>
            <w:tcW w:w="52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quarterly financial information related to the reportable segments within the Company’s education division: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267"/>
              <w:spacing w:after="0"/>
              <w:rPr>
                <w:sz w:val="20"/>
                <w:szCs w:val="20"/>
                <w:color w:val="auto"/>
              </w:rPr>
            </w:pPr>
            <w:r>
              <w:rPr>
                <w:rFonts w:ascii="Arial" w:cs="Arial" w:eastAsia="Arial" w:hAnsi="Arial"/>
                <w:sz w:val="12"/>
                <w:szCs w:val="12"/>
                <w:b w:val="1"/>
                <w:bCs w:val="1"/>
                <w:color w:val="auto"/>
              </w:rPr>
              <w:t>March 31,</w:t>
            </w:r>
          </w:p>
        </w:tc>
        <w:tc>
          <w:tcPr>
            <w:tcW w:w="280" w:type="dxa"/>
            <w:vAlign w:val="bottom"/>
          </w:tcPr>
          <w:p>
            <w:pPr>
              <w:spacing w:after="0"/>
              <w:rPr>
                <w:sz w:val="12"/>
                <w:szCs w:val="12"/>
                <w:color w:val="auto"/>
              </w:rPr>
            </w:pPr>
          </w:p>
        </w:tc>
        <w:tc>
          <w:tcPr>
            <w:tcW w:w="980" w:type="dxa"/>
            <w:vAlign w:val="bottom"/>
          </w:tcPr>
          <w:p>
            <w:pPr>
              <w:jc w:val="right"/>
              <w:ind w:right="267"/>
              <w:spacing w:after="0"/>
              <w:rPr>
                <w:sz w:val="20"/>
                <w:szCs w:val="20"/>
                <w:color w:val="auto"/>
              </w:rPr>
            </w:pPr>
            <w:r>
              <w:rPr>
                <w:rFonts w:ascii="Arial" w:cs="Arial" w:eastAsia="Arial" w:hAnsi="Arial"/>
                <w:sz w:val="12"/>
                <w:szCs w:val="12"/>
                <w:color w:val="auto"/>
              </w:rPr>
              <w:t>March 31,</w:t>
            </w:r>
          </w:p>
        </w:tc>
        <w:tc>
          <w:tcPr>
            <w:tcW w:w="260" w:type="dxa"/>
            <w:vAlign w:val="bottom"/>
          </w:tcPr>
          <w:p>
            <w:pPr>
              <w:spacing w:after="0"/>
              <w:rPr>
                <w:sz w:val="12"/>
                <w:szCs w:val="12"/>
                <w:color w:val="auto"/>
              </w:rPr>
            </w:pPr>
          </w:p>
        </w:tc>
        <w:tc>
          <w:tcPr>
            <w:tcW w:w="880" w:type="dxa"/>
            <w:vAlign w:val="bottom"/>
          </w:tcPr>
          <w:p>
            <w:pPr>
              <w:jc w:val="right"/>
              <w:ind w:right="247"/>
              <w:spacing w:after="0"/>
              <w:rPr>
                <w:sz w:val="20"/>
                <w:szCs w:val="20"/>
                <w:color w:val="auto"/>
              </w:rPr>
            </w:pPr>
            <w:r>
              <w:rPr>
                <w:rFonts w:ascii="Arial" w:cs="Arial" w:eastAsia="Arial" w:hAnsi="Arial"/>
                <w:sz w:val="12"/>
                <w:szCs w:val="12"/>
                <w:color w:val="auto"/>
              </w:rPr>
              <w:t>June 30,</w:t>
            </w:r>
          </w:p>
        </w:tc>
        <w:tc>
          <w:tcPr>
            <w:tcW w:w="1120" w:type="dxa"/>
            <w:vAlign w:val="bottom"/>
            <w:gridSpan w:val="2"/>
          </w:tcPr>
          <w:p>
            <w:pPr>
              <w:jc w:val="right"/>
              <w:ind w:right="86"/>
              <w:spacing w:after="0"/>
              <w:rPr>
                <w:sz w:val="20"/>
                <w:szCs w:val="20"/>
                <w:color w:val="auto"/>
              </w:rPr>
            </w:pPr>
            <w:r>
              <w:rPr>
                <w:rFonts w:ascii="Arial" w:cs="Arial" w:eastAsia="Arial" w:hAnsi="Arial"/>
                <w:sz w:val="12"/>
                <w:szCs w:val="12"/>
                <w:color w:val="auto"/>
              </w:rPr>
              <w:t>September 30,</w:t>
            </w: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9"/>
              </w:rPr>
              <w:t>Decem</w:t>
            </w:r>
          </w:p>
        </w:tc>
        <w:tc>
          <w:tcPr>
            <w:tcW w:w="0" w:type="dxa"/>
            <w:vAlign w:val="bottom"/>
          </w:tcPr>
          <w:p>
            <w:pPr>
              <w:spacing w:after="0"/>
              <w:rPr>
                <w:sz w:val="1"/>
                <w:szCs w:val="1"/>
                <w:color w:val="auto"/>
              </w:rPr>
            </w:pPr>
          </w:p>
        </w:tc>
      </w:tr>
      <w:tr>
        <w:trPr>
          <w:trHeight w:val="151"/>
        </w:trPr>
        <w:tc>
          <w:tcPr>
            <w:tcW w:w="5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2012</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color w:val="auto"/>
              </w:rPr>
              <w:t>2011</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color w:val="auto"/>
              </w:rPr>
              <w:t>2011</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color w:val="auto"/>
              </w:rPr>
              <w:t>2011</w:t>
            </w: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68"/>
        </w:trPr>
        <w:tc>
          <w:tcPr>
            <w:tcW w:w="562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2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auto"/>
              </w:rPr>
              <w:t>308,384</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2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7"/>
              <w:spacing w:after="0" w:line="156" w:lineRule="exact"/>
              <w:rPr>
                <w:sz w:val="20"/>
                <w:szCs w:val="20"/>
                <w:color w:val="auto"/>
              </w:rPr>
            </w:pPr>
            <w:r>
              <w:rPr>
                <w:rFonts w:ascii="Arial" w:cs="Arial" w:eastAsia="Arial" w:hAnsi="Arial"/>
                <w:sz w:val="15"/>
                <w:szCs w:val="15"/>
                <w:color w:val="auto"/>
              </w:rPr>
              <w:t>386,883</w:t>
            </w:r>
          </w:p>
        </w:tc>
        <w:tc>
          <w:tcPr>
            <w:tcW w:w="26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358,312</w:t>
            </w:r>
          </w:p>
        </w:tc>
        <w:tc>
          <w:tcPr>
            <w:tcW w:w="280" w:type="dxa"/>
            <w:vAlign w:val="bottom"/>
          </w:tcPr>
          <w:p>
            <w:pPr>
              <w:jc w:val="right"/>
              <w:ind w:right="47"/>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330,856</w:t>
            </w:r>
          </w:p>
        </w:tc>
        <w:tc>
          <w:tcPr>
            <w:tcW w:w="1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420" w:type="dxa"/>
            <w:vAlign w:val="bottom"/>
          </w:tcPr>
          <w:p>
            <w:pPr>
              <w:jc w:val="center"/>
              <w:ind w:left="229"/>
              <w:spacing w:after="0" w:line="156" w:lineRule="exact"/>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174"/>
        </w:trPr>
        <w:tc>
          <w:tcPr>
            <w:tcW w:w="562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20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62,829</w:t>
            </w:r>
          </w:p>
        </w:tc>
        <w:tc>
          <w:tcPr>
            <w:tcW w:w="28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73,365</w:t>
            </w:r>
          </w:p>
        </w:tc>
        <w:tc>
          <w:tcPr>
            <w:tcW w:w="26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83,197</w:t>
            </w:r>
          </w:p>
        </w:tc>
        <w:tc>
          <w:tcPr>
            <w:tcW w:w="2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79,630</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2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20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176,385</w:t>
            </w:r>
          </w:p>
        </w:tc>
        <w:tc>
          <w:tcPr>
            <w:tcW w:w="28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152,135</w:t>
            </w:r>
          </w:p>
        </w:tc>
        <w:tc>
          <w:tcPr>
            <w:tcW w:w="26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169,016</w:t>
            </w:r>
          </w:p>
        </w:tc>
        <w:tc>
          <w:tcPr>
            <w:tcW w:w="2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192,609</w:t>
            </w:r>
          </w:p>
        </w:tc>
        <w:tc>
          <w:tcPr>
            <w:tcW w:w="180" w:type="dxa"/>
            <w:vAlign w:val="bottom"/>
          </w:tcPr>
          <w:p>
            <w:pPr>
              <w:spacing w:after="0"/>
              <w:rPr>
                <w:sz w:val="15"/>
                <w:szCs w:val="15"/>
                <w:color w:val="auto"/>
              </w:rPr>
            </w:pPr>
          </w:p>
        </w:tc>
        <w:tc>
          <w:tcPr>
            <w:tcW w:w="420" w:type="dxa"/>
            <w:vAlign w:val="bottom"/>
          </w:tcPr>
          <w:p>
            <w:pPr>
              <w:jc w:val="center"/>
              <w:ind w:left="229"/>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74"/>
        </w:trPr>
        <w:tc>
          <w:tcPr>
            <w:tcW w:w="5620" w:type="dxa"/>
            <w:vAlign w:val="bottom"/>
          </w:tcPr>
          <w:p>
            <w:pPr>
              <w:ind w:left="220"/>
              <w:spacing w:after="0"/>
              <w:rPr>
                <w:sz w:val="20"/>
                <w:szCs w:val="20"/>
                <w:color w:val="auto"/>
              </w:rPr>
            </w:pPr>
            <w:r>
              <w:rPr>
                <w:rFonts w:ascii="Arial" w:cs="Arial" w:eastAsia="Arial" w:hAnsi="Arial"/>
                <w:sz w:val="15"/>
                <w:szCs w:val="15"/>
                <w:color w:val="auto"/>
              </w:rPr>
              <w:t>Kaplan ventures</w:t>
            </w:r>
          </w:p>
        </w:tc>
        <w:tc>
          <w:tcPr>
            <w:tcW w:w="20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6,121</w:t>
            </w:r>
          </w:p>
        </w:tc>
        <w:tc>
          <w:tcPr>
            <w:tcW w:w="28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7,215</w:t>
            </w:r>
          </w:p>
        </w:tc>
        <w:tc>
          <w:tcPr>
            <w:tcW w:w="26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6,591</w:t>
            </w:r>
          </w:p>
        </w:tc>
        <w:tc>
          <w:tcPr>
            <w:tcW w:w="2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6,645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2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20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1,157</w:t>
            </w:r>
          </w:p>
        </w:tc>
        <w:tc>
          <w:tcPr>
            <w:tcW w:w="28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1,117</w:t>
            </w:r>
          </w:p>
        </w:tc>
        <w:tc>
          <w:tcPr>
            <w:tcW w:w="26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1,065</w:t>
            </w:r>
          </w:p>
        </w:tc>
        <w:tc>
          <w:tcPr>
            <w:tcW w:w="2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1,293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2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(1,475)</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(1,786)</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(1,219)</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(2,777)</w:t>
            </w: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5620" w:type="dxa"/>
            <w:vAlign w:val="bottom"/>
            <w:vMerge w:val="restart"/>
          </w:tcPr>
          <w:p>
            <w:pPr>
              <w:spacing w:after="0"/>
              <w:rPr>
                <w:sz w:val="20"/>
                <w:szCs w:val="20"/>
                <w:color w:val="auto"/>
              </w:rPr>
            </w:pPr>
            <w:r>
              <w:rPr>
                <w:rFonts w:ascii="Arial" w:cs="Arial" w:eastAsia="Arial" w:hAnsi="Arial"/>
                <w:sz w:val="15"/>
                <w:szCs w:val="15"/>
                <w:b w:val="1"/>
                <w:bCs w:val="1"/>
                <w:color w:val="auto"/>
              </w:rPr>
              <w:t>(Loss) Income from Operations</w:t>
            </w:r>
          </w:p>
        </w:tc>
        <w:tc>
          <w:tcPr>
            <w:tcW w:w="2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b w:val="1"/>
                <w:bCs w:val="1"/>
                <w:color w:val="auto"/>
              </w:rPr>
              <w:t>553,401</w:t>
            </w:r>
          </w:p>
        </w:tc>
        <w:tc>
          <w:tcPr>
            <w:tcW w:w="2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618,929</w:t>
            </w:r>
          </w:p>
        </w:tc>
        <w:tc>
          <w:tcPr>
            <w:tcW w:w="2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616,962</w:t>
            </w:r>
          </w:p>
        </w:tc>
        <w:tc>
          <w:tcPr>
            <w:tcW w:w="28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608,256</w:t>
            </w:r>
          </w:p>
        </w:tc>
        <w:tc>
          <w:tcPr>
            <w:tcW w:w="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center"/>
              <w:ind w:left="229"/>
              <w:spacing w:after="0" w:line="167" w:lineRule="exact"/>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168"/>
        </w:trPr>
        <w:tc>
          <w:tcPr>
            <w:tcW w:w="5620" w:type="dxa"/>
            <w:vAlign w:val="bottom"/>
            <w:vMerge w:val="continue"/>
          </w:tcPr>
          <w:p>
            <w:pPr>
              <w:spacing w:after="0"/>
              <w:rPr>
                <w:sz w:val="14"/>
                <w:szCs w:val="14"/>
                <w:color w:val="auto"/>
              </w:rPr>
            </w:pPr>
          </w:p>
        </w:tc>
        <w:tc>
          <w:tcPr>
            <w:tcW w:w="2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auto"/>
              </w:rPr>
              <w:t>8,954</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2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7"/>
              <w:spacing w:after="0" w:line="156" w:lineRule="exact"/>
              <w:rPr>
                <w:sz w:val="20"/>
                <w:szCs w:val="20"/>
                <w:color w:val="auto"/>
              </w:rPr>
            </w:pPr>
            <w:r>
              <w:rPr>
                <w:rFonts w:ascii="Arial" w:cs="Arial" w:eastAsia="Arial" w:hAnsi="Arial"/>
                <w:sz w:val="15"/>
                <w:szCs w:val="15"/>
                <w:color w:val="auto"/>
              </w:rPr>
              <w:t>50,650</w:t>
            </w:r>
          </w:p>
        </w:tc>
        <w:tc>
          <w:tcPr>
            <w:tcW w:w="26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45,157</w:t>
            </w:r>
          </w:p>
        </w:tc>
        <w:tc>
          <w:tcPr>
            <w:tcW w:w="280" w:type="dxa"/>
            <w:vAlign w:val="bottom"/>
          </w:tcPr>
          <w:p>
            <w:pPr>
              <w:jc w:val="right"/>
              <w:ind w:right="47"/>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25,083</w:t>
            </w:r>
          </w:p>
        </w:tc>
        <w:tc>
          <w:tcPr>
            <w:tcW w:w="1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62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20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(10,219)</w:t>
            </w:r>
          </w:p>
        </w:tc>
        <w:tc>
          <w:tcPr>
            <w:tcW w:w="28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(12,676)</w:t>
            </w:r>
          </w:p>
        </w:tc>
        <w:tc>
          <w:tcPr>
            <w:tcW w:w="26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(11,597)</w:t>
            </w:r>
          </w:p>
        </w:tc>
        <w:tc>
          <w:tcPr>
            <w:tcW w:w="2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(4,745)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2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20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3,423</w:t>
            </w:r>
          </w:p>
        </w:tc>
        <w:tc>
          <w:tcPr>
            <w:tcW w:w="28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(682)</w:t>
            </w:r>
          </w:p>
        </w:tc>
        <w:tc>
          <w:tcPr>
            <w:tcW w:w="26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8,642</w:t>
            </w:r>
          </w:p>
        </w:tc>
        <w:tc>
          <w:tcPr>
            <w:tcW w:w="2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10,775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20" w:type="dxa"/>
            <w:vAlign w:val="bottom"/>
          </w:tcPr>
          <w:p>
            <w:pPr>
              <w:ind w:left="220"/>
              <w:spacing w:after="0"/>
              <w:rPr>
                <w:sz w:val="20"/>
                <w:szCs w:val="20"/>
                <w:color w:val="auto"/>
              </w:rPr>
            </w:pPr>
            <w:r>
              <w:rPr>
                <w:rFonts w:ascii="Arial" w:cs="Arial" w:eastAsia="Arial" w:hAnsi="Arial"/>
                <w:sz w:val="15"/>
                <w:szCs w:val="15"/>
                <w:color w:val="auto"/>
              </w:rPr>
              <w:t>Kaplan ventures</w:t>
            </w:r>
          </w:p>
        </w:tc>
        <w:tc>
          <w:tcPr>
            <w:tcW w:w="20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(1,261)</w:t>
            </w:r>
          </w:p>
        </w:tc>
        <w:tc>
          <w:tcPr>
            <w:tcW w:w="28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(974)</w:t>
            </w:r>
          </w:p>
        </w:tc>
        <w:tc>
          <w:tcPr>
            <w:tcW w:w="26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(2,079)</w:t>
            </w:r>
          </w:p>
        </w:tc>
        <w:tc>
          <w:tcPr>
            <w:tcW w:w="2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(2,034)</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2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20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(14,279)</w:t>
            </w:r>
          </w:p>
        </w:tc>
        <w:tc>
          <w:tcPr>
            <w:tcW w:w="28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(16,038)</w:t>
            </w:r>
          </w:p>
        </w:tc>
        <w:tc>
          <w:tcPr>
            <w:tcW w:w="26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(18,673)</w:t>
            </w:r>
          </w:p>
        </w:tc>
        <w:tc>
          <w:tcPr>
            <w:tcW w:w="2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(9,231)</w:t>
            </w:r>
          </w:p>
        </w:tc>
        <w:tc>
          <w:tcPr>
            <w:tcW w:w="180" w:type="dxa"/>
            <w:vAlign w:val="bottom"/>
          </w:tcPr>
          <w:p>
            <w:pPr>
              <w:spacing w:after="0"/>
              <w:rPr>
                <w:sz w:val="15"/>
                <w:szCs w:val="15"/>
                <w:color w:val="auto"/>
              </w:rPr>
            </w:pPr>
          </w:p>
        </w:tc>
        <w:tc>
          <w:tcPr>
            <w:tcW w:w="420" w:type="dxa"/>
            <w:vAlign w:val="bottom"/>
          </w:tcPr>
          <w:p>
            <w:pPr>
              <w:jc w:val="center"/>
              <w:ind w:left="229"/>
              <w:spacing w:after="0"/>
              <w:rPr>
                <w:sz w:val="20"/>
                <w:szCs w:val="20"/>
                <w:color w:val="auto"/>
              </w:rPr>
            </w:pPr>
            <w:r>
              <w:rPr>
                <w:rFonts w:ascii="Arial" w:cs="Arial" w:eastAsia="Arial" w:hAnsi="Arial"/>
                <w:sz w:val="15"/>
                <w:szCs w:val="15"/>
                <w:color w:val="auto"/>
                <w:w w:val="89"/>
              </w:rPr>
              <w:t>(2</w:t>
            </w:r>
          </w:p>
        </w:tc>
        <w:tc>
          <w:tcPr>
            <w:tcW w:w="0" w:type="dxa"/>
            <w:vAlign w:val="bottom"/>
          </w:tcPr>
          <w:p>
            <w:pPr>
              <w:spacing w:after="0"/>
              <w:rPr>
                <w:sz w:val="1"/>
                <w:szCs w:val="1"/>
                <w:color w:val="auto"/>
              </w:rPr>
            </w:pPr>
          </w:p>
        </w:tc>
      </w:tr>
      <w:tr>
        <w:trPr>
          <w:trHeight w:val="190"/>
        </w:trPr>
        <w:tc>
          <w:tcPr>
            <w:tcW w:w="562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194</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18</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(1,080)</w:t>
            </w: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62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2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b w:val="1"/>
                <w:bCs w:val="1"/>
                <w:color w:val="auto"/>
              </w:rPr>
              <w:t>(13,188)</w:t>
            </w:r>
          </w:p>
        </w:tc>
        <w:tc>
          <w:tcPr>
            <w:tcW w:w="2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20,049</w:t>
            </w:r>
          </w:p>
        </w:tc>
        <w:tc>
          <w:tcPr>
            <w:tcW w:w="2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21,468</w:t>
            </w:r>
          </w:p>
        </w:tc>
        <w:tc>
          <w:tcPr>
            <w:tcW w:w="28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18,768</w:t>
            </w:r>
          </w:p>
        </w:tc>
        <w:tc>
          <w:tcPr>
            <w:tcW w:w="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vMerge w:val="continue"/>
          </w:tcPr>
          <w:p>
            <w:pPr>
              <w:spacing w:after="0"/>
              <w:rPr>
                <w:sz w:val="14"/>
                <w:szCs w:val="14"/>
                <w:color w:val="auto"/>
              </w:rPr>
            </w:pPr>
          </w:p>
        </w:tc>
        <w:tc>
          <w:tcPr>
            <w:tcW w:w="2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auto"/>
              </w:rPr>
              <w:t>11,757</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2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7"/>
              <w:spacing w:after="0" w:line="156" w:lineRule="exact"/>
              <w:rPr>
                <w:sz w:val="20"/>
                <w:szCs w:val="20"/>
                <w:color w:val="auto"/>
              </w:rPr>
            </w:pPr>
            <w:r>
              <w:rPr>
                <w:rFonts w:ascii="Arial" w:cs="Arial" w:eastAsia="Arial" w:hAnsi="Arial"/>
                <w:sz w:val="15"/>
                <w:szCs w:val="15"/>
                <w:color w:val="auto"/>
              </w:rPr>
              <w:t>11,241</w:t>
            </w:r>
          </w:p>
        </w:tc>
        <w:tc>
          <w:tcPr>
            <w:tcW w:w="26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11,897</w:t>
            </w:r>
          </w:p>
        </w:tc>
        <w:tc>
          <w:tcPr>
            <w:tcW w:w="280" w:type="dxa"/>
            <w:vAlign w:val="bottom"/>
          </w:tcPr>
          <w:p>
            <w:pPr>
              <w:jc w:val="right"/>
              <w:ind w:right="47"/>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11,825</w:t>
            </w:r>
          </w:p>
        </w:tc>
        <w:tc>
          <w:tcPr>
            <w:tcW w:w="1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62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20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4,315</w:t>
            </w:r>
          </w:p>
        </w:tc>
        <w:tc>
          <w:tcPr>
            <w:tcW w:w="28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4,449</w:t>
            </w:r>
          </w:p>
        </w:tc>
        <w:tc>
          <w:tcPr>
            <w:tcW w:w="26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3,796</w:t>
            </w:r>
          </w:p>
        </w:tc>
        <w:tc>
          <w:tcPr>
            <w:tcW w:w="2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3,445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2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20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4,200</w:t>
            </w:r>
          </w:p>
        </w:tc>
        <w:tc>
          <w:tcPr>
            <w:tcW w:w="28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3,468</w:t>
            </w:r>
          </w:p>
        </w:tc>
        <w:tc>
          <w:tcPr>
            <w:tcW w:w="26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4,752</w:t>
            </w:r>
          </w:p>
        </w:tc>
        <w:tc>
          <w:tcPr>
            <w:tcW w:w="2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4,384</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20" w:type="dxa"/>
            <w:vAlign w:val="bottom"/>
          </w:tcPr>
          <w:p>
            <w:pPr>
              <w:ind w:left="220"/>
              <w:spacing w:after="0"/>
              <w:rPr>
                <w:sz w:val="20"/>
                <w:szCs w:val="20"/>
                <w:color w:val="auto"/>
              </w:rPr>
            </w:pPr>
            <w:r>
              <w:rPr>
                <w:rFonts w:ascii="Arial" w:cs="Arial" w:eastAsia="Arial" w:hAnsi="Arial"/>
                <w:sz w:val="15"/>
                <w:szCs w:val="15"/>
                <w:color w:val="auto"/>
              </w:rPr>
              <w:t>Kaplan ventures</w:t>
            </w:r>
          </w:p>
        </w:tc>
        <w:tc>
          <w:tcPr>
            <w:tcW w:w="20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145</w:t>
            </w:r>
          </w:p>
        </w:tc>
        <w:tc>
          <w:tcPr>
            <w:tcW w:w="28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186</w:t>
            </w:r>
          </w:p>
        </w:tc>
        <w:tc>
          <w:tcPr>
            <w:tcW w:w="26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181</w:t>
            </w:r>
          </w:p>
        </w:tc>
        <w:tc>
          <w:tcPr>
            <w:tcW w:w="280" w:type="dxa"/>
            <w:vAlign w:val="bottom"/>
          </w:tcPr>
          <w:p>
            <w:pPr>
              <w:spacing w:after="0"/>
              <w:rPr>
                <w:sz w:val="15"/>
                <w:szCs w:val="15"/>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173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2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445</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865</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683</w:t>
            </w: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620" w:type="dxa"/>
            <w:vAlign w:val="bottom"/>
          </w:tcPr>
          <w:p>
            <w:pPr>
              <w:spacing w:after="0"/>
              <w:rPr>
                <w:sz w:val="14"/>
                <w:szCs w:val="14"/>
                <w:color w:val="auto"/>
              </w:rPr>
            </w:pPr>
          </w:p>
        </w:tc>
        <w:tc>
          <w:tcPr>
            <w:tcW w:w="2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b w:val="1"/>
                <w:bCs w:val="1"/>
                <w:color w:val="auto"/>
              </w:rPr>
              <w:t>20,862</w:t>
            </w:r>
          </w:p>
        </w:tc>
        <w:tc>
          <w:tcPr>
            <w:tcW w:w="2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20,175</w:t>
            </w:r>
          </w:p>
        </w:tc>
        <w:tc>
          <w:tcPr>
            <w:tcW w:w="2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21,491</w:t>
            </w:r>
          </w:p>
        </w:tc>
        <w:tc>
          <w:tcPr>
            <w:tcW w:w="28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20,510</w:t>
            </w:r>
          </w:p>
        </w:tc>
        <w:tc>
          <w:tcPr>
            <w:tcW w:w="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sectPr>
      </w:pPr>
    </w:p>
    <w:bookmarkStart w:id="20" w:name="page21"/>
    <w:bookmarkEnd w:id="20"/>
    <w:p>
      <w:pPr>
        <w:ind w:right="40"/>
        <w:spacing w:after="0" w:line="235" w:lineRule="auto"/>
        <w:rPr>
          <w:sz w:val="20"/>
          <w:szCs w:val="20"/>
          <w:color w:val="auto"/>
        </w:rPr>
      </w:pPr>
      <w:r>
        <w:rPr>
          <w:rFonts w:ascii="Arial" w:cs="Arial" w:eastAsia="Arial" w:hAnsi="Arial"/>
          <w:sz w:val="17"/>
          <w:szCs w:val="17"/>
          <w:color w:val="auto"/>
        </w:rPr>
        <w:t>The following table summarizes financial information related to the reportable segments of the Company’s education division segments for the fiscal y 2011 and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2"/>
                <w:szCs w:val="12"/>
                <w:b w:val="1"/>
                <w:bCs w:val="1"/>
                <w:color w:val="auto"/>
              </w:rPr>
              <w:t>Fiscal Year Ended</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2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07"/>
              <w:spacing w:after="0" w:line="129" w:lineRule="exact"/>
              <w:rPr>
                <w:sz w:val="20"/>
                <w:szCs w:val="20"/>
                <w:color w:val="auto"/>
              </w:rPr>
            </w:pPr>
            <w:r>
              <w:rPr>
                <w:rFonts w:ascii="Arial" w:cs="Arial" w:eastAsia="Arial" w:hAnsi="Arial"/>
                <w:sz w:val="12"/>
                <w:szCs w:val="12"/>
                <w:color w:val="auto"/>
              </w:rPr>
              <w:t>2011</w:t>
            </w: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67"/>
              <w:spacing w:after="0" w:line="129" w:lineRule="exact"/>
              <w:rPr>
                <w:sz w:val="20"/>
                <w:szCs w:val="20"/>
                <w:color w:val="auto"/>
              </w:rPr>
            </w:pPr>
            <w:r>
              <w:rPr>
                <w:rFonts w:ascii="Arial" w:cs="Arial" w:eastAsia="Arial" w:hAnsi="Arial"/>
                <w:sz w:val="12"/>
                <w:szCs w:val="12"/>
                <w:color w:val="auto"/>
              </w:rPr>
              <w:t>2010</w:t>
            </w:r>
          </w:p>
        </w:tc>
        <w:tc>
          <w:tcPr>
            <w:tcW w:w="0" w:type="dxa"/>
            <w:vAlign w:val="bottom"/>
          </w:tcPr>
          <w:p>
            <w:pPr>
              <w:spacing w:after="0"/>
              <w:rPr>
                <w:sz w:val="1"/>
                <w:szCs w:val="1"/>
                <w:color w:val="auto"/>
              </w:rPr>
            </w:pPr>
          </w:p>
        </w:tc>
      </w:tr>
      <w:tr>
        <w:trPr>
          <w:trHeight w:val="168"/>
        </w:trPr>
        <w:tc>
          <w:tcPr>
            <w:tcW w:w="824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Higher education</w:t>
            </w:r>
          </w:p>
        </w:tc>
        <w:tc>
          <w:tcPr>
            <w:tcW w:w="4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1,399,582</w:t>
            </w:r>
          </w:p>
        </w:tc>
        <w:tc>
          <w:tcPr>
            <w:tcW w:w="5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40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303,093</w:t>
            </w:r>
          </w:p>
        </w:tc>
        <w:tc>
          <w:tcPr>
            <w:tcW w:w="5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40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704,580</w:t>
            </w:r>
          </w:p>
        </w:tc>
        <w:tc>
          <w:tcPr>
            <w:tcW w:w="5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Kaplan ventures</w:t>
            </w:r>
          </w:p>
        </w:tc>
        <w:tc>
          <w:tcPr>
            <w:tcW w:w="40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27,465</w:t>
            </w: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40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4,585</w:t>
            </w: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24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(7,383)</w:t>
            </w: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24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40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color w:val="auto"/>
              </w:rPr>
              <w:t>2,431,922</w:t>
            </w:r>
          </w:p>
        </w:tc>
        <w:tc>
          <w:tcPr>
            <w:tcW w:w="56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68"/>
        </w:trPr>
        <w:tc>
          <w:tcPr>
            <w:tcW w:w="82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Higher education</w:t>
            </w:r>
          </w:p>
        </w:tc>
        <w:tc>
          <w:tcPr>
            <w:tcW w:w="4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148,915</w:t>
            </w:r>
          </w:p>
        </w:tc>
        <w:tc>
          <w:tcPr>
            <w:tcW w:w="5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40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(28,498)</w:t>
            </w:r>
          </w:p>
        </w:tc>
        <w:tc>
          <w:tcPr>
            <w:tcW w:w="5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40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41,506</w:t>
            </w: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Kaplan ventures</w:t>
            </w:r>
          </w:p>
        </w:tc>
        <w:tc>
          <w:tcPr>
            <w:tcW w:w="40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(5,398)</w:t>
            </w:r>
          </w:p>
        </w:tc>
        <w:tc>
          <w:tcPr>
            <w:tcW w:w="5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40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(64,547)</w:t>
            </w:r>
          </w:p>
        </w:tc>
        <w:tc>
          <w:tcPr>
            <w:tcW w:w="5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2"/>
        </w:trPr>
        <w:tc>
          <w:tcPr>
            <w:tcW w:w="824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(1,120)</w:t>
            </w: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4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40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color w:val="auto"/>
              </w:rPr>
              <w:t>90,858</w:t>
            </w:r>
          </w:p>
        </w:tc>
        <w:tc>
          <w:tcPr>
            <w:tcW w:w="56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8"/>
        </w:trPr>
        <w:tc>
          <w:tcPr>
            <w:tcW w:w="82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Higher education</w:t>
            </w:r>
          </w:p>
        </w:tc>
        <w:tc>
          <w:tcPr>
            <w:tcW w:w="4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48,379</w:t>
            </w:r>
          </w:p>
        </w:tc>
        <w:tc>
          <w:tcPr>
            <w:tcW w:w="5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40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15,489</w:t>
            </w: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40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16,954</w:t>
            </w: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Kaplan ventures</w:t>
            </w:r>
          </w:p>
        </w:tc>
        <w:tc>
          <w:tcPr>
            <w:tcW w:w="40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color w:val="auto"/>
              </w:rPr>
              <w:t>738</w:t>
            </w: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24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2,914</w:t>
            </w: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40" w:type="dxa"/>
            <w:vAlign w:val="bottom"/>
          </w:tcPr>
          <w:p>
            <w:pPr>
              <w:spacing w:after="0"/>
              <w:rPr>
                <w:sz w:val="14"/>
                <w:szCs w:val="14"/>
                <w:color w:val="auto"/>
              </w:rPr>
            </w:pPr>
          </w:p>
        </w:tc>
        <w:tc>
          <w:tcPr>
            <w:tcW w:w="40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color w:val="auto"/>
              </w:rPr>
              <w:t>84,474</w:t>
            </w:r>
          </w:p>
        </w:tc>
        <w:tc>
          <w:tcPr>
            <w:tcW w:w="56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Identifiable assets for the Company’s education division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40" w:type="dxa"/>
            <w:vAlign w:val="bottom"/>
          </w:tcPr>
          <w:p>
            <w:pPr>
              <w:jc w:val="right"/>
              <w:ind w:right="750"/>
              <w:spacing w:after="0" w:line="114" w:lineRule="exact"/>
              <w:rPr>
                <w:sz w:val="20"/>
                <w:szCs w:val="20"/>
                <w:color w:val="auto"/>
              </w:rPr>
            </w:pPr>
            <w:r>
              <w:rPr>
                <w:rFonts w:ascii="Arial" w:cs="Arial" w:eastAsia="Arial" w:hAnsi="Arial"/>
                <w:sz w:val="12"/>
                <w:szCs w:val="12"/>
                <w:b w:val="1"/>
                <w:bCs w:val="1"/>
                <w:color w:val="auto"/>
              </w:rPr>
              <w:t>March 31,</w:t>
            </w:r>
          </w:p>
        </w:tc>
        <w:tc>
          <w:tcPr>
            <w:tcW w:w="220" w:type="dxa"/>
            <w:vAlign w:val="bottom"/>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Arial" w:cs="Arial" w:eastAsia="Arial" w:hAnsi="Arial"/>
                <w:sz w:val="12"/>
                <w:szCs w:val="12"/>
                <w:color w:val="auto"/>
              </w:rPr>
              <w:t>December 3</w:t>
            </w:r>
          </w:p>
        </w:tc>
        <w:tc>
          <w:tcPr>
            <w:tcW w:w="0" w:type="dxa"/>
            <w:vAlign w:val="bottom"/>
          </w:tcPr>
          <w:p>
            <w:pPr>
              <w:spacing w:after="0"/>
              <w:rPr>
                <w:sz w:val="1"/>
                <w:szCs w:val="1"/>
                <w:color w:val="auto"/>
              </w:rPr>
            </w:pPr>
          </w:p>
        </w:tc>
      </w:tr>
      <w:tr>
        <w:trPr>
          <w:trHeight w:val="151"/>
        </w:trPr>
        <w:tc>
          <w:tcPr>
            <w:tcW w:w="8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910"/>
              <w:spacing w:after="0"/>
              <w:rPr>
                <w:sz w:val="20"/>
                <w:szCs w:val="20"/>
                <w:color w:val="auto"/>
              </w:rPr>
            </w:pPr>
            <w:r>
              <w:rPr>
                <w:rFonts w:ascii="Arial" w:cs="Arial" w:eastAsia="Arial" w:hAnsi="Arial"/>
                <w:sz w:val="12"/>
                <w:szCs w:val="12"/>
                <w:b w:val="1"/>
                <w:bCs w:val="1"/>
                <w:color w:val="auto"/>
              </w:rPr>
              <w:t>2012</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8020" w:type="dxa"/>
            <w:vAlign w:val="bottom"/>
          </w:tcPr>
          <w:p>
            <w:pPr>
              <w:spacing w:after="0" w:line="168" w:lineRule="exact"/>
              <w:rPr>
                <w:sz w:val="20"/>
                <w:szCs w:val="20"/>
                <w:color w:val="auto"/>
              </w:rPr>
            </w:pPr>
            <w:r>
              <w:rPr>
                <w:rFonts w:ascii="Arial" w:cs="Arial" w:eastAsia="Arial" w:hAnsi="Arial"/>
                <w:sz w:val="15"/>
                <w:szCs w:val="15"/>
                <w:b w:val="1"/>
                <w:bCs w:val="1"/>
                <w:color w:val="auto"/>
              </w:rPr>
              <w:t>Identifiable Assets</w:t>
            </w:r>
          </w:p>
        </w:tc>
        <w:tc>
          <w:tcPr>
            <w:tcW w:w="36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540" w:type="dxa"/>
            <w:vAlign w:val="bottom"/>
            <w:vMerge w:val="restart"/>
          </w:tcPr>
          <w:p>
            <w:pPr>
              <w:jc w:val="right"/>
              <w:ind w:right="290"/>
              <w:spacing w:after="0"/>
              <w:rPr>
                <w:sz w:val="20"/>
                <w:szCs w:val="20"/>
                <w:color w:val="auto"/>
              </w:rPr>
            </w:pPr>
            <w:r>
              <w:rPr>
                <w:rFonts w:ascii="Arial" w:cs="Arial" w:eastAsia="Arial" w:hAnsi="Arial"/>
                <w:sz w:val="15"/>
                <w:szCs w:val="15"/>
                <w:b w:val="1"/>
                <w:bCs w:val="1"/>
                <w:color w:val="auto"/>
              </w:rPr>
              <w:t>634,610</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2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22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56"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74"/>
        </w:trPr>
        <w:tc>
          <w:tcPr>
            <w:tcW w:w="802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540" w:type="dxa"/>
            <w:vAlign w:val="bottom"/>
          </w:tcPr>
          <w:p>
            <w:pPr>
              <w:jc w:val="right"/>
              <w:ind w:right="290"/>
              <w:spacing w:after="0"/>
              <w:rPr>
                <w:sz w:val="20"/>
                <w:szCs w:val="20"/>
                <w:color w:val="auto"/>
              </w:rPr>
            </w:pPr>
            <w:r>
              <w:rPr>
                <w:rFonts w:ascii="Arial" w:cs="Arial" w:eastAsia="Arial" w:hAnsi="Arial"/>
                <w:sz w:val="15"/>
                <w:szCs w:val="15"/>
                <w:b w:val="1"/>
                <w:bCs w:val="1"/>
                <w:color w:val="auto"/>
              </w:rPr>
              <w:t>325,247</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02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540" w:type="dxa"/>
            <w:vAlign w:val="bottom"/>
          </w:tcPr>
          <w:p>
            <w:pPr>
              <w:jc w:val="right"/>
              <w:ind w:right="290"/>
              <w:spacing w:after="0"/>
              <w:rPr>
                <w:sz w:val="20"/>
                <w:szCs w:val="20"/>
                <w:color w:val="auto"/>
              </w:rPr>
            </w:pPr>
            <w:r>
              <w:rPr>
                <w:rFonts w:ascii="Arial" w:cs="Arial" w:eastAsia="Arial" w:hAnsi="Arial"/>
                <w:sz w:val="15"/>
                <w:szCs w:val="15"/>
                <w:b w:val="1"/>
                <w:bCs w:val="1"/>
                <w:color w:val="auto"/>
              </w:rPr>
              <w:t>830,506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4"/>
        </w:trPr>
        <w:tc>
          <w:tcPr>
            <w:tcW w:w="8020" w:type="dxa"/>
            <w:vAlign w:val="bottom"/>
          </w:tcPr>
          <w:p>
            <w:pPr>
              <w:ind w:left="220"/>
              <w:spacing w:after="0"/>
              <w:rPr>
                <w:sz w:val="20"/>
                <w:szCs w:val="20"/>
                <w:color w:val="auto"/>
              </w:rPr>
            </w:pPr>
            <w:r>
              <w:rPr>
                <w:rFonts w:ascii="Arial" w:cs="Arial" w:eastAsia="Arial" w:hAnsi="Arial"/>
                <w:sz w:val="15"/>
                <w:szCs w:val="15"/>
                <w:color w:val="auto"/>
              </w:rPr>
              <w:t>Kaplan ventures</w:t>
            </w:r>
          </w:p>
        </w:tc>
        <w:tc>
          <w:tcPr>
            <w:tcW w:w="360" w:type="dxa"/>
            <w:vAlign w:val="bottom"/>
          </w:tcPr>
          <w:p>
            <w:pPr>
              <w:spacing w:after="0"/>
              <w:rPr>
                <w:sz w:val="15"/>
                <w:szCs w:val="15"/>
                <w:color w:val="auto"/>
              </w:rPr>
            </w:pPr>
          </w:p>
        </w:tc>
        <w:tc>
          <w:tcPr>
            <w:tcW w:w="1540" w:type="dxa"/>
            <w:vAlign w:val="bottom"/>
          </w:tcPr>
          <w:p>
            <w:pPr>
              <w:jc w:val="right"/>
              <w:ind w:right="290"/>
              <w:spacing w:after="0"/>
              <w:rPr>
                <w:sz w:val="20"/>
                <w:szCs w:val="20"/>
                <w:color w:val="auto"/>
              </w:rPr>
            </w:pPr>
            <w:r>
              <w:rPr>
                <w:rFonts w:ascii="Arial" w:cs="Arial" w:eastAsia="Arial" w:hAnsi="Arial"/>
                <w:sz w:val="15"/>
                <w:szCs w:val="15"/>
                <w:b w:val="1"/>
                <w:bCs w:val="1"/>
                <w:color w:val="auto"/>
              </w:rPr>
              <w:t>29,304</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5"/>
                <w:szCs w:val="15"/>
                <w:b w:val="1"/>
                <w:bCs w:val="1"/>
                <w:color w:val="auto"/>
              </w:rPr>
              <w:t>58,092</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540" w:type="dxa"/>
            <w:vAlign w:val="bottom"/>
            <w:tcBorders>
              <w:bottom w:val="single" w:sz="8" w:color="auto"/>
            </w:tcBorders>
          </w:tcPr>
          <w:p>
            <w:pPr>
              <w:jc w:val="right"/>
              <w:ind w:right="290"/>
              <w:spacing w:after="0" w:line="167" w:lineRule="exact"/>
              <w:rPr>
                <w:sz w:val="20"/>
                <w:szCs w:val="20"/>
                <w:color w:val="auto"/>
              </w:rPr>
            </w:pPr>
            <w:r>
              <w:rPr>
                <w:rFonts w:ascii="Arial" w:cs="Arial" w:eastAsia="Arial" w:hAnsi="Arial"/>
                <w:sz w:val="15"/>
                <w:szCs w:val="15"/>
                <w:b w:val="1"/>
                <w:bCs w:val="1"/>
                <w:color w:val="auto"/>
              </w:rPr>
              <w:t>1,877,759</w:t>
            </w:r>
          </w:p>
        </w:tc>
        <w:tc>
          <w:tcPr>
            <w:tcW w:w="2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Results of Operations and Financial Condition</w:t>
      </w:r>
    </w:p>
    <w:p>
      <w:pPr>
        <w:spacing w:after="0" w:line="172" w:lineRule="exact"/>
        <w:rPr>
          <w:sz w:val="20"/>
          <w:szCs w:val="20"/>
          <w:color w:val="auto"/>
        </w:rPr>
      </w:pPr>
    </w:p>
    <w:p>
      <w:pPr>
        <w:ind w:right="2180"/>
        <w:spacing w:after="0" w:line="457" w:lineRule="auto"/>
        <w:rPr>
          <w:sz w:val="20"/>
          <w:szCs w:val="20"/>
          <w:color w:val="auto"/>
        </w:rPr>
      </w:pPr>
      <w:r>
        <w:rPr>
          <w:rFonts w:ascii="Arial" w:cs="Arial" w:eastAsia="Arial" w:hAnsi="Arial"/>
          <w:sz w:val="17"/>
          <w:szCs w:val="17"/>
          <w:color w:val="auto"/>
        </w:rPr>
        <w:t xml:space="preserve">This analysis should be read in conjunction with the condensed consolidated financial statements and the notes thereto. </w:t>
      </w:r>
      <w:r>
        <w:rPr>
          <w:rFonts w:ascii="Arial" w:cs="Arial" w:eastAsia="Arial" w:hAnsi="Arial"/>
          <w:sz w:val="17"/>
          <w:szCs w:val="17"/>
          <w:b w:val="1"/>
          <w:bCs w:val="1"/>
          <w:i w:val="1"/>
          <w:iCs w:val="1"/>
          <w:color w:val="auto"/>
        </w:rPr>
        <w:t>Results of Operations</w:t>
      </w:r>
    </w:p>
    <w:p>
      <w:pPr>
        <w:spacing w:after="0" w:line="230" w:lineRule="auto"/>
        <w:rPr>
          <w:sz w:val="20"/>
          <w:szCs w:val="20"/>
          <w:color w:val="auto"/>
        </w:rPr>
      </w:pPr>
      <w:r>
        <w:rPr>
          <w:rFonts w:ascii="Arial" w:cs="Arial" w:eastAsia="Arial" w:hAnsi="Arial"/>
          <w:sz w:val="17"/>
          <w:szCs w:val="17"/>
          <w:color w:val="auto"/>
        </w:rPr>
        <w:t>The Company reported net income attributable to common shares of $31.0 million ($4.07 per share) for the first quarter ended March 31, 2012, compa $15.2 million ($1.87 per share) for the first quarter of last year. Net income includes $ 20.2 million in income from discontinued operations ($2.70 per sh and $2.8 million ($0.34 per share) in losses from discontinued operations for the first quarter of 2012 and 2011, respectively. Income from continuing operations attributable to common shares was $10.8 million ($1.37 per share) for the first quarter of 2012, compared to $17.9 million ($2.21 per share) the first quarter of 2011. As a result of the Company’s share repurchases, there were 6% fewer diluted average shares outstanding in the first quarter 2012.</w:t>
      </w:r>
    </w:p>
    <w:p>
      <w:pPr>
        <w:spacing w:after="0" w:line="1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Items included in the Company’s income from continuing operations for the first quarter of 2012:</w:t>
      </w:r>
    </w:p>
    <w:p>
      <w:pPr>
        <w:spacing w:after="0" w:line="127" w:lineRule="exact"/>
        <w:rPr>
          <w:sz w:val="20"/>
          <w:szCs w:val="20"/>
          <w:color w:val="auto"/>
        </w:rPr>
      </w:pPr>
    </w:p>
    <w:p>
      <w:pPr>
        <w:ind w:left="260" w:hanging="115"/>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$1.9 million in severance and early retirement charges at the newspaper publishing division (after-tax impact of $1.2 million, or $0.16 per share);</w:t>
      </w:r>
    </w:p>
    <w:p>
      <w:pPr>
        <w:spacing w:after="0" w:line="138" w:lineRule="exact"/>
        <w:rPr>
          <w:rFonts w:ascii="Arial" w:cs="Arial" w:eastAsia="Arial" w:hAnsi="Arial"/>
          <w:sz w:val="16"/>
          <w:szCs w:val="16"/>
          <w:color w:val="auto"/>
        </w:rPr>
      </w:pPr>
    </w:p>
    <w:p>
      <w:pPr>
        <w:ind w:left="260" w:hanging="115"/>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$5.8 million gain on sales of cost method investments (after-tax impact of $3.7 million, or $0.48 per share); and</w:t>
      </w:r>
    </w:p>
    <w:p>
      <w:pPr>
        <w:spacing w:after="0" w:line="139" w:lineRule="exact"/>
        <w:rPr>
          <w:rFonts w:ascii="Arial" w:cs="Arial" w:eastAsia="Arial" w:hAnsi="Arial"/>
          <w:sz w:val="17"/>
          <w:szCs w:val="17"/>
          <w:color w:val="auto"/>
        </w:rPr>
      </w:pPr>
    </w:p>
    <w:p>
      <w:pPr>
        <w:ind w:left="260" w:hanging="120"/>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$2.7 million in non-operating unrealized foreign currency gains (after-tax impact of $1.7 million, or $0.22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quarter of 2011:</w:t>
      </w:r>
    </w:p>
    <w:p>
      <w:pPr>
        <w:spacing w:after="0" w:line="127" w:lineRule="exact"/>
        <w:rPr>
          <w:sz w:val="20"/>
          <w:szCs w:val="20"/>
          <w:color w:val="auto"/>
        </w:rPr>
      </w:pPr>
    </w:p>
    <w:p>
      <w:pPr>
        <w:ind w:left="260" w:hanging="115"/>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$2.3 million in severance and restructuring charges at Kaplan (after-tax impact of $1.4 million, or $0.18 per share);</w:t>
      </w:r>
    </w:p>
    <w:p>
      <w:pPr>
        <w:spacing w:after="0" w:line="127" w:lineRule="exact"/>
        <w:rPr>
          <w:rFonts w:ascii="Arial" w:cs="Arial" w:eastAsia="Arial" w:hAnsi="Arial"/>
          <w:sz w:val="17"/>
          <w:szCs w:val="17"/>
          <w:color w:val="auto"/>
        </w:rPr>
      </w:pPr>
    </w:p>
    <w:p>
      <w:pPr>
        <w:ind w:left="260" w:hanging="115"/>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$3.8 million gain on the sale of a cost method investment (after-tax impact of $2.4 million, or $0.29 per share);</w:t>
      </w:r>
    </w:p>
    <w:p>
      <w:pPr>
        <w:spacing w:after="0" w:line="139" w:lineRule="exact"/>
        <w:rPr>
          <w:rFonts w:ascii="Arial" w:cs="Arial" w:eastAsia="Arial" w:hAnsi="Arial"/>
          <w:sz w:val="17"/>
          <w:szCs w:val="17"/>
          <w:color w:val="auto"/>
        </w:rPr>
      </w:pPr>
    </w:p>
    <w:p>
      <w:pPr>
        <w:ind w:left="260" w:hanging="115"/>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$30.7 million write-down of a marketable equity security (after-tax impact of $19.8 million, or $2.44 per share); and</w:t>
      </w:r>
    </w:p>
    <w:p>
      <w:pPr>
        <w:spacing w:after="0" w:line="139" w:lineRule="exact"/>
        <w:rPr>
          <w:rFonts w:ascii="Arial" w:cs="Arial" w:eastAsia="Arial" w:hAnsi="Arial"/>
          <w:sz w:val="17"/>
          <w:szCs w:val="17"/>
          <w:color w:val="auto"/>
        </w:rPr>
      </w:pPr>
    </w:p>
    <w:p>
      <w:pPr>
        <w:ind w:left="260" w:hanging="120"/>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$2.7 million in non-operating unrealized foreign currency gains (after-tax impact of $1.7 million, or $0.21 per share).</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Revenue for the first quarter of 2012 was $972.5 million, down 7% from $1,041.9 million in the first quarter of 2011. The Company reported operating income of $17.5 million in the first quarter of 2012, compared to operating income of $ 56.6 million in the first quarter of 2011. Revenues were down at education and newspaper publishing divisions and flat at the cable television division, offset by an increase at the television broadcasting division. Ope results were down at all of the Company’s divisions, except for the television broadcasting division.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Education division revenue totaled $553.4 million for the first quarter of 2012, an 11% decline from revenue of $618.9 million for the first quarter of 201 Excluding revenue from acquired businesses, education division revenue declined 13% in the first quarter of 2012. Kaplan reported a first quarter 201 operating loss of $13.2 million, compared to operating income of $20.0 million in the first quarter of 2011.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summary of Kaplan’s first quarter 2012 operating results compared to 2011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4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2"/>
                <w:szCs w:val="12"/>
                <w:b w:val="1"/>
                <w:bCs w:val="1"/>
                <w:color w:val="auto"/>
              </w:rPr>
              <w:t>First Quarter</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2012</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 C</w:t>
            </w:r>
          </w:p>
        </w:tc>
        <w:tc>
          <w:tcPr>
            <w:tcW w:w="0" w:type="dxa"/>
            <w:vAlign w:val="bottom"/>
          </w:tcPr>
          <w:p>
            <w:pPr>
              <w:spacing w:after="0"/>
              <w:rPr>
                <w:sz w:val="1"/>
                <w:szCs w:val="1"/>
                <w:color w:val="auto"/>
              </w:rPr>
            </w:pPr>
          </w:p>
        </w:tc>
      </w:tr>
      <w:tr>
        <w:trPr>
          <w:trHeight w:val="178"/>
        </w:trPr>
        <w:tc>
          <w:tcPr>
            <w:tcW w:w="7440" w:type="dxa"/>
            <w:vAlign w:val="bottom"/>
          </w:tcPr>
          <w:p>
            <w:pPr>
              <w:spacing w:after="0" w:line="178" w:lineRule="exact"/>
              <w:rPr>
                <w:sz w:val="20"/>
                <w:szCs w:val="20"/>
                <w:color w:val="auto"/>
              </w:rPr>
            </w:pPr>
            <w:r>
              <w:rPr>
                <w:rFonts w:ascii="Arial" w:cs="Arial" w:eastAsia="Arial" w:hAnsi="Arial"/>
                <w:sz w:val="17"/>
                <w:szCs w:val="17"/>
                <w:b w:val="1"/>
                <w:bCs w:val="1"/>
                <w:color w:val="auto"/>
              </w:rPr>
              <w:t>Revenue</w:t>
            </w:r>
          </w:p>
        </w:tc>
        <w:tc>
          <w:tcPr>
            <w:tcW w:w="380" w:type="dxa"/>
            <w:vAlign w:val="bottom"/>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308,384</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440" w:type="dxa"/>
            <w:vAlign w:val="bottom"/>
          </w:tcPr>
          <w:p>
            <w:pPr>
              <w:ind w:left="220"/>
              <w:spacing w:after="0" w:line="166" w:lineRule="exact"/>
              <w:rPr>
                <w:sz w:val="20"/>
                <w:szCs w:val="20"/>
                <w:color w:val="auto"/>
              </w:rPr>
            </w:pPr>
            <w:r>
              <w:rPr>
                <w:rFonts w:ascii="Arial" w:cs="Arial" w:eastAsia="Arial" w:hAnsi="Arial"/>
                <w:sz w:val="17"/>
                <w:szCs w:val="17"/>
                <w:color w:val="auto"/>
              </w:rPr>
              <w:t>Higher education</w:t>
            </w:r>
          </w:p>
        </w:tc>
        <w:tc>
          <w:tcPr>
            <w:tcW w:w="3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jc w:val="right"/>
              <w:ind w:right="81"/>
              <w:spacing w:after="0" w:line="166"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66" w:lineRule="exact"/>
              <w:rPr>
                <w:sz w:val="20"/>
                <w:szCs w:val="20"/>
                <w:color w:val="auto"/>
              </w:rPr>
            </w:pPr>
            <w:r>
              <w:rPr>
                <w:rFonts w:ascii="Arial" w:cs="Arial" w:eastAsia="Arial" w:hAnsi="Arial"/>
                <w:sz w:val="17"/>
                <w:szCs w:val="17"/>
                <w:color w:val="auto"/>
              </w:rPr>
              <w:t>386,883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440" w:type="dxa"/>
            <w:vAlign w:val="bottom"/>
          </w:tcPr>
          <w:p>
            <w:pPr>
              <w:ind w:left="220"/>
              <w:spacing w:after="0" w:line="186" w:lineRule="exact"/>
              <w:rPr>
                <w:sz w:val="20"/>
                <w:szCs w:val="20"/>
                <w:color w:val="auto"/>
              </w:rPr>
            </w:pPr>
            <w:r>
              <w:rPr>
                <w:rFonts w:ascii="Arial" w:cs="Arial" w:eastAsia="Arial" w:hAnsi="Arial"/>
                <w:sz w:val="17"/>
                <w:szCs w:val="17"/>
                <w:color w:val="auto"/>
              </w:rPr>
              <w:t>Test preparation</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62,829</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73,365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tcPr>
          <w:p>
            <w:pPr>
              <w:ind w:left="220"/>
              <w:spacing w:after="0" w:line="186" w:lineRule="exact"/>
              <w:rPr>
                <w:sz w:val="20"/>
                <w:szCs w:val="20"/>
                <w:color w:val="auto"/>
              </w:rPr>
            </w:pPr>
            <w:r>
              <w:rPr>
                <w:rFonts w:ascii="Arial" w:cs="Arial" w:eastAsia="Arial" w:hAnsi="Arial"/>
                <w:sz w:val="17"/>
                <w:szCs w:val="17"/>
                <w:color w:val="auto"/>
              </w:rPr>
              <w:t>Kaplan international</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176,385</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152,135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tcPr>
          <w:p>
            <w:pPr>
              <w:ind w:left="220"/>
              <w:spacing w:after="0" w:line="186" w:lineRule="exact"/>
              <w:rPr>
                <w:sz w:val="20"/>
                <w:szCs w:val="20"/>
                <w:color w:val="auto"/>
              </w:rPr>
            </w:pPr>
            <w:r>
              <w:rPr>
                <w:rFonts w:ascii="Arial" w:cs="Arial" w:eastAsia="Arial" w:hAnsi="Arial"/>
                <w:sz w:val="17"/>
                <w:szCs w:val="17"/>
                <w:color w:val="auto"/>
              </w:rPr>
              <w:t>Kaplan ventures</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6,121</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7,215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tcPr>
          <w:p>
            <w:pPr>
              <w:ind w:left="220"/>
              <w:spacing w:after="0" w:line="186" w:lineRule="exact"/>
              <w:rPr>
                <w:sz w:val="20"/>
                <w:szCs w:val="20"/>
                <w:color w:val="auto"/>
              </w:rPr>
            </w:pPr>
            <w:r>
              <w:rPr>
                <w:rFonts w:ascii="Arial" w:cs="Arial" w:eastAsia="Arial" w:hAnsi="Arial"/>
                <w:sz w:val="17"/>
                <w:szCs w:val="17"/>
                <w:color w:val="auto"/>
              </w:rPr>
              <w:t>Kaplan corporate</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1,157</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1,117</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440" w:type="dxa"/>
            <w:vAlign w:val="bottom"/>
          </w:tcPr>
          <w:p>
            <w:pPr>
              <w:ind w:left="220"/>
              <w:spacing w:after="0"/>
              <w:rPr>
                <w:sz w:val="20"/>
                <w:szCs w:val="20"/>
                <w:color w:val="auto"/>
              </w:rPr>
            </w:pPr>
            <w:r>
              <w:rPr>
                <w:rFonts w:ascii="Arial" w:cs="Arial" w:eastAsia="Arial" w:hAnsi="Arial"/>
                <w:sz w:val="17"/>
                <w:szCs w:val="17"/>
                <w:color w:val="auto"/>
              </w:rPr>
              <w:t>Intersegment elimination</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(1,475)</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(1,786)</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44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553,401</w:t>
            </w:r>
          </w:p>
        </w:tc>
        <w:tc>
          <w:tcPr>
            <w:tcW w:w="500" w:type="dxa"/>
            <w:vAlign w:val="bottom"/>
            <w:tcBorders>
              <w:bottom w:val="single" w:sz="8" w:color="auto"/>
            </w:tcBorders>
          </w:tcPr>
          <w:p>
            <w:pPr>
              <w:jc w:val="right"/>
              <w:ind w:right="81"/>
              <w:spacing w:after="0" w:line="17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618,929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b w:val="1"/>
                <w:bCs w:val="1"/>
                <w:color w:val="auto"/>
              </w:rPr>
              <w:t>Operating Income (Loss)</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40" w:type="dxa"/>
            <w:vAlign w:val="bottom"/>
            <w:vMerge w:val="continue"/>
          </w:tcPr>
          <w:p>
            <w:pPr>
              <w:spacing w:after="0"/>
              <w:rPr>
                <w:sz w:val="14"/>
                <w:szCs w:val="14"/>
                <w:color w:val="auto"/>
              </w:rPr>
            </w:pPr>
          </w:p>
        </w:tc>
        <w:tc>
          <w:tcPr>
            <w:tcW w:w="380" w:type="dxa"/>
            <w:vAlign w:val="bottom"/>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8,954</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40" w:type="dxa"/>
            <w:vAlign w:val="bottom"/>
          </w:tcPr>
          <w:p>
            <w:pPr>
              <w:ind w:left="220"/>
              <w:spacing w:after="0" w:line="166" w:lineRule="exact"/>
              <w:rPr>
                <w:sz w:val="20"/>
                <w:szCs w:val="20"/>
                <w:color w:val="auto"/>
              </w:rPr>
            </w:pPr>
            <w:r>
              <w:rPr>
                <w:rFonts w:ascii="Arial" w:cs="Arial" w:eastAsia="Arial" w:hAnsi="Arial"/>
                <w:sz w:val="17"/>
                <w:szCs w:val="17"/>
                <w:color w:val="auto"/>
              </w:rPr>
              <w:t>Higher education</w:t>
            </w:r>
          </w:p>
        </w:tc>
        <w:tc>
          <w:tcPr>
            <w:tcW w:w="3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jc w:val="right"/>
              <w:ind w:right="81"/>
              <w:spacing w:after="0" w:line="166"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66" w:lineRule="exact"/>
              <w:rPr>
                <w:sz w:val="20"/>
                <w:szCs w:val="20"/>
                <w:color w:val="auto"/>
              </w:rPr>
            </w:pPr>
            <w:r>
              <w:rPr>
                <w:rFonts w:ascii="Arial" w:cs="Arial" w:eastAsia="Arial" w:hAnsi="Arial"/>
                <w:sz w:val="17"/>
                <w:szCs w:val="17"/>
                <w:color w:val="auto"/>
              </w:rPr>
              <w:t>50,650</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440" w:type="dxa"/>
            <w:vAlign w:val="bottom"/>
          </w:tcPr>
          <w:p>
            <w:pPr>
              <w:ind w:left="220"/>
              <w:spacing w:after="0" w:line="186" w:lineRule="exact"/>
              <w:rPr>
                <w:sz w:val="20"/>
                <w:szCs w:val="20"/>
                <w:color w:val="auto"/>
              </w:rPr>
            </w:pPr>
            <w:r>
              <w:rPr>
                <w:rFonts w:ascii="Arial" w:cs="Arial" w:eastAsia="Arial" w:hAnsi="Arial"/>
                <w:sz w:val="17"/>
                <w:szCs w:val="17"/>
                <w:color w:val="auto"/>
              </w:rPr>
              <w:t>Test preparation</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(10,219)</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(12,676)</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tcPr>
          <w:p>
            <w:pPr>
              <w:ind w:left="220"/>
              <w:spacing w:after="0" w:line="186" w:lineRule="exact"/>
              <w:rPr>
                <w:sz w:val="20"/>
                <w:szCs w:val="20"/>
                <w:color w:val="auto"/>
              </w:rPr>
            </w:pPr>
            <w:r>
              <w:rPr>
                <w:rFonts w:ascii="Arial" w:cs="Arial" w:eastAsia="Arial" w:hAnsi="Arial"/>
                <w:sz w:val="17"/>
                <w:szCs w:val="17"/>
                <w:color w:val="auto"/>
              </w:rPr>
              <w:t>Kaplan international</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3,423</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(682)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tcPr>
          <w:p>
            <w:pPr>
              <w:ind w:left="220"/>
              <w:spacing w:after="0" w:line="186" w:lineRule="exact"/>
              <w:rPr>
                <w:sz w:val="20"/>
                <w:szCs w:val="20"/>
                <w:color w:val="auto"/>
              </w:rPr>
            </w:pPr>
            <w:r>
              <w:rPr>
                <w:rFonts w:ascii="Arial" w:cs="Arial" w:eastAsia="Arial" w:hAnsi="Arial"/>
                <w:sz w:val="17"/>
                <w:szCs w:val="17"/>
                <w:color w:val="auto"/>
              </w:rPr>
              <w:t>Kaplan ventures</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(1,261)</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(974)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tcPr>
          <w:p>
            <w:pPr>
              <w:ind w:left="220"/>
              <w:spacing w:after="0" w:line="186" w:lineRule="exact"/>
              <w:rPr>
                <w:sz w:val="20"/>
                <w:szCs w:val="20"/>
                <w:color w:val="auto"/>
              </w:rPr>
            </w:pPr>
            <w:r>
              <w:rPr>
                <w:rFonts w:ascii="Arial" w:cs="Arial" w:eastAsia="Arial" w:hAnsi="Arial"/>
                <w:sz w:val="17"/>
                <w:szCs w:val="17"/>
                <w:color w:val="auto"/>
              </w:rPr>
              <w:t>Kaplan corporate</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(11,036)</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(11,618)</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tcPr>
          <w:p>
            <w:pPr>
              <w:ind w:left="220"/>
              <w:spacing w:after="0" w:line="186" w:lineRule="exact"/>
              <w:rPr>
                <w:sz w:val="20"/>
                <w:szCs w:val="20"/>
                <w:color w:val="auto"/>
              </w:rPr>
            </w:pPr>
            <w:r>
              <w:rPr>
                <w:rFonts w:ascii="Arial" w:cs="Arial" w:eastAsia="Arial" w:hAnsi="Arial"/>
                <w:sz w:val="17"/>
                <w:szCs w:val="17"/>
                <w:color w:val="auto"/>
              </w:rPr>
              <w:t>Amortization of intangible assets</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(3,243)</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(4,420)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440" w:type="dxa"/>
            <w:vAlign w:val="bottom"/>
          </w:tcPr>
          <w:p>
            <w:pPr>
              <w:ind w:left="220"/>
              <w:spacing w:after="0"/>
              <w:rPr>
                <w:sz w:val="20"/>
                <w:szCs w:val="20"/>
                <w:color w:val="auto"/>
              </w:rPr>
            </w:pPr>
            <w:r>
              <w:rPr>
                <w:rFonts w:ascii="Arial" w:cs="Arial" w:eastAsia="Arial" w:hAnsi="Arial"/>
                <w:sz w:val="17"/>
                <w:szCs w:val="17"/>
                <w:color w:val="auto"/>
              </w:rPr>
              <w:t>Intersegment elimination</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194</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44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(13,188)</w:t>
            </w:r>
          </w:p>
        </w:tc>
        <w:tc>
          <w:tcPr>
            <w:tcW w:w="500" w:type="dxa"/>
            <w:vAlign w:val="bottom"/>
            <w:tcBorders>
              <w:bottom w:val="single" w:sz="8" w:color="auto"/>
            </w:tcBorders>
          </w:tcPr>
          <w:p>
            <w:pPr>
              <w:jc w:val="right"/>
              <w:ind w:right="81"/>
              <w:spacing w:after="0" w:line="17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20,049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Kaplan sold Kaplan Learning Technologies in February 2012 and EduNeering in April 2012. Consequently, the education division’s operating results e these businesses. Also, Kaplan’s Colloquy and U.S. Pathways business moved from Kaplan Ventures to Kaplan International. The comparative divisio results presented above reflect this change.</w:t>
      </w:r>
    </w:p>
    <w:p>
      <w:pPr>
        <w:spacing w:after="0" w:line="188" w:lineRule="exact"/>
        <w:rPr>
          <w:sz w:val="20"/>
          <w:szCs w:val="20"/>
          <w:color w:val="auto"/>
        </w:rPr>
      </w:pPr>
    </w:p>
    <w:p>
      <w:pPr>
        <w:ind w:right="540"/>
        <w:spacing w:after="0" w:line="235" w:lineRule="auto"/>
        <w:rPr>
          <w:sz w:val="20"/>
          <w:szCs w:val="20"/>
          <w:color w:val="auto"/>
        </w:rPr>
      </w:pPr>
      <w:r>
        <w:rPr>
          <w:rFonts w:ascii="Arial" w:cs="Arial" w:eastAsia="Arial" w:hAnsi="Arial"/>
          <w:sz w:val="17"/>
          <w:szCs w:val="17"/>
          <w:color w:val="auto"/>
        </w:rPr>
        <w:t>Kaplan Higher Education (KHE) includes Kaplan’s domestic postsecondary education businesses, made up of fixed-facility colleges and online postsecondary and career programs. KHE also includes the domestic professional training and</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sectPr>
      </w:pPr>
    </w:p>
    <w:bookmarkStart w:id="22" w:name="page23"/>
    <w:bookmarkEnd w:id="22"/>
    <w:p>
      <w:pPr>
        <w:jc w:val="both"/>
        <w:spacing w:after="0" w:line="233" w:lineRule="auto"/>
        <w:rPr>
          <w:sz w:val="20"/>
          <w:szCs w:val="20"/>
          <w:color w:val="auto"/>
        </w:rPr>
      </w:pPr>
      <w:r>
        <w:rPr>
          <w:rFonts w:ascii="Arial" w:cs="Arial" w:eastAsia="Arial" w:hAnsi="Arial"/>
          <w:sz w:val="17"/>
          <w:szCs w:val="17"/>
          <w:color w:val="auto"/>
        </w:rPr>
        <w:t>other continuing education businesses. In the first quarter of 2012, KHE revenue declined 20% due to a decline in average enrollments, reflecting wea market demand over the past year. Operating income decreased 82% due primarily to lower revenue, offset by expense reductions associated with lo enrollments and recent restructuring efforts.</w:t>
      </w:r>
    </w:p>
    <w:p>
      <w:pPr>
        <w:spacing w:after="0" w:line="17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Although revenues were down substantially compared to the first quarter of 2011, new student enrollments at Kaplan University and KHE Campuses increased 5% in the first quarter of 2012. Student enrollments at March 31, 2012 were down 18% compared to March 31, 2011, but increased 2% com to December 31, 2011,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88"/>
              <w:spacing w:after="0"/>
              <w:rPr>
                <w:sz w:val="20"/>
                <w:szCs w:val="20"/>
                <w:color w:val="auto"/>
              </w:rPr>
            </w:pPr>
            <w:r>
              <w:rPr>
                <w:rFonts w:ascii="Arial" w:cs="Arial" w:eastAsia="Arial" w:hAnsi="Arial"/>
                <w:sz w:val="12"/>
                <w:szCs w:val="12"/>
                <w:b w:val="1"/>
                <w:bCs w:val="1"/>
                <w:color w:val="auto"/>
              </w:rPr>
              <w:t>Student Enrollments As of</w:t>
            </w:r>
          </w:p>
        </w:tc>
        <w:tc>
          <w:tcPr>
            <w:tcW w:w="640" w:type="dxa"/>
            <w:vAlign w:val="bottom"/>
            <w:tcBorders>
              <w:bottom w:val="single" w:sz="8" w:color="auto"/>
            </w:tcBorders>
          </w:tcPr>
          <w:p>
            <w:pPr>
              <w:spacing w:after="0"/>
              <w:rPr>
                <w:sz w:val="13"/>
                <w:szCs w:val="13"/>
                <w:color w:val="auto"/>
              </w:rPr>
            </w:pPr>
          </w:p>
        </w:tc>
      </w:tr>
      <w:tr>
        <w:trPr>
          <w:trHeight w:val="177"/>
        </w:trPr>
        <w:tc>
          <w:tcPr>
            <w:tcW w:w="7200" w:type="dxa"/>
            <w:vAlign w:val="bottom"/>
          </w:tcPr>
          <w:p>
            <w:pPr>
              <w:spacing w:after="0"/>
              <w:rPr>
                <w:sz w:val="15"/>
                <w:szCs w:val="15"/>
                <w:color w:val="auto"/>
              </w:rPr>
            </w:pPr>
          </w:p>
        </w:tc>
        <w:tc>
          <w:tcPr>
            <w:tcW w:w="1280" w:type="dxa"/>
            <w:vAlign w:val="bottom"/>
          </w:tcPr>
          <w:p>
            <w:pPr>
              <w:jc w:val="right"/>
              <w:ind w:right="286"/>
              <w:spacing w:after="0"/>
              <w:rPr>
                <w:sz w:val="20"/>
                <w:szCs w:val="20"/>
                <w:color w:val="auto"/>
              </w:rPr>
            </w:pPr>
            <w:r>
              <w:rPr>
                <w:rFonts w:ascii="Arial" w:cs="Arial" w:eastAsia="Arial" w:hAnsi="Arial"/>
                <w:sz w:val="12"/>
                <w:szCs w:val="12"/>
                <w:b w:val="1"/>
                <w:bCs w:val="1"/>
                <w:color w:val="auto"/>
              </w:rPr>
              <w:t>March 31,</w:t>
            </w:r>
          </w:p>
        </w:tc>
        <w:tc>
          <w:tcPr>
            <w:tcW w:w="1820" w:type="dxa"/>
            <w:vAlign w:val="bottom"/>
          </w:tcPr>
          <w:p>
            <w:pPr>
              <w:jc w:val="center"/>
              <w:ind w:right="88"/>
              <w:spacing w:after="0"/>
              <w:rPr>
                <w:sz w:val="20"/>
                <w:szCs w:val="20"/>
                <w:color w:val="auto"/>
              </w:rPr>
            </w:pPr>
            <w:r>
              <w:rPr>
                <w:rFonts w:ascii="Arial" w:cs="Arial" w:eastAsia="Arial" w:hAnsi="Arial"/>
                <w:sz w:val="12"/>
                <w:szCs w:val="12"/>
                <w:color w:val="auto"/>
              </w:rPr>
              <w:t>December 31,</w:t>
            </w:r>
          </w:p>
        </w:tc>
        <w:tc>
          <w:tcPr>
            <w:tcW w:w="640" w:type="dxa"/>
            <w:vAlign w:val="bottom"/>
          </w:tcPr>
          <w:p>
            <w:pPr>
              <w:jc w:val="right"/>
              <w:spacing w:after="0"/>
              <w:rPr>
                <w:sz w:val="20"/>
                <w:szCs w:val="20"/>
                <w:color w:val="auto"/>
              </w:rPr>
            </w:pPr>
            <w:r>
              <w:rPr>
                <w:rFonts w:ascii="Arial" w:cs="Arial" w:eastAsia="Arial" w:hAnsi="Arial"/>
                <w:sz w:val="12"/>
                <w:szCs w:val="12"/>
                <w:color w:val="auto"/>
              </w:rPr>
              <w:t>March 3</w:t>
            </w:r>
          </w:p>
        </w:tc>
      </w:tr>
      <w:tr>
        <w:trPr>
          <w:trHeight w:val="175"/>
        </w:trPr>
        <w:tc>
          <w:tcPr>
            <w:tcW w:w="7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2012</w:t>
            </w:r>
          </w:p>
        </w:tc>
        <w:tc>
          <w:tcPr>
            <w:tcW w:w="182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color w:val="auto"/>
              </w:rPr>
              <w:t>2011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58"/>
        </w:trPr>
        <w:tc>
          <w:tcPr>
            <w:tcW w:w="7200" w:type="dxa"/>
            <w:vAlign w:val="bottom"/>
          </w:tcPr>
          <w:p>
            <w:pPr>
              <w:spacing w:after="0" w:line="158" w:lineRule="exact"/>
              <w:rPr>
                <w:sz w:val="20"/>
                <w:szCs w:val="20"/>
                <w:color w:val="auto"/>
              </w:rPr>
            </w:pPr>
            <w:r>
              <w:rPr>
                <w:rFonts w:ascii="Arial" w:cs="Arial" w:eastAsia="Arial" w:hAnsi="Arial"/>
                <w:sz w:val="17"/>
                <w:szCs w:val="17"/>
                <w:color w:val="auto"/>
              </w:rPr>
              <w:t>Kaplan University</w:t>
            </w:r>
          </w:p>
        </w:tc>
        <w:tc>
          <w:tcPr>
            <w:tcW w:w="1280" w:type="dxa"/>
            <w:vAlign w:val="bottom"/>
          </w:tcPr>
          <w:p>
            <w:pPr>
              <w:jc w:val="right"/>
              <w:spacing w:after="0" w:line="158" w:lineRule="exact"/>
              <w:rPr>
                <w:sz w:val="20"/>
                <w:szCs w:val="20"/>
                <w:color w:val="auto"/>
              </w:rPr>
            </w:pPr>
            <w:r>
              <w:rPr>
                <w:rFonts w:ascii="Arial" w:cs="Arial" w:eastAsia="Arial" w:hAnsi="Arial"/>
                <w:sz w:val="17"/>
                <w:szCs w:val="17"/>
                <w:b w:val="1"/>
                <w:bCs w:val="1"/>
                <w:color w:val="auto"/>
              </w:rPr>
              <w:t>49,481</w:t>
            </w:r>
          </w:p>
        </w:tc>
        <w:tc>
          <w:tcPr>
            <w:tcW w:w="1820" w:type="dxa"/>
            <w:vAlign w:val="bottom"/>
          </w:tcPr>
          <w:p>
            <w:pPr>
              <w:jc w:val="right"/>
              <w:ind w:right="328"/>
              <w:spacing w:after="0" w:line="158" w:lineRule="exact"/>
              <w:rPr>
                <w:sz w:val="20"/>
                <w:szCs w:val="20"/>
                <w:color w:val="auto"/>
              </w:rPr>
            </w:pPr>
            <w:r>
              <w:rPr>
                <w:rFonts w:ascii="Arial" w:cs="Arial" w:eastAsia="Arial" w:hAnsi="Arial"/>
                <w:sz w:val="17"/>
                <w:szCs w:val="17"/>
                <w:color w:val="auto"/>
              </w:rPr>
              <w:t>50,190</w:t>
            </w:r>
          </w:p>
        </w:tc>
        <w:tc>
          <w:tcPr>
            <w:tcW w:w="640" w:type="dxa"/>
            <w:vAlign w:val="bottom"/>
          </w:tcPr>
          <w:p>
            <w:pPr>
              <w:jc w:val="right"/>
              <w:spacing w:after="0" w:line="158" w:lineRule="exact"/>
              <w:rPr>
                <w:sz w:val="20"/>
                <w:szCs w:val="20"/>
                <w:color w:val="auto"/>
              </w:rPr>
            </w:pPr>
            <w:r>
              <w:rPr>
                <w:rFonts w:ascii="Arial" w:cs="Arial" w:eastAsia="Arial" w:hAnsi="Arial"/>
                <w:sz w:val="17"/>
                <w:szCs w:val="17"/>
                <w:color w:val="auto"/>
              </w:rPr>
              <w:t>6</w:t>
            </w:r>
          </w:p>
        </w:tc>
      </w:tr>
      <w:tr>
        <w:trPr>
          <w:trHeight w:val="207"/>
        </w:trPr>
        <w:tc>
          <w:tcPr>
            <w:tcW w:w="7200" w:type="dxa"/>
            <w:vAlign w:val="bottom"/>
          </w:tcPr>
          <w:p>
            <w:pPr>
              <w:spacing w:after="0"/>
              <w:rPr>
                <w:sz w:val="20"/>
                <w:szCs w:val="20"/>
                <w:color w:val="auto"/>
              </w:rPr>
            </w:pPr>
            <w:r>
              <w:rPr>
                <w:rFonts w:ascii="Arial" w:cs="Arial" w:eastAsia="Arial" w:hAnsi="Arial"/>
                <w:sz w:val="17"/>
                <w:szCs w:val="17"/>
                <w:color w:val="auto"/>
              </w:rPr>
              <w:t>KHE Campuses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26,503</w:t>
            </w:r>
          </w:p>
        </w:tc>
        <w:tc>
          <w:tcPr>
            <w:tcW w:w="1820" w:type="dxa"/>
            <w:vAlign w:val="bottom"/>
            <w:tcBorders>
              <w:bottom w:val="single" w:sz="8" w:color="auto"/>
            </w:tcBorders>
          </w:tcPr>
          <w:p>
            <w:pPr>
              <w:jc w:val="right"/>
              <w:ind w:right="328"/>
              <w:spacing w:after="0"/>
              <w:rPr>
                <w:sz w:val="20"/>
                <w:szCs w:val="20"/>
                <w:color w:val="auto"/>
              </w:rPr>
            </w:pPr>
            <w:r>
              <w:rPr>
                <w:rFonts w:ascii="Arial" w:cs="Arial" w:eastAsia="Arial" w:hAnsi="Arial"/>
                <w:sz w:val="17"/>
                <w:szCs w:val="17"/>
                <w:color w:val="auto"/>
              </w:rPr>
              <w:t>24,360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179"/>
        </w:trPr>
        <w:tc>
          <w:tcPr>
            <w:tcW w:w="7200" w:type="dxa"/>
            <w:vAlign w:val="bottom"/>
          </w:tcPr>
          <w:p>
            <w:pPr>
              <w:spacing w:after="0"/>
              <w:rPr>
                <w:sz w:val="15"/>
                <w:szCs w:val="15"/>
                <w:color w:val="auto"/>
              </w:rPr>
            </w:pPr>
          </w:p>
        </w:tc>
        <w:tc>
          <w:tcPr>
            <w:tcW w:w="12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75,984</w:t>
            </w:r>
          </w:p>
        </w:tc>
        <w:tc>
          <w:tcPr>
            <w:tcW w:w="1820" w:type="dxa"/>
            <w:vAlign w:val="bottom"/>
            <w:tcBorders>
              <w:bottom w:val="single" w:sz="8" w:color="auto"/>
            </w:tcBorders>
          </w:tcPr>
          <w:p>
            <w:pPr>
              <w:jc w:val="right"/>
              <w:ind w:right="328"/>
              <w:spacing w:after="0" w:line="179" w:lineRule="exact"/>
              <w:rPr>
                <w:sz w:val="20"/>
                <w:szCs w:val="20"/>
                <w:color w:val="auto"/>
              </w:rPr>
            </w:pPr>
            <w:r>
              <w:rPr>
                <w:rFonts w:ascii="Arial" w:cs="Arial" w:eastAsia="Arial" w:hAnsi="Arial"/>
                <w:sz w:val="17"/>
                <w:szCs w:val="17"/>
                <w:color w:val="auto"/>
              </w:rPr>
              <w:t>74,550</w:t>
            </w:r>
          </w:p>
        </w:tc>
        <w:tc>
          <w:tcPr>
            <w:tcW w:w="6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9</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Kaplan University enrollments included 5,979, 5,799 and 7,928 campus-based students as of March 31, 2012, December 31, 2011, and March 31, 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KHE Campuses enrollments at March 31, 2012, and March 31, 2011, by degree and certificate programs,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210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As of March 31,</w:t>
            </w:r>
          </w:p>
        </w:tc>
        <w:tc>
          <w:tcPr>
            <w:tcW w:w="380" w:type="dxa"/>
            <w:vAlign w:val="bottom"/>
            <w:tcBorders>
              <w:bottom w:val="single" w:sz="8" w:color="auto"/>
            </w:tcBorders>
          </w:tcPr>
          <w:p>
            <w:pPr>
              <w:spacing w:after="0"/>
              <w:rPr>
                <w:sz w:val="13"/>
                <w:szCs w:val="13"/>
                <w:color w:val="auto"/>
              </w:rPr>
            </w:pPr>
          </w:p>
        </w:tc>
      </w:tr>
      <w:tr>
        <w:trPr>
          <w:trHeight w:val="166"/>
        </w:trPr>
        <w:tc>
          <w:tcPr>
            <w:tcW w:w="84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1263"/>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8"/>
        </w:trPr>
        <w:tc>
          <w:tcPr>
            <w:tcW w:w="8460" w:type="dxa"/>
            <w:vAlign w:val="bottom"/>
          </w:tcPr>
          <w:p>
            <w:pPr>
              <w:spacing w:after="0" w:line="158" w:lineRule="exact"/>
              <w:rPr>
                <w:sz w:val="20"/>
                <w:szCs w:val="20"/>
                <w:color w:val="auto"/>
              </w:rPr>
            </w:pPr>
            <w:r>
              <w:rPr>
                <w:rFonts w:ascii="Arial" w:cs="Arial" w:eastAsia="Arial" w:hAnsi="Arial"/>
                <w:sz w:val="17"/>
                <w:szCs w:val="17"/>
                <w:color w:val="auto"/>
              </w:rPr>
              <w:t>Certificate</w:t>
            </w:r>
          </w:p>
        </w:tc>
        <w:tc>
          <w:tcPr>
            <w:tcW w:w="2100" w:type="dxa"/>
            <w:vAlign w:val="bottom"/>
          </w:tcPr>
          <w:p>
            <w:pPr>
              <w:jc w:val="right"/>
              <w:ind w:right="843"/>
              <w:spacing w:after="0" w:line="158" w:lineRule="exact"/>
              <w:rPr>
                <w:sz w:val="20"/>
                <w:szCs w:val="20"/>
                <w:color w:val="auto"/>
              </w:rPr>
            </w:pPr>
            <w:r>
              <w:rPr>
                <w:rFonts w:ascii="Arial" w:cs="Arial" w:eastAsia="Arial" w:hAnsi="Arial"/>
                <w:sz w:val="17"/>
                <w:szCs w:val="17"/>
                <w:b w:val="1"/>
                <w:bCs w:val="1"/>
                <w:color w:val="auto"/>
              </w:rPr>
              <w:t>25.2 %</w:t>
            </w:r>
          </w:p>
        </w:tc>
        <w:tc>
          <w:tcPr>
            <w:tcW w:w="380" w:type="dxa"/>
            <w:vAlign w:val="bottom"/>
          </w:tcPr>
          <w:p>
            <w:pPr>
              <w:jc w:val="right"/>
              <w:spacing w:after="0" w:line="158" w:lineRule="exact"/>
              <w:rPr>
                <w:sz w:val="20"/>
                <w:szCs w:val="20"/>
                <w:color w:val="auto"/>
              </w:rPr>
            </w:pPr>
            <w:r>
              <w:rPr>
                <w:rFonts w:ascii="Arial" w:cs="Arial" w:eastAsia="Arial" w:hAnsi="Arial"/>
                <w:sz w:val="17"/>
                <w:szCs w:val="17"/>
                <w:color w:val="auto"/>
              </w:rPr>
              <w:t>2</w:t>
            </w:r>
          </w:p>
        </w:tc>
      </w:tr>
      <w:tr>
        <w:trPr>
          <w:trHeight w:val="186"/>
        </w:trPr>
        <w:tc>
          <w:tcPr>
            <w:tcW w:w="8460" w:type="dxa"/>
            <w:vAlign w:val="bottom"/>
          </w:tcPr>
          <w:p>
            <w:pPr>
              <w:spacing w:after="0" w:line="186" w:lineRule="exact"/>
              <w:rPr>
                <w:sz w:val="20"/>
                <w:szCs w:val="20"/>
                <w:color w:val="auto"/>
              </w:rPr>
            </w:pPr>
            <w:r>
              <w:rPr>
                <w:rFonts w:ascii="Arial" w:cs="Arial" w:eastAsia="Arial" w:hAnsi="Arial"/>
                <w:sz w:val="17"/>
                <w:szCs w:val="17"/>
                <w:color w:val="auto"/>
              </w:rPr>
              <w:t>Associate’s</w:t>
            </w:r>
          </w:p>
        </w:tc>
        <w:tc>
          <w:tcPr>
            <w:tcW w:w="2100" w:type="dxa"/>
            <w:vAlign w:val="bottom"/>
          </w:tcPr>
          <w:p>
            <w:pPr>
              <w:jc w:val="right"/>
              <w:ind w:right="843"/>
              <w:spacing w:after="0" w:line="186" w:lineRule="exact"/>
              <w:rPr>
                <w:sz w:val="20"/>
                <w:szCs w:val="20"/>
                <w:color w:val="auto"/>
              </w:rPr>
            </w:pPr>
            <w:r>
              <w:rPr>
                <w:rFonts w:ascii="Arial" w:cs="Arial" w:eastAsia="Arial" w:hAnsi="Arial"/>
                <w:sz w:val="17"/>
                <w:szCs w:val="17"/>
                <w:b w:val="1"/>
                <w:bCs w:val="1"/>
                <w:color w:val="auto"/>
              </w:rPr>
              <w:t>29.7 %</w:t>
            </w: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3</w:t>
            </w:r>
          </w:p>
        </w:tc>
      </w:tr>
      <w:tr>
        <w:trPr>
          <w:trHeight w:val="186"/>
        </w:trPr>
        <w:tc>
          <w:tcPr>
            <w:tcW w:w="8460" w:type="dxa"/>
            <w:vAlign w:val="bottom"/>
          </w:tcPr>
          <w:p>
            <w:pPr>
              <w:spacing w:after="0" w:line="186" w:lineRule="exact"/>
              <w:rPr>
                <w:sz w:val="20"/>
                <w:szCs w:val="20"/>
                <w:color w:val="auto"/>
              </w:rPr>
            </w:pPr>
            <w:r>
              <w:rPr>
                <w:rFonts w:ascii="Arial" w:cs="Arial" w:eastAsia="Arial" w:hAnsi="Arial"/>
                <w:sz w:val="17"/>
                <w:szCs w:val="17"/>
                <w:color w:val="auto"/>
              </w:rPr>
              <w:t>Bachelor’s</w:t>
            </w:r>
          </w:p>
        </w:tc>
        <w:tc>
          <w:tcPr>
            <w:tcW w:w="2100" w:type="dxa"/>
            <w:vAlign w:val="bottom"/>
          </w:tcPr>
          <w:p>
            <w:pPr>
              <w:jc w:val="right"/>
              <w:ind w:right="843"/>
              <w:spacing w:after="0" w:line="186" w:lineRule="exact"/>
              <w:rPr>
                <w:sz w:val="20"/>
                <w:szCs w:val="20"/>
                <w:color w:val="auto"/>
              </w:rPr>
            </w:pPr>
            <w:r>
              <w:rPr>
                <w:rFonts w:ascii="Arial" w:cs="Arial" w:eastAsia="Arial" w:hAnsi="Arial"/>
                <w:sz w:val="17"/>
                <w:szCs w:val="17"/>
                <w:b w:val="1"/>
                <w:bCs w:val="1"/>
                <w:color w:val="auto"/>
              </w:rPr>
              <w:t>33.6 %</w:t>
            </w: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3</w:t>
            </w:r>
          </w:p>
        </w:tc>
      </w:tr>
      <w:tr>
        <w:trPr>
          <w:trHeight w:val="207"/>
        </w:trPr>
        <w:tc>
          <w:tcPr>
            <w:tcW w:w="8460" w:type="dxa"/>
            <w:vAlign w:val="bottom"/>
          </w:tcPr>
          <w:p>
            <w:pPr>
              <w:spacing w:after="0"/>
              <w:rPr>
                <w:sz w:val="20"/>
                <w:szCs w:val="20"/>
                <w:color w:val="auto"/>
              </w:rPr>
            </w:pPr>
            <w:r>
              <w:rPr>
                <w:rFonts w:ascii="Arial" w:cs="Arial" w:eastAsia="Arial" w:hAnsi="Arial"/>
                <w:sz w:val="17"/>
                <w:szCs w:val="17"/>
                <w:color w:val="auto"/>
              </w:rPr>
              <w:t>Master’s</w:t>
            </w:r>
          </w:p>
        </w:tc>
        <w:tc>
          <w:tcPr>
            <w:tcW w:w="2100" w:type="dxa"/>
            <w:vAlign w:val="bottom"/>
            <w:tcBorders>
              <w:bottom w:val="single" w:sz="8" w:color="auto"/>
            </w:tcBorders>
          </w:tcPr>
          <w:p>
            <w:pPr>
              <w:jc w:val="right"/>
              <w:ind w:right="843"/>
              <w:spacing w:after="0"/>
              <w:rPr>
                <w:sz w:val="20"/>
                <w:szCs w:val="20"/>
                <w:color w:val="auto"/>
              </w:rPr>
            </w:pPr>
            <w:r>
              <w:rPr>
                <w:rFonts w:ascii="Arial" w:cs="Arial" w:eastAsia="Arial" w:hAnsi="Arial"/>
                <w:sz w:val="17"/>
                <w:szCs w:val="17"/>
                <w:b w:val="1"/>
                <w:bCs w:val="1"/>
                <w:color w:val="auto"/>
              </w:rPr>
              <w:t>11.5 %</w:t>
            </w:r>
          </w:p>
        </w:tc>
        <w:tc>
          <w:tcPr>
            <w:tcW w:w="380" w:type="dxa"/>
            <w:vAlign w:val="bottom"/>
            <w:tcBorders>
              <w:bottom w:val="single" w:sz="8" w:color="auto"/>
            </w:tcBorders>
          </w:tcPr>
          <w:p>
            <w:pPr>
              <w:spacing w:after="0"/>
              <w:rPr>
                <w:sz w:val="17"/>
                <w:szCs w:val="17"/>
                <w:color w:val="auto"/>
              </w:rPr>
            </w:pPr>
          </w:p>
        </w:tc>
      </w:tr>
      <w:tr>
        <w:trPr>
          <w:trHeight w:val="179"/>
        </w:trPr>
        <w:tc>
          <w:tcPr>
            <w:tcW w:w="8460" w:type="dxa"/>
            <w:vAlign w:val="bottom"/>
          </w:tcPr>
          <w:p>
            <w:pPr>
              <w:spacing w:after="0"/>
              <w:rPr>
                <w:sz w:val="15"/>
                <w:szCs w:val="15"/>
                <w:color w:val="auto"/>
              </w:rPr>
            </w:pPr>
          </w:p>
        </w:tc>
        <w:tc>
          <w:tcPr>
            <w:tcW w:w="2100" w:type="dxa"/>
            <w:vAlign w:val="bottom"/>
            <w:tcBorders>
              <w:bottom w:val="single" w:sz="8" w:color="auto"/>
            </w:tcBorders>
          </w:tcPr>
          <w:p>
            <w:pPr>
              <w:jc w:val="right"/>
              <w:ind w:right="843"/>
              <w:spacing w:after="0" w:line="179" w:lineRule="exact"/>
              <w:rPr>
                <w:sz w:val="20"/>
                <w:szCs w:val="20"/>
                <w:color w:val="auto"/>
              </w:rPr>
            </w:pPr>
            <w:r>
              <w:rPr>
                <w:rFonts w:ascii="Arial" w:cs="Arial" w:eastAsia="Arial" w:hAnsi="Arial"/>
                <w:sz w:val="17"/>
                <w:szCs w:val="17"/>
                <w:b w:val="1"/>
                <w:bCs w:val="1"/>
                <w:color w:val="auto"/>
              </w:rPr>
              <w:t>100.0 %</w:t>
            </w:r>
          </w:p>
        </w:tc>
        <w:tc>
          <w:tcPr>
            <w:tcW w:w="3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10</w:t>
            </w:r>
          </w:p>
        </w:tc>
      </w:tr>
      <w:tr>
        <w:trPr>
          <w:trHeight w:val="20"/>
        </w:trPr>
        <w:tc>
          <w:tcPr>
            <w:tcW w:w="84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KHE has implemented a number of marketing and admissions changes to increase student selectivity and help KHE comply with recent regulations. K also implemented the Kaplan Commitment program, which provides first-time students with a risk-free trial period. Under the program, KHE also monit academic progress and conducts academic assessments to help determine whether students are likely to be successful in their chosen course of stud Students who withdraw or are subject to academic dismissal during the risk-free trial period do not incur any significant financial obligation. For those f time students enrolled to date under the Kaplan Commitment, the attrition rate during the risk-free period has been approximately 27%, of which about is due to Kaplan’s dismissal of students from the program because of the student’s lack of academic progress during the period and the remainder du students who have elected not to continue their studies. Given that the Kaplan Commitment program has only been in place for a short period of time, management is unable to estimate with confidence to what degree the program will cause student retention patterns to differ from historical levels. Ho based on limited preliminary data, it appears that most of the historical early term attrition has been accelerated into the commitment period, having th desired effect of providing these students with a risk-free trial period and ultimately improving student outcome results for the institution. Management believes the Kaplan Commitment program is unique and reflects Kaplan’s commitment to student success.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Refer to KHE Regulatory Matters below for additional information.</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Kaplan Test Preparation (KTP) includes Kaplan’s standardized test preparation and tutoring offerings and other businesses. KTP revenue declined 14 the first quarter of 2012. Enrollment increases of 11%, driven by strength in the medical and bar review programs, were offset by competitive pricing pressure and a shift in demand to lower priced online test preparation offerings. Revenues also declined from the prior year as changes in certain prog and the mix of courses resulted in an increase in average course length and related revenue recognition periods. Total sales bookings at KTP during t quarter of 2012 were down 2% compared to the first quarter of 2011. KTP operating results reflected lower operating expenses in the first quarter of 2 due to recent restructuring activities. The first quarter of 2011 also included $2.3 million in restructuring costs.</w:t>
      </w:r>
    </w:p>
    <w:p>
      <w:pPr>
        <w:spacing w:after="0" w:line="172"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In the first quarter of 2012, the Company performed an interim test of the carrying value of goodwill at the KTP reporting unit for possible impairment. estimated fair value of the KTP reporting unit exceeded its carrying value by a margin of 10%. There exists a reasonable possibility that a decrease in assumed projected cash flows or long-term growth rate,</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or an increase in the discount rate assumption used in the discounted cash flow model of this reporting unit, could result in an impairment charge.</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Kaplan International includes professional training and postsecondary education businesses outside the United States and English-language program May 2011, Kaplan Australia acquired Franklyn Scholar and Carrick Education Group, national providers of vocational training and higher education in Australia. In June 2011, Kaplan acquired Structuralia, a provider of e-learning for the engineering and infrastructure sector in Spain. Kaplan Internation revenue increased 16% in 2012. Excluding revenue from acquired businesses, Kaplan International revenue increased 6% in the first quarter of 2012 largely to enrollment growth in the English-language and Singapore higher education programs. Kaplan International operating income increased in th quarter of 2012 due to strong results in Singapore and the English-language programs, offset by a combined loss from businesses acquired in 2011.</w:t>
      </w:r>
    </w:p>
    <w:p>
      <w:pPr>
        <w:spacing w:after="0" w:line="17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Most of the businesses previously included in Kaplan Ventures have been sold or moved to other Kaplan divisions. Kaplan Ventures is exploring other alternatives with respect to its remaining businesses, including possible sales.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Corporate represents unallocated expenses of Kaplan, Inc.’s corporate office and other minor shared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Cable Television</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Cable television division revenue for the first quarter of 2012 was $190.2 million, flat compared to $190.3 million for the first quarter of 2011. The reven results reflect continued growth of the division’s internet and telephone service revenues, offset by an increase in promotional discounts and a decline basic video subscribers.</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Cable television division operating income decreased 13% to $32.8 million, from $37.7 million in the first quarter of 2011. The division’s operating inco declined primarily due to increased programming and sales costs.</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At March 31, 2012, Primary Service Units (PSUs) were up 1% from the prior year due to growth in high-speed data and telephony subscribers, offset b decrease in basic subscribers. PSUs include about 6,100 subscribers who receive free basic cable service, primarily local governments, schools and o organizations as required by various franchise agreements. A summary of PSUs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520" w:type="dxa"/>
            <w:vAlign w:val="bottom"/>
          </w:tcPr>
          <w:p>
            <w:pPr>
              <w:jc w:val="right"/>
              <w:ind w:right="524"/>
              <w:spacing w:after="0"/>
              <w:rPr>
                <w:sz w:val="20"/>
                <w:szCs w:val="20"/>
                <w:color w:val="auto"/>
              </w:rPr>
            </w:pPr>
            <w:r>
              <w:rPr>
                <w:rFonts w:ascii="Arial" w:cs="Arial" w:eastAsia="Arial" w:hAnsi="Arial"/>
                <w:sz w:val="12"/>
                <w:szCs w:val="12"/>
                <w:b w:val="1"/>
                <w:bCs w:val="1"/>
                <w:color w:val="auto"/>
              </w:rPr>
              <w:t>March 31,</w:t>
            </w:r>
          </w:p>
        </w:tc>
        <w:tc>
          <w:tcPr>
            <w:tcW w:w="740" w:type="dxa"/>
            <w:vAlign w:val="bottom"/>
          </w:tcPr>
          <w:p>
            <w:pPr>
              <w:jc w:val="right"/>
              <w:spacing w:after="0"/>
              <w:rPr>
                <w:sz w:val="20"/>
                <w:szCs w:val="20"/>
                <w:color w:val="auto"/>
              </w:rPr>
            </w:pPr>
            <w:r>
              <w:rPr>
                <w:rFonts w:ascii="Arial" w:cs="Arial" w:eastAsia="Arial" w:hAnsi="Arial"/>
                <w:sz w:val="12"/>
                <w:szCs w:val="12"/>
                <w:color w:val="auto"/>
              </w:rPr>
              <w:t>March 3</w:t>
            </w:r>
          </w:p>
        </w:tc>
      </w:tr>
      <w:tr>
        <w:trPr>
          <w:trHeight w:val="151"/>
        </w:trPr>
        <w:tc>
          <w:tcPr>
            <w:tcW w:w="86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84"/>
              <w:spacing w:after="0"/>
              <w:rPr>
                <w:sz w:val="20"/>
                <w:szCs w:val="20"/>
                <w:color w:val="auto"/>
              </w:rPr>
            </w:pPr>
            <w:r>
              <w:rPr>
                <w:rFonts w:ascii="Arial" w:cs="Arial" w:eastAsia="Arial" w:hAnsi="Arial"/>
                <w:sz w:val="12"/>
                <w:szCs w:val="12"/>
                <w:b w:val="1"/>
                <w:bCs w:val="1"/>
                <w:color w:val="auto"/>
              </w:rPr>
              <w:t>2012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95"/>
        </w:trPr>
        <w:tc>
          <w:tcPr>
            <w:tcW w:w="8680" w:type="dxa"/>
            <w:vAlign w:val="bottom"/>
          </w:tcPr>
          <w:p>
            <w:pPr>
              <w:spacing w:after="0"/>
              <w:rPr>
                <w:sz w:val="20"/>
                <w:szCs w:val="20"/>
                <w:color w:val="auto"/>
              </w:rPr>
            </w:pPr>
            <w:r>
              <w:rPr>
                <w:rFonts w:ascii="Arial" w:cs="Arial" w:eastAsia="Arial" w:hAnsi="Arial"/>
                <w:sz w:val="17"/>
                <w:szCs w:val="17"/>
                <w:color w:val="auto"/>
              </w:rPr>
              <w:t>Basic video</w:t>
            </w:r>
          </w:p>
        </w:tc>
        <w:tc>
          <w:tcPr>
            <w:tcW w:w="1520" w:type="dxa"/>
            <w:vAlign w:val="bottom"/>
          </w:tcPr>
          <w:p>
            <w:pPr>
              <w:jc w:val="right"/>
              <w:ind w:right="224"/>
              <w:spacing w:after="0"/>
              <w:rPr>
                <w:sz w:val="20"/>
                <w:szCs w:val="20"/>
                <w:color w:val="auto"/>
              </w:rPr>
            </w:pPr>
            <w:r>
              <w:rPr>
                <w:rFonts w:ascii="Arial" w:cs="Arial" w:eastAsia="Arial" w:hAnsi="Arial"/>
                <w:sz w:val="17"/>
                <w:szCs w:val="17"/>
                <w:b w:val="1"/>
                <w:bCs w:val="1"/>
                <w:color w:val="auto"/>
              </w:rPr>
              <w:t>622,339</w:t>
            </w:r>
          </w:p>
        </w:tc>
        <w:tc>
          <w:tcPr>
            <w:tcW w:w="74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11"/>
        </w:trPr>
        <w:tc>
          <w:tcPr>
            <w:tcW w:w="8680" w:type="dxa"/>
            <w:vAlign w:val="bottom"/>
          </w:tcPr>
          <w:p>
            <w:pPr>
              <w:spacing w:after="0"/>
              <w:rPr>
                <w:sz w:val="20"/>
                <w:szCs w:val="20"/>
                <w:color w:val="auto"/>
              </w:rPr>
            </w:pPr>
            <w:r>
              <w:rPr>
                <w:rFonts w:ascii="Arial" w:cs="Arial" w:eastAsia="Arial" w:hAnsi="Arial"/>
                <w:sz w:val="17"/>
                <w:szCs w:val="17"/>
                <w:color w:val="auto"/>
              </w:rPr>
              <w:t>High-speed data</w:t>
            </w:r>
          </w:p>
        </w:tc>
        <w:tc>
          <w:tcPr>
            <w:tcW w:w="1520" w:type="dxa"/>
            <w:vAlign w:val="bottom"/>
          </w:tcPr>
          <w:p>
            <w:pPr>
              <w:jc w:val="right"/>
              <w:ind w:right="224"/>
              <w:spacing w:after="0"/>
              <w:rPr>
                <w:sz w:val="20"/>
                <w:szCs w:val="20"/>
                <w:color w:val="auto"/>
              </w:rPr>
            </w:pPr>
            <w:r>
              <w:rPr>
                <w:rFonts w:ascii="Arial" w:cs="Arial" w:eastAsia="Arial" w:hAnsi="Arial"/>
                <w:sz w:val="17"/>
                <w:szCs w:val="17"/>
                <w:b w:val="1"/>
                <w:bCs w:val="1"/>
                <w:color w:val="auto"/>
              </w:rPr>
              <w:t>463,443</w:t>
            </w:r>
          </w:p>
        </w:tc>
        <w:tc>
          <w:tcPr>
            <w:tcW w:w="7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7"/>
        </w:trPr>
        <w:tc>
          <w:tcPr>
            <w:tcW w:w="8680" w:type="dxa"/>
            <w:vAlign w:val="bottom"/>
          </w:tcPr>
          <w:p>
            <w:pPr>
              <w:spacing w:after="0"/>
              <w:rPr>
                <w:sz w:val="20"/>
                <w:szCs w:val="20"/>
                <w:color w:val="auto"/>
              </w:rPr>
            </w:pPr>
            <w:r>
              <w:rPr>
                <w:rFonts w:ascii="Arial" w:cs="Arial" w:eastAsia="Arial" w:hAnsi="Arial"/>
                <w:sz w:val="17"/>
                <w:szCs w:val="17"/>
                <w:color w:val="auto"/>
              </w:rPr>
              <w:t>Telephony</w:t>
            </w:r>
          </w:p>
        </w:tc>
        <w:tc>
          <w:tcPr>
            <w:tcW w:w="1520" w:type="dxa"/>
            <w:vAlign w:val="bottom"/>
            <w:tcBorders>
              <w:bottom w:val="single" w:sz="8" w:color="auto"/>
            </w:tcBorders>
          </w:tcPr>
          <w:p>
            <w:pPr>
              <w:jc w:val="right"/>
              <w:ind w:right="224"/>
              <w:spacing w:after="0"/>
              <w:rPr>
                <w:sz w:val="20"/>
                <w:szCs w:val="20"/>
                <w:color w:val="auto"/>
              </w:rPr>
            </w:pPr>
            <w:r>
              <w:rPr>
                <w:rFonts w:ascii="Arial" w:cs="Arial" w:eastAsia="Arial" w:hAnsi="Arial"/>
                <w:sz w:val="17"/>
                <w:szCs w:val="17"/>
                <w:b w:val="1"/>
                <w:bCs w:val="1"/>
                <w:color w:val="auto"/>
              </w:rPr>
              <w:t>186,009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191"/>
        </w:trPr>
        <w:tc>
          <w:tcPr>
            <w:tcW w:w="8680" w:type="dxa"/>
            <w:vAlign w:val="bottom"/>
          </w:tcPr>
          <w:p>
            <w:pPr>
              <w:spacing w:after="0"/>
              <w:rPr>
                <w:sz w:val="16"/>
                <w:szCs w:val="16"/>
                <w:color w:val="auto"/>
              </w:rPr>
            </w:pPr>
          </w:p>
        </w:tc>
        <w:tc>
          <w:tcPr>
            <w:tcW w:w="1520" w:type="dxa"/>
            <w:vAlign w:val="bottom"/>
            <w:tcBorders>
              <w:bottom w:val="single" w:sz="8" w:color="auto"/>
            </w:tcBorders>
          </w:tcPr>
          <w:p>
            <w:pPr>
              <w:jc w:val="right"/>
              <w:ind w:right="224"/>
              <w:spacing w:after="0" w:line="191" w:lineRule="exact"/>
              <w:rPr>
                <w:sz w:val="20"/>
                <w:szCs w:val="20"/>
                <w:color w:val="auto"/>
              </w:rPr>
            </w:pPr>
            <w:r>
              <w:rPr>
                <w:rFonts w:ascii="Arial" w:cs="Arial" w:eastAsia="Arial" w:hAnsi="Arial"/>
                <w:sz w:val="17"/>
                <w:szCs w:val="17"/>
                <w:b w:val="1"/>
                <w:bCs w:val="1"/>
                <w:color w:val="auto"/>
              </w:rPr>
              <w:t>1,271,791</w:t>
            </w:r>
          </w:p>
        </w:tc>
        <w:tc>
          <w:tcPr>
            <w:tcW w:w="7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1,25</w:t>
            </w:r>
          </w:p>
        </w:tc>
      </w:tr>
      <w:tr>
        <w:trPr>
          <w:trHeight w:val="20"/>
        </w:trPr>
        <w:tc>
          <w:tcPr>
            <w:tcW w:w="8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Below are details of Cable division capital expenditures for the first three months of 2012 and 2011, as defined by the NCTA Standard Reporting Cate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2012</w:t>
            </w:r>
          </w:p>
        </w:tc>
        <w:tc>
          <w:tcPr>
            <w:tcW w:w="5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2011</w:t>
            </w:r>
          </w:p>
        </w:tc>
      </w:tr>
      <w:tr>
        <w:trPr>
          <w:trHeight w:val="170"/>
        </w:trPr>
        <w:tc>
          <w:tcPr>
            <w:tcW w:w="8460" w:type="dxa"/>
            <w:vAlign w:val="bottom"/>
          </w:tcPr>
          <w:p>
            <w:pPr>
              <w:spacing w:after="0" w:line="170" w:lineRule="exact"/>
              <w:rPr>
                <w:sz w:val="20"/>
                <w:szCs w:val="20"/>
                <w:color w:val="auto"/>
              </w:rPr>
            </w:pPr>
            <w:r>
              <w:rPr>
                <w:rFonts w:ascii="Arial" w:cs="Arial" w:eastAsia="Arial" w:hAnsi="Arial"/>
                <w:sz w:val="17"/>
                <w:szCs w:val="17"/>
                <w:color w:val="auto"/>
              </w:rPr>
              <w:t>Customer Premise Equipment</w:t>
            </w:r>
          </w:p>
        </w:tc>
        <w:tc>
          <w:tcPr>
            <w:tcW w:w="440" w:type="dxa"/>
            <w:vAlign w:val="bottom"/>
          </w:tcPr>
          <w:p>
            <w:pPr>
              <w:jc w:val="right"/>
              <w:ind w:right="117"/>
              <w:spacing w:after="0" w:line="170"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20"/>
              <w:spacing w:after="0" w:line="170" w:lineRule="exact"/>
              <w:rPr>
                <w:sz w:val="20"/>
                <w:szCs w:val="20"/>
                <w:color w:val="auto"/>
              </w:rPr>
            </w:pPr>
            <w:r>
              <w:rPr>
                <w:rFonts w:ascii="Arial" w:cs="Arial" w:eastAsia="Arial" w:hAnsi="Arial"/>
                <w:sz w:val="17"/>
                <w:szCs w:val="17"/>
                <w:b w:val="1"/>
                <w:bCs w:val="1"/>
                <w:color w:val="auto"/>
              </w:rPr>
              <w:t>15,813</w:t>
            </w:r>
          </w:p>
        </w:tc>
        <w:tc>
          <w:tcPr>
            <w:tcW w:w="500" w:type="dxa"/>
            <w:vAlign w:val="bottom"/>
          </w:tcPr>
          <w:p>
            <w:pPr>
              <w:jc w:val="right"/>
              <w:ind w:right="117"/>
              <w:spacing w:after="0" w:line="170"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4"/>
                <w:szCs w:val="14"/>
                <w:color w:val="auto"/>
              </w:rPr>
            </w:pPr>
          </w:p>
        </w:tc>
      </w:tr>
      <w:tr>
        <w:trPr>
          <w:trHeight w:val="199"/>
        </w:trPr>
        <w:tc>
          <w:tcPr>
            <w:tcW w:w="8460" w:type="dxa"/>
            <w:vAlign w:val="bottom"/>
          </w:tcPr>
          <w:p>
            <w:pPr>
              <w:spacing w:after="0"/>
              <w:rPr>
                <w:sz w:val="20"/>
                <w:szCs w:val="20"/>
                <w:color w:val="auto"/>
              </w:rPr>
            </w:pPr>
            <w:r>
              <w:rPr>
                <w:rFonts w:ascii="Arial" w:cs="Arial" w:eastAsia="Arial" w:hAnsi="Arial"/>
                <w:sz w:val="17"/>
                <w:szCs w:val="17"/>
                <w:color w:val="auto"/>
              </w:rPr>
              <w:t>Commercial</w:t>
            </w:r>
          </w:p>
        </w:tc>
        <w:tc>
          <w:tcPr>
            <w:tcW w:w="44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7"/>
                <w:szCs w:val="17"/>
                <w:b w:val="1"/>
                <w:bCs w:val="1"/>
                <w:color w:val="auto"/>
              </w:rPr>
              <w:t>864</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9"/>
        </w:trPr>
        <w:tc>
          <w:tcPr>
            <w:tcW w:w="8460" w:type="dxa"/>
            <w:vAlign w:val="bottom"/>
          </w:tcPr>
          <w:p>
            <w:pPr>
              <w:spacing w:after="0"/>
              <w:rPr>
                <w:sz w:val="20"/>
                <w:szCs w:val="20"/>
                <w:color w:val="auto"/>
              </w:rPr>
            </w:pPr>
            <w:r>
              <w:rPr>
                <w:rFonts w:ascii="Arial" w:cs="Arial" w:eastAsia="Arial" w:hAnsi="Arial"/>
                <w:sz w:val="17"/>
                <w:szCs w:val="17"/>
                <w:color w:val="auto"/>
              </w:rPr>
              <w:t>Scaleable Infrastructure</w:t>
            </w:r>
          </w:p>
        </w:tc>
        <w:tc>
          <w:tcPr>
            <w:tcW w:w="44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7"/>
                <w:szCs w:val="17"/>
                <w:b w:val="1"/>
                <w:bCs w:val="1"/>
                <w:color w:val="auto"/>
              </w:rPr>
              <w:t>5,525</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9"/>
        </w:trPr>
        <w:tc>
          <w:tcPr>
            <w:tcW w:w="8460" w:type="dxa"/>
            <w:vAlign w:val="bottom"/>
          </w:tcPr>
          <w:p>
            <w:pPr>
              <w:spacing w:after="0"/>
              <w:rPr>
                <w:sz w:val="20"/>
                <w:szCs w:val="20"/>
                <w:color w:val="auto"/>
              </w:rPr>
            </w:pPr>
            <w:r>
              <w:rPr>
                <w:rFonts w:ascii="Arial" w:cs="Arial" w:eastAsia="Arial" w:hAnsi="Arial"/>
                <w:sz w:val="17"/>
                <w:szCs w:val="17"/>
                <w:color w:val="auto"/>
              </w:rPr>
              <w:t>Line Extensions</w:t>
            </w:r>
          </w:p>
        </w:tc>
        <w:tc>
          <w:tcPr>
            <w:tcW w:w="44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7"/>
                <w:szCs w:val="17"/>
                <w:b w:val="1"/>
                <w:bCs w:val="1"/>
                <w:color w:val="auto"/>
              </w:rPr>
              <w:t>1,123</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9"/>
        </w:trPr>
        <w:tc>
          <w:tcPr>
            <w:tcW w:w="8460" w:type="dxa"/>
            <w:vAlign w:val="bottom"/>
          </w:tcPr>
          <w:p>
            <w:pPr>
              <w:spacing w:after="0"/>
              <w:rPr>
                <w:sz w:val="20"/>
                <w:szCs w:val="20"/>
                <w:color w:val="auto"/>
              </w:rPr>
            </w:pPr>
            <w:r>
              <w:rPr>
                <w:rFonts w:ascii="Arial" w:cs="Arial" w:eastAsia="Arial" w:hAnsi="Arial"/>
                <w:sz w:val="17"/>
                <w:szCs w:val="17"/>
                <w:color w:val="auto"/>
              </w:rPr>
              <w:t>Upgrade/Rebuild</w:t>
            </w:r>
          </w:p>
        </w:tc>
        <w:tc>
          <w:tcPr>
            <w:tcW w:w="44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7"/>
                <w:szCs w:val="17"/>
                <w:b w:val="1"/>
                <w:bCs w:val="1"/>
                <w:color w:val="auto"/>
              </w:rPr>
              <w:t>3,228</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7"/>
        </w:trPr>
        <w:tc>
          <w:tcPr>
            <w:tcW w:w="8460" w:type="dxa"/>
            <w:vAlign w:val="bottom"/>
          </w:tcPr>
          <w:p>
            <w:pPr>
              <w:spacing w:after="0"/>
              <w:rPr>
                <w:sz w:val="20"/>
                <w:szCs w:val="20"/>
                <w:color w:val="auto"/>
              </w:rPr>
            </w:pPr>
            <w:r>
              <w:rPr>
                <w:rFonts w:ascii="Arial" w:cs="Arial" w:eastAsia="Arial" w:hAnsi="Arial"/>
                <w:sz w:val="17"/>
                <w:szCs w:val="17"/>
                <w:color w:val="auto"/>
              </w:rPr>
              <w:t>Support Capital</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b w:val="1"/>
                <w:bCs w:val="1"/>
                <w:color w:val="auto"/>
              </w:rPr>
              <w:t>5,172</w:t>
            </w: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r>
      <w:tr>
        <w:trPr>
          <w:trHeight w:val="179"/>
        </w:trPr>
        <w:tc>
          <w:tcPr>
            <w:tcW w:w="8460" w:type="dxa"/>
            <w:vAlign w:val="bottom"/>
          </w:tcPr>
          <w:p>
            <w:pPr>
              <w:spacing w:after="0"/>
              <w:rPr>
                <w:sz w:val="15"/>
                <w:szCs w:val="15"/>
                <w:color w:val="auto"/>
              </w:rPr>
            </w:pPr>
          </w:p>
        </w:tc>
        <w:tc>
          <w:tcPr>
            <w:tcW w:w="440" w:type="dxa"/>
            <w:vAlign w:val="bottom"/>
            <w:tcBorders>
              <w:bottom w:val="single" w:sz="8" w:color="auto"/>
            </w:tcBorders>
          </w:tcPr>
          <w:p>
            <w:pPr>
              <w:jc w:val="right"/>
              <w:ind w:right="117"/>
              <w:spacing w:after="0" w:line="17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120"/>
              <w:spacing w:after="0" w:line="179" w:lineRule="exact"/>
              <w:rPr>
                <w:sz w:val="20"/>
                <w:szCs w:val="20"/>
                <w:color w:val="auto"/>
              </w:rPr>
            </w:pPr>
            <w:r>
              <w:rPr>
                <w:rFonts w:ascii="Arial" w:cs="Arial" w:eastAsia="Arial" w:hAnsi="Arial"/>
                <w:sz w:val="17"/>
                <w:szCs w:val="17"/>
                <w:b w:val="1"/>
                <w:bCs w:val="1"/>
                <w:color w:val="auto"/>
              </w:rPr>
              <w:t>31,725</w:t>
            </w:r>
          </w:p>
        </w:tc>
        <w:tc>
          <w:tcPr>
            <w:tcW w:w="500" w:type="dxa"/>
            <w:vAlign w:val="bottom"/>
            <w:tcBorders>
              <w:bottom w:val="single" w:sz="8" w:color="auto"/>
            </w:tcBorders>
          </w:tcPr>
          <w:p>
            <w:pPr>
              <w:jc w:val="right"/>
              <w:ind w:right="117"/>
              <w:spacing w:after="0" w:line="179"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w:t>
            </w:r>
          </w:p>
        </w:tc>
      </w:tr>
      <w:tr>
        <w:trPr>
          <w:trHeight w:val="20"/>
        </w:trPr>
        <w:tc>
          <w:tcPr>
            <w:tcW w:w="8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Newspaper Publishing</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Newspaper publishing division revenue totaled $142.3 million for the first quarter of 2012, down 8% from revenue of $155.0 million for the first quarter 2011. Print advertising revenue at The Washington Post (the Post) in the first quarter of 2012 declined 17% to $52.7 million, from $63.2 million in the fi quarter of 2011. The decline is largely due to reductions in general, classified and preprint advertising. Revenue generated by the Company’s newspa online publishing activities, primarily washingtonpost.com and Slate, decreased 7% to $24.2 million for the first quarter of 2012, versus $26.2 million fo first quarter of 2011. Display online advertising revenue declined 11% for the first quarter of 2012. Online classified advertising revenue on washingtonpost.com decreased 1% for the first quarter of 2012.</w:t>
      </w:r>
    </w:p>
    <w:p>
      <w:pPr>
        <w:spacing w:after="0" w:line="1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24" w:name="page25"/>
    <w:bookmarkEnd w:id="24"/>
    <w:p>
      <w:pPr>
        <w:ind w:right="60"/>
        <w:spacing w:after="0" w:line="235" w:lineRule="auto"/>
        <w:rPr>
          <w:sz w:val="20"/>
          <w:szCs w:val="20"/>
          <w:color w:val="auto"/>
        </w:rPr>
      </w:pPr>
      <w:r>
        <w:rPr>
          <w:rFonts w:ascii="Arial" w:cs="Arial" w:eastAsia="Arial" w:hAnsi="Arial"/>
          <w:sz w:val="17"/>
          <w:szCs w:val="17"/>
          <w:color w:val="auto"/>
        </w:rPr>
        <w:t>For the first quarter of 2012, daily and Sunday circulation at the Post declined 9.8% and 5.2%, respectively, compared to the first quarter of 2011. For first quarter of 2012, average daily circulation at the Post totaled 492,600, and average Sunday circulation totaled 714,600.</w:t>
      </w:r>
    </w:p>
    <w:p>
      <w:pPr>
        <w:spacing w:after="0" w:line="176"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newspaper division reported an operating loss of $22.6 million in the first quarter of 2012, compared to an operating loss of $12.8 million in the firs quarter of 2011. These operating losses include noncash pension expense of $8.6 million and $6.7 million for the first quarter of 2012 and 2011, respectively. The decline in operating results is primarily due to the revenue reductions discussed above and $1.9 million in severance and early retire expenses, offset partially by a reduction in other operating expenses. Newsprint expense was down 11% for the first quarter of 2012 compared to the quarter of 2011, due to a decline in newsprint consumption.</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Post recently offered voluntary buyouts to certain employees, resulting in severance costs of approximately $0.9 million in the first quarter of 2012 additional severance costs related to this program will be recorded in the second quarter of 2012. Additionally, $1.0 million in early retirement program expense was recorded in the first quarter of 2012 at Post-Newsweek Media.</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Revenue for the television broadcasting division increased 13% in the first quarter of 2012 to $81.5 million, from $72.2 million in 2011; operating incom the first quarter of 2012 increased 58% to $31.0 million, from $19.6 million in 2011. The increase in revenue and operating income reflects improved advertising demand across many product categories, including a $2.2 million increase in political advertising revenue. Expense reductions from variou control initiatives also contributed to the improvement in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Other businesses includes the operating results of Avenue100 Media Solutions, the Company’s digital marketing business that sources leads for acad institutions and recruiting organizations, and other small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in Earnings of Affiliates, Net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holds a 49% interest in Bowater Mersey Paper Company, a 16.5% interest in Classified Ventures, LLC and interests in several other aff</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Company’s equity in earnings of affiliates, net, for the first quarter of 2012 was $3.9 million, compared to $3.7 million for the first quarter of 2011.</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Income (Expense)</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recorded other non-operating income, net, of $8.6 million for the first quarter of 2012, compared to other non-operating expense, net, of million for the first quarter of 2011. The first quarter 2012 non-operating income, net, included a $5.8 million gain on sales of cost method investments, million in unrealized foreign currency gains and other items.</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first quarter 2011 non-operating expense, net, included a $30.7 million write-down of a marketable equity security (Corinthian Colleges, Inc.), offs $3.8 million gain on the sale of a cost method investment, $2.7 million in unrealized foreign currency gains and other items.</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34" w:right="1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A summary of non-operating income (expense) for the three months ended March 31, 2012 and April 3, 2011,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41"/>
              <w:spacing w:after="0"/>
              <w:rPr>
                <w:sz w:val="20"/>
                <w:szCs w:val="20"/>
                <w:color w:val="auto"/>
              </w:rPr>
            </w:pPr>
            <w:r>
              <w:rPr>
                <w:rFonts w:ascii="Arial" w:cs="Arial" w:eastAsia="Arial" w:hAnsi="Arial"/>
                <w:sz w:val="12"/>
                <w:szCs w:val="12"/>
                <w:b w:val="1"/>
                <w:bCs w:val="1"/>
                <w:color w:val="auto"/>
              </w:rPr>
              <w:t>2012</w:t>
            </w:r>
          </w:p>
        </w:tc>
        <w:tc>
          <w:tcPr>
            <w:tcW w:w="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2011</w:t>
            </w:r>
          </w:p>
        </w:tc>
      </w:tr>
      <w:tr>
        <w:trPr>
          <w:trHeight w:val="170"/>
        </w:trPr>
        <w:tc>
          <w:tcPr>
            <w:tcW w:w="8460" w:type="dxa"/>
            <w:vAlign w:val="bottom"/>
          </w:tcPr>
          <w:p>
            <w:pPr>
              <w:spacing w:after="0" w:line="170" w:lineRule="exact"/>
              <w:rPr>
                <w:sz w:val="20"/>
                <w:szCs w:val="20"/>
                <w:color w:val="auto"/>
              </w:rPr>
            </w:pPr>
            <w:r>
              <w:rPr>
                <w:rFonts w:ascii="Arial" w:cs="Arial" w:eastAsia="Arial" w:hAnsi="Arial"/>
                <w:sz w:val="17"/>
                <w:szCs w:val="17"/>
                <w:color w:val="auto"/>
              </w:rPr>
              <w:t>Gain on sale of cost method investments</w:t>
            </w:r>
          </w:p>
        </w:tc>
        <w:tc>
          <w:tcPr>
            <w:tcW w:w="380" w:type="dxa"/>
            <w:vAlign w:val="bottom"/>
          </w:tcPr>
          <w:p>
            <w:pPr>
              <w:jc w:val="right"/>
              <w:ind w:right="57"/>
              <w:spacing w:after="0" w:line="170"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21"/>
              <w:spacing w:after="0" w:line="170" w:lineRule="exact"/>
              <w:rPr>
                <w:sz w:val="20"/>
                <w:szCs w:val="20"/>
                <w:color w:val="auto"/>
              </w:rPr>
            </w:pPr>
            <w:r>
              <w:rPr>
                <w:rFonts w:ascii="Arial" w:cs="Arial" w:eastAsia="Arial" w:hAnsi="Arial"/>
                <w:sz w:val="17"/>
                <w:szCs w:val="17"/>
                <w:b w:val="1"/>
                <w:bCs w:val="1"/>
                <w:color w:val="auto"/>
              </w:rPr>
              <w:t>5,817</w:t>
            </w:r>
          </w:p>
        </w:tc>
        <w:tc>
          <w:tcPr>
            <w:tcW w:w="460" w:type="dxa"/>
            <w:vAlign w:val="bottom"/>
          </w:tcPr>
          <w:p>
            <w:pPr>
              <w:jc w:val="right"/>
              <w:ind w:right="77"/>
              <w:spacing w:after="0" w:line="170"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4"/>
                <w:szCs w:val="14"/>
                <w:color w:val="auto"/>
              </w:rPr>
            </w:pPr>
          </w:p>
        </w:tc>
      </w:tr>
      <w:tr>
        <w:trPr>
          <w:trHeight w:val="199"/>
        </w:trPr>
        <w:tc>
          <w:tcPr>
            <w:tcW w:w="8460" w:type="dxa"/>
            <w:vAlign w:val="bottom"/>
          </w:tcPr>
          <w:p>
            <w:pPr>
              <w:spacing w:after="0"/>
              <w:rPr>
                <w:sz w:val="20"/>
                <w:szCs w:val="20"/>
                <w:color w:val="auto"/>
              </w:rPr>
            </w:pPr>
            <w:r>
              <w:rPr>
                <w:rFonts w:ascii="Arial" w:cs="Arial" w:eastAsia="Arial" w:hAnsi="Arial"/>
                <w:sz w:val="17"/>
                <w:szCs w:val="17"/>
                <w:color w:val="auto"/>
              </w:rPr>
              <w:t>Foreign currency gains, net</w:t>
            </w:r>
          </w:p>
        </w:tc>
        <w:tc>
          <w:tcPr>
            <w:tcW w:w="380" w:type="dxa"/>
            <w:vAlign w:val="bottom"/>
          </w:tcPr>
          <w:p>
            <w:pPr>
              <w:spacing w:after="0"/>
              <w:rPr>
                <w:sz w:val="17"/>
                <w:szCs w:val="17"/>
                <w:color w:val="auto"/>
              </w:rPr>
            </w:pPr>
          </w:p>
        </w:tc>
        <w:tc>
          <w:tcPr>
            <w:tcW w:w="1140" w:type="dxa"/>
            <w:vAlign w:val="bottom"/>
          </w:tcPr>
          <w:p>
            <w:pPr>
              <w:jc w:val="right"/>
              <w:ind w:right="121"/>
              <w:spacing w:after="0"/>
              <w:rPr>
                <w:sz w:val="20"/>
                <w:szCs w:val="20"/>
                <w:color w:val="auto"/>
              </w:rPr>
            </w:pPr>
            <w:r>
              <w:rPr>
                <w:rFonts w:ascii="Arial" w:cs="Arial" w:eastAsia="Arial" w:hAnsi="Arial"/>
                <w:sz w:val="17"/>
                <w:szCs w:val="17"/>
                <w:b w:val="1"/>
                <w:bCs w:val="1"/>
                <w:color w:val="auto"/>
              </w:rPr>
              <w:t>2,660</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9"/>
        </w:trPr>
        <w:tc>
          <w:tcPr>
            <w:tcW w:w="8460" w:type="dxa"/>
            <w:vAlign w:val="bottom"/>
          </w:tcPr>
          <w:p>
            <w:pPr>
              <w:spacing w:after="0"/>
              <w:rPr>
                <w:sz w:val="20"/>
                <w:szCs w:val="20"/>
                <w:color w:val="auto"/>
              </w:rPr>
            </w:pPr>
            <w:r>
              <w:rPr>
                <w:rFonts w:ascii="Arial" w:cs="Arial" w:eastAsia="Arial" w:hAnsi="Arial"/>
                <w:sz w:val="17"/>
                <w:szCs w:val="17"/>
                <w:color w:val="auto"/>
              </w:rPr>
              <w:t>Impairment write-down on a marketable equity security</w:t>
            </w:r>
          </w:p>
        </w:tc>
        <w:tc>
          <w:tcPr>
            <w:tcW w:w="380" w:type="dxa"/>
            <w:vAlign w:val="bottom"/>
          </w:tcPr>
          <w:p>
            <w:pPr>
              <w:spacing w:after="0"/>
              <w:rPr>
                <w:sz w:val="17"/>
                <w:szCs w:val="17"/>
                <w:color w:val="auto"/>
              </w:rPr>
            </w:pPr>
          </w:p>
        </w:tc>
        <w:tc>
          <w:tcPr>
            <w:tcW w:w="1140" w:type="dxa"/>
            <w:vAlign w:val="bottom"/>
          </w:tcPr>
          <w:p>
            <w:pPr>
              <w:jc w:val="right"/>
              <w:ind w:right="121"/>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8460" w:type="dxa"/>
            <w:vAlign w:val="bottom"/>
          </w:tcPr>
          <w:p>
            <w:pPr>
              <w:spacing w:after="0"/>
              <w:rPr>
                <w:sz w:val="20"/>
                <w:szCs w:val="20"/>
                <w:color w:val="auto"/>
              </w:rPr>
            </w:pPr>
            <w:r>
              <w:rPr>
                <w:rFonts w:ascii="Arial" w:cs="Arial" w:eastAsia="Arial" w:hAnsi="Arial"/>
                <w:sz w:val="17"/>
                <w:szCs w:val="17"/>
                <w:color w:val="auto"/>
              </w:rPr>
              <w:t>Other, net</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7"/>
                <w:szCs w:val="17"/>
                <w:b w:val="1"/>
                <w:bCs w:val="1"/>
                <w:color w:val="auto"/>
              </w:rPr>
              <w:t>111</w:t>
            </w: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r>
      <w:tr>
        <w:trPr>
          <w:trHeight w:val="179"/>
        </w:trPr>
        <w:tc>
          <w:tcPr>
            <w:tcW w:w="846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21"/>
              <w:spacing w:after="0" w:line="179" w:lineRule="exact"/>
              <w:rPr>
                <w:sz w:val="20"/>
                <w:szCs w:val="20"/>
                <w:color w:val="auto"/>
              </w:rPr>
            </w:pPr>
            <w:r>
              <w:rPr>
                <w:rFonts w:ascii="Arial" w:cs="Arial" w:eastAsia="Arial" w:hAnsi="Arial"/>
                <w:sz w:val="17"/>
                <w:szCs w:val="17"/>
                <w:b w:val="1"/>
                <w:bCs w:val="1"/>
                <w:color w:val="auto"/>
              </w:rPr>
              <w:t>8,588</w:t>
            </w:r>
          </w:p>
        </w:tc>
        <w:tc>
          <w:tcPr>
            <w:tcW w:w="460" w:type="dxa"/>
            <w:vAlign w:val="bottom"/>
            <w:tcBorders>
              <w:bottom w:val="single" w:sz="8" w:color="auto"/>
            </w:tcBorders>
          </w:tcPr>
          <w:p>
            <w:pPr>
              <w:jc w:val="right"/>
              <w:ind w:right="77"/>
              <w:spacing w:after="0" w:line="179"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w:t>
            </w:r>
          </w:p>
        </w:tc>
      </w:tr>
      <w:tr>
        <w:trPr>
          <w:trHeight w:val="20"/>
        </w:trPr>
        <w:tc>
          <w:tcPr>
            <w:tcW w:w="8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 Interest Expense</w:t>
      </w:r>
    </w:p>
    <w:p>
      <w:pPr>
        <w:spacing w:after="0" w:line="197"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Company incurred net interest expense of $8.1 million for the first quarter of 2012, compared to $7.0 million for the first quarter of 2011. At March 2012, the Company had $456.4 million in borrowings outstanding at an average interest rate of 7.0%.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The effective tax rate for income from continuing operations for the first quarter of 2012 was 48.1%, compared to 37.2% for the first quarter of 2011. T higher effective tax rate in 2012 results primarily from losses in Australia for which no tax benefit is recorded.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Kaplan sold EduNeering in April 2012, Kaplan Learning Technologies in February 2012, Kaplan Compliance Solutions in October 2011 and Kaplan Vir Education in July 2011. Consequently, the Company’s income from continuing operations excludes these businesses, which have been reclassified to discontinued operations, net of tax.</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sale of Kaplan Learning Technologies resulted in a pre-tax loss of $3.1 million that was recorded in the first quarter of 2012. The sale of EduNeeri resulted in an estimated pre-tax gain of $30 million, which will be recorded in the second quarter of 2012.</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each of the sales of the Company’s stock in EduNeering and Kaplan Learning Technologies, in the first quarter of 2012, the Compa recorded $23.2 million of income tax benefits related to the excess of the outside stock tax basis over the net book value of the net assets disposed.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calculation of diluted earnings per share for the first quarter of 2012 was based on 7,614,623 weighted average shares outstanding, compared to 8,119,373 for the first quarter of 2011. At March 31, 2012, there were 7,617,409 shares outstanding and the Company had remaining authorization fro Board of Directors to purchase up to 493,074 shares of Class B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KHE Regulatory Matters</w:t>
      </w:r>
    </w:p>
    <w:p>
      <w:pPr>
        <w:spacing w:after="0" w:line="140"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color w:val="auto"/>
        </w:rPr>
        <w:t xml:space="preserve">Gainful employment. </w:t>
      </w:r>
      <w:r>
        <w:rPr>
          <w:rFonts w:ascii="Arial" w:cs="Arial" w:eastAsia="Arial" w:hAnsi="Arial"/>
          <w:sz w:val="17"/>
          <w:szCs w:val="17"/>
          <w:color w:val="auto"/>
        </w:rPr>
        <w:t>In June 2011, the DOE issued final regulations that tie an education program’s Title IV eligibility to whether the program leads t</w:t>
      </w:r>
      <w:r>
        <w:rPr>
          <w:rFonts w:ascii="Arial" w:cs="Arial" w:eastAsia="Arial" w:hAnsi="Arial"/>
          <w:sz w:val="17"/>
          <w:szCs w:val="17"/>
          <w:b w:val="1"/>
          <w:bCs w:val="1"/>
          <w:color w:val="auto"/>
        </w:rPr>
        <w:t xml:space="preserve"> </w:t>
      </w:r>
      <w:r>
        <w:rPr>
          <w:rFonts w:ascii="Arial" w:cs="Arial" w:eastAsia="Arial" w:hAnsi="Arial"/>
          <w:sz w:val="17"/>
          <w:szCs w:val="17"/>
          <w:color w:val="auto"/>
        </w:rPr>
        <w:t>gainful employment. The regulations define an education program that leads to gainful employment as one that complies with the following gainful employment metrics as calculated under the complex formulas prescribed in the regulations: (1) the average annual loan payment for program gradua 12% or less of annual earnings; (2) the average annual loan payment for program graduates is 30% or less of discretionary income, generally defined annual earnings above 150% of the U.S. Federal poverty level; and (3) the U.S. Federal loan repayment rate must be at least 35% for loans owed by students for attendance in the program regardless of whether they graduated.</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If a program fails all three of the gainful employment metrics in a single U.S. Federal fiscal year, the Department requires the institution, among other t to disclose to current and prospective students the amount by which the program under-performed the metrics and the institution’s plan for program improvement, and to establish a three-day waiting period before students can enroll. Should a program fail to achieve the metrics twice within three ye the Department requires the institution, among other things, to disclose to current and prospective students that they should expect to have difficulty repaying their student loans; that the program is at risk of losing eligibility to receive U.S. Federal financial</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sectPr>
      </w:pPr>
    </w:p>
    <w:bookmarkStart w:id="26" w:name="page27"/>
    <w:bookmarkEnd w:id="26"/>
    <w:p>
      <w:pPr>
        <w:jc w:val="both"/>
        <w:spacing w:after="0" w:line="231" w:lineRule="auto"/>
        <w:rPr>
          <w:sz w:val="20"/>
          <w:szCs w:val="20"/>
          <w:color w:val="auto"/>
        </w:rPr>
      </w:pPr>
      <w:r>
        <w:rPr>
          <w:rFonts w:ascii="Arial" w:cs="Arial" w:eastAsia="Arial" w:hAnsi="Arial"/>
          <w:sz w:val="17"/>
          <w:szCs w:val="17"/>
          <w:color w:val="auto"/>
        </w:rPr>
        <w:t>aid; and that transfer options exist, including providing resources to students to research other education options and compare program costs. Should program fail three times within a four-year period, the DOE would terminate the program’s eligibility for U.S. Federal student aid, and the institution wo not be able to reestablish the program’s eligibility for at least three years, though the program could continue to operate without student aid. The final r scheduled to go into effect on July 1, 2012. However, the first final debt measures will not be released until 2013, and a program cannot lose eligibility 2015.</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Based on current information, the Company does not expect the regulations to adversely impact most of Kaplan’s current programs. However, some o data needed to compute program eligibility under this regulation, including graduate incomes, are not readily accessible to the institutions, but are com by the DOE. In addition, the continuing eligibility of programs for Title IV funding may be affected by factors beyond Kaplan’s control, such as changes actual or deemed income level of its graduates, changes in student borrowing levels, increases in interest rates, changes in the U.S. Federal poverty i level relevant for calculating the discretionary income test, changes in the percentage of former students who are current in repayment of their student loans, and other factors.</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color w:val="auto"/>
        </w:rPr>
        <w:t xml:space="preserve">The 90/10 Rule. </w:t>
      </w:r>
      <w:r>
        <w:rPr>
          <w:rFonts w:ascii="Arial" w:cs="Arial" w:eastAsia="Arial" w:hAnsi="Arial"/>
          <w:sz w:val="16"/>
          <w:szCs w:val="16"/>
          <w:color w:val="auto"/>
        </w:rPr>
        <w:t>Under regulations referred to as the 90/10 rule, a Kaplan Higher Education OPEID unit would lose its eligibility to participate in the Tit</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for a period of at least two fiscal years if it derives more than 90% of its receipts from the Title IV programs for two consecutive fiscal years, commencing with the unit's first fiscal year that ends after August 14, 2008. Any OPEID reporting unit with receipts from the Title IV programs exceedi 90% for a single fiscal year ending after August 14, 2008, would be placed on provisional certification and may be subject to other enforcement measu KHE is taking various measures to reduce the percentage of its receipts attributable to Title IV funds, including expanding institutional lending program 2012; emphasizing direct-pay and employer-paid education programs; encouraging students to carefully evaluate the amount of their Title IV borrowin program eliminations; cash-matching and developing and offering additional non-Title IV-eligible certificate preparation, professional development and continuing education programs. Based on currently available information, management does not believe that any of the Kaplan OPEID units will have 90/10 ratio over 90% in 2012. However, absent the adoption of the changes mentioned above, and if current trends continue, management estimates 2013, at least 19 of the KHE Campuses OPEID units, representing approximately 11% of KHE’s 2011 revenues, could have a 90/10 ratio over 90%. A noted above, Kaplan is taking steps to address compliance with the 90/10 rule; however, there can be no guarantee that these measures will be adeq prevent the 90/10 rule calculations from exceeding 90%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Condition: Capital Resources and Liquidity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and Dispositions</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the first quarter of 2012, Kaplan acquired two small businesses in its International division; the purchase price allocation mostly comprised goodwill other intangible assets on a preliminary basis. In the first quarter of 2011, Kaplan made one small acquisition in its Kaplan Ventures division. The asse liabilities of the companies acquired have been recorded at their estimated fair values at the date of acquisition.</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Kaplan completed the sales of Kaplan Learning Technologies in February 2012 and EduNeering in April 2012, which were part of the Kaplan Ventures division.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9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During the first three months of 2012, the Company’s capital expenditures totaled $44.9 million. The Company estimates that its capital expenditures in the range of $220 million to $245 million in 2012.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Company’s borrowings decreased by $108.8 million, to $ 456.4 million at March 31, 2012, as compared to borrowings of $565.2 million at Decemb 2011</w:t>
      </w:r>
      <w:r>
        <w:rPr>
          <w:rFonts w:ascii="Arial" w:cs="Arial" w:eastAsia="Arial" w:hAnsi="Arial"/>
          <w:sz w:val="17"/>
          <w:szCs w:val="17"/>
          <w:i w:val="1"/>
          <w:iCs w:val="1"/>
          <w:color w:val="auto"/>
        </w:rPr>
        <w:t>.</w:t>
      </w:r>
      <w:r>
        <w:rPr>
          <w:rFonts w:ascii="Arial" w:cs="Arial" w:eastAsia="Arial" w:hAnsi="Arial"/>
          <w:sz w:val="17"/>
          <w:szCs w:val="17"/>
          <w:color w:val="auto"/>
        </w:rPr>
        <w:t xml:space="preserve"> At March 31, 2012, the Company has $295.0 million in cash and cash equivalents, compared to $381.1 million at December 31, 2011. The Com had money market investments of $159.3 million and $180.1 million that are classified as cash and cash equivalents in the Company’s condensed consolidated Balance Sheets as of March 31, 2012 and December 31, 2011, respectively.</w:t>
      </w:r>
    </w:p>
    <w:p>
      <w:pPr>
        <w:spacing w:after="0" w:line="22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Company’s total debt outstanding of $456.4 million at March 31, 2012 included $397.2 million of 7.25% unsecured notes due February 1, 2019, $ million of AUD 50M borrowing and $7.5 million in other debt.</w:t>
      </w:r>
    </w:p>
    <w:p>
      <w:pPr>
        <w:spacing w:after="0" w:line="36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27" w:name="page28"/>
    <w:bookmarkEnd w:id="27"/>
    <w:p>
      <w:pPr>
        <w:spacing w:after="0" w:line="232" w:lineRule="auto"/>
        <w:rPr>
          <w:sz w:val="20"/>
          <w:szCs w:val="20"/>
          <w:color w:val="auto"/>
        </w:rPr>
      </w:pPr>
      <w:r>
        <w:rPr>
          <w:rFonts w:ascii="Arial" w:cs="Arial" w:eastAsia="Arial" w:hAnsi="Arial"/>
          <w:sz w:val="17"/>
          <w:szCs w:val="17"/>
          <w:color w:val="auto"/>
        </w:rPr>
        <w:t>In June 2011, the Company entered into a credit agreement (the “Credit Agreement”) providing for a new U.S. $450 million, AUD 50 million four year revolving credit facility (the “Facility”), with each of the lenders party thereto, JPMorgan Chase Bank, N.A., as Administrative Agent (“JP Morgan”), and Morgan Australia Limited, as Australian Sub-Agent. The Facility replaces the Company’s previous revolving credit agreement. The Facility will expire o June 17, 2015, unless the Company and the banks agree to extend the term.</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September 2011, the Company borrowed AUD 50 million under its revolving credit facility. On the same date, the Company entered into interest rat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 of 4.5275%. These interest rate swap agreements were entered into to convert the variable rate Australian dollar borrowing under the revolving credit into a fixed rate borrowing. Based on the terms of the interest rate swap agreements and the underlying borrowing, these interest rate swap agreemen were determined to be effective, and thus qualify as a cash flow hedge. As such, any changes in the fair value of these interest rate swaps are recorde other comprehensive income on the accompanying condensed consolidated balance sheets until earnings are affected by the variability of cash flows.</w:t>
      </w:r>
    </w:p>
    <w:p>
      <w:pPr>
        <w:spacing w:after="0" w:line="16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November 2011, Standard &amp; Poor’s lowered the Company’s long-term corporate debt rating from “A-” to “BBB+” and changed the outlook from Neg to Stable. Standard &amp; Poor’s kept the short-term rating unchanged at “A-2.” In November 2011, Moody’s downgraded the Company’s senior unsecure rating from “A2” to “A3” and the commercial paper rating from “Prime-1” to “Prime-2.” The outlook was changed from Rating Under Review to Negative Company’s current credit ratings are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Arial" w:cs="Arial" w:eastAsia="Arial" w:hAnsi="Arial"/>
                <w:sz w:val="12"/>
                <w:szCs w:val="12"/>
                <w:b w:val="1"/>
                <w:bCs w:val="1"/>
                <w:color w:val="auto"/>
              </w:rPr>
              <w:t>Stand</w:t>
            </w:r>
          </w:p>
        </w:tc>
      </w:tr>
      <w:tr>
        <w:trPr>
          <w:trHeight w:val="175"/>
        </w:trPr>
        <w:tc>
          <w:tcPr>
            <w:tcW w:w="4980" w:type="dxa"/>
            <w:vAlign w:val="bottom"/>
            <w:tcBorders>
              <w:bottom w:val="single" w:sz="8" w:color="auto"/>
            </w:tcBorders>
          </w:tcPr>
          <w:p>
            <w:pPr>
              <w:spacing w:after="0"/>
              <w:rPr>
                <w:sz w:val="15"/>
                <w:szCs w:val="15"/>
                <w:color w:val="auto"/>
              </w:rPr>
            </w:pPr>
          </w:p>
        </w:tc>
        <w:tc>
          <w:tcPr>
            <w:tcW w:w="5340" w:type="dxa"/>
            <w:vAlign w:val="bottom"/>
            <w:tcBorders>
              <w:bottom w:val="single" w:sz="8" w:color="auto"/>
            </w:tcBorders>
          </w:tcPr>
          <w:p>
            <w:pPr>
              <w:jc w:val="right"/>
              <w:ind w:right="564"/>
              <w:spacing w:after="0"/>
              <w:rPr>
                <w:sz w:val="20"/>
                <w:szCs w:val="20"/>
                <w:color w:val="auto"/>
              </w:rPr>
            </w:pPr>
            <w:r>
              <w:rPr>
                <w:rFonts w:ascii="Arial" w:cs="Arial" w:eastAsia="Arial" w:hAnsi="Arial"/>
                <w:sz w:val="12"/>
                <w:szCs w:val="12"/>
                <w:b w:val="1"/>
                <w:bCs w:val="1"/>
                <w:color w:val="auto"/>
              </w:rPr>
              <w:t>Moody’s</w:t>
            </w:r>
          </w:p>
        </w:tc>
        <w:tc>
          <w:tcPr>
            <w:tcW w:w="62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w w:val="92"/>
              </w:rPr>
              <w:t>&amp; Poo</w:t>
            </w:r>
          </w:p>
        </w:tc>
      </w:tr>
      <w:tr>
        <w:trPr>
          <w:trHeight w:val="202"/>
        </w:trPr>
        <w:tc>
          <w:tcPr>
            <w:tcW w:w="4980" w:type="dxa"/>
            <w:vAlign w:val="bottom"/>
          </w:tcPr>
          <w:p>
            <w:pPr>
              <w:spacing w:after="0"/>
              <w:rPr>
                <w:sz w:val="20"/>
                <w:szCs w:val="20"/>
                <w:color w:val="auto"/>
              </w:rPr>
            </w:pPr>
            <w:r>
              <w:rPr>
                <w:rFonts w:ascii="Arial" w:cs="Arial" w:eastAsia="Arial" w:hAnsi="Arial"/>
                <w:sz w:val="17"/>
                <w:szCs w:val="17"/>
                <w:color w:val="auto"/>
              </w:rPr>
              <w:t>Long-term</w:t>
            </w:r>
          </w:p>
        </w:tc>
        <w:tc>
          <w:tcPr>
            <w:tcW w:w="5340" w:type="dxa"/>
            <w:vAlign w:val="bottom"/>
          </w:tcPr>
          <w:p>
            <w:pPr>
              <w:jc w:val="right"/>
              <w:ind w:right="184"/>
              <w:spacing w:after="0"/>
              <w:rPr>
                <w:sz w:val="20"/>
                <w:szCs w:val="20"/>
                <w:color w:val="auto"/>
              </w:rPr>
            </w:pPr>
            <w:r>
              <w:rPr>
                <w:rFonts w:ascii="Arial" w:cs="Arial" w:eastAsia="Arial" w:hAnsi="Arial"/>
                <w:sz w:val="17"/>
                <w:szCs w:val="17"/>
                <w:color w:val="auto"/>
              </w:rPr>
              <w:t>A3</w:t>
            </w:r>
          </w:p>
        </w:tc>
        <w:tc>
          <w:tcPr>
            <w:tcW w:w="620" w:type="dxa"/>
            <w:vAlign w:val="bottom"/>
          </w:tcPr>
          <w:p>
            <w:pPr>
              <w:spacing w:after="0"/>
              <w:rPr>
                <w:sz w:val="17"/>
                <w:szCs w:val="17"/>
                <w:color w:val="auto"/>
              </w:rPr>
            </w:pPr>
          </w:p>
        </w:tc>
      </w:tr>
      <w:tr>
        <w:trPr>
          <w:trHeight w:val="211"/>
        </w:trPr>
        <w:tc>
          <w:tcPr>
            <w:tcW w:w="4980" w:type="dxa"/>
            <w:vAlign w:val="bottom"/>
          </w:tcPr>
          <w:p>
            <w:pPr>
              <w:spacing w:after="0"/>
              <w:rPr>
                <w:sz w:val="20"/>
                <w:szCs w:val="20"/>
                <w:color w:val="auto"/>
              </w:rPr>
            </w:pPr>
            <w:r>
              <w:rPr>
                <w:rFonts w:ascii="Arial" w:cs="Arial" w:eastAsia="Arial" w:hAnsi="Arial"/>
                <w:sz w:val="17"/>
                <w:szCs w:val="17"/>
                <w:color w:val="auto"/>
              </w:rPr>
              <w:t>Short-term</w:t>
            </w:r>
          </w:p>
        </w:tc>
        <w:tc>
          <w:tcPr>
            <w:tcW w:w="5340" w:type="dxa"/>
            <w:vAlign w:val="bottom"/>
          </w:tcPr>
          <w:p>
            <w:pPr>
              <w:jc w:val="right"/>
              <w:ind w:right="184"/>
              <w:spacing w:after="0"/>
              <w:rPr>
                <w:sz w:val="20"/>
                <w:szCs w:val="20"/>
                <w:color w:val="auto"/>
              </w:rPr>
            </w:pPr>
            <w:r>
              <w:rPr>
                <w:rFonts w:ascii="Arial" w:cs="Arial" w:eastAsia="Arial" w:hAnsi="Arial"/>
                <w:sz w:val="17"/>
                <w:szCs w:val="17"/>
                <w:color w:val="auto"/>
              </w:rPr>
              <w:t>Prime-2</w:t>
            </w:r>
          </w:p>
        </w:tc>
        <w:tc>
          <w:tcPr>
            <w:tcW w:w="620" w:type="dxa"/>
            <w:vAlign w:val="bottom"/>
          </w:tcPr>
          <w:p>
            <w:pPr>
              <w:spacing w:after="0"/>
              <w:rPr>
                <w:sz w:val="18"/>
                <w:szCs w:val="18"/>
                <w:color w:val="auto"/>
              </w:rPr>
            </w:pPr>
          </w:p>
        </w:tc>
      </w:tr>
    </w:tbl>
    <w:p>
      <w:pPr>
        <w:spacing w:after="0" w:line="17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During the first quarter of 2012 and 2011, the Company had average borrowings outstanding of approximately $484.5 million and $399.7 million, respectively, at average annual interest rates of approximately 7.0% and 7.2%. During the first quarter of 2012 and 2011, the Company incurred net in expense of $8.1 million and $7.0 million, respectively.</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March 31, 2012 and December 31, 2011, the Company had working capital of $261.4 million and $250.1 million, respectively. The Company mainta working capital levels consistent with its underlying business requirements and consistently generates cash from operations in excess of required inter principal payments. The Company expects to fund its estimated capital needs primarily through existing cash balances and internally generated funds to a lesser extent commercial paper. In management’s opinion, the Company will have ample liquidity to meet its various cash needs throughout 2012</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There were no significant changes to the Company’s contractual obligations or other commercial commitments from those disclosed in the Company’s Annual Report on Form 10-K for the year ended December 31, 2011.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 statements. For more information about these forward-looking statements and related risks, please refer to the section titled “Forward-Looking Statem in Part I of the Company’s Annual Report on Form 10-K.</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is exposed to market risk in the normal course of its business due primarily to its ownership of marketable equity securities, which are s to equity price risk; to its borrowing and cash-management activities, which are subject to interest rate risk; and to its foreign business operations, whi subject to foreign exchange rate risk. The Company’s market risk disclosures set forth in its 2011 Annual Report filed on Form 10-K have not otherwis changed significantly.</w:t>
      </w:r>
    </w:p>
    <w:p>
      <w:pPr>
        <w:spacing w:after="0" w:line="36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28" w:name="page29"/>
    <w:bookmarkEnd w:id="28"/>
    <w:p>
      <w:pPr>
        <w:ind w:left="9"/>
        <w:spacing w:after="0"/>
        <w:tabs>
          <w:tab w:leader="none" w:pos="869"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(a) Evaluation of Disclosure Controls and Procedures</w:t>
      </w:r>
    </w:p>
    <w:p>
      <w:pPr>
        <w:spacing w:after="0" w:line="110"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 executive officer) and the Company’s Senior Vice President-Finance (the Company’s principal financial officer), of the effectiveness of the Company’s disclosure controls and procedures (as defined in Exchange Act Rules 13a-15(e) and 15d-15(e)), as of March 31, 2012. Based on that evaluation, the Company’s Chief Executive Officer and Senior Vice President-Finance have concluded that the Company’s disclosure controls and procedures, as de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forms and is accumulated and communicated to management, including the Chief Executive Officer and Senior Vice President-Finance, in a manner t allows timely decisions regarding required disclosure.</w:t>
      </w:r>
    </w:p>
    <w:p>
      <w:pPr>
        <w:spacing w:after="0" w:line="70"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(b) Changes in Internal Control Over Financial Reporting</w:t>
      </w:r>
    </w:p>
    <w:p>
      <w:pPr>
        <w:spacing w:after="0" w:line="160"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There has been no change in the Company’s internal control over financial reporting during the quarter ended March 31, 2012 that has materially affec or is reasonably likely to materially affect, the Company’s internal control over financial reporting.</w:t>
      </w:r>
    </w:p>
    <w:p>
      <w:pPr>
        <w:spacing w:after="0" w:line="1" w:lineRule="exact"/>
        <w:rPr>
          <w:sz w:val="20"/>
          <w:szCs w:val="20"/>
          <w:color w:val="auto"/>
        </w:rPr>
      </w:pPr>
    </w:p>
    <w:p>
      <w:pPr>
        <w:ind w:left="4489"/>
        <w:spacing w:after="0"/>
        <w:rPr>
          <w:sz w:val="20"/>
          <w:szCs w:val="20"/>
          <w:color w:val="auto"/>
        </w:rPr>
      </w:pPr>
      <w:r>
        <w:rPr>
          <w:rFonts w:ascii="Arial" w:cs="Arial" w:eastAsia="Arial" w:hAnsi="Arial"/>
          <w:sz w:val="17"/>
          <w:szCs w:val="17"/>
          <w:b w:val="1"/>
          <w:bCs w:val="1"/>
          <w:color w:val="auto"/>
        </w:rPr>
        <w:t>PART II. OTHER INFORMATION</w:t>
      </w:r>
    </w:p>
    <w:p>
      <w:pPr>
        <w:spacing w:after="0" w:line="170" w:lineRule="exact"/>
        <w:rPr>
          <w:sz w:val="20"/>
          <w:szCs w:val="20"/>
          <w:color w:val="auto"/>
        </w:rPr>
      </w:pPr>
    </w:p>
    <w:p>
      <w:pPr>
        <w:ind w:left="9"/>
        <w:spacing w:after="0"/>
        <w:tabs>
          <w:tab w:leader="none" w:pos="869"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17"/>
          <w:szCs w:val="17"/>
          <w:color w:val="auto"/>
        </w:rPr>
        <w:t>During the quarter ended March 31, 2012, the Company purchased shares of its Class B Common Stock as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9"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center"/>
              <w:ind w:right="48"/>
              <w:spacing w:after="0"/>
              <w:rPr>
                <w:sz w:val="20"/>
                <w:szCs w:val="20"/>
                <w:color w:val="auto"/>
              </w:rPr>
            </w:pPr>
            <w:r>
              <w:rPr>
                <w:rFonts w:ascii="Arial" w:cs="Arial" w:eastAsia="Arial" w:hAnsi="Arial"/>
                <w:sz w:val="12"/>
                <w:szCs w:val="12"/>
                <w:b w:val="1"/>
                <w:bCs w:val="1"/>
                <w:color w:val="auto"/>
              </w:rPr>
              <w:t>Average</w:t>
            </w:r>
          </w:p>
        </w:tc>
        <w:tc>
          <w:tcPr>
            <w:tcW w:w="1400" w:type="dxa"/>
            <w:vAlign w:val="bottom"/>
          </w:tcPr>
          <w:p>
            <w:pPr>
              <w:jc w:val="center"/>
              <w:ind w:left="118"/>
              <w:spacing w:after="0"/>
              <w:rPr>
                <w:sz w:val="20"/>
                <w:szCs w:val="20"/>
                <w:color w:val="auto"/>
              </w:rPr>
            </w:pPr>
            <w:r>
              <w:rPr>
                <w:rFonts w:ascii="Arial" w:cs="Arial" w:eastAsia="Arial" w:hAnsi="Arial"/>
                <w:sz w:val="12"/>
                <w:szCs w:val="12"/>
                <w:b w:val="1"/>
                <w:bCs w:val="1"/>
                <w:color w:val="auto"/>
              </w:rPr>
              <w:t>Total Number of</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b w:val="1"/>
                <w:bCs w:val="1"/>
                <w:color w:val="auto"/>
              </w:rPr>
              <w:t>Maximum Numbe</w:t>
            </w:r>
          </w:p>
        </w:tc>
      </w:tr>
      <w:tr>
        <w:trPr>
          <w:trHeight w:val="161"/>
        </w:trPr>
        <w:tc>
          <w:tcPr>
            <w:tcW w:w="53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rPr>
              <w:t>Total Number</w:t>
            </w:r>
          </w:p>
        </w:tc>
        <w:tc>
          <w:tcPr>
            <w:tcW w:w="34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2"/>
                <w:szCs w:val="12"/>
                <w:b w:val="1"/>
                <w:bCs w:val="1"/>
                <w:color w:val="auto"/>
              </w:rPr>
              <w:t>Price</w:t>
            </w:r>
          </w:p>
        </w:tc>
        <w:tc>
          <w:tcPr>
            <w:tcW w:w="1400" w:type="dxa"/>
            <w:vAlign w:val="bottom"/>
          </w:tcPr>
          <w:p>
            <w:pPr>
              <w:jc w:val="center"/>
              <w:ind w:left="118"/>
              <w:spacing w:after="0"/>
              <w:rPr>
                <w:sz w:val="20"/>
                <w:szCs w:val="20"/>
                <w:color w:val="auto"/>
              </w:rPr>
            </w:pPr>
            <w:r>
              <w:rPr>
                <w:rFonts w:ascii="Arial" w:cs="Arial" w:eastAsia="Arial" w:hAnsi="Arial"/>
                <w:sz w:val="12"/>
                <w:szCs w:val="12"/>
                <w:b w:val="1"/>
                <w:bCs w:val="1"/>
                <w:color w:val="auto"/>
              </w:rPr>
              <w:t>Shares Purchased</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b w:val="1"/>
                <w:bCs w:val="1"/>
                <w:color w:val="auto"/>
              </w:rPr>
              <w:t>of Shares That Ma</w:t>
            </w:r>
          </w:p>
        </w:tc>
      </w:tr>
      <w:tr>
        <w:trPr>
          <w:trHeight w:val="161"/>
        </w:trPr>
        <w:tc>
          <w:tcPr>
            <w:tcW w:w="53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rPr>
              <w:t>of Shares</w:t>
            </w:r>
          </w:p>
        </w:tc>
        <w:tc>
          <w:tcPr>
            <w:tcW w:w="34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2"/>
                <w:szCs w:val="12"/>
                <w:b w:val="1"/>
                <w:bCs w:val="1"/>
                <w:color w:val="auto"/>
              </w:rPr>
              <w:t>Paid per</w:t>
            </w:r>
          </w:p>
        </w:tc>
        <w:tc>
          <w:tcPr>
            <w:tcW w:w="1400" w:type="dxa"/>
            <w:vAlign w:val="bottom"/>
          </w:tcPr>
          <w:p>
            <w:pPr>
              <w:jc w:val="center"/>
              <w:ind w:left="118"/>
              <w:spacing w:after="0"/>
              <w:rPr>
                <w:sz w:val="20"/>
                <w:szCs w:val="20"/>
                <w:color w:val="auto"/>
              </w:rPr>
            </w:pPr>
            <w:r>
              <w:rPr>
                <w:rFonts w:ascii="Arial" w:cs="Arial" w:eastAsia="Arial" w:hAnsi="Arial"/>
                <w:sz w:val="12"/>
                <w:szCs w:val="12"/>
                <w:b w:val="1"/>
                <w:bCs w:val="1"/>
                <w:color w:val="auto"/>
              </w:rPr>
              <w:t>as Part of Publicly</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b w:val="1"/>
                <w:bCs w:val="1"/>
                <w:color w:val="auto"/>
              </w:rPr>
              <w:t>Yet BePurchased</w:t>
            </w:r>
          </w:p>
        </w:tc>
      </w:tr>
      <w:tr>
        <w:trPr>
          <w:trHeight w:val="151"/>
        </w:trPr>
        <w:tc>
          <w:tcPr>
            <w:tcW w:w="5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Period</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Purchased</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2"/>
                <w:szCs w:val="12"/>
                <w:b w:val="1"/>
                <w:bCs w:val="1"/>
                <w:color w:val="auto"/>
              </w:rPr>
              <w:t>Share</w:t>
            </w:r>
          </w:p>
        </w:tc>
        <w:tc>
          <w:tcPr>
            <w:tcW w:w="1400" w:type="dxa"/>
            <w:vAlign w:val="bottom"/>
            <w:tcBorders>
              <w:bottom w:val="single" w:sz="8" w:color="auto"/>
            </w:tcBorders>
          </w:tcPr>
          <w:p>
            <w:pPr>
              <w:jc w:val="center"/>
              <w:ind w:left="118"/>
              <w:spacing w:after="0"/>
              <w:rPr>
                <w:sz w:val="20"/>
                <w:szCs w:val="20"/>
                <w:color w:val="auto"/>
              </w:rPr>
            </w:pPr>
            <w:r>
              <w:rPr>
                <w:rFonts w:ascii="Arial" w:cs="Arial" w:eastAsia="Arial" w:hAnsi="Arial"/>
                <w:sz w:val="12"/>
                <w:szCs w:val="12"/>
                <w:b w:val="1"/>
                <w:bCs w:val="1"/>
                <w:color w:val="auto"/>
              </w:rPr>
              <w:t>Announced Plan*</w:t>
            </w: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Under the Plan*</w:t>
            </w:r>
          </w:p>
        </w:tc>
      </w:tr>
      <w:tr>
        <w:trPr>
          <w:trHeight w:val="178"/>
        </w:trPr>
        <w:tc>
          <w:tcPr>
            <w:tcW w:w="5380" w:type="dxa"/>
            <w:vAlign w:val="bottom"/>
          </w:tcPr>
          <w:p>
            <w:pPr>
              <w:spacing w:after="0" w:line="178" w:lineRule="exact"/>
              <w:rPr>
                <w:sz w:val="20"/>
                <w:szCs w:val="20"/>
                <w:color w:val="auto"/>
              </w:rPr>
            </w:pPr>
            <w:r>
              <w:rPr>
                <w:rFonts w:ascii="Arial" w:cs="Arial" w:eastAsia="Arial" w:hAnsi="Arial"/>
                <w:sz w:val="17"/>
                <w:szCs w:val="17"/>
                <w:color w:val="auto"/>
              </w:rPr>
              <w:t>Jan. 1 - Jan. 31, 2012</w:t>
            </w:r>
          </w:p>
        </w:tc>
        <w:tc>
          <w:tcPr>
            <w:tcW w:w="1260" w:type="dxa"/>
            <w:vAlign w:val="bottom"/>
          </w:tcPr>
          <w:p>
            <w:pPr>
              <w:jc w:val="right"/>
              <w:spacing w:after="0" w:line="178" w:lineRule="exact"/>
              <w:rPr>
                <w:sz w:val="20"/>
                <w:szCs w:val="20"/>
                <w:color w:val="auto"/>
              </w:rPr>
            </w:pPr>
            <w:r>
              <w:rPr>
                <w:rFonts w:ascii="Arial" w:cs="Arial" w:eastAsia="Arial" w:hAnsi="Arial"/>
                <w:sz w:val="17"/>
                <w:szCs w:val="17"/>
                <w:color w:val="auto"/>
              </w:rPr>
              <w:t>400</w:t>
            </w:r>
          </w:p>
        </w:tc>
        <w:tc>
          <w:tcPr>
            <w:tcW w:w="340" w:type="dxa"/>
            <w:vAlign w:val="bottom"/>
          </w:tcPr>
          <w:p>
            <w:pPr>
              <w:jc w:val="right"/>
              <w:ind w:right="97"/>
              <w:spacing w:after="0" w:line="178"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78" w:lineRule="exact"/>
              <w:rPr>
                <w:sz w:val="20"/>
                <w:szCs w:val="20"/>
                <w:color w:val="auto"/>
              </w:rPr>
            </w:pPr>
            <w:r>
              <w:rPr>
                <w:rFonts w:ascii="Arial" w:cs="Arial" w:eastAsia="Arial" w:hAnsi="Arial"/>
                <w:sz w:val="17"/>
                <w:szCs w:val="17"/>
                <w:color w:val="auto"/>
              </w:rPr>
              <w:t>339.5</w:t>
            </w:r>
          </w:p>
        </w:tc>
        <w:tc>
          <w:tcPr>
            <w:tcW w:w="1400" w:type="dxa"/>
            <w:vAlign w:val="bottom"/>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Arial" w:cs="Arial" w:eastAsia="Arial" w:hAnsi="Arial"/>
                <w:sz w:val="17"/>
                <w:szCs w:val="17"/>
                <w:color w:val="auto"/>
              </w:rPr>
              <w:t>-</w:t>
            </w:r>
          </w:p>
        </w:tc>
        <w:tc>
          <w:tcPr>
            <w:tcW w:w="1460" w:type="dxa"/>
            <w:vAlign w:val="bottom"/>
          </w:tcPr>
          <w:p>
            <w:pPr>
              <w:jc w:val="right"/>
              <w:spacing w:after="0" w:line="178" w:lineRule="exact"/>
              <w:rPr>
                <w:sz w:val="20"/>
                <w:szCs w:val="20"/>
                <w:color w:val="auto"/>
              </w:rPr>
            </w:pPr>
            <w:r>
              <w:rPr>
                <w:rFonts w:ascii="Arial" w:cs="Arial" w:eastAsia="Arial" w:hAnsi="Arial"/>
                <w:sz w:val="17"/>
                <w:szCs w:val="17"/>
                <w:color w:val="auto"/>
              </w:rPr>
              <w:t>49</w:t>
            </w:r>
          </w:p>
        </w:tc>
      </w:tr>
      <w:tr>
        <w:trPr>
          <w:trHeight w:val="186"/>
        </w:trPr>
        <w:tc>
          <w:tcPr>
            <w:tcW w:w="5380" w:type="dxa"/>
            <w:vAlign w:val="bottom"/>
          </w:tcPr>
          <w:p>
            <w:pPr>
              <w:spacing w:after="0" w:line="186" w:lineRule="exact"/>
              <w:rPr>
                <w:sz w:val="20"/>
                <w:szCs w:val="20"/>
                <w:color w:val="auto"/>
              </w:rPr>
            </w:pPr>
            <w:r>
              <w:rPr>
                <w:rFonts w:ascii="Arial" w:cs="Arial" w:eastAsia="Arial" w:hAnsi="Arial"/>
                <w:sz w:val="17"/>
                <w:szCs w:val="17"/>
                <w:color w:val="auto"/>
              </w:rPr>
              <w:t>Feb. 1 - Feb. 29, 2012</w:t>
            </w:r>
          </w:p>
        </w:tc>
        <w:tc>
          <w:tcPr>
            <w:tcW w:w="126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1400" w:type="dxa"/>
            <w:vAlign w:val="bottom"/>
          </w:tcPr>
          <w:p>
            <w:pPr>
              <w:spacing w:after="0"/>
              <w:rPr>
                <w:sz w:val="16"/>
                <w:szCs w:val="16"/>
                <w:color w:val="auto"/>
              </w:rPr>
            </w:pPr>
          </w:p>
        </w:tc>
        <w:tc>
          <w:tcPr>
            <w:tcW w:w="18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1460" w:type="dxa"/>
            <w:vAlign w:val="bottom"/>
          </w:tcPr>
          <w:p>
            <w:pPr>
              <w:jc w:val="right"/>
              <w:spacing w:after="0" w:line="186" w:lineRule="exact"/>
              <w:rPr>
                <w:sz w:val="20"/>
                <w:szCs w:val="20"/>
                <w:color w:val="auto"/>
              </w:rPr>
            </w:pPr>
            <w:r>
              <w:rPr>
                <w:rFonts w:ascii="Arial" w:cs="Arial" w:eastAsia="Arial" w:hAnsi="Arial"/>
                <w:sz w:val="17"/>
                <w:szCs w:val="17"/>
                <w:color w:val="auto"/>
              </w:rPr>
              <w:t>49</w:t>
            </w:r>
          </w:p>
        </w:tc>
      </w:tr>
      <w:tr>
        <w:trPr>
          <w:trHeight w:val="187"/>
        </w:trPr>
        <w:tc>
          <w:tcPr>
            <w:tcW w:w="5380" w:type="dxa"/>
            <w:vAlign w:val="bottom"/>
          </w:tcPr>
          <w:p>
            <w:pPr>
              <w:spacing w:after="0" w:line="187" w:lineRule="exact"/>
              <w:rPr>
                <w:sz w:val="20"/>
                <w:szCs w:val="20"/>
                <w:color w:val="auto"/>
              </w:rPr>
            </w:pPr>
            <w:r>
              <w:rPr>
                <w:rFonts w:ascii="Arial" w:cs="Arial" w:eastAsia="Arial" w:hAnsi="Arial"/>
                <w:sz w:val="17"/>
                <w:szCs w:val="17"/>
                <w:color w:val="auto"/>
              </w:rPr>
              <w:t>Mar. 1 - Mar. 31, 2012</w:t>
            </w:r>
          </w:p>
        </w:tc>
        <w:tc>
          <w:tcPr>
            <w:tcW w:w="12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920" w:type="dxa"/>
            <w:vAlign w:val="bottom"/>
          </w:tcPr>
          <w:p>
            <w:pPr>
              <w:jc w:val="right"/>
              <w:spacing w:after="0" w:line="187"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w:t>
            </w:r>
          </w:p>
        </w:tc>
        <w:tc>
          <w:tcPr>
            <w:tcW w:w="1460" w:type="dxa"/>
            <w:vAlign w:val="bottom"/>
          </w:tcPr>
          <w:p>
            <w:pPr>
              <w:jc w:val="right"/>
              <w:spacing w:after="0" w:line="187" w:lineRule="exact"/>
              <w:rPr>
                <w:sz w:val="20"/>
                <w:szCs w:val="20"/>
                <w:color w:val="auto"/>
              </w:rPr>
            </w:pPr>
            <w:r>
              <w:rPr>
                <w:rFonts w:ascii="Arial" w:cs="Arial" w:eastAsia="Arial" w:hAnsi="Arial"/>
                <w:sz w:val="17"/>
                <w:szCs w:val="17"/>
                <w:color w:val="auto"/>
              </w:rPr>
              <w:t>49</w:t>
            </w:r>
          </w:p>
        </w:tc>
      </w:tr>
      <w:tr>
        <w:trPr>
          <w:trHeight w:val="190"/>
        </w:trPr>
        <w:tc>
          <w:tcPr>
            <w:tcW w:w="5380" w:type="dxa"/>
            <w:vAlign w:val="bottom"/>
          </w:tcPr>
          <w:p>
            <w:pPr>
              <w:spacing w:after="0"/>
              <w:rPr>
                <w:sz w:val="16"/>
                <w:szCs w:val="16"/>
                <w:color w:val="auto"/>
              </w:rPr>
            </w:pPr>
          </w:p>
        </w:tc>
        <w:tc>
          <w:tcPr>
            <w:tcW w:w="1260" w:type="dxa"/>
            <w:vAlign w:val="bottom"/>
          </w:tcPr>
          <w:p>
            <w:pPr>
              <w:jc w:val="right"/>
              <w:spacing w:after="0" w:line="190" w:lineRule="exact"/>
              <w:rPr>
                <w:sz w:val="20"/>
                <w:szCs w:val="20"/>
                <w:color w:val="auto"/>
              </w:rPr>
            </w:pPr>
            <w:r>
              <w:rPr>
                <w:rFonts w:ascii="Arial" w:cs="Arial" w:eastAsia="Arial" w:hAnsi="Arial"/>
                <w:sz w:val="17"/>
                <w:szCs w:val="17"/>
                <w:color w:val="auto"/>
              </w:rPr>
              <w:t>400</w:t>
            </w:r>
          </w:p>
        </w:tc>
        <w:tc>
          <w:tcPr>
            <w:tcW w:w="340" w:type="dxa"/>
            <w:vAlign w:val="bottom"/>
          </w:tcPr>
          <w:p>
            <w:pPr>
              <w:jc w:val="right"/>
              <w:ind w:right="97"/>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339.5</w:t>
            </w:r>
          </w:p>
        </w:tc>
        <w:tc>
          <w:tcPr>
            <w:tcW w:w="1400" w:type="dxa"/>
            <w:vAlign w:val="bottom"/>
          </w:tcPr>
          <w:p>
            <w:pPr>
              <w:spacing w:after="0"/>
              <w:rPr>
                <w:sz w:val="16"/>
                <w:szCs w:val="16"/>
                <w:color w:val="auto"/>
              </w:rPr>
            </w:pPr>
          </w:p>
        </w:tc>
        <w:tc>
          <w:tcPr>
            <w:tcW w:w="18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1460" w:type="dxa"/>
            <w:vAlign w:val="bottom"/>
          </w:tcPr>
          <w:p>
            <w:pPr>
              <w:spacing w:after="0"/>
              <w:rPr>
                <w:sz w:val="16"/>
                <w:szCs w:val="16"/>
                <w:color w:val="auto"/>
              </w:rPr>
            </w:pPr>
          </w:p>
        </w:tc>
      </w:tr>
    </w:tbl>
    <w:p>
      <w:pPr>
        <w:spacing w:after="0" w:line="174" w:lineRule="exact"/>
        <w:rPr>
          <w:sz w:val="20"/>
          <w:szCs w:val="20"/>
          <w:color w:val="auto"/>
        </w:rPr>
      </w:pPr>
    </w:p>
    <w:p>
      <w:pPr>
        <w:jc w:val="both"/>
        <w:ind w:left="209" w:hanging="209"/>
        <w:spacing w:after="0" w:line="231" w:lineRule="auto"/>
        <w:tabs>
          <w:tab w:leader="none" w:pos="209"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September 8, 2011, the Company’s Board of Directors authorized the Company to purchase, on the open market or otherwise, up to 750,000 sh of its Class B Common Stock. There is no expiration date for that authorization. In the first quarter of 2012, 400 shares were purchased from a recip of vested awards of restricted shares at market price. Under the Company’s Incentive Compensation Plan, the Compensation Committee may perm receipt of a vested award of restricted shares of the Company’s Class B Common Stock to receive some or all of the value of the award in cash rat than in shares.</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tbl>
      <w:tblPr>
        <w:tblLayout w:type="fixed"/>
        <w:tblInd w:w="9" w:type="dxa"/>
        <w:tblCellMar>
          <w:top w:w="0" w:type="dxa"/>
          <w:left w:w="0" w:type="dxa"/>
          <w:bottom w:w="0" w:type="dxa"/>
          <w:right w:w="0" w:type="dxa"/>
        </w:tblCellMar>
      </w:tblPr>
      <w:tr>
        <w:trPr>
          <w:trHeight w:val="197"/>
        </w:trPr>
        <w:tc>
          <w:tcPr>
            <w:tcW w:w="860" w:type="dxa"/>
            <w:vAlign w:val="bottom"/>
          </w:tcPr>
          <w:p>
            <w:pPr>
              <w:spacing w:after="0"/>
              <w:rPr>
                <w:sz w:val="20"/>
                <w:szCs w:val="20"/>
                <w:color w:val="auto"/>
              </w:rPr>
            </w:pPr>
            <w:r>
              <w:rPr>
                <w:rFonts w:ascii="Arial" w:cs="Arial" w:eastAsia="Arial" w:hAnsi="Arial"/>
                <w:sz w:val="15"/>
                <w:szCs w:val="15"/>
                <w:b w:val="1"/>
                <w:bCs w:val="1"/>
                <w:color w:val="auto"/>
              </w:rPr>
              <w:t>Item 6.</w:t>
            </w:r>
          </w:p>
        </w:tc>
        <w:tc>
          <w:tcPr>
            <w:tcW w:w="10080" w:type="dxa"/>
            <w:vAlign w:val="bottom"/>
            <w:gridSpan w:val="3"/>
          </w:tcPr>
          <w:p>
            <w:pPr>
              <w:ind w:left="100"/>
              <w:spacing w:after="0"/>
              <w:rPr>
                <w:sz w:val="20"/>
                <w:szCs w:val="20"/>
                <w:color w:val="auto"/>
              </w:rPr>
            </w:pPr>
            <w:r>
              <w:rPr>
                <w:rFonts w:ascii="Arial" w:cs="Arial" w:eastAsia="Arial" w:hAnsi="Arial"/>
                <w:sz w:val="15"/>
                <w:szCs w:val="15"/>
                <w:b w:val="1"/>
                <w:bCs w:val="1"/>
                <w:color w:val="auto"/>
              </w:rPr>
              <w:t>Exhibits.</w:t>
            </w:r>
          </w:p>
        </w:tc>
        <w:tc>
          <w:tcPr>
            <w:tcW w:w="0" w:type="dxa"/>
            <w:vAlign w:val="bottom"/>
          </w:tcPr>
          <w:p>
            <w:pPr>
              <w:spacing w:after="0"/>
              <w:rPr>
                <w:sz w:val="1"/>
                <w:szCs w:val="1"/>
                <w:color w:val="auto"/>
              </w:rPr>
            </w:pPr>
          </w:p>
        </w:tc>
      </w:tr>
      <w:tr>
        <w:trPr>
          <w:trHeight w:val="478"/>
        </w:trPr>
        <w:tc>
          <w:tcPr>
            <w:tcW w:w="860" w:type="dxa"/>
            <w:vAlign w:val="bottom"/>
          </w:tcPr>
          <w:p>
            <w:pPr>
              <w:jc w:val="center"/>
              <w:ind w:left="67"/>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vMerge w:val="restart"/>
          </w:tcPr>
          <w:p>
            <w:pPr>
              <w:ind w:left="474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jc w:val="center"/>
              <w:ind w:left="87"/>
              <w:spacing w:after="0"/>
              <w:rPr>
                <w:sz w:val="20"/>
                <w:szCs w:val="20"/>
                <w:color w:val="auto"/>
              </w:rPr>
            </w:pPr>
            <w:r>
              <w:rPr>
                <w:rFonts w:ascii="Arial" w:cs="Arial" w:eastAsia="Arial" w:hAnsi="Arial"/>
                <w:sz w:val="13"/>
                <w:szCs w:val="13"/>
                <w:b w:val="1"/>
                <w:bCs w:val="1"/>
                <w:color w:val="auto"/>
              </w:rPr>
              <w:t>Number</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8"/>
        </w:trPr>
        <w:tc>
          <w:tcPr>
            <w:tcW w:w="860" w:type="dxa"/>
            <w:vAlign w:val="bottom"/>
          </w:tcPr>
          <w:p>
            <w:pPr>
              <w:jc w:val="right"/>
              <w:ind w:right="427"/>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9"/>
              </w:rPr>
              <w:t>Restated Certificate of Incorporation of the Company dated November 13, 2003 (incorporated by reference to Exhibit 3.1 to the Company’s Annual R</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on Form 10-K for the fiscal year ended December 28, 2003).</w:t>
            </w:r>
          </w:p>
        </w:tc>
        <w:tc>
          <w:tcPr>
            <w:tcW w:w="0" w:type="dxa"/>
            <w:vAlign w:val="bottom"/>
          </w:tcPr>
          <w:p>
            <w:pPr>
              <w:spacing w:after="0"/>
              <w:rPr>
                <w:sz w:val="1"/>
                <w:szCs w:val="1"/>
                <w:color w:val="auto"/>
              </w:rPr>
            </w:pPr>
          </w:p>
        </w:tc>
      </w:tr>
      <w:tr>
        <w:trPr>
          <w:trHeight w:val="342"/>
        </w:trPr>
        <w:tc>
          <w:tcPr>
            <w:tcW w:w="860" w:type="dxa"/>
            <w:vAlign w:val="bottom"/>
          </w:tcPr>
          <w:p>
            <w:pPr>
              <w:jc w:val="right"/>
              <w:ind w:right="427"/>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9"/>
              </w:rPr>
              <w:t>Certificate of Designation for the Company’s Series A Preferred Stock dated September 22, 2003 (incorporated by reference to Exhibit 3.2 to Amend</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No. 1 to the Company’s Current Report on Form 8-K dated September 22, 2003).</w:t>
            </w:r>
          </w:p>
        </w:tc>
        <w:tc>
          <w:tcPr>
            <w:tcW w:w="0" w:type="dxa"/>
            <w:vAlign w:val="bottom"/>
          </w:tcPr>
          <w:p>
            <w:pPr>
              <w:spacing w:after="0"/>
              <w:rPr>
                <w:sz w:val="1"/>
                <w:szCs w:val="1"/>
                <w:color w:val="auto"/>
              </w:rPr>
            </w:pPr>
          </w:p>
        </w:tc>
      </w:tr>
      <w:tr>
        <w:trPr>
          <w:trHeight w:val="342"/>
        </w:trPr>
        <w:tc>
          <w:tcPr>
            <w:tcW w:w="860" w:type="dxa"/>
            <w:vAlign w:val="bottom"/>
          </w:tcPr>
          <w:p>
            <w:pPr>
              <w:jc w:val="right"/>
              <w:ind w:right="427"/>
              <w:spacing w:after="0"/>
              <w:rPr>
                <w:sz w:val="20"/>
                <w:szCs w:val="20"/>
                <w:color w:val="auto"/>
              </w:rPr>
            </w:pPr>
            <w:r>
              <w:rPr>
                <w:rFonts w:ascii="Arial" w:cs="Arial" w:eastAsia="Arial" w:hAnsi="Arial"/>
                <w:sz w:val="15"/>
                <w:szCs w:val="15"/>
                <w:color w:val="auto"/>
              </w:rPr>
              <w:t>3.3</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9"/>
              </w:rPr>
              <w:t>By-Laws of the Company as amended and restated through November 8, 2007 (incorporated by reference to Exhibit 3.1 to the Company’s Current R</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on Form 8-K dated November 14, 2007).</w:t>
            </w:r>
          </w:p>
        </w:tc>
        <w:tc>
          <w:tcPr>
            <w:tcW w:w="0" w:type="dxa"/>
            <w:vAlign w:val="bottom"/>
          </w:tcPr>
          <w:p>
            <w:pPr>
              <w:spacing w:after="0"/>
              <w:rPr>
                <w:sz w:val="1"/>
                <w:szCs w:val="1"/>
                <w:color w:val="auto"/>
              </w:rPr>
            </w:pPr>
          </w:p>
        </w:tc>
      </w:tr>
      <w:tr>
        <w:trPr>
          <w:trHeight w:val="342"/>
        </w:trPr>
        <w:tc>
          <w:tcPr>
            <w:tcW w:w="860" w:type="dxa"/>
            <w:vAlign w:val="bottom"/>
          </w:tcPr>
          <w:p>
            <w:pPr>
              <w:jc w:val="right"/>
              <w:ind w:right="427"/>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Second Supplemental Indenture dated January 30, 2009, between the Company and The Bank of New York Mellon Trust Company, N.A., as success</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The First National Bank of Chicago, as Trustee (incorporated by reference to Exhibit 10.2 to the Company’s Current Report on Form 8-K dated Janua</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0080" w:type="dxa"/>
            <w:vAlign w:val="bottom"/>
            <w:gridSpan w:val="3"/>
          </w:tcPr>
          <w:p>
            <w:pPr>
              <w:ind w:left="280"/>
              <w:spacing w:after="0"/>
              <w:rPr>
                <w:sz w:val="20"/>
                <w:szCs w:val="20"/>
                <w:color w:val="auto"/>
              </w:rPr>
            </w:pPr>
            <w:r>
              <w:rPr>
                <w:rFonts w:ascii="Arial" w:cs="Arial" w:eastAsia="Arial" w:hAnsi="Arial"/>
                <w:sz w:val="15"/>
                <w:szCs w:val="15"/>
                <w:color w:val="auto"/>
              </w:rPr>
              <w:t>2009).</w:t>
            </w:r>
          </w:p>
        </w:tc>
        <w:tc>
          <w:tcPr>
            <w:tcW w:w="0" w:type="dxa"/>
            <w:vAlign w:val="bottom"/>
          </w:tcPr>
          <w:p>
            <w:pPr>
              <w:spacing w:after="0"/>
              <w:rPr>
                <w:sz w:val="1"/>
                <w:szCs w:val="1"/>
                <w:color w:val="auto"/>
              </w:rPr>
            </w:pPr>
          </w:p>
        </w:tc>
      </w:tr>
      <w:tr>
        <w:trPr>
          <w:trHeight w:val="342"/>
        </w:trPr>
        <w:tc>
          <w:tcPr>
            <w:tcW w:w="860" w:type="dxa"/>
            <w:vAlign w:val="bottom"/>
          </w:tcPr>
          <w:p>
            <w:pPr>
              <w:jc w:val="right"/>
              <w:ind w:right="427"/>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Four Year Credit Agreement, dated as of June 17, 2011, among the Company, JPMorgan Chase Bank, N.A., J.P. Morgan Australia Limited, Wells Far</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Bank, N.A., The Royal Bank of Scotland PLC, HSBC Bank USA, National Association, The Bank of New York Mellon, PNC Bank, National Associatio</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Bank of America, N.A., Citibank, N.A. and The Northern Trust Company (incorporated by reference to Exhibit 10.1 to the Company’s Current Report o</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Form 8-K dated June 17, 2011).</w:t>
            </w:r>
          </w:p>
        </w:tc>
        <w:tc>
          <w:tcPr>
            <w:tcW w:w="0" w:type="dxa"/>
            <w:vAlign w:val="bottom"/>
          </w:tcPr>
          <w:p>
            <w:pPr>
              <w:spacing w:after="0"/>
              <w:rPr>
                <w:sz w:val="1"/>
                <w:szCs w:val="1"/>
                <w:color w:val="auto"/>
              </w:rPr>
            </w:pPr>
          </w:p>
        </w:tc>
      </w:tr>
      <w:tr>
        <w:trPr>
          <w:trHeight w:val="347"/>
        </w:trPr>
        <w:tc>
          <w:tcPr>
            <w:tcW w:w="860" w:type="dxa"/>
            <w:vAlign w:val="bottom"/>
          </w:tcPr>
          <w:p>
            <w:pPr>
              <w:jc w:val="right"/>
              <w:ind w:right="427"/>
              <w:spacing w:after="0"/>
              <w:rPr>
                <w:sz w:val="20"/>
                <w:szCs w:val="20"/>
                <w:color w:val="auto"/>
              </w:rPr>
            </w:pPr>
            <w:r>
              <w:rPr>
                <w:rFonts w:ascii="Arial" w:cs="Arial" w:eastAsia="Arial" w:hAnsi="Arial"/>
                <w:sz w:val="15"/>
                <w:szCs w:val="15"/>
                <w:color w:val="auto"/>
              </w:rPr>
              <w:t>31.1</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Rule 13a-14(a)/15d-14(a) Certification of the Chief Executive Officer.</w:t>
            </w:r>
          </w:p>
        </w:tc>
        <w:tc>
          <w:tcPr>
            <w:tcW w:w="0" w:type="dxa"/>
            <w:vAlign w:val="bottom"/>
          </w:tcPr>
          <w:p>
            <w:pPr>
              <w:spacing w:after="0"/>
              <w:rPr>
                <w:sz w:val="1"/>
                <w:szCs w:val="1"/>
                <w:color w:val="auto"/>
              </w:rPr>
            </w:pPr>
          </w:p>
        </w:tc>
      </w:tr>
      <w:tr>
        <w:trPr>
          <w:trHeight w:val="347"/>
        </w:trPr>
        <w:tc>
          <w:tcPr>
            <w:tcW w:w="860" w:type="dxa"/>
            <w:vAlign w:val="bottom"/>
          </w:tcPr>
          <w:p>
            <w:pPr>
              <w:jc w:val="right"/>
              <w:ind w:right="427"/>
              <w:spacing w:after="0"/>
              <w:rPr>
                <w:sz w:val="20"/>
                <w:szCs w:val="20"/>
                <w:color w:val="auto"/>
              </w:rPr>
            </w:pPr>
            <w:r>
              <w:rPr>
                <w:rFonts w:ascii="Arial" w:cs="Arial" w:eastAsia="Arial" w:hAnsi="Arial"/>
                <w:sz w:val="15"/>
                <w:szCs w:val="15"/>
                <w:color w:val="auto"/>
              </w:rPr>
              <w:t>31.2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Rule 13a-14(a)/15d-14(a) Certification of the Chief Financial Officer.</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Section 1350 Certification of the Chief Executive Officer and the Chief Financial Officer.</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101.INS</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Instance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101.SCH</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101.CAL</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101.DEF</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101.LAB</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101.PRE</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23406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40610" cy="7620"/>
                    </a:xfrm>
                    <a:prstGeom prst="rect">
                      <a:avLst/>
                    </a:prstGeom>
                    <a:noFill/>
                  </pic:spPr>
                </pic:pic>
              </a:graphicData>
            </a:graphic>
          </wp:anchor>
        </w:drawing>
      </w:r>
    </w:p>
    <w:p>
      <w:pPr>
        <w:spacing w:after="0" w:line="347" w:lineRule="exact"/>
        <w:rPr>
          <w:sz w:val="20"/>
          <w:szCs w:val="20"/>
          <w:color w:val="auto"/>
        </w:rPr>
      </w:pPr>
    </w:p>
    <w:p>
      <w:pPr>
        <w:ind w:left="9" w:hanging="9"/>
        <w:spacing w:after="0" w:line="243" w:lineRule="auto"/>
        <w:tabs>
          <w:tab w:leader="none" w:pos="108" w:val="left"/>
        </w:tabs>
        <w:numPr>
          <w:ilvl w:val="0"/>
          <w:numId w:val="8"/>
        </w:numPr>
        <w:rPr>
          <w:rFonts w:ascii="Arial" w:cs="Arial" w:eastAsia="Arial" w:hAnsi="Arial"/>
          <w:sz w:val="15"/>
          <w:szCs w:val="15"/>
          <w:color w:val="auto"/>
        </w:rPr>
      </w:pPr>
      <w:r>
        <w:rPr>
          <w:rFonts w:ascii="Arial" w:cs="Arial" w:eastAsia="Arial" w:hAnsi="Arial"/>
          <w:sz w:val="15"/>
          <w:szCs w:val="15"/>
          <w:color w:val="auto"/>
        </w:rPr>
        <w:t>Attached as Exhibit 101 to this report are the following documents formatted in XBRL (Extensible Business Reporting Language): (i) Condensed Consolidated Statem of Operations for the Three Months Ended March 31, 2012 and April 3, 2011, (ii) Condensed Consolidated Statements of Comprehensive Income for Three Months En March 31, 2012 and April 3, 2011, (iii) Condensed Consolidated Balance Sheets at March 31, 2012 and December 31, 2011, (iv) Condensed Consolidated Statements Cash Flows for Three Months Ended March 31, 2012 and April 3, 2011, and (v) Notes to Condensed Consolidated Financial Statements. Pursuant to Rule 406T of Regulation S-T, these interactive data files are deemed “furnished” and not “filed” or part of a registration statement or prospectus for purposes of Sections 11 or 12 of Securities Act of 1933, are deemed “furnished” and not “filed” for purposes of Section 18 of the Securities Exchange Act of 1934, and otherwise are not subject to liabil under these sections.</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123" w:right="1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5060"/>
        <w:spacing w:after="0"/>
        <w:rPr>
          <w:sz w:val="20"/>
          <w:szCs w:val="20"/>
          <w:color w:val="auto"/>
        </w:rPr>
      </w:pPr>
      <w:r>
        <w:rPr>
          <w:rFonts w:ascii="Arial" w:cs="Arial" w:eastAsia="Arial" w:hAnsi="Arial"/>
          <w:sz w:val="20"/>
          <w:szCs w:val="20"/>
          <w:b w:val="1"/>
          <w:bCs w:val="1"/>
          <w:color w:val="auto"/>
        </w:rPr>
        <w:t>SIGNATURES</w:t>
      </w:r>
    </w:p>
    <w:p>
      <w:pPr>
        <w:spacing w:after="0" w:line="172"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THE WASHINGTON POST COMPANY</w:t>
      </w:r>
    </w:p>
    <w:p>
      <w:pPr>
        <w:ind w:left="9100"/>
        <w:spacing w:after="0"/>
        <w:rPr>
          <w:sz w:val="20"/>
          <w:szCs w:val="20"/>
          <w:color w:val="auto"/>
        </w:rPr>
      </w:pPr>
      <w:r>
        <w:rPr>
          <w:rFonts w:ascii="Arial" w:cs="Arial" w:eastAsia="Arial" w:hAnsi="Arial"/>
          <w:sz w:val="17"/>
          <w:szCs w:val="17"/>
          <w:color w:val="auto"/>
        </w:rPr>
        <w:t>(Registrant)</w:t>
      </w:r>
    </w:p>
    <w:p>
      <w:pPr>
        <w:spacing w:after="0" w:line="214" w:lineRule="exact"/>
        <w:rPr>
          <w:sz w:val="20"/>
          <w:szCs w:val="20"/>
          <w:color w:val="auto"/>
        </w:rPr>
      </w:pPr>
    </w:p>
    <w:p>
      <w:pPr>
        <w:spacing w:after="0"/>
        <w:tabs>
          <w:tab w:leader="none" w:pos="8720" w:val="left"/>
        </w:tabs>
        <w:rPr>
          <w:sz w:val="20"/>
          <w:szCs w:val="20"/>
          <w:color w:val="auto"/>
        </w:rPr>
      </w:pPr>
      <w:r>
        <w:rPr>
          <w:rFonts w:ascii="Arial" w:cs="Arial" w:eastAsia="Arial" w:hAnsi="Arial"/>
          <w:sz w:val="17"/>
          <w:szCs w:val="17"/>
          <w:color w:val="auto"/>
        </w:rPr>
        <w:t>Date: May 8, 2012</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-5080</wp:posOffset>
            </wp:positionV>
            <wp:extent cx="208343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83435" cy="7620"/>
                    </a:xfrm>
                    <a:prstGeom prst="rect">
                      <a:avLst/>
                    </a:prstGeom>
                    <a:noFill/>
                  </pic:spPr>
                </pic:pic>
              </a:graphicData>
            </a:graphic>
          </wp:anchor>
        </w:drawing>
      </w:r>
    </w:p>
    <w:p>
      <w:pPr>
        <w:spacing w:after="0" w:line="59"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Donald E. Graham,</w:t>
      </w:r>
    </w:p>
    <w:p>
      <w:pPr>
        <w:spacing w:after="0" w:line="15"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Chairman &amp; Chief Executive Officer</w:t>
      </w:r>
    </w:p>
    <w:p>
      <w:pPr>
        <w:jc w:val="center"/>
        <w:ind w:left="8820"/>
        <w:spacing w:after="0"/>
        <w:rPr>
          <w:sz w:val="20"/>
          <w:szCs w:val="20"/>
          <w:color w:val="auto"/>
        </w:rPr>
      </w:pPr>
      <w:r>
        <w:rPr>
          <w:rFonts w:ascii="Arial" w:cs="Arial" w:eastAsia="Arial" w:hAnsi="Arial"/>
          <w:sz w:val="13"/>
          <w:szCs w:val="13"/>
          <w:b w:val="1"/>
          <w:bCs w:val="1"/>
          <w:color w:val="auto"/>
        </w:rPr>
        <w:t>(Principal Executive Officer)</w:t>
      </w:r>
    </w:p>
    <w:p>
      <w:pPr>
        <w:spacing w:after="0" w:line="230" w:lineRule="exact"/>
        <w:rPr>
          <w:sz w:val="20"/>
          <w:szCs w:val="20"/>
          <w:color w:val="auto"/>
        </w:rPr>
      </w:pPr>
    </w:p>
    <w:p>
      <w:pPr>
        <w:spacing w:after="0"/>
        <w:tabs>
          <w:tab w:leader="none" w:pos="8940" w:val="left"/>
        </w:tabs>
        <w:rPr>
          <w:sz w:val="20"/>
          <w:szCs w:val="20"/>
          <w:color w:val="auto"/>
        </w:rPr>
      </w:pPr>
      <w:r>
        <w:rPr>
          <w:rFonts w:ascii="Arial" w:cs="Arial" w:eastAsia="Arial" w:hAnsi="Arial"/>
          <w:sz w:val="17"/>
          <w:szCs w:val="17"/>
          <w:color w:val="auto"/>
        </w:rPr>
        <w:t>Date: May 8, 2012</w:t>
      </w:r>
      <w:r>
        <w:rPr>
          <w:sz w:val="20"/>
          <w:szCs w:val="20"/>
          <w:color w:val="auto"/>
        </w:rPr>
        <w:tab/>
      </w:r>
      <w:r>
        <w:rPr>
          <w:rFonts w:ascii="Arial" w:cs="Arial" w:eastAsia="Arial" w:hAnsi="Arial"/>
          <w:sz w:val="16"/>
          <w:szCs w:val="16"/>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-5080</wp:posOffset>
            </wp:positionV>
            <wp:extent cx="208343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83435" cy="7620"/>
                    </a:xfrm>
                    <a:prstGeom prst="rect">
                      <a:avLst/>
                    </a:prstGeom>
                    <a:noFill/>
                  </pic:spPr>
                </pic:pic>
              </a:graphicData>
            </a:graphic>
          </wp:anchor>
        </w:drawing>
      </w:r>
    </w:p>
    <w:p>
      <w:pPr>
        <w:spacing w:after="0" w:line="84"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Hal S. Jones,</w:t>
      </w:r>
    </w:p>
    <w:p>
      <w:pPr>
        <w:spacing w:after="0" w:line="15"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Senior Vice President-Finance</w:t>
      </w:r>
    </w:p>
    <w:p>
      <w:pPr>
        <w:jc w:val="center"/>
        <w:ind w:left="8820"/>
        <w:spacing w:after="0"/>
        <w:rPr>
          <w:sz w:val="20"/>
          <w:szCs w:val="20"/>
          <w:color w:val="auto"/>
        </w:rPr>
      </w:pPr>
      <w:r>
        <w:rPr>
          <w:rFonts w:ascii="Arial" w:cs="Arial" w:eastAsia="Arial" w:hAnsi="Arial"/>
          <w:sz w:val="13"/>
          <w:szCs w:val="13"/>
          <w:b w:val="1"/>
          <w:bCs w:val="1"/>
          <w:color w:val="auto"/>
        </w:rPr>
        <w:t>(Principal Financial Officer)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660"/>
          </w:cols>
          <w:pgMar w:left="820" w:top="110" w:right="41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EXECUTIVE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Donald E. Graham, Chief Executive Officer (principal executive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jc w:val="both"/>
        <w:ind w:left="809" w:hanging="405"/>
        <w:spacing w:after="0" w:line="233" w:lineRule="auto"/>
        <w:tabs>
          <w:tab w:leader="none" w:pos="79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 fiscal quarter (the registrant’s fourth fiscal quarter in the case of an annual report) that has materially affected, or is reasonably likely to mat affect, the Registrant’s internal control over financial reporting; and</w:t>
      </w:r>
    </w:p>
    <w:p>
      <w:pPr>
        <w:spacing w:after="0" w:line="138" w:lineRule="exact"/>
        <w:rPr>
          <w:rFonts w:ascii="Arial" w:cs="Arial" w:eastAsia="Arial" w:hAnsi="Arial"/>
          <w:sz w:val="17"/>
          <w:szCs w:val="17"/>
          <w:color w:val="auto"/>
        </w:rPr>
      </w:pPr>
    </w:p>
    <w:p>
      <w:pPr>
        <w:ind w:left="9" w:right="80" w:hanging="9"/>
        <w:spacing w:after="0" w:line="235" w:lineRule="auto"/>
        <w:tabs>
          <w:tab w:leader="none" w:pos="19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325"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82689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May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330835</wp:posOffset>
            </wp:positionV>
            <wp:extent cx="727837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5" w:right="13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FINANCIAL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Hal S. Jones, Senior Vice President-Finance (principal financial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9" w:hanging="405"/>
        <w:spacing w:after="0" w:line="233" w:lineRule="auto"/>
        <w:tabs>
          <w:tab w:leader="none" w:pos="7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9" w:right="80" w:hanging="9"/>
        <w:spacing w:after="0" w:line="235" w:lineRule="auto"/>
        <w:tabs>
          <w:tab w:leader="none" w:pos="1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325"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78562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5620"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Hal S. Jones</w:t>
      </w:r>
    </w:p>
    <w:p>
      <w:pPr>
        <w:ind w:left="9"/>
        <w:spacing w:after="0" w:line="228"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May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330835</wp:posOffset>
            </wp:positionV>
            <wp:extent cx="727837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5" w:right="1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SECTION 1350 CERTIFICATION OF THE CHIEF EXECUTIVE OFFICER AND THE CHIEF FINANCIAL</w:t>
      </w:r>
    </w:p>
    <w:p>
      <w:pPr>
        <w:jc w:val="center"/>
        <w:ind w:left="1160"/>
        <w:spacing w:after="0" w:line="228" w:lineRule="auto"/>
        <w:rPr>
          <w:sz w:val="20"/>
          <w:szCs w:val="20"/>
          <w:color w:val="auto"/>
        </w:rPr>
      </w:pPr>
      <w:r>
        <w:rPr>
          <w:rFonts w:ascii="Arial" w:cs="Arial" w:eastAsia="Arial" w:hAnsi="Arial"/>
          <w:sz w:val="17"/>
          <w:szCs w:val="17"/>
          <w:color w:val="auto"/>
        </w:rPr>
        <w:t>OFFICER</w:t>
      </w:r>
    </w:p>
    <w:p>
      <w:pPr>
        <w:jc w:val="center"/>
        <w:ind w:left="1160"/>
        <w:spacing w:after="0"/>
        <w:rPr>
          <w:sz w:val="20"/>
          <w:szCs w:val="20"/>
          <w:color w:val="auto"/>
        </w:rPr>
      </w:pPr>
      <w:r>
        <w:rPr>
          <w:rFonts w:ascii="Arial" w:cs="Arial" w:eastAsia="Arial" w:hAnsi="Arial"/>
          <w:sz w:val="17"/>
          <w:szCs w:val="17"/>
          <w:color w:val="auto"/>
        </w:rPr>
        <w:t>AS ADOPTED PURSUANT TO SECTION 906 OF THE SARBANES-OXLEY ACT OF 2002</w:t>
      </w:r>
    </w:p>
    <w:p>
      <w:pPr>
        <w:spacing w:after="0" w:line="140"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In connection with the Quarterly Report of The Washington Post Company (the “Company”) on Form 10-Q for the period ended March 31, 2012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38" w:lineRule="exact"/>
        <w:rPr>
          <w:sz w:val="20"/>
          <w:szCs w:val="20"/>
          <w:color w:val="auto"/>
        </w:rPr>
      </w:pPr>
    </w:p>
    <w:p>
      <w:pPr>
        <w:ind w:left="249" w:hanging="249"/>
        <w:spacing w:after="0"/>
        <w:tabs>
          <w:tab w:leader="none" w:pos="2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9" w:lineRule="exact"/>
        <w:rPr>
          <w:rFonts w:ascii="Arial" w:cs="Arial" w:eastAsia="Arial" w:hAnsi="Arial"/>
          <w:sz w:val="17"/>
          <w:szCs w:val="17"/>
          <w:color w:val="auto"/>
        </w:rPr>
      </w:pPr>
    </w:p>
    <w:p>
      <w:pPr>
        <w:ind w:left="249" w:hanging="249"/>
        <w:spacing w:after="0"/>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82689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May 8, 2012</w:t>
      </w:r>
    </w:p>
    <w:p>
      <w:pPr>
        <w:spacing w:after="0" w:line="326"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78562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5620"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Hal S. Jones</w:t>
      </w:r>
    </w:p>
    <w:p>
      <w:pPr>
        <w:ind w:left="9"/>
        <w:spacing w:after="0" w:line="228"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May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220980</wp:posOffset>
            </wp:positionV>
            <wp:extent cx="727837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6" w:right="1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2019-12-09T07:14:00Z</dcterms:created>
  <dcterms:modified xsi:type="dcterms:W3CDTF">2019-12-09T07:14:00Z</dcterms:modified>
</cp:coreProperties>
</file>