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71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COMPANY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71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12,276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4,664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623.47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108,271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0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 for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700" w:right="400" w:hanging="10425"/>
        <w:spacing w:after="0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5,000 I Third Party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91,950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289,678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99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9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direct and indirect ownership of Class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Bshares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herein,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 am one of five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trusteesof a charitable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4220" w:type="dxa"/>
            <w:vAlign w:val="bottom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16,339 Class B shares in which I disclaim any beneficial ownership.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9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64" w:right="23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0"/>
              </w:rPr>
              <w:t>/s/ Veronica Dillon for Donald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E. Graham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8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720" w:type="dxa"/>
            <w:vAlign w:val="bottom"/>
            <w:gridSpan w:val="2"/>
          </w:tcPr>
          <w:p>
            <w:pPr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9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80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Code  V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Date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  <w:highlight w:val="white"/>
        </w:rPr>
        <w:t>09/16/2008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64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2019-12-17T03:54:00Z</dcterms:created>
  <dcterms:modified xsi:type="dcterms:W3CDTF">2019-12-17T03:54:00Z</dcterms:modified>
</cp:coreProperties>
</file>