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jc w:val="both"/>
        <w:ind w:left="280" w:right="40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27305</wp:posOffset>
            </wp:positionH>
            <wp:positionV relativeFrom="paragraph">
              <wp:posOffset>-152400</wp:posOffset>
            </wp:positionV>
            <wp:extent cx="103505" cy="1035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" cy="103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8"/>
        </w:trPr>
        <w:tc>
          <w:tcPr>
            <w:tcW w:w="5840" w:type="dxa"/>
            <w:vAlign w:val="bottom"/>
          </w:tcPr>
          <w:p>
            <w:pPr>
              <w:jc w:val="center"/>
              <w:ind w:right="9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840" w:type="dxa"/>
            <w:vAlign w:val="bottom"/>
            <w:vMerge w:val="restart"/>
          </w:tcPr>
          <w:p>
            <w:pPr>
              <w:jc w:val="center"/>
              <w:ind w:right="994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5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840" w:type="dxa"/>
            <w:vAlign w:val="bottom"/>
            <w:vMerge w:val="restart"/>
          </w:tcPr>
          <w:p>
            <w:pPr>
              <w:jc w:val="center"/>
              <w:ind w:right="994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5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5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5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5840" w:type="dxa"/>
            <w:vAlign w:val="bottom"/>
            <w:vMerge w:val="restart"/>
          </w:tcPr>
          <w:p>
            <w:pPr>
              <w:jc w:val="center"/>
              <w:ind w:right="9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5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8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5057775</wp:posOffset>
            </wp:positionH>
            <wp:positionV relativeFrom="paragraph">
              <wp:posOffset>-498475</wp:posOffset>
            </wp:positionV>
            <wp:extent cx="51435" cy="511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3689985</wp:posOffset>
            </wp:positionH>
            <wp:positionV relativeFrom="paragraph">
              <wp:posOffset>-498475</wp:posOffset>
            </wp:positionV>
            <wp:extent cx="51435" cy="511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-2169795</wp:posOffset>
            </wp:positionH>
            <wp:positionV relativeFrom="paragraph">
              <wp:posOffset>12065</wp:posOffset>
            </wp:positionV>
            <wp:extent cx="7305675" cy="63265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5675" cy="6326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680" w:space="720"/>
            <w:col w:w="8060"/>
          </w:cols>
          <w:pgMar w:left="220" w:top="205" w:right="21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>GRAHAM DONALD</w:t>
              </w:r>
            </w:hyperlink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spacing w:after="0" w:line="82" w:lineRule="exact"/>
              <w:rPr>
                <w:rFonts w:ascii="Arial" w:cs="Arial" w:eastAsia="Arial" w:hAnsi="Arial"/>
                <w:sz w:val="9"/>
                <w:szCs w:val="9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9"/>
                  <w:szCs w:val="9"/>
                  <w:color w:val="0000EE"/>
                </w:rPr>
                <w:t xml:space="preserve">WASHINGTON POST CO </w:t>
              </w:r>
            </w:hyperlink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[</w:t>
            </w:r>
            <w:r>
              <w:rPr>
                <w:rFonts w:ascii="Arial" w:cs="Arial" w:eastAsia="Arial" w:hAnsi="Arial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WPO</w:t>
            </w:r>
            <w:r>
              <w:rPr>
                <w:rFonts w:ascii="Arial" w:cs="Arial" w:eastAsia="Arial" w:hAnsi="Arial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 below)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COB and CEO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THE WASHINGTON POST COMPANY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03/15/2007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1150 15TH STREET, N.W.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808080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WASHINGTON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DC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20071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 (D)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 Form: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ind w:right="1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2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Class B 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03/15/2007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47,000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(2)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6,146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Class B 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Class B 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2,975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Sibling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Class B 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30,000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Class B 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Children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Sibling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Class B 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5,000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Third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Party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Class B 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35,000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Class A 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03/15/2007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(2)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449,695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Class A 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7,200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Class A 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762,078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Class A 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386,236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of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Class A 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7,200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Siblings'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Class A 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7,200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80" w:type="dxa"/>
            <w:vAlign w:val="bottom"/>
            <w:gridSpan w:val="1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 Securities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6"/>
          </w:tcPr>
          <w:p>
            <w:pPr>
              <w:ind w:left="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 (Instr. 3  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Disposed of (D) (Instr.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7"/>
              </w:rPr>
              <w:t>Code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5"/>
              </w:rPr>
              <w:t>(A)</w:t>
            </w: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40" w:hanging="108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Exchange of Class B shares held indirectly by reporting person for the equivalent number of Class A shares held by a sibling.</w:t>
      </w:r>
    </w:p>
    <w:p>
      <w:pPr>
        <w:spacing w:after="0" w:line="38" w:lineRule="exact"/>
        <w:rPr>
          <w:rFonts w:ascii="Arial" w:cs="Arial" w:eastAsia="Arial" w:hAnsi="Arial"/>
          <w:sz w:val="10"/>
          <w:szCs w:val="10"/>
          <w:color w:val="008000"/>
        </w:rPr>
      </w:pPr>
    </w:p>
    <w:p>
      <w:pPr>
        <w:ind w:left="140" w:hanging="108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N/A</w:t>
      </w:r>
    </w:p>
    <w:p>
      <w:pPr>
        <w:spacing w:after="0" w:line="38" w:lineRule="exact"/>
        <w:rPr>
          <w:rFonts w:ascii="Arial" w:cs="Arial" w:eastAsia="Arial" w:hAnsi="Arial"/>
          <w:sz w:val="10"/>
          <w:szCs w:val="10"/>
          <w:color w:val="008000"/>
        </w:rPr>
      </w:pPr>
    </w:p>
    <w:p>
      <w:pPr>
        <w:ind w:left="140" w:hanging="108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008000"/>
        </w:rPr>
      </w:pPr>
      <w:r>
        <w:rPr>
          <w:rFonts w:ascii="Arial" w:cs="Arial" w:eastAsia="Arial" w:hAnsi="Arial"/>
          <w:sz w:val="9"/>
          <w:szCs w:val="9"/>
          <w:color w:val="008000"/>
        </w:rPr>
        <w:t>The reporting person disclaims any beneficial ownership of these shares. In addition to the direct and indirect ownership of Class B shares herein, I am one of five trustees of a charitable trust which owns 46,339 Class B shares in which I disclaim any beneficial ownership.</w:t>
      </w:r>
    </w:p>
    <w:p>
      <w:pPr>
        <w:spacing w:after="0" w:line="49" w:lineRule="exact"/>
        <w:rPr>
          <w:rFonts w:ascii="Arial" w:cs="Arial" w:eastAsia="Arial" w:hAnsi="Arial"/>
          <w:sz w:val="9"/>
          <w:szCs w:val="9"/>
          <w:color w:val="008000"/>
        </w:rPr>
      </w:pPr>
    </w:p>
    <w:p>
      <w:pPr>
        <w:ind w:left="140" w:hanging="108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The reporting person disclaims any benefial ownership of these securities.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Veronica Dillon obo Donald E. Graham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03/19/2007</w:t>
            </w:r>
          </w:p>
        </w:tc>
      </w:tr>
      <w:tr>
        <w:trPr>
          <w:trHeight w:val="173"/>
        </w:trPr>
        <w:tc>
          <w:tcPr>
            <w:tcW w:w="6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3"/>
        </w:trPr>
        <w:tc>
          <w:tcPr>
            <w:tcW w:w="9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3"/>
        </w:trPr>
        <w:tc>
          <w:tcPr>
            <w:tcW w:w="9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3"/>
        </w:trPr>
        <w:tc>
          <w:tcPr>
            <w:tcW w:w="9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3"/>
        </w:trPr>
        <w:tc>
          <w:tcPr>
            <w:tcW w:w="9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3"/>
        </w:trPr>
        <w:tc>
          <w:tcPr>
            <w:tcW w:w="9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60"/>
          </w:cols>
          <w:pgMar w:left="220" w:top="205" w:right="21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Power of Attorney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Reports Under Section 16(a)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of the Securities Exchange Act of 1934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KNOW ALL MEN BY THESE PRESENTS that the undersigned,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a director, executive officer or beneficial owner of more than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ten percent of the equity securities of The Washington Post Company,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a Delaware corporation (hereinafter called the Company), hereby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appoints VERONICA DILLON, JOHN B. MORSE, JR., WALLACE COONEY, and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DANIEL J. LYNCH, and each of them, the undersigneds true and lawful attorneys-in-fact and agents with full power to act without the other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and with full power of substitution and re-substitution, to execute,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deliver and file, for the undersigned and in the undersigneds name,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place and stead, any and all statements, reports and forms, and any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and all amendments and supplements thereto, required to be filed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with the Securities and Exchange Commission under Section 16(a) of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the Securities Exchange Act of 1934 and the rules and regulations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adopted thereunder, in each case as the same may be amended from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time to time, with respect to the ownership and changes in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ownership of equity securities of the Company and derivatives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of such equity securities, hereby granting to said attorneys-in-fact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and agents, and each of them, full power and authority to do and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perform each and every act and thing requisite and necessary to be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done in and about the premises as fully and to all intents and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purposes as the undersigned might or could do in person, hereby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ratifying and confirming all that said attorneys-in-fact or agents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or any of them, or their substitute or substitutes, may lawfully do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or cause to be done by virtue hereof.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The undersigned acknowledges that the foregoing attorneys-in-fact,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in serving in such capacity at the request of the undersigned, are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ind w:right="700"/>
        <w:spacing w:after="0" w:line="50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not assuming, nor is the Company assuming, any of the undersigneds responsibilities to comply with Section 16 of the Securities Exchange Act of 1934, as amended.</w:t>
      </w: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ind w:right="780"/>
        <w:spacing w:after="0" w:line="49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This Power of Attorney shall remain in full force and effect until the undersigned is not longer required to file Forms 3, 4 and 5 with respect to the undersigneds holdings of and transactions in securities issued by the Company, unless (i) earlier revoked by the undersigned in</w:t>
      </w:r>
    </w:p>
    <w:p>
      <w:pPr>
        <w:spacing w:after="0" w:line="50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a signed writing delivered to the foregoing attorneys-in-fact, or (ii) with respect to each individual attorney-in-fact, upon their retirement or termination of employment with the Company.</w:t>
      </w: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Dated:</w:t>
        <w:tab/>
        <w:t>January 18, 2007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/s/Donald E. Graham</w:t>
      </w:r>
    </w:p>
    <w:sectPr>
      <w:pgSz w:w="11900" w:h="16838" w:orient="portrait"/>
      <w:cols w:equalWidth="0" w:num="1">
        <w:col w:w="11540"/>
      </w:cols>
      <w:pgMar w:left="220" w:top="141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8401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2019-12-16T16:43:39Z</dcterms:created>
  <dcterms:modified xsi:type="dcterms:W3CDTF">2019-12-16T16:43:39Z</dcterms:modified>
</cp:coreProperties>
</file>