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GRAHAM DONALD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60"/>
        <w:spacing w:after="0" w:line="366" w:lineRule="auto"/>
        <w:rPr>
          <w:sz w:val="20"/>
          <w:szCs w:val="20"/>
          <w:color w:val="auto"/>
        </w:rPr>
      </w:pPr>
      <w:r>
        <w:rPr>
          <w:rFonts w:ascii="Arial" w:cs="Arial" w:eastAsia="Arial" w:hAnsi="Arial"/>
          <w:sz w:val="16"/>
          <w:szCs w:val="16"/>
          <w:color w:val="0000FF"/>
        </w:rPr>
        <w:t>C/O GRAHAM HOLDINGS COMPANY 1300 NORTH 17TH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Graham Holdings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GHC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06/09/2015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CEO and COB</w:t>
      </w:r>
    </w:p>
    <w:p>
      <w:pPr>
        <w:spacing w:after="0" w:line="422" w:lineRule="exact"/>
        <w:rPr>
          <w:sz w:val="24"/>
          <w:szCs w:val="24"/>
          <w:color w:val="auto"/>
        </w:rPr>
      </w:pPr>
    </w:p>
    <w:p>
      <w:pPr>
        <w:sectPr>
          <w:pgSz w:w="11900" w:h="16838" w:orient="portrait"/>
          <w:cols w:equalWidth="0" w:num="3">
            <w:col w:w="3360" w:space="720"/>
            <w:col w:w="3257" w:space="720"/>
            <w:col w:w="3423"/>
          </w:cols>
          <w:pgMar w:left="240" w:top="226" w:right="179" w:bottom="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ARLINGTON</w:t>
            </w:r>
          </w:p>
        </w:tc>
        <w:tc>
          <w:tcPr>
            <w:tcW w:w="960" w:type="dxa"/>
            <w:vAlign w:val="bottom"/>
          </w:tcPr>
          <w:p>
            <w:pPr>
              <w:ind w:left="120"/>
              <w:spacing w:after="0"/>
              <w:rPr>
                <w:sz w:val="20"/>
                <w:szCs w:val="20"/>
                <w:color w:val="auto"/>
              </w:rPr>
            </w:pPr>
            <w:r>
              <w:rPr>
                <w:rFonts w:ascii="Arial" w:cs="Arial" w:eastAsia="Arial" w:hAnsi="Arial"/>
                <w:sz w:val="18"/>
                <w:szCs w:val="18"/>
                <w:color w:val="0000FF"/>
              </w:rPr>
              <w:t>VA</w:t>
            </w:r>
          </w:p>
        </w:tc>
        <w:tc>
          <w:tcPr>
            <w:tcW w:w="1680" w:type="dxa"/>
            <w:vAlign w:val="bottom"/>
          </w:tcPr>
          <w:p>
            <w:pPr>
              <w:ind w:left="420"/>
              <w:spacing w:after="0"/>
              <w:rPr>
                <w:sz w:val="20"/>
                <w:szCs w:val="20"/>
                <w:color w:val="auto"/>
              </w:rPr>
            </w:pPr>
            <w:r>
              <w:rPr>
                <w:rFonts w:ascii="Arial" w:cs="Arial" w:eastAsia="Arial" w:hAnsi="Arial"/>
                <w:sz w:val="18"/>
                <w:szCs w:val="18"/>
                <w:color w:val="0000FF"/>
              </w:rPr>
              <w:t>22209</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400"/>
          </w:cols>
          <w:pgMar w:left="240" w:top="226" w:right="179" w:bottom="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9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3"/>
            <w:vMerge w:val="continue"/>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3,087</w:t>
            </w:r>
          </w:p>
        </w:tc>
        <w:tc>
          <w:tcPr>
            <w:tcW w:w="32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w w:val="96"/>
              </w:rPr>
              <w:t>Revocable</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8"/>
                <w:szCs w:val="18"/>
                <w:color w:val="0000FF"/>
              </w:rPr>
              <w:t>Trust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520" w:type="dxa"/>
            <w:vAlign w:val="bottom"/>
            <w:gridSpan w:val="2"/>
            <w:vMerge w:val="restart"/>
          </w:tcPr>
          <w:p>
            <w:pPr>
              <w:jc w:val="right"/>
              <w:ind w:right="139"/>
              <w:spacing w:after="0"/>
              <w:rPr>
                <w:sz w:val="20"/>
                <w:szCs w:val="20"/>
                <w:color w:val="auto"/>
              </w:rPr>
            </w:pPr>
            <w:r>
              <w:rPr>
                <w:rFonts w:ascii="Arial" w:cs="Arial" w:eastAsia="Arial" w:hAnsi="Arial"/>
                <w:sz w:val="18"/>
                <w:szCs w:val="18"/>
                <w:color w:val="0000FF"/>
              </w:rPr>
              <w:t>06/09/2015</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6"/>
              </w:rPr>
              <w:t>778</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9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1,070.09</w:t>
            </w:r>
            <w:r>
              <w:rPr>
                <w:rFonts w:ascii="Arial" w:cs="Arial" w:eastAsia="Arial" w:hAnsi="Arial"/>
                <w:sz w:val="22"/>
                <w:szCs w:val="22"/>
                <w:color w:val="008000"/>
                <w:w w:val="85"/>
                <w:vertAlign w:val="superscript"/>
              </w:rPr>
              <w:t>(3)</w:t>
            </w: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55,638</w:t>
            </w:r>
          </w:p>
        </w:tc>
        <w:tc>
          <w:tcPr>
            <w:tcW w:w="32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Trusts for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8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vMerge w:val="restart"/>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520" w:type="dxa"/>
            <w:vAlign w:val="bottom"/>
            <w:gridSpan w:val="2"/>
            <w:vMerge w:val="restart"/>
          </w:tcPr>
          <w:p>
            <w:pPr>
              <w:jc w:val="right"/>
              <w:ind w:right="139"/>
              <w:spacing w:after="0"/>
              <w:rPr>
                <w:sz w:val="20"/>
                <w:szCs w:val="20"/>
                <w:color w:val="auto"/>
              </w:rPr>
            </w:pPr>
            <w:r>
              <w:rPr>
                <w:rFonts w:ascii="Arial" w:cs="Arial" w:eastAsia="Arial" w:hAnsi="Arial"/>
                <w:sz w:val="18"/>
                <w:szCs w:val="18"/>
                <w:color w:val="0000FF"/>
              </w:rPr>
              <w:t>06/10/2015</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4"/>
              </w:rPr>
              <w:t>8,995</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9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1,070.12</w:t>
            </w:r>
            <w:r>
              <w:rPr>
                <w:rFonts w:ascii="Arial" w:cs="Arial" w:eastAsia="Arial" w:hAnsi="Arial"/>
                <w:sz w:val="22"/>
                <w:szCs w:val="22"/>
                <w:color w:val="008000"/>
                <w:w w:val="85"/>
                <w:vertAlign w:val="superscript"/>
              </w:rPr>
              <w:t>(4)</w:t>
            </w: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46,643</w:t>
            </w:r>
          </w:p>
        </w:tc>
        <w:tc>
          <w:tcPr>
            <w:tcW w:w="32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Trusts for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8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vMerge w:val="restart"/>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520" w:type="dxa"/>
            <w:vAlign w:val="bottom"/>
            <w:gridSpan w:val="2"/>
            <w:vMerge w:val="restart"/>
          </w:tcPr>
          <w:p>
            <w:pPr>
              <w:jc w:val="right"/>
              <w:ind w:right="139"/>
              <w:spacing w:after="0"/>
              <w:rPr>
                <w:sz w:val="20"/>
                <w:szCs w:val="20"/>
                <w:color w:val="auto"/>
              </w:rPr>
            </w:pPr>
            <w:r>
              <w:rPr>
                <w:rFonts w:ascii="Arial" w:cs="Arial" w:eastAsia="Arial" w:hAnsi="Arial"/>
                <w:sz w:val="18"/>
                <w:szCs w:val="18"/>
                <w:color w:val="0000FF"/>
              </w:rPr>
              <w:t>06/10/2015</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99"/>
              </w:rPr>
              <w:t>5</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9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1,072.25</w:t>
            </w: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46,638</w:t>
            </w:r>
          </w:p>
        </w:tc>
        <w:tc>
          <w:tcPr>
            <w:tcW w:w="32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Trusts for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9,200</w:t>
            </w:r>
          </w:p>
        </w:tc>
        <w:tc>
          <w:tcPr>
            <w:tcW w:w="32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Trusts for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4"/>
              </w:rPr>
              <w:t>Children</w:t>
            </w:r>
            <w:r>
              <w:rPr>
                <w:rFonts w:ascii="Arial" w:cs="Arial" w:eastAsia="Arial" w:hAnsi="Arial"/>
                <w:sz w:val="22"/>
                <w:szCs w:val="22"/>
                <w:color w:val="008000"/>
                <w:w w:val="94"/>
                <w:vertAlign w:val="superscript"/>
              </w:rPr>
              <w:t>(1)</w:t>
            </w:r>
          </w:p>
        </w:tc>
        <w:tc>
          <w:tcPr>
            <w:tcW w:w="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Trusts for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520" w:type="dxa"/>
            <w:vAlign w:val="bottom"/>
            <w:gridSpan w:val="2"/>
            <w:vMerge w:val="restart"/>
          </w:tcPr>
          <w:p>
            <w:pPr>
              <w:jc w:val="right"/>
              <w:ind w:right="139"/>
              <w:spacing w:after="0"/>
              <w:rPr>
                <w:sz w:val="20"/>
                <w:szCs w:val="20"/>
                <w:color w:val="auto"/>
              </w:rPr>
            </w:pPr>
            <w:r>
              <w:rPr>
                <w:rFonts w:ascii="Arial" w:cs="Arial" w:eastAsia="Arial" w:hAnsi="Arial"/>
                <w:sz w:val="18"/>
                <w:szCs w:val="18"/>
                <w:color w:val="0000FF"/>
              </w:rPr>
              <w:t>06/09/2015</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vMerge w:val="restart"/>
          </w:tcPr>
          <w:p>
            <w:pPr>
              <w:ind w:left="14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6"/>
              </w:rPr>
              <w:t>186</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9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1,070.09</w:t>
            </w:r>
            <w:r>
              <w:rPr>
                <w:rFonts w:ascii="Arial" w:cs="Arial" w:eastAsia="Arial" w:hAnsi="Arial"/>
                <w:sz w:val="22"/>
                <w:szCs w:val="22"/>
                <w:color w:val="008000"/>
                <w:w w:val="85"/>
                <w:vertAlign w:val="superscript"/>
              </w:rPr>
              <w:t>(5)</w:t>
            </w: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3,180</w:t>
            </w:r>
          </w:p>
        </w:tc>
        <w:tc>
          <w:tcPr>
            <w:tcW w:w="320" w:type="dxa"/>
            <w:vAlign w:val="bottom"/>
          </w:tcPr>
          <w:p>
            <w:pPr>
              <w:spacing w:after="0"/>
              <w:rPr>
                <w:sz w:val="18"/>
                <w:szCs w:val="18"/>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Children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8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0000FF"/>
              </w:rPr>
              <w:t>of</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Trusts for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520" w:type="dxa"/>
            <w:vAlign w:val="bottom"/>
            <w:gridSpan w:val="2"/>
            <w:vMerge w:val="restart"/>
          </w:tcPr>
          <w:p>
            <w:pPr>
              <w:jc w:val="right"/>
              <w:ind w:right="139"/>
              <w:spacing w:after="0"/>
              <w:rPr>
                <w:sz w:val="20"/>
                <w:szCs w:val="20"/>
                <w:color w:val="auto"/>
              </w:rPr>
            </w:pPr>
            <w:r>
              <w:rPr>
                <w:rFonts w:ascii="Arial" w:cs="Arial" w:eastAsia="Arial" w:hAnsi="Arial"/>
                <w:sz w:val="18"/>
                <w:szCs w:val="18"/>
                <w:color w:val="0000FF"/>
              </w:rPr>
              <w:t>06/10/2015</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vMerge w:val="restart"/>
          </w:tcPr>
          <w:p>
            <w:pPr>
              <w:ind w:left="14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4"/>
              </w:rPr>
              <w:t>2,135</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9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1,070.12</w:t>
            </w:r>
            <w:r>
              <w:rPr>
                <w:rFonts w:ascii="Arial" w:cs="Arial" w:eastAsia="Arial" w:hAnsi="Arial"/>
                <w:sz w:val="22"/>
                <w:szCs w:val="22"/>
                <w:color w:val="008000"/>
                <w:w w:val="85"/>
                <w:vertAlign w:val="superscript"/>
              </w:rPr>
              <w:t>(4)</w:t>
            </w: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1,045</w:t>
            </w:r>
          </w:p>
        </w:tc>
        <w:tc>
          <w:tcPr>
            <w:tcW w:w="320" w:type="dxa"/>
            <w:vAlign w:val="bottom"/>
          </w:tcPr>
          <w:p>
            <w:pPr>
              <w:spacing w:after="0"/>
              <w:rPr>
                <w:sz w:val="18"/>
                <w:szCs w:val="18"/>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Children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8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0000FF"/>
              </w:rPr>
              <w:t>of</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Trusts for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520" w:type="dxa"/>
            <w:vAlign w:val="bottom"/>
            <w:gridSpan w:val="2"/>
            <w:vMerge w:val="restart"/>
          </w:tcPr>
          <w:p>
            <w:pPr>
              <w:jc w:val="right"/>
              <w:ind w:right="139"/>
              <w:spacing w:after="0"/>
              <w:rPr>
                <w:sz w:val="20"/>
                <w:szCs w:val="20"/>
                <w:color w:val="auto"/>
              </w:rPr>
            </w:pPr>
            <w:r>
              <w:rPr>
                <w:rFonts w:ascii="Arial" w:cs="Arial" w:eastAsia="Arial" w:hAnsi="Arial"/>
                <w:sz w:val="18"/>
                <w:szCs w:val="18"/>
                <w:color w:val="0000FF"/>
              </w:rPr>
              <w:t>06/10/2015</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vMerge w:val="restart"/>
          </w:tcPr>
          <w:p>
            <w:pPr>
              <w:ind w:left="14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99"/>
              </w:rPr>
              <w:t>1</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9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1,072.25</w:t>
            </w: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1,044</w:t>
            </w:r>
          </w:p>
        </w:tc>
        <w:tc>
          <w:tcPr>
            <w:tcW w:w="320" w:type="dxa"/>
            <w:vAlign w:val="bottom"/>
          </w:tcPr>
          <w:p>
            <w:pPr>
              <w:spacing w:after="0"/>
              <w:rPr>
                <w:sz w:val="18"/>
                <w:szCs w:val="18"/>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Children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0000FF"/>
              </w:rPr>
              <w:t>of</w:t>
            </w: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Trust for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Class B Common Stock</w:t>
            </w: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4"/>
              </w:rPr>
              <w:t>5,000</w:t>
            </w:r>
          </w:p>
        </w:tc>
        <w:tc>
          <w:tcPr>
            <w:tcW w:w="320" w:type="dxa"/>
            <w:vAlign w:val="bottom"/>
          </w:tcPr>
          <w:p>
            <w:pPr>
              <w:spacing w:after="0"/>
              <w:rPr>
                <w:sz w:val="18"/>
                <w:szCs w:val="18"/>
                <w:color w:val="auto"/>
              </w:rPr>
            </w:pPr>
          </w:p>
        </w:tc>
        <w:tc>
          <w:tcPr>
            <w:tcW w:w="620" w:type="dxa"/>
            <w:vAlign w:val="bottom"/>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Third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0000FF"/>
              </w:rPr>
              <w:t>Party</w:t>
            </w:r>
            <w:r>
              <w:rPr>
                <w:rFonts w:ascii="Arial" w:cs="Arial" w:eastAsia="Arial" w:hAnsi="Arial"/>
                <w:sz w:val="22"/>
                <w:szCs w:val="22"/>
                <w:color w:val="008000"/>
                <w:vertAlign w:val="superscript"/>
              </w:rPr>
              <w:t>(1)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00" w:type="dxa"/>
            <w:vAlign w:val="bottom"/>
            <w:gridSpan w:val="11"/>
          </w:tcPr>
          <w:p>
            <w:pPr>
              <w:ind w:left="6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59"/>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59"/>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Direct (D)</w:t>
            </w:r>
          </w:p>
        </w:tc>
        <w:tc>
          <w:tcPr>
            <w:tcW w:w="2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160"/>
              <w:spacing w:after="0"/>
              <w:rPr>
                <w:sz w:val="20"/>
                <w:szCs w:val="20"/>
                <w:color w:val="auto"/>
              </w:rPr>
            </w:pPr>
            <w:r>
              <w:rPr>
                <w:rFonts w:ascii="Arial" w:cs="Arial" w:eastAsia="Arial" w:hAnsi="Arial"/>
                <w:sz w:val="14"/>
                <w:szCs w:val="14"/>
                <w:color w:val="0000FF"/>
              </w:rPr>
              <w:t>Class B</w:t>
            </w:r>
          </w:p>
        </w:tc>
        <w:tc>
          <w:tcPr>
            <w:tcW w:w="560" w:type="dxa"/>
            <w:vAlign w:val="bottom"/>
            <w:vMerge w:val="restart"/>
          </w:tcPr>
          <w:p>
            <w:pPr>
              <w:ind w:left="1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40" w:type="dxa"/>
            <w:vAlign w:val="bottom"/>
            <w:gridSpan w:val="2"/>
          </w:tcPr>
          <w:p>
            <w:pPr>
              <w:ind w:left="10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gridSpan w:val="2"/>
          </w:tcPr>
          <w:p>
            <w:pPr>
              <w:ind w:left="200"/>
              <w:spacing w:after="0" w:line="149" w:lineRule="exact"/>
              <w:rPr>
                <w:sz w:val="20"/>
                <w:szCs w:val="20"/>
                <w:color w:val="auto"/>
              </w:rPr>
            </w:pPr>
            <w:r>
              <w:rPr>
                <w:rFonts w:ascii="Arial" w:cs="Arial" w:eastAsia="Arial" w:hAnsi="Arial"/>
                <w:sz w:val="14"/>
                <w:szCs w:val="14"/>
                <w:color w:val="0000FF"/>
              </w:rPr>
              <w:t>230,048</w:t>
            </w:r>
          </w:p>
        </w:tc>
        <w:tc>
          <w:tcPr>
            <w:tcW w:w="62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7264400</wp:posOffset>
            </wp:positionH>
            <wp:positionV relativeFrom="paragraph">
              <wp:posOffset>-2190115</wp:posOffset>
            </wp:positionV>
            <wp:extent cx="42545" cy="2390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2545" cy="2390140"/>
                    </a:xfrm>
                    <a:prstGeom prst="rect">
                      <a:avLst/>
                    </a:prstGeom>
                    <a:noFill/>
                  </pic:spPr>
                </pic:pic>
              </a:graphicData>
            </a:graphic>
          </wp:anchor>
        </w:drawing>
      </w:r>
    </w:p>
    <w:p>
      <w:pPr>
        <w:sectPr>
          <w:pgSz w:w="11900" w:h="16838" w:orient="portrait"/>
          <w:cols w:equalWidth="0" w:num="1">
            <w:col w:w="11480"/>
          </w:cols>
          <w:pgMar w:left="240" w:top="226" w:right="17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14565" cy="3777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14565" cy="3777615"/>
                    </a:xfrm>
                    <a:prstGeom prst="rect">
                      <a:avLst/>
                    </a:prstGeom>
                    <a:noFill/>
                  </pic:spPr>
                </pic:pic>
              </a:graphicData>
            </a:graphic>
          </wp:anchor>
        </w:drawing>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0000FF"/>
                <w:w w:val="82"/>
              </w:rPr>
              <w:t>Class B</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ind w:left="80"/>
              <w:spacing w:after="0"/>
              <w:rPr>
                <w:sz w:val="20"/>
                <w:szCs w:val="20"/>
                <w:color w:val="auto"/>
              </w:rPr>
            </w:pPr>
            <w:r>
              <w:rPr>
                <w:rFonts w:ascii="Arial" w:cs="Arial" w:eastAsia="Arial" w:hAnsi="Arial"/>
                <w:sz w:val="14"/>
                <w:szCs w:val="14"/>
                <w:color w:val="0000FF"/>
              </w:rPr>
              <w:t>Grantor</w:t>
            </w: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vMerge w:val="restart"/>
          </w:tcPr>
          <w:p>
            <w:pPr>
              <w:jc w:val="right"/>
              <w:ind w:right="281"/>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00" w:type="dxa"/>
            <w:vAlign w:val="bottom"/>
            <w:vMerge w:val="continue"/>
          </w:tcPr>
          <w:p>
            <w:pPr>
              <w:spacing w:after="0"/>
              <w:rPr>
                <w:sz w:val="5"/>
                <w:szCs w:val="5"/>
                <w:color w:val="auto"/>
              </w:rPr>
            </w:pPr>
          </w:p>
        </w:tc>
        <w:tc>
          <w:tcPr>
            <w:tcW w:w="560" w:type="dxa"/>
            <w:vAlign w:val="bottom"/>
            <w:vMerge w:val="restart"/>
          </w:tcPr>
          <w:p>
            <w:pPr>
              <w:jc w:val="right"/>
              <w:ind w:right="181"/>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Retained</w:t>
            </w: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91"/>
              </w:rPr>
              <w:t>Common</w:t>
            </w:r>
          </w:p>
        </w:tc>
        <w:tc>
          <w:tcPr>
            <w:tcW w:w="5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91,354</w:t>
            </w:r>
          </w:p>
        </w:tc>
        <w:tc>
          <w:tcPr>
            <w:tcW w:w="76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I</w:t>
            </w: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Annuity</w:t>
            </w: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0000FF"/>
                <w:w w:val="91"/>
              </w:rPr>
              <w:t>Stock</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vMerge w:val="restart"/>
          </w:tcPr>
          <w:p>
            <w:pPr>
              <w:ind w:left="80"/>
              <w:spacing w:after="0"/>
              <w:rPr>
                <w:sz w:val="20"/>
                <w:szCs w:val="20"/>
                <w:color w:val="auto"/>
              </w:rPr>
            </w:pPr>
            <w:r>
              <w:rPr>
                <w:rFonts w:ascii="Arial" w:cs="Arial" w:eastAsia="Arial" w:hAnsi="Arial"/>
                <w:sz w:val="14"/>
                <w:szCs w:val="14"/>
                <w:color w:val="0000FF"/>
              </w:rPr>
              <w:t>Trust</w:t>
            </w: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vMerge w:val="restart"/>
          </w:tcPr>
          <w:p>
            <w:pPr>
              <w:jc w:val="right"/>
              <w:ind w:right="281"/>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00" w:type="dxa"/>
            <w:vAlign w:val="bottom"/>
          </w:tcPr>
          <w:p>
            <w:pPr>
              <w:jc w:val="center"/>
              <w:spacing w:after="0"/>
              <w:rPr>
                <w:sz w:val="20"/>
                <w:szCs w:val="20"/>
                <w:color w:val="auto"/>
              </w:rPr>
            </w:pPr>
            <w:r>
              <w:rPr>
                <w:rFonts w:ascii="Arial" w:cs="Arial" w:eastAsia="Arial" w:hAnsi="Arial"/>
                <w:sz w:val="14"/>
                <w:szCs w:val="14"/>
                <w:color w:val="0000FF"/>
                <w:w w:val="82"/>
              </w:rPr>
              <w:t>Class B</w:t>
            </w:r>
          </w:p>
        </w:tc>
        <w:tc>
          <w:tcPr>
            <w:tcW w:w="560" w:type="dxa"/>
            <w:vAlign w:val="bottom"/>
            <w:vMerge w:val="restart"/>
          </w:tcPr>
          <w:p>
            <w:pPr>
              <w:jc w:val="right"/>
              <w:ind w:right="181"/>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vMerge w:val="restart"/>
          </w:tcPr>
          <w:p>
            <w:pPr>
              <w:ind w:left="80"/>
              <w:spacing w:after="0"/>
              <w:rPr>
                <w:sz w:val="20"/>
                <w:szCs w:val="20"/>
                <w:color w:val="auto"/>
              </w:rPr>
            </w:pPr>
            <w:r>
              <w:rPr>
                <w:rFonts w:ascii="Arial" w:cs="Arial" w:eastAsia="Arial" w:hAnsi="Arial"/>
                <w:sz w:val="14"/>
                <w:szCs w:val="14"/>
                <w:color w:val="0000FF"/>
              </w:rPr>
              <w:t>Trusts for</w:t>
            </w:r>
          </w:p>
        </w:tc>
        <w:tc>
          <w:tcPr>
            <w:tcW w:w="0" w:type="dxa"/>
            <w:vAlign w:val="bottom"/>
          </w:tcPr>
          <w:p>
            <w:pPr>
              <w:spacing w:after="0"/>
              <w:rPr>
                <w:sz w:val="1"/>
                <w:szCs w:val="1"/>
                <w:color w:val="auto"/>
              </w:rPr>
            </w:pPr>
          </w:p>
        </w:tc>
      </w:tr>
      <w:tr>
        <w:trPr>
          <w:trHeight w:val="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0000FF"/>
                <w:w w:val="91"/>
              </w:rPr>
              <w:t>Common</w:t>
            </w:r>
          </w:p>
        </w:tc>
        <w:tc>
          <w:tcPr>
            <w:tcW w:w="56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0000FF"/>
                <w:w w:val="88"/>
              </w:rPr>
              <w:t>28,972</w:t>
            </w:r>
          </w:p>
        </w:tc>
        <w:tc>
          <w:tcPr>
            <w:tcW w:w="760" w:type="dxa"/>
            <w:vAlign w:val="bottom"/>
            <w:vMerge w:val="restart"/>
          </w:tcPr>
          <w:p>
            <w:pPr>
              <w:ind w:left="360"/>
              <w:spacing w:after="0"/>
              <w:rPr>
                <w:sz w:val="20"/>
                <w:szCs w:val="20"/>
                <w:color w:val="auto"/>
              </w:rPr>
            </w:pPr>
            <w:r>
              <w:rPr>
                <w:rFonts w:ascii="Arial" w:cs="Arial" w:eastAsia="Arial" w:hAnsi="Arial"/>
                <w:sz w:val="14"/>
                <w:szCs w:val="14"/>
                <w:color w:val="0000FF"/>
              </w:rPr>
              <w:t>I</w:t>
            </w: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restart"/>
          </w:tcPr>
          <w:p>
            <w:pPr>
              <w:ind w:left="80"/>
              <w:spacing w:after="0" w:line="164" w:lineRule="exact"/>
              <w:rPr>
                <w:sz w:val="20"/>
                <w:szCs w:val="20"/>
                <w:color w:val="auto"/>
              </w:rPr>
            </w:pPr>
            <w:r>
              <w:rPr>
                <w:rFonts w:ascii="Arial" w:cs="Arial" w:eastAsia="Arial" w:hAnsi="Arial"/>
                <w:sz w:val="12"/>
                <w:szCs w:val="12"/>
                <w:color w:val="0000FF"/>
              </w:rPr>
              <w:t>Children</w:t>
            </w:r>
            <w:r>
              <w:rPr>
                <w:rFonts w:ascii="Arial" w:cs="Arial" w:eastAsia="Arial" w:hAnsi="Arial"/>
                <w:sz w:val="19"/>
                <w:szCs w:val="19"/>
                <w:color w:val="008000"/>
                <w:vertAlign w:val="superscript"/>
              </w:rPr>
              <w:t>(1)</w:t>
            </w:r>
          </w:p>
        </w:tc>
        <w:tc>
          <w:tcPr>
            <w:tcW w:w="0" w:type="dxa"/>
            <w:vAlign w:val="bottom"/>
          </w:tcPr>
          <w:p>
            <w:pPr>
              <w:spacing w:after="0"/>
              <w:rPr>
                <w:sz w:val="1"/>
                <w:szCs w:val="1"/>
                <w:color w:val="auto"/>
              </w:rPr>
            </w:pPr>
          </w:p>
        </w:tc>
      </w:tr>
      <w:tr>
        <w:trPr>
          <w:trHeight w:val="76"/>
        </w:trPr>
        <w:tc>
          <w:tcPr>
            <w:tcW w:w="7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720" w:type="dxa"/>
            <w:vAlign w:val="bottom"/>
            <w:tcBorders>
              <w:bottom w:val="single" w:sz="8" w:color="2C2C2C"/>
            </w:tcBorders>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jc w:val="center"/>
              <w:spacing w:after="0" w:line="149" w:lineRule="exact"/>
              <w:rPr>
                <w:sz w:val="20"/>
                <w:szCs w:val="20"/>
                <w:color w:val="auto"/>
              </w:rPr>
            </w:pPr>
            <w:r>
              <w:rPr>
                <w:rFonts w:ascii="Arial" w:cs="Arial" w:eastAsia="Arial" w:hAnsi="Arial"/>
                <w:sz w:val="14"/>
                <w:szCs w:val="14"/>
                <w:color w:val="0000FF"/>
                <w:w w:val="91"/>
              </w:rPr>
              <w:t>Stock</w:t>
            </w:r>
          </w:p>
        </w:tc>
        <w:tc>
          <w:tcPr>
            <w:tcW w:w="5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vMerge w:val="restart"/>
          </w:tcPr>
          <w:p>
            <w:pPr>
              <w:jc w:val="right"/>
              <w:ind w:right="281"/>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00" w:type="dxa"/>
            <w:vAlign w:val="bottom"/>
          </w:tcPr>
          <w:p>
            <w:pPr>
              <w:jc w:val="center"/>
              <w:spacing w:after="0"/>
              <w:rPr>
                <w:sz w:val="20"/>
                <w:szCs w:val="20"/>
                <w:color w:val="auto"/>
              </w:rPr>
            </w:pPr>
            <w:r>
              <w:rPr>
                <w:rFonts w:ascii="Arial" w:cs="Arial" w:eastAsia="Arial" w:hAnsi="Arial"/>
                <w:sz w:val="14"/>
                <w:szCs w:val="14"/>
                <w:color w:val="0000FF"/>
                <w:w w:val="82"/>
              </w:rPr>
              <w:t>Class B</w:t>
            </w:r>
          </w:p>
        </w:tc>
        <w:tc>
          <w:tcPr>
            <w:tcW w:w="560" w:type="dxa"/>
            <w:vAlign w:val="bottom"/>
            <w:vMerge w:val="restart"/>
          </w:tcPr>
          <w:p>
            <w:pPr>
              <w:jc w:val="right"/>
              <w:ind w:right="181"/>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vMerge w:val="restart"/>
          </w:tcPr>
          <w:p>
            <w:pPr>
              <w:ind w:left="80"/>
              <w:spacing w:after="0"/>
              <w:rPr>
                <w:sz w:val="20"/>
                <w:szCs w:val="20"/>
                <w:color w:val="auto"/>
              </w:rPr>
            </w:pPr>
            <w:r>
              <w:rPr>
                <w:rFonts w:ascii="Arial" w:cs="Arial" w:eastAsia="Arial" w:hAnsi="Arial"/>
                <w:sz w:val="14"/>
                <w:szCs w:val="14"/>
                <w:color w:val="0000FF"/>
              </w:rPr>
              <w:t>Trusts for</w:t>
            </w:r>
          </w:p>
        </w:tc>
        <w:tc>
          <w:tcPr>
            <w:tcW w:w="0" w:type="dxa"/>
            <w:vAlign w:val="bottom"/>
          </w:tcPr>
          <w:p>
            <w:pPr>
              <w:spacing w:after="0"/>
              <w:rPr>
                <w:sz w:val="1"/>
                <w:szCs w:val="1"/>
                <w:color w:val="auto"/>
              </w:rPr>
            </w:pPr>
          </w:p>
        </w:tc>
      </w:tr>
      <w:tr>
        <w:trPr>
          <w:trHeight w:val="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0000FF"/>
                <w:w w:val="91"/>
              </w:rPr>
              <w:t>Common</w:t>
            </w:r>
          </w:p>
        </w:tc>
        <w:tc>
          <w:tcPr>
            <w:tcW w:w="56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0000FF"/>
                <w:w w:val="86"/>
              </w:rPr>
              <w:t>208,555</w:t>
            </w:r>
          </w:p>
        </w:tc>
        <w:tc>
          <w:tcPr>
            <w:tcW w:w="760" w:type="dxa"/>
            <w:vAlign w:val="bottom"/>
            <w:vMerge w:val="restart"/>
          </w:tcPr>
          <w:p>
            <w:pPr>
              <w:ind w:left="360"/>
              <w:spacing w:after="0"/>
              <w:rPr>
                <w:sz w:val="20"/>
                <w:szCs w:val="20"/>
                <w:color w:val="auto"/>
              </w:rPr>
            </w:pPr>
            <w:r>
              <w:rPr>
                <w:rFonts w:ascii="Arial" w:cs="Arial" w:eastAsia="Arial" w:hAnsi="Arial"/>
                <w:sz w:val="14"/>
                <w:szCs w:val="14"/>
                <w:color w:val="0000FF"/>
              </w:rPr>
              <w:t>I</w:t>
            </w: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restart"/>
          </w:tcPr>
          <w:p>
            <w:pPr>
              <w:ind w:left="80"/>
              <w:spacing w:after="0" w:line="164" w:lineRule="exact"/>
              <w:rPr>
                <w:sz w:val="20"/>
                <w:szCs w:val="20"/>
                <w:color w:val="auto"/>
              </w:rPr>
            </w:pPr>
            <w:r>
              <w:rPr>
                <w:rFonts w:ascii="Arial" w:cs="Arial" w:eastAsia="Arial" w:hAnsi="Arial"/>
                <w:sz w:val="12"/>
                <w:szCs w:val="12"/>
                <w:color w:val="0000FF"/>
              </w:rPr>
              <w:t>Siblings</w:t>
            </w:r>
            <w:r>
              <w:rPr>
                <w:rFonts w:ascii="Arial" w:cs="Arial" w:eastAsia="Arial" w:hAnsi="Arial"/>
                <w:sz w:val="19"/>
                <w:szCs w:val="19"/>
                <w:color w:val="008000"/>
                <w:vertAlign w:val="superscript"/>
              </w:rPr>
              <w:t>(1)</w:t>
            </w:r>
          </w:p>
        </w:tc>
        <w:tc>
          <w:tcPr>
            <w:tcW w:w="0" w:type="dxa"/>
            <w:vAlign w:val="bottom"/>
          </w:tcPr>
          <w:p>
            <w:pPr>
              <w:spacing w:after="0"/>
              <w:rPr>
                <w:sz w:val="1"/>
                <w:szCs w:val="1"/>
                <w:color w:val="auto"/>
              </w:rPr>
            </w:pPr>
          </w:p>
        </w:tc>
      </w:tr>
      <w:tr>
        <w:trPr>
          <w:trHeight w:val="76"/>
        </w:trPr>
        <w:tc>
          <w:tcPr>
            <w:tcW w:w="7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720" w:type="dxa"/>
            <w:vAlign w:val="bottom"/>
            <w:tcBorders>
              <w:bottom w:val="single" w:sz="8" w:color="2C2C2C"/>
            </w:tcBorders>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jc w:val="center"/>
              <w:spacing w:after="0" w:line="149" w:lineRule="exact"/>
              <w:rPr>
                <w:sz w:val="20"/>
                <w:szCs w:val="20"/>
                <w:color w:val="auto"/>
              </w:rPr>
            </w:pPr>
            <w:r>
              <w:rPr>
                <w:rFonts w:ascii="Arial" w:cs="Arial" w:eastAsia="Arial" w:hAnsi="Arial"/>
                <w:sz w:val="14"/>
                <w:szCs w:val="14"/>
                <w:color w:val="0000FF"/>
                <w:w w:val="91"/>
              </w:rPr>
              <w:t>Stock</w:t>
            </w:r>
          </w:p>
        </w:tc>
        <w:tc>
          <w:tcPr>
            <w:tcW w:w="5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vMerge w:val="restart"/>
          </w:tcPr>
          <w:p>
            <w:pPr>
              <w:jc w:val="right"/>
              <w:ind w:right="281"/>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00" w:type="dxa"/>
            <w:vAlign w:val="bottom"/>
          </w:tcPr>
          <w:p>
            <w:pPr>
              <w:jc w:val="center"/>
              <w:spacing w:after="0"/>
              <w:rPr>
                <w:sz w:val="20"/>
                <w:szCs w:val="20"/>
                <w:color w:val="auto"/>
              </w:rPr>
            </w:pPr>
            <w:r>
              <w:rPr>
                <w:rFonts w:ascii="Arial" w:cs="Arial" w:eastAsia="Arial" w:hAnsi="Arial"/>
                <w:sz w:val="14"/>
                <w:szCs w:val="14"/>
                <w:color w:val="0000FF"/>
                <w:w w:val="82"/>
              </w:rPr>
              <w:t>Class B</w:t>
            </w:r>
          </w:p>
        </w:tc>
        <w:tc>
          <w:tcPr>
            <w:tcW w:w="560" w:type="dxa"/>
            <w:vAlign w:val="bottom"/>
            <w:vMerge w:val="restart"/>
          </w:tcPr>
          <w:p>
            <w:pPr>
              <w:jc w:val="right"/>
              <w:ind w:right="181"/>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vMerge w:val="restart"/>
          </w:tcPr>
          <w:p>
            <w:pPr>
              <w:ind w:left="80"/>
              <w:spacing w:after="0"/>
              <w:rPr>
                <w:sz w:val="20"/>
                <w:szCs w:val="20"/>
                <w:color w:val="auto"/>
              </w:rPr>
            </w:pPr>
            <w:r>
              <w:rPr>
                <w:rFonts w:ascii="Arial" w:cs="Arial" w:eastAsia="Arial" w:hAnsi="Arial"/>
                <w:sz w:val="14"/>
                <w:szCs w:val="14"/>
                <w:color w:val="0000FF"/>
                <w:w w:val="98"/>
              </w:rPr>
              <w:t>Beneficiary</w:t>
            </w: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91"/>
              </w:rPr>
              <w:t>Common</w:t>
            </w: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6"/>
              </w:rPr>
              <w:t>388,225</w:t>
            </w:r>
          </w:p>
        </w:tc>
        <w:tc>
          <w:tcPr>
            <w:tcW w:w="76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I</w:t>
            </w: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restart"/>
          </w:tcPr>
          <w:p>
            <w:pPr>
              <w:ind w:left="80"/>
              <w:spacing w:after="0"/>
              <w:rPr>
                <w:sz w:val="20"/>
                <w:szCs w:val="20"/>
                <w:color w:val="auto"/>
              </w:rPr>
            </w:pPr>
            <w:r>
              <w:rPr>
                <w:rFonts w:ascii="Arial" w:cs="Arial" w:eastAsia="Arial" w:hAnsi="Arial"/>
                <w:sz w:val="14"/>
                <w:szCs w:val="14"/>
                <w:color w:val="0000FF"/>
              </w:rPr>
              <w:t>of Trusts</w:t>
            </w: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0000FF"/>
                <w:w w:val="91"/>
              </w:rPr>
              <w:t>Stock</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0000FF"/>
                <w:w w:val="82"/>
              </w:rPr>
              <w:t>Class B</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ind w:left="80"/>
              <w:spacing w:after="0"/>
              <w:rPr>
                <w:sz w:val="20"/>
                <w:szCs w:val="20"/>
                <w:color w:val="auto"/>
              </w:rPr>
            </w:pPr>
            <w:r>
              <w:rPr>
                <w:rFonts w:ascii="Arial" w:cs="Arial" w:eastAsia="Arial" w:hAnsi="Arial"/>
                <w:sz w:val="14"/>
                <w:szCs w:val="14"/>
                <w:color w:val="0000FF"/>
              </w:rPr>
              <w:t>Trusts for</w:t>
            </w:r>
          </w:p>
        </w:tc>
        <w:tc>
          <w:tcPr>
            <w:tcW w:w="0" w:type="dxa"/>
            <w:vAlign w:val="bottom"/>
          </w:tcPr>
          <w:p>
            <w:pPr>
              <w:spacing w:after="0"/>
              <w:rPr>
                <w:sz w:val="1"/>
                <w:szCs w:val="1"/>
                <w:color w:val="auto"/>
              </w:rPr>
            </w:pPr>
          </w:p>
        </w:tc>
      </w:tr>
      <w:tr>
        <w:trPr>
          <w:trHeight w:val="146"/>
        </w:trPr>
        <w:tc>
          <w:tcPr>
            <w:tcW w:w="720" w:type="dxa"/>
            <w:vAlign w:val="bottom"/>
          </w:tcPr>
          <w:p>
            <w:pPr>
              <w:ind w:left="60"/>
              <w:spacing w:after="0" w:line="146" w:lineRule="exact"/>
              <w:rPr>
                <w:sz w:val="20"/>
                <w:szCs w:val="20"/>
                <w:color w:val="auto"/>
              </w:rPr>
            </w:pPr>
            <w:r>
              <w:rPr>
                <w:rFonts w:ascii="Arial" w:cs="Arial" w:eastAsia="Arial" w:hAnsi="Arial"/>
                <w:sz w:val="14"/>
                <w:szCs w:val="14"/>
                <w:color w:val="0000FF"/>
              </w:rPr>
              <w:t>Common</w:t>
            </w:r>
          </w:p>
        </w:tc>
        <w:tc>
          <w:tcPr>
            <w:tcW w:w="820" w:type="dxa"/>
            <w:vAlign w:val="bottom"/>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right"/>
              <w:ind w:right="281"/>
              <w:spacing w:after="0"/>
              <w:rPr>
                <w:sz w:val="20"/>
                <w:szCs w:val="20"/>
                <w:color w:val="auto"/>
              </w:rPr>
            </w:pPr>
            <w:r>
              <w:rPr>
                <w:rFonts w:ascii="Arial" w:cs="Arial" w:eastAsia="Arial" w:hAnsi="Arial"/>
                <w:sz w:val="11"/>
                <w:szCs w:val="11"/>
                <w:color w:val="008000"/>
              </w:rPr>
              <w:t>(2)</w:t>
            </w:r>
          </w:p>
        </w:tc>
        <w:tc>
          <w:tcPr>
            <w:tcW w:w="760" w:type="dxa"/>
            <w:vAlign w:val="bottom"/>
          </w:tcPr>
          <w:p>
            <w:pPr>
              <w:jc w:val="center"/>
              <w:spacing w:after="0"/>
              <w:rPr>
                <w:sz w:val="20"/>
                <w:szCs w:val="20"/>
                <w:color w:val="auto"/>
              </w:rPr>
            </w:pPr>
            <w:r>
              <w:rPr>
                <w:rFonts w:ascii="Arial" w:cs="Arial" w:eastAsia="Arial" w:hAnsi="Arial"/>
                <w:sz w:val="11"/>
                <w:szCs w:val="11"/>
                <w:color w:val="008000"/>
              </w:rPr>
              <w:t>(2)</w:t>
            </w:r>
          </w:p>
        </w:tc>
        <w:tc>
          <w:tcPr>
            <w:tcW w:w="700" w:type="dxa"/>
            <w:vAlign w:val="bottom"/>
          </w:tcPr>
          <w:p>
            <w:pPr>
              <w:jc w:val="center"/>
              <w:spacing w:after="0" w:line="146" w:lineRule="exact"/>
              <w:rPr>
                <w:sz w:val="20"/>
                <w:szCs w:val="20"/>
                <w:color w:val="auto"/>
              </w:rPr>
            </w:pPr>
            <w:r>
              <w:rPr>
                <w:rFonts w:ascii="Arial" w:cs="Arial" w:eastAsia="Arial" w:hAnsi="Arial"/>
                <w:sz w:val="14"/>
                <w:szCs w:val="14"/>
                <w:color w:val="0000FF"/>
                <w:w w:val="91"/>
              </w:rPr>
              <w:t>Common</w:t>
            </w:r>
          </w:p>
        </w:tc>
        <w:tc>
          <w:tcPr>
            <w:tcW w:w="560" w:type="dxa"/>
            <w:vAlign w:val="bottom"/>
          </w:tcPr>
          <w:p>
            <w:pPr>
              <w:jc w:val="right"/>
              <w:ind w:right="181"/>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4"/>
                <w:szCs w:val="14"/>
                <w:color w:val="0000FF"/>
                <w:w w:val="85"/>
              </w:rPr>
              <w:t>1,800</w:t>
            </w:r>
          </w:p>
        </w:tc>
        <w:tc>
          <w:tcPr>
            <w:tcW w:w="760" w:type="dxa"/>
            <w:vAlign w:val="bottom"/>
          </w:tcPr>
          <w:p>
            <w:pPr>
              <w:ind w:left="360"/>
              <w:spacing w:after="0" w:line="146" w:lineRule="exact"/>
              <w:rPr>
                <w:sz w:val="20"/>
                <w:szCs w:val="20"/>
                <w:color w:val="auto"/>
              </w:rPr>
            </w:pPr>
            <w:r>
              <w:rPr>
                <w:rFonts w:ascii="Arial" w:cs="Arial" w:eastAsia="Arial" w:hAnsi="Arial"/>
                <w:sz w:val="14"/>
                <w:szCs w:val="14"/>
                <w:color w:val="0000FF"/>
              </w:rPr>
              <w:t>I</w:t>
            </w:r>
          </w:p>
        </w:tc>
        <w:tc>
          <w:tcPr>
            <w:tcW w:w="780" w:type="dxa"/>
            <w:vAlign w:val="bottom"/>
          </w:tcPr>
          <w:p>
            <w:pPr>
              <w:ind w:left="80"/>
              <w:spacing w:after="0" w:line="146" w:lineRule="exact"/>
              <w:rPr>
                <w:sz w:val="20"/>
                <w:szCs w:val="20"/>
                <w:color w:val="auto"/>
              </w:rPr>
            </w:pPr>
            <w:r>
              <w:rPr>
                <w:rFonts w:ascii="Arial" w:cs="Arial" w:eastAsia="Arial" w:hAnsi="Arial"/>
                <w:sz w:val="14"/>
                <w:szCs w:val="14"/>
                <w:color w:val="0000FF"/>
              </w:rPr>
              <w:t>Children of</w:t>
            </w:r>
          </w:p>
        </w:tc>
        <w:tc>
          <w:tcPr>
            <w:tcW w:w="0" w:type="dxa"/>
            <w:vAlign w:val="bottom"/>
          </w:tcPr>
          <w:p>
            <w:pPr>
              <w:spacing w:after="0"/>
              <w:rPr>
                <w:sz w:val="1"/>
                <w:szCs w:val="1"/>
                <w:color w:val="auto"/>
              </w:rPr>
            </w:pPr>
          </w:p>
        </w:tc>
      </w:tr>
      <w:tr>
        <w:trPr>
          <w:trHeight w:val="293"/>
        </w:trPr>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0000FF"/>
                <w:w w:val="91"/>
              </w:rPr>
              <w:t>Stock</w:t>
            </w: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ind w:left="80"/>
              <w:spacing w:after="0"/>
              <w:rPr>
                <w:sz w:val="20"/>
                <w:szCs w:val="20"/>
                <w:color w:val="auto"/>
              </w:rPr>
            </w:pPr>
            <w:r>
              <w:rPr>
                <w:rFonts w:ascii="Arial" w:cs="Arial" w:eastAsia="Arial" w:hAnsi="Arial"/>
                <w:sz w:val="14"/>
                <w:szCs w:val="14"/>
                <w:color w:val="0000FF"/>
              </w:rPr>
              <w:t>Siblings</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a trustee of the trust that owns the reported securities, but he is not a beneficiary of such trust. The reporting person disclaims beneficial ownership of the reported securities.</w:t>
      </w:r>
    </w:p>
    <w:p>
      <w:pPr>
        <w:spacing w:after="0" w:line="64"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of Class A Common Stock are convertible into shares of Class B Common Stock at any time on a one-for-one basis and have no expiration date.</w:t>
      </w:r>
    </w:p>
    <w:p>
      <w:pPr>
        <w:spacing w:after="0" w:line="41" w:lineRule="exact"/>
        <w:rPr>
          <w:rFonts w:ascii="Arial" w:cs="Arial" w:eastAsia="Arial" w:hAnsi="Arial"/>
          <w:sz w:val="14"/>
          <w:szCs w:val="14"/>
          <w:color w:val="008000"/>
        </w:rPr>
      </w:pPr>
    </w:p>
    <w:p>
      <w:pPr>
        <w:ind w:left="20" w:right="26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$1,070.00 to $1,070.67, inclusive. The reporting person undertakes to provide to Graham Holdings Company, any security holder of Graham Holdings Company, or the staff of the Securities and Exchange Commission, upon request, full information regarding the shares sold at each separate price within the ranges set forth in footnotes (3) to (5), inclusive to this Form 4.</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$1,070.00 to $1,071.00, inclusive.</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$1,070.00 to $1,070.67, inclusive.</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Nicole M. Maddrey for</w:t>
            </w:r>
          </w:p>
        </w:tc>
        <w:tc>
          <w:tcPr>
            <w:tcW w:w="26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06/11/2015</w:t>
            </w:r>
          </w:p>
        </w:tc>
        <w:tc>
          <w:tcPr>
            <w:tcW w:w="0" w:type="dxa"/>
            <w:vAlign w:val="bottom"/>
          </w:tcPr>
          <w:p>
            <w:pPr>
              <w:spacing w:after="0"/>
              <w:rPr>
                <w:sz w:val="1"/>
                <w:szCs w:val="1"/>
                <w:color w:val="auto"/>
              </w:rPr>
            </w:pPr>
          </w:p>
        </w:tc>
      </w:tr>
      <w:tr>
        <w:trPr>
          <w:trHeight w:val="88"/>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0000FF"/>
                <w:w w:val="88"/>
              </w:rPr>
              <w:t>Donald E. Graham</w:t>
            </w:r>
          </w:p>
        </w:tc>
        <w:tc>
          <w:tcPr>
            <w:tcW w:w="78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4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64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60" w:top="188"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018401" TargetMode="External"/><Relationship Id="rId13"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2019-12-23T21:34:23Z</dcterms:created>
  <dcterms:modified xsi:type="dcterms:W3CDTF">2019-12-23T21:34:23Z</dcterms:modified>
</cp:coreProperties>
</file>