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November 12,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225"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On November 12, 2025, Graham Holdings Company (the Company) commenced a private offering of $500 million aggregate principal amount of senior unsecured notes due 2033 (the Notes), subject to market and other conditions. The Notes will be guaranteed, jointly and</w:t>
      </w:r>
    </w:p>
    <w:p>
      <w:pPr>
        <w:ind w:right="100"/>
        <w:spacing w:after="0" w:line="237" w:lineRule="auto"/>
        <w:rPr>
          <w:sz w:val="20"/>
          <w:szCs w:val="20"/>
          <w:color w:val="auto"/>
        </w:rPr>
      </w:pPr>
      <w:r>
        <w:rPr>
          <w:rFonts w:ascii="Arial" w:cs="Arial" w:eastAsia="Arial" w:hAnsi="Arial"/>
          <w:sz w:val="18"/>
          <w:szCs w:val="18"/>
          <w:color w:val="auto"/>
        </w:rPr>
        <w:t>severally, on a senior unsecured basis, by certain of the Company’s existing and future domestic subsidiaries. A copy of the press release is attached hereto as Exhibit 99.1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concurrently with the offering of Notes, the Company intends to amend and restate its revolving credit facility, increasing the</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total commitments by lenders under such facility to $400 million. The offering of Notes is not conditioned on the closing of the amended revolving credit facility, though the closing of such amendment is conditioned on the closing of the offering of Notes. If the offering of Notes is</w:t>
      </w:r>
    </w:p>
    <w:p>
      <w:pPr>
        <w:spacing w:after="0" w:line="235" w:lineRule="auto"/>
        <w:rPr>
          <w:sz w:val="20"/>
          <w:szCs w:val="20"/>
          <w:color w:val="auto"/>
        </w:rPr>
      </w:pPr>
      <w:r>
        <w:rPr>
          <w:rFonts w:ascii="Arial" w:cs="Arial" w:eastAsia="Arial" w:hAnsi="Arial"/>
          <w:sz w:val="18"/>
          <w:szCs w:val="18"/>
          <w:color w:val="auto"/>
        </w:rPr>
        <w:t>consummated, the Company intends to use the net proceeds from the offering of Notes, together with the borrowings under the amended</w:t>
      </w:r>
    </w:p>
    <w:p>
      <w:pPr>
        <w:ind w:right="260"/>
        <w:spacing w:after="0"/>
        <w:rPr>
          <w:sz w:val="20"/>
          <w:szCs w:val="20"/>
          <w:color w:val="auto"/>
        </w:rPr>
      </w:pPr>
      <w:r>
        <w:rPr>
          <w:rFonts w:ascii="Arial" w:cs="Arial" w:eastAsia="Arial" w:hAnsi="Arial"/>
          <w:sz w:val="17"/>
          <w:szCs w:val="17"/>
          <w:color w:val="auto"/>
        </w:rPr>
        <w:t>revolving credit facility, to (i) redeem all of the outstanding 5.750% notes due 2026, (ii) refinance outstanding revolving loans under the existing revolving credit facility, (iii) repay all amounts outstanding under the Company’s existing $150 million term loan facility and (iv) pay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fees and expenses.</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Notes and related guarantees will be offered in the United States to qualified institutional buyers under Rule 144A under the Securities Act of 1933, as amended (the Securities Act), and to persons outside of the United States under Regulation S under the Securities Act. The</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Notes and the related guarantees will not be registered under the Securities Act or any state securities laws, and, unless so registered, may not be offered or sold in the United States absent registration or an applicable exemption from registration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Form 8-K does not constitute an offer to sell or a solicitation of an offer to buy the securities described herein, nor shall</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there be any sale of these securities in any state or other jurisdiction in which such an offer, solicitation or sale would be unlawful prior to registration or qualification under the securities laws of any such jurisdiction.</w:t>
      </w:r>
    </w:p>
    <w:p>
      <w:pPr>
        <w:spacing w:after="0" w:line="38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66"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Press Release dated November 12, 2025.</w:t>
      </w:r>
    </w:p>
    <w:p>
      <w:pPr>
        <w:spacing w:after="0" w:line="23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Cautionary Statement Concerning Forward-Looking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and the documents incorporated by reference herein may contain certain “forward-looking statements” within the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meaning of the Private Securities Litigation Reform Act of 1995. Forward-looking statements are based on expectations, forecasts, and assumptions by the Company’s management and involve a number of risks, uncertainties, and other factors that could cause actual results to</w:t>
      </w:r>
    </w:p>
    <w:p>
      <w:pPr>
        <w:spacing w:after="0" w:line="236" w:lineRule="auto"/>
        <w:rPr>
          <w:sz w:val="20"/>
          <w:szCs w:val="20"/>
          <w:color w:val="auto"/>
        </w:rPr>
      </w:pPr>
      <w:r>
        <w:rPr>
          <w:rFonts w:ascii="Arial" w:cs="Arial" w:eastAsia="Arial" w:hAnsi="Arial"/>
          <w:sz w:val="18"/>
          <w:szCs w:val="18"/>
          <w:color w:val="auto"/>
        </w:rPr>
        <w:t>differ from those stated, including, without limitation, the risks and uncertainties described in Item 1A of the Company’s Form 10-Q for the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quarter ended September 30, 2025 and the Annual Report on Form 10-K for the fiscal year ended December 31, 2024. Accordingly, undue reliance should not be placed on any forward-looking statement made by or on behalf of the Company. The Company assumes no obligation</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to update any forward-looking statement after the date on which such statement is made, even if new information subsequently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258445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November 12,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093"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 Announces Proposed $500 Million Private Offering of Senior Notes</w:t>
      </w:r>
    </w:p>
    <w:p>
      <w:pPr>
        <w:spacing w:after="0" w:line="23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ARLINGTON, VA – November 12, 2025 – Graham Holdings Company (NYSE: GHC) (the Company) today announced that it intends to offer, subject to market and other conditions, $500 million in aggregate principal amount of its senior unsecured notes due 2033 (the Notes). The</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Notes will be guaranteed, jointly and severally, on a senior unsecured basis, by certain of the Company’s existing and future domestic subsidiaries.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concurrently with the offering of Notes, the Company intends to amend and restate its revolving credit facility, increasing the</w:t>
      </w:r>
    </w:p>
    <w:p>
      <w:pPr>
        <w:spacing w:after="0" w:line="14"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total commitments by lenders under such facility to $400 million. The offering of Notes is not conditioned on the closing of the amended revolving credit facility, though the closing of such amendment is conditioned on the closing of the offering of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If the offering of Notes is consummated, the Company intends to use the net proceeds from the offering of Notes, together with the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borrowings under the amended revolving credit facility, to (i) redeem all of the outstanding 5.750% notes due 2026, (ii) refinance outstanding revolving loans under the existing revolving credit facility, (iii) repay all amounts outstanding under the Company’s existing $150 million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loan facility and (iv) pay related fees and expenses.</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Notes and related guarantees have not been and will not be registered under the Securities Act of 1933, as amended (the Securities Act), or any state securities laws, and may not be offered or sold in the United States absent registration or an applicable exemption from the</w:t>
      </w:r>
    </w:p>
    <w:p>
      <w:pPr>
        <w:spacing w:after="0" w:line="235" w:lineRule="auto"/>
        <w:rPr>
          <w:sz w:val="20"/>
          <w:szCs w:val="20"/>
          <w:color w:val="auto"/>
        </w:rPr>
      </w:pPr>
      <w:r>
        <w:rPr>
          <w:rFonts w:ascii="Arial" w:cs="Arial" w:eastAsia="Arial" w:hAnsi="Arial"/>
          <w:sz w:val="18"/>
          <w:szCs w:val="18"/>
          <w:color w:val="auto"/>
        </w:rPr>
        <w:t>registration requirements of the Securities Act and the rules promulgated thereunder. The Notes and related guarantees will be offered only</w:t>
      </w:r>
    </w:p>
    <w:p>
      <w:pPr>
        <w:spacing w:after="0" w:line="219" w:lineRule="auto"/>
        <w:rPr>
          <w:sz w:val="20"/>
          <w:szCs w:val="20"/>
          <w:color w:val="auto"/>
        </w:rPr>
      </w:pPr>
      <w:r>
        <w:rPr>
          <w:rFonts w:ascii="Arial" w:cs="Arial" w:eastAsia="Arial" w:hAnsi="Arial"/>
          <w:sz w:val="18"/>
          <w:szCs w:val="18"/>
          <w:color w:val="auto"/>
        </w:rPr>
        <w:t>to qualified institutional buyers in the United States pursuant to Rule 144A of the Securities Act and outside the United States to non-U.S.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persons in reliance on Regulation S under the Securities Act.</w:t>
      </w:r>
    </w:p>
    <w:p>
      <w:pPr>
        <w:spacing w:after="0" w:line="14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Certain statements in this announcement, including statements regarding the proposed offering of the Notes, the anticipated amendment and</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restatement of the Company’s existing revolving credit facility and the Company’s intended use for the proceeds therefrom, may contain certain forward-looking statements that are based largely on the Company’s current expectations. Forward-looking statements are subject to</w:t>
      </w:r>
    </w:p>
    <w:p>
      <w:pPr>
        <w:spacing w:after="0" w:line="2"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certain risks and uncertainties that could cause actual results and achievements to differ materially from those expressed in the forward-looking statements. Such forward-looking statements only speak as of the date of this announcement, and the Company disclaims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obligation to update information contained in these forward-looking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Wallace R. Cooney</w:t>
      </w:r>
    </w:p>
    <w:p>
      <w:pPr>
        <w:spacing w:after="0" w:line="50" w:lineRule="exact"/>
        <w:rPr>
          <w:sz w:val="20"/>
          <w:szCs w:val="20"/>
          <w:color w:val="auto"/>
        </w:rPr>
      </w:pPr>
    </w:p>
    <w:p>
      <w:pPr>
        <w:ind w:left="1480" w:right="7580" w:hanging="10"/>
        <w:spacing w:after="0" w:line="368" w:lineRule="auto"/>
        <w:tabs>
          <w:tab w:leader="none" w:pos="19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345-6470 wallace.cooney@ghco.com</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2025-11-12T06:48:52Z</dcterms:created>
  <dcterms:modified xsi:type="dcterms:W3CDTF">2025-11-12T06:48:52Z</dcterms:modified>
</cp:coreProperties>
</file>