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ind w:left="3080"/>
        <w:spacing w:after="0" w:line="237" w:lineRule="auto"/>
        <w:rPr>
          <w:sz w:val="20"/>
          <w:szCs w:val="20"/>
          <w:color w:val="auto"/>
        </w:rPr>
      </w:pPr>
      <w:r>
        <w:rPr>
          <w:rFonts w:ascii="Courier New" w:cs="Courier New" w:eastAsia="Courier New" w:hAnsi="Courier New"/>
          <w:sz w:val="15"/>
          <w:szCs w:val="15"/>
          <w:color w:val="auto"/>
        </w:rPr>
        <w:t>FORM 10-Q</w:t>
      </w:r>
    </w:p>
    <w:p>
      <w:pPr>
        <w:ind w:left="2020"/>
        <w:spacing w:after="0" w:line="238" w:lineRule="auto"/>
        <w:rPr>
          <w:sz w:val="20"/>
          <w:szCs w:val="20"/>
          <w:color w:val="auto"/>
        </w:rPr>
      </w:pPr>
      <w:r>
        <w:rPr>
          <w:rFonts w:ascii="Courier New" w:cs="Courier New" w:eastAsia="Courier New" w:hAnsi="Courier New"/>
          <w:sz w:val="15"/>
          <w:szCs w:val="15"/>
          <w:color w:val="auto"/>
        </w:rPr>
        <w:t>SECURITIES AND EXCHANGE COMMISSION</w:t>
      </w:r>
    </w:p>
    <w:p>
      <w:pPr>
        <w:ind w:left="2540"/>
        <w:spacing w:after="0"/>
        <w:tabs>
          <w:tab w:leader="none" w:pos="39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Quarterly Report Pursuant to Section 13 or 15(d)</w:t>
      </w:r>
    </w:p>
    <w:p>
      <w:pPr>
        <w:jc w:val="center"/>
        <w:ind w:right="3219"/>
        <w:spacing w:after="0" w:line="237" w:lineRule="auto"/>
        <w:rPr>
          <w:sz w:val="20"/>
          <w:szCs w:val="20"/>
          <w:color w:val="auto"/>
        </w:rPr>
      </w:pPr>
      <w:r>
        <w:rPr>
          <w:rFonts w:ascii="Courier New" w:cs="Courier New" w:eastAsia="Courier New" w:hAnsi="Courier New"/>
          <w:sz w:val="15"/>
          <w:szCs w:val="15"/>
          <w:color w:val="auto"/>
        </w:rPr>
        <w:t>of the Securities Exchange Act of 1934</w:t>
      </w: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Quarterly</w:t>
      </w:r>
    </w:p>
    <w:p>
      <w:pPr>
        <w:spacing w:after="0"/>
        <w:tabs>
          <w:tab w:leader="none" w:pos="1660" w:val="left"/>
          <w:tab w:leader="none" w:pos="3480" w:val="left"/>
        </w:tabs>
        <w:rPr>
          <w:sz w:val="20"/>
          <w:szCs w:val="20"/>
          <w:color w:val="auto"/>
        </w:rPr>
      </w:pPr>
      <w:r>
        <w:rPr>
          <w:rFonts w:ascii="Courier New" w:cs="Courier New" w:eastAsia="Courier New" w:hAnsi="Courier New"/>
          <w:sz w:val="15"/>
          <w:szCs w:val="15"/>
          <w:color w:val="auto"/>
        </w:rPr>
        <w:t>Period Ended</w:t>
      </w:r>
      <w:r>
        <w:rPr>
          <w:sz w:val="20"/>
          <w:szCs w:val="20"/>
          <w:color w:val="auto"/>
        </w:rPr>
        <w:tab/>
      </w:r>
      <w:r>
        <w:rPr>
          <w:rFonts w:ascii="Courier New" w:cs="Courier New" w:eastAsia="Courier New" w:hAnsi="Courier New"/>
          <w:sz w:val="15"/>
          <w:szCs w:val="15"/>
          <w:color w:val="auto"/>
        </w:rPr>
        <w:t>September 28, 1997</w:t>
      </w:r>
      <w:r>
        <w:rPr>
          <w:sz w:val="20"/>
          <w:szCs w:val="20"/>
          <w:color w:val="auto"/>
        </w:rPr>
        <w:tab/>
      </w:r>
      <w:r>
        <w:rPr>
          <w:rFonts w:ascii="Courier New" w:cs="Courier New" w:eastAsia="Courier New" w:hAnsi="Courier New"/>
          <w:sz w:val="14"/>
          <w:szCs w:val="14"/>
          <w:color w:val="auto"/>
        </w:rPr>
        <w:t>Commission File Number 1-6714</w:t>
      </w:r>
    </w:p>
    <w:p>
      <w:pPr>
        <w:ind w:left="1060"/>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5"/>
          <w:szCs w:val="15"/>
          <w:color w:val="auto"/>
        </w:rPr>
        <w:t>THE WASHINGTON POST COMPANY</w:t>
      </w:r>
    </w:p>
    <w:p>
      <w:pPr>
        <w:ind w:left="540"/>
        <w:spacing w:after="0" w:line="237" w:lineRule="auto"/>
        <w:rPr>
          <w:sz w:val="20"/>
          <w:szCs w:val="20"/>
          <w:color w:val="auto"/>
        </w:rPr>
      </w:pPr>
      <w:r>
        <w:rPr>
          <w:rFonts w:ascii="Courier New" w:cs="Courier New" w:eastAsia="Courier New" w:hAnsi="Courier New"/>
          <w:sz w:val="15"/>
          <w:szCs w:val="15"/>
          <w:color w:val="auto"/>
        </w:rPr>
        <w:t>-----------------------------------------------------------------</w:t>
      </w:r>
    </w:p>
    <w:p>
      <w:pPr>
        <w:ind w:left="98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03" w:lineRule="exact"/>
        <w:rPr>
          <w:sz w:val="24"/>
          <w:szCs w:val="24"/>
          <w:color w:val="auto"/>
        </w:rPr>
      </w:pPr>
    </w:p>
    <w:p>
      <w:pPr>
        <w:ind w:left="1500"/>
        <w:spacing w:after="0"/>
        <w:tabs>
          <w:tab w:leader="none" w:pos="3480" w:val="left"/>
        </w:tabs>
        <w:rPr>
          <w:sz w:val="20"/>
          <w:szCs w:val="20"/>
          <w:color w:val="auto"/>
        </w:rPr>
      </w:pP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5"/>
          <w:szCs w:val="15"/>
          <w:color w:val="auto"/>
        </w:rPr>
        <w:t>53-0182885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(State or</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other jurisdiction of</w:t>
            </w:r>
          </w:p>
        </w:tc>
        <w:tc>
          <w:tcPr>
            <w:tcW w:w="2480" w:type="dxa"/>
            <w:vAlign w:val="bottom"/>
          </w:tcPr>
          <w:p>
            <w:pPr>
              <w:ind w:left="640"/>
              <w:spacing w:after="0"/>
              <w:rPr>
                <w:sz w:val="20"/>
                <w:szCs w:val="20"/>
                <w:color w:val="auto"/>
              </w:rPr>
            </w:pPr>
            <w:r>
              <w:rPr>
                <w:rFonts w:ascii="Courier New" w:cs="Courier New" w:eastAsia="Courier New" w:hAnsi="Courier New"/>
                <w:sz w:val="15"/>
                <w:szCs w:val="15"/>
                <w:color w:val="auto"/>
              </w:rPr>
              <w:t>(I.R.S. Employer</w:t>
            </w:r>
          </w:p>
        </w:tc>
        <w:tc>
          <w:tcPr>
            <w:tcW w:w="620" w:type="dxa"/>
            <w:vAlign w:val="bottom"/>
          </w:tcPr>
          <w:p>
            <w:pPr>
              <w:spacing w:after="0"/>
              <w:rPr>
                <w:sz w:val="14"/>
                <w:szCs w:val="14"/>
                <w:color w:val="auto"/>
              </w:rPr>
            </w:pP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248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Identification No.)</w:t>
            </w:r>
          </w:p>
        </w:tc>
        <w:tc>
          <w:tcPr>
            <w:tcW w:w="620" w:type="dxa"/>
            <w:vAlign w:val="bottom"/>
          </w:tcPr>
          <w:p>
            <w:pPr>
              <w:spacing w:after="0"/>
              <w:rPr>
                <w:sz w:val="14"/>
                <w:szCs w:val="14"/>
                <w:color w:val="auto"/>
              </w:rPr>
            </w:pPr>
          </w:p>
        </w:tc>
      </w:tr>
      <w:tr>
        <w:trPr>
          <w:trHeight w:val="505"/>
        </w:trPr>
        <w:tc>
          <w:tcPr>
            <w:tcW w:w="840" w:type="dxa"/>
            <w:vAlign w:val="bottom"/>
          </w:tcPr>
          <w:p>
            <w:pPr>
              <w:spacing w:after="0"/>
              <w:rPr>
                <w:sz w:val="20"/>
                <w:szCs w:val="20"/>
                <w:color w:val="auto"/>
              </w:rPr>
            </w:pPr>
            <w:r>
              <w:rPr>
                <w:rFonts w:ascii="Courier New" w:cs="Courier New" w:eastAsia="Courier New" w:hAnsi="Courier New"/>
                <w:sz w:val="15"/>
                <w:szCs w:val="15"/>
                <w:color w:val="auto"/>
              </w:rPr>
              <w:t>1150 15th</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Street, N.W.</w:t>
            </w:r>
          </w:p>
        </w:tc>
        <w:tc>
          <w:tcPr>
            <w:tcW w:w="2480" w:type="dxa"/>
            <w:vAlign w:val="bottom"/>
          </w:tcPr>
          <w:p>
            <w:pPr>
              <w:ind w:left="120"/>
              <w:spacing w:after="0"/>
              <w:rPr>
                <w:sz w:val="20"/>
                <w:szCs w:val="20"/>
                <w:color w:val="auto"/>
              </w:rPr>
            </w:pPr>
            <w:r>
              <w:rPr>
                <w:rFonts w:ascii="Courier New" w:cs="Courier New" w:eastAsia="Courier New" w:hAnsi="Courier New"/>
                <w:sz w:val="15"/>
                <w:szCs w:val="15"/>
                <w:color w:val="auto"/>
              </w:rPr>
              <w:t>Washington, D.C.</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20071</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540"/>
        <w:spacing w:after="0"/>
        <w:tabs>
          <w:tab w:leader="none" w:pos="524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35" w:lineRule="exact"/>
        <w:rPr>
          <w:sz w:val="24"/>
          <w:szCs w:val="24"/>
          <w:color w:val="auto"/>
        </w:rPr>
      </w:pPr>
    </w:p>
    <w:p>
      <w:pPr>
        <w:ind w:left="3240" w:hanging="519"/>
        <w:spacing w:after="0"/>
        <w:tabs>
          <w:tab w:leader="none" w:pos="3240"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334-6000</w:t>
      </w:r>
    </w:p>
    <w:p>
      <w:pPr>
        <w:spacing w:after="0" w:line="4"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0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(Registrant's telephone number, including area code)</w:t>
      </w:r>
    </w:p>
    <w:p>
      <w:pPr>
        <w:spacing w:after="0" w:line="200" w:lineRule="exact"/>
        <w:rPr>
          <w:sz w:val="24"/>
          <w:szCs w:val="24"/>
          <w:color w:val="auto"/>
        </w:rPr>
      </w:pPr>
    </w:p>
    <w:p>
      <w:pPr>
        <w:spacing w:after="0" w:line="303"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Indicate by check mark whether the registrant (1) has filed all</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reports required to be filed by Section 13 or 15(d) of the Securities Exchange</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Act of 1934 during the preceding 12 months (or for such shorter period that the</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 was required to file such reports), and (2) has been subject to such</w:t>
      </w:r>
    </w:p>
    <w:p>
      <w:pPr>
        <w:spacing w:after="0" w:line="3" w:lineRule="exact"/>
        <w:rPr>
          <w:sz w:val="24"/>
          <w:szCs w:val="24"/>
          <w:color w:val="auto"/>
        </w:rPr>
      </w:pPr>
    </w:p>
    <w:p>
      <w:pPr>
        <w:spacing w:after="0"/>
        <w:tabs>
          <w:tab w:leader="none" w:pos="3760" w:val="left"/>
          <w:tab w:leader="none" w:pos="4280" w:val="left"/>
          <w:tab w:leader="none" w:pos="4720" w:val="left"/>
          <w:tab w:leader="none" w:pos="5060" w:val="left"/>
          <w:tab w:leader="none" w:pos="5840" w:val="left"/>
        </w:tabs>
        <w:rPr>
          <w:sz w:val="20"/>
          <w:szCs w:val="20"/>
          <w:color w:val="auto"/>
        </w:rPr>
      </w:pPr>
      <w:r>
        <w:rPr>
          <w:rFonts w:ascii="Courier New" w:cs="Courier New" w:eastAsia="Courier New" w:hAnsi="Courier New"/>
          <w:sz w:val="15"/>
          <w:szCs w:val="15"/>
          <w:color w:val="auto"/>
        </w:rPr>
        <w:t>filing requirements for the past 90 days.</w:t>
        <w:tab/>
        <w:t>Yes</w:t>
        <w:tab/>
        <w:t>X</w:t>
      </w:r>
      <w:r>
        <w:rPr>
          <w:sz w:val="20"/>
          <w:szCs w:val="20"/>
          <w:color w:val="auto"/>
        </w:rPr>
        <w:tab/>
      </w:r>
      <w:r>
        <w:rPr>
          <w:rFonts w:ascii="Courier New" w:cs="Courier New" w:eastAsia="Courier New" w:hAnsi="Courier New"/>
          <w:sz w:val="15"/>
          <w:szCs w:val="15"/>
          <w:color w:val="auto"/>
        </w:rPr>
        <w:t>.</w:t>
        <w:tab/>
        <w:t>No</w:t>
      </w:r>
      <w:r>
        <w:rPr>
          <w:sz w:val="20"/>
          <w:szCs w:val="20"/>
          <w:color w:val="auto"/>
        </w:rPr>
        <w:tab/>
      </w:r>
      <w:r>
        <w:rPr>
          <w:rFonts w:ascii="Courier New" w:cs="Courier New" w:eastAsia="Courier New" w:hAnsi="Courier New"/>
          <w:sz w:val="15"/>
          <w:szCs w:val="15"/>
          <w:color w:val="auto"/>
        </w:rPr>
        <w:t>.</w:t>
      </w:r>
    </w:p>
    <w:p>
      <w:pPr>
        <w:ind w:left="4120"/>
        <w:spacing w:after="0" w:line="237" w:lineRule="auto"/>
        <w:tabs>
          <w:tab w:leader="none" w:pos="5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Shares outstanding at October 31, 1997:</w:t>
      </w:r>
    </w:p>
    <w:p>
      <w:pPr>
        <w:sectPr>
          <w:pgSz w:w="11900" w:h="16838" w:orient="portrait"/>
          <w:cols w:equalWidth="0" w:num="1">
            <w:col w:w="10239"/>
          </w:cols>
          <w:pgMar w:left="220" w:top="225" w:right="1440" w:bottom="1440" w:gutter="0" w:footer="0" w:header="0"/>
        </w:sectPr>
      </w:pPr>
    </w:p>
    <w:p>
      <w:pPr>
        <w:spacing w:after="0" w:line="173" w:lineRule="exact"/>
        <w:rPr>
          <w:sz w:val="24"/>
          <w:szCs w:val="24"/>
          <w:color w:val="auto"/>
        </w:rPr>
      </w:pPr>
    </w:p>
    <w:p>
      <w:pPr>
        <w:ind w:left="1500"/>
        <w:spacing w:after="0"/>
        <w:rPr>
          <w:sz w:val="20"/>
          <w:szCs w:val="20"/>
          <w:color w:val="auto"/>
        </w:rPr>
      </w:pPr>
      <w:r>
        <w:rPr>
          <w:rFonts w:ascii="Courier New" w:cs="Courier New" w:eastAsia="Courier New" w:hAnsi="Courier New"/>
          <w:sz w:val="14"/>
          <w:szCs w:val="14"/>
          <w:color w:val="auto"/>
        </w:rPr>
        <w:t>Class A Common Stock</w:t>
      </w:r>
    </w:p>
    <w:p>
      <w:pPr>
        <w:spacing w:after="0" w:line="178" w:lineRule="exact"/>
        <w:rPr>
          <w:sz w:val="24"/>
          <w:szCs w:val="24"/>
          <w:color w:val="auto"/>
        </w:rPr>
      </w:pPr>
    </w:p>
    <w:p>
      <w:pPr>
        <w:ind w:left="1500"/>
        <w:spacing w:after="0"/>
        <w:rPr>
          <w:sz w:val="20"/>
          <w:szCs w:val="20"/>
          <w:color w:val="auto"/>
        </w:rPr>
      </w:pPr>
      <w:r>
        <w:rPr>
          <w:rFonts w:ascii="Courier New" w:cs="Courier New" w:eastAsia="Courier New" w:hAnsi="Courier New"/>
          <w:sz w:val="14"/>
          <w:szCs w:val="14"/>
          <w:color w:val="auto"/>
        </w:rPr>
        <w:t>Class B Common Stock</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1,739,250 Shares</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8,733,799 Shares</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3760" w:space="720"/>
            <w:col w:w="575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ind w:left="6840"/>
        <w:spacing w:after="0" w:line="237" w:lineRule="auto"/>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THE WASHINGTON POST COMPANY</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INDEX TO FORM 10-Q</w:t>
      </w: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Page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Condensed Consolidated Statements of Income</w:t>
      </w:r>
    </w:p>
    <w:tbl>
      <w:tblPr>
        <w:tblLayout w:type="fixed"/>
        <w:tblInd w:w="0" w:type="dxa"/>
        <w:tblCellMar>
          <w:top w:w="0" w:type="dxa"/>
          <w:left w:w="0" w:type="dxa"/>
          <w:bottom w:w="0" w:type="dxa"/>
          <w:right w:w="0" w:type="dxa"/>
        </w:tblCellMar>
      </w:tblPr>
      <w:tr>
        <w:trPr>
          <w:trHeight w:val="168"/>
        </w:trPr>
        <w:tc>
          <w:tcPr>
            <w:tcW w:w="101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(Unaudited) for the Thirteen and Thirty-nine</w:t>
            </w:r>
          </w:p>
        </w:tc>
        <w:tc>
          <w:tcPr>
            <w:tcW w:w="260" w:type="dxa"/>
            <w:vAlign w:val="bottom"/>
          </w:tcPr>
          <w:p>
            <w:pPr>
              <w:spacing w:after="0"/>
              <w:rPr>
                <w:sz w:val="14"/>
                <w:szCs w:val="14"/>
                <w:color w:val="auto"/>
              </w:rPr>
            </w:pPr>
          </w:p>
        </w:tc>
      </w:tr>
      <w:tr>
        <w:trPr>
          <w:trHeight w:val="168"/>
        </w:trPr>
        <w:tc>
          <w:tcPr>
            <w:tcW w:w="101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Weeks Ended September 28, 1997 and</w:t>
            </w:r>
          </w:p>
        </w:tc>
        <w:tc>
          <w:tcPr>
            <w:tcW w:w="260" w:type="dxa"/>
            <w:vAlign w:val="bottom"/>
          </w:tcPr>
          <w:p>
            <w:pPr>
              <w:spacing w:after="0"/>
              <w:rPr>
                <w:sz w:val="14"/>
                <w:szCs w:val="14"/>
                <w:color w:val="auto"/>
              </w:rPr>
            </w:pPr>
          </w:p>
        </w:tc>
      </w:tr>
      <w:tr>
        <w:trPr>
          <w:trHeight w:val="168"/>
        </w:trPr>
        <w:tc>
          <w:tcPr>
            <w:tcW w:w="101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w w:val="98"/>
              </w:rPr>
              <w:t>September 29, 1996  . . . . . . . . .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336"/>
        </w:trPr>
        <w:tc>
          <w:tcPr>
            <w:tcW w:w="10160" w:type="dxa"/>
            <w:vAlign w:val="bottom"/>
          </w:tcPr>
          <w:p>
            <w:pPr>
              <w:ind w:left="800"/>
              <w:spacing w:after="0"/>
              <w:rPr>
                <w:sz w:val="20"/>
                <w:szCs w:val="20"/>
                <w:color w:val="auto"/>
              </w:rPr>
            </w:pPr>
            <w:r>
              <w:rPr>
                <w:rFonts w:ascii="Courier New" w:cs="Courier New" w:eastAsia="Courier New" w:hAnsi="Courier New"/>
                <w:sz w:val="15"/>
                <w:szCs w:val="15"/>
                <w:color w:val="auto"/>
              </w:rPr>
              <w:t>Condensed Consolidated Balance Sheets</w:t>
            </w:r>
          </w:p>
        </w:tc>
        <w:tc>
          <w:tcPr>
            <w:tcW w:w="260" w:type="dxa"/>
            <w:vAlign w:val="bottom"/>
          </w:tcPr>
          <w:p>
            <w:pPr>
              <w:spacing w:after="0"/>
              <w:rPr>
                <w:sz w:val="24"/>
                <w:szCs w:val="24"/>
                <w:color w:val="auto"/>
              </w:rPr>
            </w:pPr>
          </w:p>
        </w:tc>
      </w:tr>
      <w:tr>
        <w:trPr>
          <w:trHeight w:val="168"/>
        </w:trPr>
        <w:tc>
          <w:tcPr>
            <w:tcW w:w="101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at September 28, 1997 (Unaudited)</w:t>
            </w:r>
          </w:p>
        </w:tc>
        <w:tc>
          <w:tcPr>
            <w:tcW w:w="260" w:type="dxa"/>
            <w:vAlign w:val="bottom"/>
          </w:tcPr>
          <w:p>
            <w:pPr>
              <w:spacing w:after="0"/>
              <w:rPr>
                <w:sz w:val="14"/>
                <w:szCs w:val="14"/>
                <w:color w:val="auto"/>
              </w:rPr>
            </w:pPr>
          </w:p>
        </w:tc>
      </w:tr>
      <w:tr>
        <w:trPr>
          <w:trHeight w:val="168"/>
        </w:trPr>
        <w:tc>
          <w:tcPr>
            <w:tcW w:w="101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w w:val="98"/>
              </w:rPr>
              <w:t>and December 29, 1996 . . . . . . . .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336"/>
        </w:trPr>
        <w:tc>
          <w:tcPr>
            <w:tcW w:w="10160" w:type="dxa"/>
            <w:vAlign w:val="bottom"/>
          </w:tcPr>
          <w:p>
            <w:pPr>
              <w:ind w:left="800"/>
              <w:spacing w:after="0"/>
              <w:rPr>
                <w:sz w:val="20"/>
                <w:szCs w:val="20"/>
                <w:color w:val="auto"/>
              </w:rPr>
            </w:pPr>
            <w:r>
              <w:rPr>
                <w:rFonts w:ascii="Courier New" w:cs="Courier New" w:eastAsia="Courier New" w:hAnsi="Courier New"/>
                <w:sz w:val="15"/>
                <w:szCs w:val="15"/>
                <w:color w:val="auto"/>
              </w:rPr>
              <w:t>Condensed Consolidated Statements of Cash Flows</w:t>
            </w:r>
          </w:p>
        </w:tc>
        <w:tc>
          <w:tcPr>
            <w:tcW w:w="260" w:type="dxa"/>
            <w:vAlign w:val="bottom"/>
          </w:tcPr>
          <w:p>
            <w:pPr>
              <w:spacing w:after="0"/>
              <w:rPr>
                <w:sz w:val="24"/>
                <w:szCs w:val="24"/>
                <w:color w:val="auto"/>
              </w:rPr>
            </w:pPr>
          </w:p>
        </w:tc>
      </w:tr>
      <w:tr>
        <w:trPr>
          <w:trHeight w:val="168"/>
        </w:trPr>
        <w:tc>
          <w:tcPr>
            <w:tcW w:w="101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(Unaudited) for the Thirty-nine Weeks Ended</w:t>
            </w:r>
          </w:p>
        </w:tc>
        <w:tc>
          <w:tcPr>
            <w:tcW w:w="260" w:type="dxa"/>
            <w:vAlign w:val="bottom"/>
          </w:tcPr>
          <w:p>
            <w:pPr>
              <w:spacing w:after="0"/>
              <w:rPr>
                <w:sz w:val="14"/>
                <w:szCs w:val="14"/>
                <w:color w:val="auto"/>
              </w:rPr>
            </w:pPr>
          </w:p>
        </w:tc>
      </w:tr>
      <w:tr>
        <w:trPr>
          <w:trHeight w:val="168"/>
        </w:trPr>
        <w:tc>
          <w:tcPr>
            <w:tcW w:w="101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w w:val="98"/>
              </w:rPr>
              <w:t>September 28, 1997 and September 29, 1996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336"/>
        </w:trPr>
        <w:tc>
          <w:tcPr>
            <w:tcW w:w="10160" w:type="dxa"/>
            <w:vAlign w:val="bottom"/>
          </w:tcPr>
          <w:p>
            <w:pPr>
              <w:ind w:left="800"/>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260" w:type="dxa"/>
            <w:vAlign w:val="bottom"/>
          </w:tcPr>
          <w:p>
            <w:pPr>
              <w:spacing w:after="0"/>
              <w:rPr>
                <w:sz w:val="24"/>
                <w:szCs w:val="24"/>
                <w:color w:val="auto"/>
              </w:rPr>
            </w:pPr>
          </w:p>
        </w:tc>
      </w:tr>
      <w:tr>
        <w:trPr>
          <w:trHeight w:val="168"/>
        </w:trPr>
        <w:tc>
          <w:tcPr>
            <w:tcW w:w="101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w w:val="98"/>
              </w:rPr>
              <w:t>(Unaudited) . . . . . . . . . . . . .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336"/>
        </w:trPr>
        <w:tc>
          <w:tcPr>
            <w:tcW w:w="10160" w:type="dxa"/>
            <w:vAlign w:val="bottom"/>
          </w:tcPr>
          <w:p>
            <w:pPr>
              <w:spacing w:after="0"/>
              <w:rPr>
                <w:sz w:val="20"/>
                <w:szCs w:val="20"/>
                <w:color w:val="auto"/>
              </w:rPr>
            </w:pPr>
            <w:r>
              <w:rPr>
                <w:rFonts w:ascii="Courier New" w:cs="Courier New" w:eastAsia="Courier New" w:hAnsi="Courier New"/>
                <w:sz w:val="15"/>
                <w:szCs w:val="15"/>
                <w:color w:val="auto"/>
              </w:rPr>
              <w:t>Item 2.  Management's Discussion and Analysis of Results of</w:t>
            </w:r>
          </w:p>
        </w:tc>
        <w:tc>
          <w:tcPr>
            <w:tcW w:w="260" w:type="dxa"/>
            <w:vAlign w:val="bottom"/>
          </w:tcPr>
          <w:p>
            <w:pPr>
              <w:spacing w:after="0"/>
              <w:rPr>
                <w:sz w:val="24"/>
                <w:szCs w:val="24"/>
                <w:color w:val="auto"/>
              </w:rPr>
            </w:pPr>
          </w:p>
        </w:tc>
      </w:tr>
      <w:tr>
        <w:trPr>
          <w:trHeight w:val="168"/>
        </w:trPr>
        <w:tc>
          <w:tcPr>
            <w:tcW w:w="101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w w:val="98"/>
              </w:rPr>
              <w:t>Operations and Financial Condition  .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336"/>
        </w:trPr>
        <w:tc>
          <w:tcPr>
            <w:tcW w:w="10160" w:type="dxa"/>
            <w:vAlign w:val="bottom"/>
          </w:tcPr>
          <w:p>
            <w:pPr>
              <w:spacing w:after="0"/>
              <w:rPr>
                <w:sz w:val="20"/>
                <w:szCs w:val="20"/>
                <w:color w:val="auto"/>
              </w:rPr>
            </w:pPr>
            <w:r>
              <w:rPr>
                <w:rFonts w:ascii="Courier New" w:cs="Courier New" w:eastAsia="Courier New" w:hAnsi="Courier New"/>
                <w:sz w:val="15"/>
                <w:szCs w:val="15"/>
                <w:color w:val="auto"/>
              </w:rPr>
              <w:t>PART II. OTHER INFORMATION</w:t>
            </w:r>
          </w:p>
        </w:tc>
        <w:tc>
          <w:tcPr>
            <w:tcW w:w="260" w:type="dxa"/>
            <w:vAlign w:val="bottom"/>
          </w:tcPr>
          <w:p>
            <w:pPr>
              <w:spacing w:after="0"/>
              <w:rPr>
                <w:sz w:val="24"/>
                <w:szCs w:val="24"/>
                <w:color w:val="auto"/>
              </w:rPr>
            </w:pPr>
          </w:p>
        </w:tc>
      </w:tr>
      <w:tr>
        <w:trPr>
          <w:trHeight w:val="336"/>
        </w:trPr>
        <w:tc>
          <w:tcPr>
            <w:tcW w:w="10160" w:type="dxa"/>
            <w:vAlign w:val="bottom"/>
          </w:tcPr>
          <w:p>
            <w:pPr>
              <w:spacing w:after="0"/>
              <w:rPr>
                <w:sz w:val="20"/>
                <w:szCs w:val="20"/>
                <w:color w:val="auto"/>
              </w:rPr>
            </w:pPr>
            <w:r>
              <w:rPr>
                <w:rFonts w:ascii="Courier New" w:cs="Courier New" w:eastAsia="Courier New" w:hAnsi="Courier New"/>
                <w:sz w:val="15"/>
                <w:szCs w:val="15"/>
                <w:color w:val="auto"/>
                <w:w w:val="97"/>
              </w:rPr>
              <w:t>Item 6.  Exhibits and Reports on Form 8-K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336"/>
        </w:trPr>
        <w:tc>
          <w:tcPr>
            <w:tcW w:w="10160" w:type="dxa"/>
            <w:vAlign w:val="bottom"/>
          </w:tcPr>
          <w:p>
            <w:pPr>
              <w:spacing w:after="0"/>
              <w:rPr>
                <w:sz w:val="20"/>
                <w:szCs w:val="20"/>
                <w:color w:val="auto"/>
              </w:rPr>
            </w:pPr>
            <w:r>
              <w:rPr>
                <w:rFonts w:ascii="Courier New" w:cs="Courier New" w:eastAsia="Courier New" w:hAnsi="Courier New"/>
                <w:sz w:val="15"/>
                <w:szCs w:val="15"/>
                <w:color w:val="auto"/>
                <w:w w:val="97"/>
              </w:rPr>
              <w:t>Signatures  . . . . . . . . . . . . . . . . . . . . . . . . . .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336"/>
        </w:trPr>
        <w:tc>
          <w:tcPr>
            <w:tcW w:w="10160" w:type="dxa"/>
            <w:vAlign w:val="bottom"/>
          </w:tcPr>
          <w:p>
            <w:pPr>
              <w:spacing w:after="0"/>
              <w:rPr>
                <w:sz w:val="20"/>
                <w:szCs w:val="20"/>
                <w:color w:val="auto"/>
              </w:rPr>
            </w:pPr>
            <w:r>
              <w:rPr>
                <w:rFonts w:ascii="Courier New" w:cs="Courier New" w:eastAsia="Courier New" w:hAnsi="Courier New"/>
                <w:sz w:val="15"/>
                <w:szCs w:val="15"/>
                <w:color w:val="auto"/>
              </w:rPr>
              <w:t>Exhibit 11</w:t>
            </w:r>
          </w:p>
        </w:tc>
        <w:tc>
          <w:tcPr>
            <w:tcW w:w="260" w:type="dxa"/>
            <w:vAlign w:val="bottom"/>
          </w:tcPr>
          <w:p>
            <w:pPr>
              <w:spacing w:after="0"/>
              <w:rPr>
                <w:sz w:val="24"/>
                <w:szCs w:val="24"/>
                <w:color w:val="auto"/>
              </w:rPr>
            </w:pPr>
          </w:p>
        </w:tc>
      </w:tr>
      <w:tr>
        <w:trPr>
          <w:trHeight w:val="336"/>
        </w:trPr>
        <w:tc>
          <w:tcPr>
            <w:tcW w:w="10160" w:type="dxa"/>
            <w:vAlign w:val="bottom"/>
          </w:tcPr>
          <w:p>
            <w:pPr>
              <w:spacing w:after="0"/>
              <w:rPr>
                <w:sz w:val="20"/>
                <w:szCs w:val="20"/>
                <w:color w:val="auto"/>
              </w:rPr>
            </w:pPr>
            <w:r>
              <w:rPr>
                <w:rFonts w:ascii="Courier New" w:cs="Courier New" w:eastAsia="Courier New" w:hAnsi="Courier New"/>
                <w:sz w:val="15"/>
                <w:szCs w:val="15"/>
                <w:color w:val="auto"/>
              </w:rPr>
              <w:t>Exhibit 27 (Electronic Filing Only)</w:t>
            </w:r>
          </w:p>
        </w:tc>
        <w:tc>
          <w:tcPr>
            <w:tcW w:w="260" w:type="dxa"/>
            <w:vAlign w:val="bottom"/>
          </w:tcPr>
          <w:p>
            <w:pPr>
              <w:spacing w:after="0"/>
              <w:rPr>
                <w:sz w:val="24"/>
                <w:szCs w:val="24"/>
                <w:color w:val="auto"/>
              </w:rPr>
            </w:pPr>
          </w:p>
        </w:tc>
      </w:tr>
    </w:tbl>
    <w:p>
      <w:pPr>
        <w:sectPr>
          <w:pgSz w:w="11900" w:h="16838" w:orient="portrait"/>
          <w:cols w:equalWidth="0" w:num="1">
            <w:col w:w="10600"/>
          </w:cols>
          <w:pgMar w:left="220" w:top="281" w:right="107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ind w:left="280"/>
              <w:spacing w:after="0"/>
              <w:rPr>
                <w:sz w:val="20"/>
                <w:szCs w:val="20"/>
                <w:color w:val="auto"/>
              </w:rPr>
            </w:pPr>
            <w:r>
              <w:rPr>
                <w:rFonts w:ascii="Courier New" w:cs="Courier New" w:eastAsia="Courier New" w:hAnsi="Courier New"/>
                <w:sz w:val="15"/>
                <w:szCs w:val="15"/>
                <w:color w:val="auto"/>
              </w:rPr>
              <w:t>3</w:t>
            </w: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FINANCIAL INFORMATION</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w:t>
            </w:r>
          </w:p>
        </w:tc>
        <w:tc>
          <w:tcPr>
            <w:tcW w:w="428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Statements</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The Washington Post Company</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Condensed Consolidated Statements of Income (Unaudited)</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8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gridSpan w:val="3"/>
          </w:tcPr>
          <w:p>
            <w:pPr>
              <w:jc w:val="right"/>
              <w:ind w:right="667"/>
              <w:spacing w:after="0"/>
              <w:rPr>
                <w:sz w:val="20"/>
                <w:szCs w:val="20"/>
                <w:color w:val="auto"/>
              </w:rPr>
            </w:pPr>
            <w:r>
              <w:rPr>
                <w:rFonts w:ascii="Courier New" w:cs="Courier New" w:eastAsia="Courier New" w:hAnsi="Courier New"/>
                <w:sz w:val="15"/>
                <w:szCs w:val="15"/>
                <w:color w:val="auto"/>
              </w:rPr>
              <w:t>Thirteen Weeks Ended</w:t>
            </w:r>
          </w:p>
        </w:tc>
        <w:tc>
          <w:tcPr>
            <w:tcW w:w="320" w:type="dxa"/>
            <w:vAlign w:val="bottom"/>
          </w:tcPr>
          <w:p>
            <w:pPr>
              <w:spacing w:after="0"/>
              <w:rPr>
                <w:sz w:val="24"/>
                <w:szCs w:val="24"/>
                <w:color w:val="auto"/>
              </w:rPr>
            </w:pPr>
          </w:p>
        </w:tc>
        <w:tc>
          <w:tcPr>
            <w:tcW w:w="254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Thirty-nine Weeks Ended</w:t>
            </w:r>
          </w:p>
        </w:tc>
      </w:tr>
      <w:tr>
        <w:trPr>
          <w:trHeight w:val="168"/>
        </w:trPr>
        <w:tc>
          <w:tcPr>
            <w:tcW w:w="8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3"/>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25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8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Sep. 28,</w:t>
            </w:r>
          </w:p>
        </w:tc>
        <w:tc>
          <w:tcPr>
            <w:tcW w:w="15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Sep. 29,</w:t>
            </w:r>
          </w:p>
        </w:tc>
        <w:tc>
          <w:tcPr>
            <w:tcW w:w="3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Sep. 28,</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Sep. 29,</w:t>
            </w:r>
          </w:p>
        </w:tc>
      </w:tr>
      <w:tr>
        <w:trPr>
          <w:trHeight w:val="168"/>
        </w:trPr>
        <w:tc>
          <w:tcPr>
            <w:tcW w:w="5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c>
          <w:tcPr>
            <w:tcW w:w="36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1997</w:t>
            </w:r>
          </w:p>
        </w:tc>
        <w:tc>
          <w:tcPr>
            <w:tcW w:w="52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8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15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Operating revenues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Advertising</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286,074</w:t>
            </w:r>
          </w:p>
        </w:tc>
        <w:tc>
          <w:tcPr>
            <w:tcW w:w="15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$ 274,719</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892,551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837,986</w:t>
            </w:r>
          </w:p>
        </w:tc>
      </w:tr>
      <w:tr>
        <w:trPr>
          <w:trHeight w:val="168"/>
        </w:trPr>
        <w:tc>
          <w:tcPr>
            <w:tcW w:w="5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Circulation and subscriber</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134,238</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124,916</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386,814</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363,475</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58,063</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60,691</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154,486</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148,336</w:t>
            </w:r>
          </w:p>
        </w:tc>
      </w:tr>
      <w:tr>
        <w:trPr>
          <w:trHeight w:val="168"/>
        </w:trPr>
        <w:tc>
          <w:tcPr>
            <w:tcW w:w="8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8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478,375</w:t>
            </w:r>
          </w:p>
        </w:tc>
        <w:tc>
          <w:tcPr>
            <w:tcW w:w="52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460,326</w:t>
            </w:r>
          </w:p>
        </w:tc>
        <w:tc>
          <w:tcPr>
            <w:tcW w:w="32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1,433,851</w:t>
            </w:r>
          </w:p>
        </w:tc>
        <w:tc>
          <w:tcPr>
            <w:tcW w:w="44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1,349,797</w:t>
            </w:r>
          </w:p>
        </w:tc>
      </w:tr>
      <w:tr>
        <w:trPr>
          <w:trHeight w:val="168"/>
        </w:trPr>
        <w:tc>
          <w:tcPr>
            <w:tcW w:w="8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Operating</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253,565</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245,763</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743,547</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741,885</w:t>
            </w:r>
          </w:p>
        </w:tc>
      </w:tr>
      <w:tr>
        <w:trPr>
          <w:trHeight w:val="168"/>
        </w:trPr>
        <w:tc>
          <w:tcPr>
            <w:tcW w:w="5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107,186</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103,937</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332,947</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305,290</w:t>
            </w:r>
          </w:p>
        </w:tc>
      </w:tr>
      <w:tr>
        <w:trPr>
          <w:trHeight w:val="168"/>
        </w:trPr>
        <w:tc>
          <w:tcPr>
            <w:tcW w:w="5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 of</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property, plant and equipment</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18,007</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15,979</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53,668</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48,143</w:t>
            </w:r>
          </w:p>
        </w:tc>
      </w:tr>
      <w:tr>
        <w:trPr>
          <w:trHeight w:val="168"/>
        </w:trPr>
        <w:tc>
          <w:tcPr>
            <w:tcW w:w="5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Amortization of goodwill and other</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intangibles</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8,382</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7,427</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24,549</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21,575</w:t>
            </w:r>
          </w:p>
        </w:tc>
      </w:tr>
      <w:tr>
        <w:trPr>
          <w:trHeight w:val="168"/>
        </w:trPr>
        <w:tc>
          <w:tcPr>
            <w:tcW w:w="8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8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387,140</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373,106</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1,154,711</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1,116,893</w:t>
            </w:r>
          </w:p>
        </w:tc>
      </w:tr>
      <w:tr>
        <w:trPr>
          <w:trHeight w:val="168"/>
        </w:trPr>
        <w:tc>
          <w:tcPr>
            <w:tcW w:w="8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Income from operations</w:t>
            </w:r>
          </w:p>
        </w:tc>
        <w:tc>
          <w:tcPr>
            <w:tcW w:w="360" w:type="dxa"/>
            <w:vAlign w:val="bottom"/>
          </w:tcPr>
          <w:p>
            <w:pPr>
              <w:spacing w:after="0"/>
              <w:rPr>
                <w:sz w:val="24"/>
                <w:szCs w:val="2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91,235</w:t>
            </w:r>
          </w:p>
        </w:tc>
        <w:tc>
          <w:tcPr>
            <w:tcW w:w="52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87,220</w:t>
            </w:r>
          </w:p>
        </w:tc>
        <w:tc>
          <w:tcPr>
            <w:tcW w:w="32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279,140</w:t>
            </w:r>
          </w:p>
        </w:tc>
        <w:tc>
          <w:tcPr>
            <w:tcW w:w="44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232,904</w:t>
            </w:r>
          </w:p>
        </w:tc>
      </w:tr>
      <w:tr>
        <w:trPr>
          <w:trHeight w:val="336"/>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Equity in earnings of affiliates</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4,712</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2,537</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8,168</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17,697</w:t>
            </w:r>
          </w:p>
        </w:tc>
      </w:tr>
      <w:tr>
        <w:trPr>
          <w:trHeight w:val="168"/>
        </w:trPr>
        <w:tc>
          <w:tcPr>
            <w:tcW w:w="5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Interest income</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725</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1,358</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2,917</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3,757</w:t>
            </w:r>
          </w:p>
        </w:tc>
      </w:tr>
      <w:tr>
        <w:trPr>
          <w:trHeight w:val="168"/>
        </w:trPr>
        <w:tc>
          <w:tcPr>
            <w:tcW w:w="5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(182)</w:t>
            </w:r>
          </w:p>
        </w:tc>
        <w:tc>
          <w:tcPr>
            <w:tcW w:w="5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w:t>
            </w:r>
          </w:p>
        </w:tc>
        <w:tc>
          <w:tcPr>
            <w:tcW w:w="320" w:type="dxa"/>
            <w:vAlign w:val="bottom"/>
          </w:tcPr>
          <w:p>
            <w:pPr>
              <w:spacing w:after="0"/>
              <w:rPr>
                <w:sz w:val="14"/>
                <w:szCs w:val="14"/>
                <w:color w:val="auto"/>
              </w:rPr>
            </w:pP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(505)</w:t>
            </w:r>
          </w:p>
        </w:tc>
        <w:tc>
          <w:tcPr>
            <w:tcW w:w="4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(1,390)</w:t>
            </w: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23,471</w:t>
            </w:r>
          </w:p>
        </w:tc>
        <w:tc>
          <w:tcPr>
            <w:tcW w:w="5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24,292</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2,126</w:t>
            </w:r>
          </w:p>
        </w:tc>
      </w:tr>
      <w:tr>
        <w:trPr>
          <w:trHeight w:val="168"/>
        </w:trPr>
        <w:tc>
          <w:tcPr>
            <w:tcW w:w="8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15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income taxes</w:t>
            </w:r>
          </w:p>
        </w:tc>
        <w:tc>
          <w:tcPr>
            <w:tcW w:w="360" w:type="dxa"/>
            <w:vAlign w:val="bottom"/>
          </w:tcPr>
          <w:p>
            <w:pPr>
              <w:spacing w:after="0"/>
              <w:rPr>
                <w:sz w:val="24"/>
                <w:szCs w:val="2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119,961</w:t>
            </w:r>
          </w:p>
        </w:tc>
        <w:tc>
          <w:tcPr>
            <w:tcW w:w="52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90,894</w:t>
            </w:r>
          </w:p>
        </w:tc>
        <w:tc>
          <w:tcPr>
            <w:tcW w:w="32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314,012</w:t>
            </w:r>
          </w:p>
        </w:tc>
        <w:tc>
          <w:tcPr>
            <w:tcW w:w="44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255,094</w:t>
            </w:r>
          </w:p>
        </w:tc>
      </w:tr>
      <w:tr>
        <w:trPr>
          <w:trHeight w:val="168"/>
        </w:trPr>
        <w:tc>
          <w:tcPr>
            <w:tcW w:w="8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income taxes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Current</w:t>
            </w: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44,866</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35,128</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117,109</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96,714</w:t>
            </w:r>
          </w:p>
        </w:tc>
      </w:tr>
      <w:tr>
        <w:trPr>
          <w:trHeight w:val="168"/>
        </w:trPr>
        <w:tc>
          <w:tcPr>
            <w:tcW w:w="5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Deferred</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3,544</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375</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6,301</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2,829</w:t>
            </w:r>
          </w:p>
        </w:tc>
      </w:tr>
      <w:tr>
        <w:trPr>
          <w:trHeight w:val="168"/>
        </w:trPr>
        <w:tc>
          <w:tcPr>
            <w:tcW w:w="8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8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48,410</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35,503</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123,410</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99,543</w:t>
            </w:r>
          </w:p>
        </w:tc>
      </w:tr>
      <w:tr>
        <w:trPr>
          <w:trHeight w:val="168"/>
        </w:trPr>
        <w:tc>
          <w:tcPr>
            <w:tcW w:w="8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spacing w:after="0"/>
              <w:rPr>
                <w:sz w:val="24"/>
                <w:szCs w:val="2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71,551</w:t>
            </w:r>
          </w:p>
        </w:tc>
        <w:tc>
          <w:tcPr>
            <w:tcW w:w="52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55,391</w:t>
            </w:r>
          </w:p>
        </w:tc>
        <w:tc>
          <w:tcPr>
            <w:tcW w:w="32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190,602</w:t>
            </w:r>
          </w:p>
        </w:tc>
        <w:tc>
          <w:tcPr>
            <w:tcW w:w="44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155,551</w:t>
            </w:r>
          </w:p>
        </w:tc>
      </w:tr>
      <w:tr>
        <w:trPr>
          <w:trHeight w:val="336"/>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Redeemable preferred stock dividends</w:t>
            </w:r>
          </w:p>
        </w:tc>
        <w:tc>
          <w:tcPr>
            <w:tcW w:w="36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(239)</w:t>
            </w:r>
          </w:p>
        </w:tc>
        <w:tc>
          <w:tcPr>
            <w:tcW w:w="52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(478)</w:t>
            </w:r>
          </w:p>
        </w:tc>
        <w:tc>
          <w:tcPr>
            <w:tcW w:w="320" w:type="dxa"/>
            <w:vAlign w:val="bottom"/>
          </w:tcPr>
          <w:p>
            <w:pPr>
              <w:spacing w:after="0"/>
              <w:rPr>
                <w:sz w:val="24"/>
                <w:szCs w:val="24"/>
                <w:color w:val="auto"/>
              </w:rPr>
            </w:pPr>
          </w:p>
        </w:tc>
        <w:tc>
          <w:tcPr>
            <w:tcW w:w="12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(956)</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(680)</w:t>
            </w:r>
          </w:p>
        </w:tc>
      </w:tr>
      <w:tr>
        <w:trPr>
          <w:trHeight w:val="168"/>
        </w:trPr>
        <w:tc>
          <w:tcPr>
            <w:tcW w:w="8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Net income available for common shares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71,312</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54,913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189,646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154,871</w:t>
            </w:r>
          </w:p>
        </w:tc>
      </w:tr>
      <w:tr>
        <w:trPr>
          <w:trHeight w:val="168"/>
        </w:trPr>
        <w:tc>
          <w:tcPr>
            <w:tcW w:w="8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Earnings per common share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6.64</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17.57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14.09</w:t>
            </w:r>
          </w:p>
        </w:tc>
      </w:tr>
      <w:tr>
        <w:trPr>
          <w:trHeight w:val="168"/>
        </w:trPr>
        <w:tc>
          <w:tcPr>
            <w:tcW w:w="8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Dividends declared per common share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1.20</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4.60</w:t>
            </w:r>
          </w:p>
        </w:tc>
      </w:tr>
      <w:tr>
        <w:trPr>
          <w:trHeight w:val="168"/>
        </w:trPr>
        <w:tc>
          <w:tcPr>
            <w:tcW w:w="8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rPr>
              <w:t>Average number of common</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0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shares outstanding</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10,743</w:t>
            </w:r>
          </w:p>
        </w:tc>
        <w:tc>
          <w:tcPr>
            <w:tcW w:w="5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10,975</w:t>
            </w:r>
          </w:p>
        </w:tc>
        <w:tc>
          <w:tcPr>
            <w:tcW w:w="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10,794</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10,990</w:t>
            </w:r>
          </w:p>
        </w:tc>
      </w:tr>
    </w:tbl>
    <w:p>
      <w:pPr>
        <w:sectPr>
          <w:pgSz w:w="11900" w:h="16838" w:orient="portrait"/>
          <w:cols w:equalWidth="0" w:num="1">
            <w:col w:w="11040"/>
          </w:cols>
          <w:pgMar w:left="220" w:top="281" w:right="639"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tbl>
      <w:tblPr>
        <w:tblLayout w:type="fixed"/>
        <w:tblInd w:w="0" w:type="dxa"/>
        <w:tblCellMar>
          <w:top w:w="0" w:type="dxa"/>
          <w:left w:w="0" w:type="dxa"/>
          <w:bottom w:w="0" w:type="dxa"/>
          <w:right w:w="0" w:type="dxa"/>
        </w:tblCellMar>
      </w:tblPr>
      <w:tr>
        <w:trPr>
          <w:trHeight w:val="168"/>
        </w:trPr>
        <w:tc>
          <w:tcPr>
            <w:tcW w:w="5560" w:type="dxa"/>
            <w:vAlign w:val="bottom"/>
          </w:tcPr>
          <w:p>
            <w:pPr>
              <w:spacing w:after="0"/>
              <w:rPr>
                <w:sz w:val="14"/>
                <w:szCs w:val="14"/>
                <w:color w:val="auto"/>
              </w:rPr>
            </w:pP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The Washington Post Company</w:t>
            </w:r>
          </w:p>
        </w:tc>
        <w:tc>
          <w:tcPr>
            <w:tcW w:w="1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Condensed Consolidated Balance Sheets</w:t>
            </w: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05"/>
        </w:trPr>
        <w:tc>
          <w:tcPr>
            <w:tcW w:w="5560" w:type="dxa"/>
            <w:vAlign w:val="bottom"/>
          </w:tcPr>
          <w:p>
            <w:pPr>
              <w:spacing w:after="0"/>
              <w:rPr>
                <w:sz w:val="24"/>
                <w:szCs w:val="24"/>
                <w:color w:val="auto"/>
              </w:rPr>
            </w:pPr>
          </w:p>
        </w:tc>
        <w:tc>
          <w:tcPr>
            <w:tcW w:w="2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September 28,</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29,</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1700" w:type="dxa"/>
            <w:vAlign w:val="bottom"/>
          </w:tcPr>
          <w:p>
            <w:pPr>
              <w:spacing w:after="0"/>
              <w:rPr>
                <w:sz w:val="14"/>
                <w:szCs w:val="14"/>
                <w:color w:val="auto"/>
              </w:rPr>
            </w:pPr>
          </w:p>
        </w:tc>
        <w:tc>
          <w:tcPr>
            <w:tcW w:w="12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1997</w:t>
            </w:r>
          </w:p>
        </w:tc>
        <w:tc>
          <w:tcPr>
            <w:tcW w:w="6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560" w:type="dxa"/>
            <w:vAlign w:val="bottom"/>
          </w:tcPr>
          <w:p>
            <w:pPr>
              <w:spacing w:after="0"/>
              <w:rPr>
                <w:sz w:val="14"/>
                <w:szCs w:val="14"/>
                <w:color w:val="auto"/>
              </w:rPr>
            </w:pPr>
          </w:p>
        </w:tc>
        <w:tc>
          <w:tcPr>
            <w:tcW w:w="2980" w:type="dxa"/>
            <w:vAlign w:val="bottom"/>
            <w:gridSpan w:val="2"/>
          </w:tcPr>
          <w:p>
            <w:pPr>
              <w:ind w:left="1540"/>
              <w:spacing w:after="0" w:line="168" w:lineRule="exact"/>
              <w:rPr>
                <w:sz w:val="20"/>
                <w:szCs w:val="20"/>
                <w:color w:val="auto"/>
              </w:rPr>
            </w:pPr>
            <w:r>
              <w:rPr>
                <w:rFonts w:ascii="Courier New" w:cs="Courier New" w:eastAsia="Courier New" w:hAnsi="Courier New"/>
                <w:sz w:val="15"/>
                <w:szCs w:val="15"/>
                <w:color w:val="auto"/>
              </w:rPr>
              <w:t>(Unaudited)</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560" w:type="dxa"/>
            <w:vAlign w:val="bottom"/>
          </w:tcPr>
          <w:p>
            <w:pPr>
              <w:spacing w:after="0"/>
              <w:rPr>
                <w:sz w:val="14"/>
                <w:szCs w:val="14"/>
                <w:color w:val="auto"/>
              </w:rPr>
            </w:pPr>
          </w:p>
        </w:tc>
        <w:tc>
          <w:tcPr>
            <w:tcW w:w="29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34,202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102,278</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less estimated returns,</w:t>
            </w: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doubtful accounts and allowances</w:t>
            </w:r>
          </w:p>
        </w:tc>
        <w:tc>
          <w:tcPr>
            <w:tcW w:w="17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243,789</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233,063</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Inventories</w:t>
            </w:r>
          </w:p>
        </w:tc>
        <w:tc>
          <w:tcPr>
            <w:tcW w:w="17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26,931</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24,427</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7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23,468</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22,863</w:t>
            </w:r>
          </w:p>
        </w:tc>
      </w:tr>
      <w:tr>
        <w:trPr>
          <w:trHeight w:val="168"/>
        </w:trPr>
        <w:tc>
          <w:tcPr>
            <w:tcW w:w="5560" w:type="dxa"/>
            <w:vAlign w:val="bottom"/>
          </w:tcPr>
          <w:p>
            <w:pPr>
              <w:spacing w:after="0"/>
              <w:rPr>
                <w:sz w:val="14"/>
                <w:szCs w:val="14"/>
                <w:color w:val="auto"/>
              </w:rPr>
            </w:pPr>
          </w:p>
        </w:tc>
        <w:tc>
          <w:tcPr>
            <w:tcW w:w="29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328,390</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382,631</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Investments in affiliates</w:t>
            </w:r>
          </w:p>
        </w:tc>
        <w:tc>
          <w:tcPr>
            <w:tcW w:w="1700" w:type="dxa"/>
            <w:vAlign w:val="bottom"/>
          </w:tcPr>
          <w:p>
            <w:pPr>
              <w:spacing w:after="0"/>
              <w:rPr>
                <w:sz w:val="24"/>
                <w:szCs w:val="2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202,297</w:t>
            </w:r>
          </w:p>
        </w:tc>
        <w:tc>
          <w:tcPr>
            <w:tcW w:w="66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199,278</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Buildings</w:t>
            </w:r>
          </w:p>
        </w:tc>
        <w:tc>
          <w:tcPr>
            <w:tcW w:w="17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190,006</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188,527</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Machinery, equipment and fixtures</w:t>
            </w:r>
          </w:p>
        </w:tc>
        <w:tc>
          <w:tcPr>
            <w:tcW w:w="17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758,163</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768,509</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Leasehold improvements</w:t>
            </w:r>
          </w:p>
        </w:tc>
        <w:tc>
          <w:tcPr>
            <w:tcW w:w="17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38,383</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28,883</w:t>
            </w:r>
          </w:p>
        </w:tc>
      </w:tr>
      <w:tr>
        <w:trPr>
          <w:trHeight w:val="168"/>
        </w:trPr>
        <w:tc>
          <w:tcPr>
            <w:tcW w:w="5560" w:type="dxa"/>
            <w:vAlign w:val="bottom"/>
          </w:tcPr>
          <w:p>
            <w:pPr>
              <w:spacing w:after="0"/>
              <w:rPr>
                <w:sz w:val="14"/>
                <w:szCs w:val="14"/>
                <w:color w:val="auto"/>
              </w:rPr>
            </w:pPr>
          </w:p>
        </w:tc>
        <w:tc>
          <w:tcPr>
            <w:tcW w:w="29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986,552</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985,919</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Less accumulated depreciation and amortization</w:t>
            </w:r>
          </w:p>
        </w:tc>
        <w:tc>
          <w:tcPr>
            <w:tcW w:w="17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(627,517)</w:t>
            </w:r>
          </w:p>
        </w:tc>
        <w:tc>
          <w:tcPr>
            <w:tcW w:w="6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(594,195)</w:t>
            </w:r>
          </w:p>
        </w:tc>
      </w:tr>
      <w:tr>
        <w:trPr>
          <w:trHeight w:val="168"/>
        </w:trPr>
        <w:tc>
          <w:tcPr>
            <w:tcW w:w="5560" w:type="dxa"/>
            <w:vAlign w:val="bottom"/>
          </w:tcPr>
          <w:p>
            <w:pPr>
              <w:spacing w:after="0"/>
              <w:rPr>
                <w:sz w:val="14"/>
                <w:szCs w:val="14"/>
                <w:color w:val="auto"/>
              </w:rPr>
            </w:pPr>
          </w:p>
        </w:tc>
        <w:tc>
          <w:tcPr>
            <w:tcW w:w="29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359,035</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391,724</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Land</w:t>
            </w:r>
          </w:p>
        </w:tc>
        <w:tc>
          <w:tcPr>
            <w:tcW w:w="17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33,907</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34,332</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Construction in progress</w:t>
            </w:r>
          </w:p>
        </w:tc>
        <w:tc>
          <w:tcPr>
            <w:tcW w:w="17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199,688</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85,307</w:t>
            </w:r>
          </w:p>
        </w:tc>
      </w:tr>
      <w:tr>
        <w:trPr>
          <w:trHeight w:val="168"/>
        </w:trPr>
        <w:tc>
          <w:tcPr>
            <w:tcW w:w="5560" w:type="dxa"/>
            <w:vAlign w:val="bottom"/>
          </w:tcPr>
          <w:p>
            <w:pPr>
              <w:spacing w:after="0"/>
              <w:rPr>
                <w:sz w:val="14"/>
                <w:szCs w:val="14"/>
                <w:color w:val="auto"/>
              </w:rPr>
            </w:pPr>
          </w:p>
        </w:tc>
        <w:tc>
          <w:tcPr>
            <w:tcW w:w="29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592,630</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511,363</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and other intangibles,</w:t>
            </w: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less accumulated amortization</w:t>
            </w:r>
          </w:p>
        </w:tc>
        <w:tc>
          <w:tcPr>
            <w:tcW w:w="17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593,070</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544,349</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Deferred charges and other assets</w:t>
            </w:r>
          </w:p>
        </w:tc>
        <w:tc>
          <w:tcPr>
            <w:tcW w:w="1700" w:type="dxa"/>
            <w:vAlign w:val="bottom"/>
          </w:tcPr>
          <w:p>
            <w:pPr>
              <w:spacing w:after="0"/>
              <w:rPr>
                <w:sz w:val="24"/>
                <w:szCs w:val="2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266,717</w:t>
            </w:r>
          </w:p>
        </w:tc>
        <w:tc>
          <w:tcPr>
            <w:tcW w:w="66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232,790</w:t>
            </w:r>
          </w:p>
        </w:tc>
      </w:tr>
      <w:tr>
        <w:trPr>
          <w:trHeight w:val="168"/>
        </w:trPr>
        <w:tc>
          <w:tcPr>
            <w:tcW w:w="5560" w:type="dxa"/>
            <w:vAlign w:val="bottom"/>
          </w:tcPr>
          <w:p>
            <w:pPr>
              <w:spacing w:after="0"/>
              <w:rPr>
                <w:sz w:val="14"/>
                <w:szCs w:val="14"/>
                <w:color w:val="auto"/>
              </w:rPr>
            </w:pPr>
          </w:p>
        </w:tc>
        <w:tc>
          <w:tcPr>
            <w:tcW w:w="29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560" w:type="dxa"/>
            <w:vAlign w:val="bottom"/>
          </w:tcPr>
          <w:p>
            <w:pPr>
              <w:spacing w:after="0"/>
              <w:rPr>
                <w:sz w:val="14"/>
                <w:szCs w:val="14"/>
                <w:color w:val="auto"/>
              </w:rPr>
            </w:pPr>
          </w:p>
        </w:tc>
        <w:tc>
          <w:tcPr>
            <w:tcW w:w="29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$1,983,104</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$1,870,411</w:t>
            </w:r>
          </w:p>
        </w:tc>
      </w:tr>
      <w:tr>
        <w:trPr>
          <w:trHeight w:val="168"/>
        </w:trPr>
        <w:tc>
          <w:tcPr>
            <w:tcW w:w="5560" w:type="dxa"/>
            <w:vAlign w:val="bottom"/>
          </w:tcPr>
          <w:p>
            <w:pPr>
              <w:spacing w:after="0"/>
              <w:rPr>
                <w:sz w:val="14"/>
                <w:szCs w:val="14"/>
                <w:color w:val="auto"/>
              </w:rPr>
            </w:pPr>
          </w:p>
        </w:tc>
        <w:tc>
          <w:tcPr>
            <w:tcW w:w="29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1700" w:type="dxa"/>
            <w:vAlign w:val="bottom"/>
          </w:tcPr>
          <w:p>
            <w:pPr>
              <w:ind w:left="154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229,403</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194,186</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Federal and state income taxes</w:t>
            </w:r>
          </w:p>
        </w:tc>
        <w:tc>
          <w:tcPr>
            <w:tcW w:w="17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12,536</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5,381</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subscription revenue</w:t>
            </w:r>
          </w:p>
        </w:tc>
        <w:tc>
          <w:tcPr>
            <w:tcW w:w="17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75,314</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82,069</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 declared</w:t>
            </w:r>
          </w:p>
        </w:tc>
        <w:tc>
          <w:tcPr>
            <w:tcW w:w="17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13,097</w:t>
            </w:r>
          </w:p>
        </w:tc>
        <w:tc>
          <w:tcPr>
            <w:tcW w:w="6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rPr>
                <w:sz w:val="14"/>
                <w:szCs w:val="14"/>
                <w:color w:val="auto"/>
              </w:rPr>
            </w:pPr>
          </w:p>
        </w:tc>
        <w:tc>
          <w:tcPr>
            <w:tcW w:w="29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330,350</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281,636</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700" w:type="dxa"/>
            <w:vAlign w:val="bottom"/>
          </w:tcPr>
          <w:p>
            <w:pPr>
              <w:spacing w:after="0"/>
              <w:rPr>
                <w:sz w:val="24"/>
                <w:szCs w:val="2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232,444</w:t>
            </w:r>
          </w:p>
        </w:tc>
        <w:tc>
          <w:tcPr>
            <w:tcW w:w="66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223,878</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700" w:type="dxa"/>
            <w:vAlign w:val="bottom"/>
          </w:tcPr>
          <w:p>
            <w:pPr>
              <w:spacing w:after="0"/>
              <w:rPr>
                <w:sz w:val="24"/>
                <w:szCs w:val="2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34,650</w:t>
            </w:r>
          </w:p>
        </w:tc>
        <w:tc>
          <w:tcPr>
            <w:tcW w:w="66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30,147</w:t>
            </w:r>
          </w:p>
        </w:tc>
      </w:tr>
      <w:tr>
        <w:trPr>
          <w:trHeight w:val="168"/>
        </w:trPr>
        <w:tc>
          <w:tcPr>
            <w:tcW w:w="5560" w:type="dxa"/>
            <w:vAlign w:val="bottom"/>
          </w:tcPr>
          <w:p>
            <w:pPr>
              <w:spacing w:after="0"/>
              <w:rPr>
                <w:sz w:val="14"/>
                <w:szCs w:val="14"/>
                <w:color w:val="auto"/>
              </w:rPr>
            </w:pPr>
          </w:p>
        </w:tc>
        <w:tc>
          <w:tcPr>
            <w:tcW w:w="29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597,444</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535,661</w:t>
            </w:r>
          </w:p>
        </w:tc>
      </w:tr>
      <w:tr>
        <w:trPr>
          <w:trHeight w:val="168"/>
        </w:trPr>
        <w:tc>
          <w:tcPr>
            <w:tcW w:w="5560" w:type="dxa"/>
            <w:vAlign w:val="bottom"/>
          </w:tcPr>
          <w:p>
            <w:pPr>
              <w:spacing w:after="0"/>
              <w:rPr>
                <w:sz w:val="14"/>
                <w:szCs w:val="14"/>
                <w:color w:val="auto"/>
              </w:rPr>
            </w:pPr>
          </w:p>
        </w:tc>
        <w:tc>
          <w:tcPr>
            <w:tcW w:w="29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Redeemable preferred stock</w:t>
            </w:r>
          </w:p>
        </w:tc>
        <w:tc>
          <w:tcPr>
            <w:tcW w:w="1700" w:type="dxa"/>
            <w:vAlign w:val="bottom"/>
          </w:tcPr>
          <w:p>
            <w:pPr>
              <w:spacing w:after="0"/>
              <w:rPr>
                <w:sz w:val="24"/>
                <w:szCs w:val="2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11,947</w:t>
            </w:r>
          </w:p>
        </w:tc>
        <w:tc>
          <w:tcPr>
            <w:tcW w:w="66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11,947</w:t>
            </w:r>
          </w:p>
        </w:tc>
      </w:tr>
      <w:tr>
        <w:trPr>
          <w:trHeight w:val="168"/>
        </w:trPr>
        <w:tc>
          <w:tcPr>
            <w:tcW w:w="5560" w:type="dxa"/>
            <w:vAlign w:val="bottom"/>
          </w:tcPr>
          <w:p>
            <w:pPr>
              <w:spacing w:after="0"/>
              <w:rPr>
                <w:sz w:val="14"/>
                <w:szCs w:val="14"/>
                <w:color w:val="auto"/>
              </w:rPr>
            </w:pPr>
          </w:p>
        </w:tc>
        <w:tc>
          <w:tcPr>
            <w:tcW w:w="29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1700" w:type="dxa"/>
            <w:vAlign w:val="bottom"/>
          </w:tcPr>
          <w:p>
            <w:pPr>
              <w:spacing w:after="0"/>
              <w:rPr>
                <w:sz w:val="24"/>
                <w:szCs w:val="2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Common shareholders' equity</w:t>
            </w:r>
          </w:p>
        </w:tc>
        <w:tc>
          <w:tcPr>
            <w:tcW w:w="1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w:t>
            </w:r>
          </w:p>
        </w:tc>
        <w:tc>
          <w:tcPr>
            <w:tcW w:w="17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20,000</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20,000</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Capital in excess of par value</w:t>
            </w:r>
          </w:p>
        </w:tc>
        <w:tc>
          <w:tcPr>
            <w:tcW w:w="17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31,238</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26,455</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9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2,140,335</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2,002,359</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foreign currency translation</w:t>
            </w: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adjustment</w:t>
            </w:r>
          </w:p>
        </w:tc>
        <w:tc>
          <w:tcPr>
            <w:tcW w:w="17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1,132</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4,663</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Unrealized gain on available-for-sale</w:t>
            </w:r>
          </w:p>
        </w:tc>
        <w:tc>
          <w:tcPr>
            <w:tcW w:w="1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5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securities</w:t>
            </w:r>
          </w:p>
        </w:tc>
        <w:tc>
          <w:tcPr>
            <w:tcW w:w="170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344</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3,155</w:t>
            </w:r>
          </w:p>
        </w:tc>
      </w:tr>
      <w:tr>
        <w:trPr>
          <w:trHeight w:val="168"/>
        </w:trPr>
        <w:tc>
          <w:tcPr>
            <w:tcW w:w="5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 of Class B common stock held in Treasury</w:t>
            </w:r>
          </w:p>
        </w:tc>
        <w:tc>
          <w:tcPr>
            <w:tcW w:w="170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(819,336)</w:t>
            </w:r>
          </w:p>
        </w:tc>
        <w:tc>
          <w:tcPr>
            <w:tcW w:w="6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(733,829)</w:t>
            </w:r>
          </w:p>
        </w:tc>
      </w:tr>
      <w:tr>
        <w:trPr>
          <w:trHeight w:val="168"/>
        </w:trPr>
        <w:tc>
          <w:tcPr>
            <w:tcW w:w="5560" w:type="dxa"/>
            <w:vAlign w:val="bottom"/>
          </w:tcPr>
          <w:p>
            <w:pPr>
              <w:spacing w:after="0"/>
              <w:rPr>
                <w:sz w:val="14"/>
                <w:szCs w:val="14"/>
                <w:color w:val="auto"/>
              </w:rPr>
            </w:pPr>
          </w:p>
        </w:tc>
        <w:tc>
          <w:tcPr>
            <w:tcW w:w="29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560" w:type="dxa"/>
            <w:vAlign w:val="bottom"/>
          </w:tcPr>
          <w:p>
            <w:pPr>
              <w:spacing w:after="0"/>
              <w:rPr>
                <w:sz w:val="14"/>
                <w:szCs w:val="14"/>
                <w:color w:val="auto"/>
              </w:rPr>
            </w:pPr>
          </w:p>
        </w:tc>
        <w:tc>
          <w:tcPr>
            <w:tcW w:w="29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1,373,713</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1,322,803</w:t>
            </w:r>
          </w:p>
        </w:tc>
      </w:tr>
      <w:tr>
        <w:trPr>
          <w:trHeight w:val="168"/>
        </w:trPr>
        <w:tc>
          <w:tcPr>
            <w:tcW w:w="5560" w:type="dxa"/>
            <w:vAlign w:val="bottom"/>
          </w:tcPr>
          <w:p>
            <w:pPr>
              <w:spacing w:after="0"/>
              <w:rPr>
                <w:sz w:val="14"/>
                <w:szCs w:val="14"/>
                <w:color w:val="auto"/>
              </w:rPr>
            </w:pPr>
          </w:p>
        </w:tc>
        <w:tc>
          <w:tcPr>
            <w:tcW w:w="29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560" w:type="dxa"/>
            <w:vAlign w:val="bottom"/>
          </w:tcPr>
          <w:p>
            <w:pPr>
              <w:spacing w:after="0"/>
              <w:rPr>
                <w:sz w:val="14"/>
                <w:szCs w:val="14"/>
                <w:color w:val="auto"/>
              </w:rPr>
            </w:pPr>
          </w:p>
        </w:tc>
        <w:tc>
          <w:tcPr>
            <w:tcW w:w="29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$1,983,104</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$1,870,411</w:t>
            </w:r>
          </w:p>
        </w:tc>
      </w:tr>
      <w:tr>
        <w:trPr>
          <w:trHeight w:val="168"/>
        </w:trPr>
        <w:tc>
          <w:tcPr>
            <w:tcW w:w="5560" w:type="dxa"/>
            <w:vAlign w:val="bottom"/>
          </w:tcPr>
          <w:p>
            <w:pPr>
              <w:spacing w:after="0"/>
              <w:rPr>
                <w:sz w:val="14"/>
                <w:szCs w:val="14"/>
                <w:color w:val="auto"/>
              </w:rPr>
            </w:pPr>
          </w:p>
        </w:tc>
        <w:tc>
          <w:tcPr>
            <w:tcW w:w="29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bl>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tbl>
      <w:tblPr>
        <w:tblLayout w:type="fixed"/>
        <w:tblInd w:w="0" w:type="dxa"/>
        <w:tblCellMar>
          <w:top w:w="0" w:type="dxa"/>
          <w:left w:w="0" w:type="dxa"/>
          <w:bottom w:w="0" w:type="dxa"/>
          <w:right w:w="0" w:type="dxa"/>
        </w:tblCellMar>
      </w:tblPr>
      <w:tr>
        <w:trPr>
          <w:trHeight w:val="168"/>
        </w:trPr>
        <w:tc>
          <w:tcPr>
            <w:tcW w:w="60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The Washington Post Company</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Condensed Consolidated Statements of Cash Flows (Unaudited)</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505"/>
        </w:trPr>
        <w:tc>
          <w:tcPr>
            <w:tcW w:w="6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Thirty-nine Weeks Ended</w:t>
            </w:r>
          </w:p>
        </w:tc>
      </w:tr>
      <w:tr>
        <w:trPr>
          <w:trHeight w:val="168"/>
        </w:trPr>
        <w:tc>
          <w:tcPr>
            <w:tcW w:w="6000" w:type="dxa"/>
            <w:vAlign w:val="bottom"/>
          </w:tcPr>
          <w:p>
            <w:pPr>
              <w:spacing w:after="0"/>
              <w:rPr>
                <w:sz w:val="14"/>
                <w:szCs w:val="14"/>
                <w:color w:val="auto"/>
              </w:rPr>
            </w:pPr>
          </w:p>
        </w:tc>
        <w:tc>
          <w:tcPr>
            <w:tcW w:w="3800" w:type="dxa"/>
            <w:vAlign w:val="bottom"/>
            <w:gridSpan w:val="3"/>
          </w:tcPr>
          <w:p>
            <w:pPr>
              <w:ind w:left="1000"/>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000" w:type="dxa"/>
            <w:vAlign w:val="bottom"/>
          </w:tcPr>
          <w:p>
            <w:pPr>
              <w:spacing w:after="0"/>
              <w:rPr>
                <w:sz w:val="14"/>
                <w:szCs w:val="14"/>
                <w:color w:val="auto"/>
              </w:rPr>
            </w:pPr>
          </w:p>
        </w:tc>
        <w:tc>
          <w:tcPr>
            <w:tcW w:w="2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September 28,</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September 29,</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1180" w:type="dxa"/>
            <w:vAlign w:val="bottom"/>
          </w:tcPr>
          <w:p>
            <w:pPr>
              <w:spacing w:after="0"/>
              <w:rPr>
                <w:sz w:val="14"/>
                <w:szCs w:val="14"/>
                <w:color w:val="auto"/>
              </w:rPr>
            </w:pPr>
          </w:p>
        </w:tc>
        <w:tc>
          <w:tcPr>
            <w:tcW w:w="1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1997</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6000" w:type="dxa"/>
            <w:vAlign w:val="bottom"/>
          </w:tcPr>
          <w:p>
            <w:pPr>
              <w:spacing w:after="0"/>
              <w:rPr>
                <w:sz w:val="14"/>
                <w:szCs w:val="14"/>
                <w:color w:val="auto"/>
              </w:rPr>
            </w:pPr>
          </w:p>
        </w:tc>
        <w:tc>
          <w:tcPr>
            <w:tcW w:w="240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6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190,602</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$ 155,551</w:t>
            </w:r>
          </w:p>
        </w:tc>
      </w:tr>
      <w:tr>
        <w:trPr>
          <w:trHeight w:val="168"/>
        </w:trPr>
        <w:tc>
          <w:tcPr>
            <w:tcW w:w="6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6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6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Depreciation and amortization of property, plant</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6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and equipment</w:t>
            </w:r>
          </w:p>
        </w:tc>
        <w:tc>
          <w:tcPr>
            <w:tcW w:w="1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53,668</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48,143</w:t>
            </w:r>
          </w:p>
        </w:tc>
      </w:tr>
      <w:tr>
        <w:trPr>
          <w:trHeight w:val="168"/>
        </w:trPr>
        <w:tc>
          <w:tcPr>
            <w:tcW w:w="6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Amortization of goodwill and other intangibles</w:t>
            </w:r>
          </w:p>
        </w:tc>
        <w:tc>
          <w:tcPr>
            <w:tcW w:w="1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24,549</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21,575</w:t>
            </w:r>
          </w:p>
        </w:tc>
      </w:tr>
      <w:tr>
        <w:trPr>
          <w:trHeight w:val="168"/>
        </w:trPr>
        <w:tc>
          <w:tcPr>
            <w:tcW w:w="6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Gain on sale of businesses, net</w:t>
            </w:r>
          </w:p>
        </w:tc>
        <w:tc>
          <w:tcPr>
            <w:tcW w:w="1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(24,805)</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(3,112)</w:t>
            </w:r>
          </w:p>
        </w:tc>
      </w:tr>
      <w:tr>
        <w:trPr>
          <w:trHeight w:val="168"/>
        </w:trPr>
        <w:tc>
          <w:tcPr>
            <w:tcW w:w="6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in income taxes payable</w:t>
            </w:r>
          </w:p>
        </w:tc>
        <w:tc>
          <w:tcPr>
            <w:tcW w:w="1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7,155</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2,510</w:t>
            </w:r>
          </w:p>
        </w:tc>
      </w:tr>
      <w:tr>
        <w:trPr>
          <w:trHeight w:val="168"/>
        </w:trPr>
        <w:tc>
          <w:tcPr>
            <w:tcW w:w="6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Provision for deferred income taxes</w:t>
            </w:r>
          </w:p>
        </w:tc>
        <w:tc>
          <w:tcPr>
            <w:tcW w:w="1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6,301</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2,829</w:t>
            </w:r>
          </w:p>
        </w:tc>
      </w:tr>
      <w:tr>
        <w:trPr>
          <w:trHeight w:val="168"/>
        </w:trPr>
        <w:tc>
          <w:tcPr>
            <w:tcW w:w="6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Equity in earnings of affiliates, net</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600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of distributions</w:t>
            </w:r>
          </w:p>
        </w:tc>
        <w:tc>
          <w:tcPr>
            <w:tcW w:w="1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(6,550)</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(10,667)</w:t>
            </w:r>
          </w:p>
        </w:tc>
      </w:tr>
      <w:tr>
        <w:trPr>
          <w:trHeight w:val="168"/>
        </w:trPr>
        <w:tc>
          <w:tcPr>
            <w:tcW w:w="6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Change in assets and liabilities:</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6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(Increase) in accounts receivable</w:t>
            </w:r>
          </w:p>
        </w:tc>
        <w:tc>
          <w:tcPr>
            <w:tcW w:w="1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(8,024)</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(20,687)</w:t>
            </w:r>
          </w:p>
        </w:tc>
      </w:tr>
      <w:tr>
        <w:trPr>
          <w:trHeight w:val="168"/>
        </w:trPr>
        <w:tc>
          <w:tcPr>
            <w:tcW w:w="6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(Increase) decrease in inventories</w:t>
            </w:r>
          </w:p>
        </w:tc>
        <w:tc>
          <w:tcPr>
            <w:tcW w:w="1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(2,504)</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3,559</w:t>
            </w:r>
          </w:p>
        </w:tc>
      </w:tr>
      <w:tr>
        <w:trPr>
          <w:trHeight w:val="168"/>
        </w:trPr>
        <w:tc>
          <w:tcPr>
            <w:tcW w:w="60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Increase in accounts payable and accrued</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60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liabilities</w:t>
            </w:r>
          </w:p>
        </w:tc>
        <w:tc>
          <w:tcPr>
            <w:tcW w:w="1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35,216</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50,521</w:t>
            </w:r>
          </w:p>
        </w:tc>
      </w:tr>
      <w:tr>
        <w:trPr>
          <w:trHeight w:val="168"/>
        </w:trPr>
        <w:tc>
          <w:tcPr>
            <w:tcW w:w="6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w:t>
            </w:r>
          </w:p>
        </w:tc>
        <w:tc>
          <w:tcPr>
            <w:tcW w:w="1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(21,874)</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(33,253)</w:t>
            </w:r>
          </w:p>
        </w:tc>
      </w:tr>
      <w:tr>
        <w:trPr>
          <w:trHeight w:val="168"/>
        </w:trPr>
        <w:tc>
          <w:tcPr>
            <w:tcW w:w="6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ind w:left="44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18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253,734</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216,969</w:t>
            </w:r>
          </w:p>
        </w:tc>
      </w:tr>
      <w:tr>
        <w:trPr>
          <w:trHeight w:val="168"/>
        </w:trPr>
        <w:tc>
          <w:tcPr>
            <w:tcW w:w="6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6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proceeds from sale of businesses</w:t>
            </w:r>
          </w:p>
        </w:tc>
        <w:tc>
          <w:tcPr>
            <w:tcW w:w="1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27,417</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3,517</w:t>
            </w:r>
          </w:p>
        </w:tc>
      </w:tr>
      <w:tr>
        <w:trPr>
          <w:trHeight w:val="168"/>
        </w:trPr>
        <w:tc>
          <w:tcPr>
            <w:tcW w:w="6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Purchases of property, plant and equipment</w:t>
            </w:r>
          </w:p>
        </w:tc>
        <w:tc>
          <w:tcPr>
            <w:tcW w:w="1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(135,985)</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(43,312)</w:t>
            </w:r>
          </w:p>
        </w:tc>
      </w:tr>
      <w:tr>
        <w:trPr>
          <w:trHeight w:val="168"/>
        </w:trPr>
        <w:tc>
          <w:tcPr>
            <w:tcW w:w="6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sales of marketable securities</w:t>
            </w:r>
          </w:p>
        </w:tc>
        <w:tc>
          <w:tcPr>
            <w:tcW w:w="1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12,821</w:t>
            </w:r>
          </w:p>
        </w:tc>
      </w:tr>
      <w:tr>
        <w:trPr>
          <w:trHeight w:val="168"/>
        </w:trPr>
        <w:tc>
          <w:tcPr>
            <w:tcW w:w="6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certain businesses</w:t>
            </w:r>
          </w:p>
        </w:tc>
        <w:tc>
          <w:tcPr>
            <w:tcW w:w="1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(83,616)</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(143,083)</w:t>
            </w:r>
          </w:p>
        </w:tc>
      </w:tr>
      <w:tr>
        <w:trPr>
          <w:trHeight w:val="168"/>
        </w:trPr>
        <w:tc>
          <w:tcPr>
            <w:tcW w:w="6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1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9,591</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482</w:t>
            </w:r>
          </w:p>
        </w:tc>
      </w:tr>
      <w:tr>
        <w:trPr>
          <w:trHeight w:val="168"/>
        </w:trPr>
        <w:tc>
          <w:tcPr>
            <w:tcW w:w="6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ind w:left="540"/>
              <w:spacing w:after="0"/>
              <w:rPr>
                <w:sz w:val="20"/>
                <w:szCs w:val="20"/>
                <w:color w:val="auto"/>
              </w:rPr>
            </w:pPr>
            <w:r>
              <w:rPr>
                <w:rFonts w:ascii="Courier New" w:cs="Courier New" w:eastAsia="Courier New" w:hAnsi="Courier New"/>
                <w:sz w:val="15"/>
                <w:szCs w:val="15"/>
                <w:color w:val="auto"/>
              </w:rPr>
              <w:t>Net cash used in investing activities</w:t>
            </w:r>
          </w:p>
        </w:tc>
        <w:tc>
          <w:tcPr>
            <w:tcW w:w="118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(182,593)</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(169,575)</w:t>
            </w:r>
          </w:p>
        </w:tc>
      </w:tr>
      <w:tr>
        <w:trPr>
          <w:trHeight w:val="168"/>
        </w:trPr>
        <w:tc>
          <w:tcPr>
            <w:tcW w:w="6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6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Principal payments on debt</w:t>
            </w:r>
          </w:p>
        </w:tc>
        <w:tc>
          <w:tcPr>
            <w:tcW w:w="1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(50,209)</w:t>
            </w:r>
          </w:p>
        </w:tc>
      </w:tr>
      <w:tr>
        <w:trPr>
          <w:trHeight w:val="168"/>
        </w:trPr>
        <w:tc>
          <w:tcPr>
            <w:tcW w:w="6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Issuance of note receivable</w:t>
            </w:r>
          </w:p>
        </w:tc>
        <w:tc>
          <w:tcPr>
            <w:tcW w:w="1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(12,417)</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Issuance of redeemable preferred stock</w:t>
            </w:r>
          </w:p>
        </w:tc>
        <w:tc>
          <w:tcPr>
            <w:tcW w:w="1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11,947</w:t>
            </w:r>
          </w:p>
        </w:tc>
      </w:tr>
      <w:tr>
        <w:trPr>
          <w:trHeight w:val="168"/>
        </w:trPr>
        <w:tc>
          <w:tcPr>
            <w:tcW w:w="6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 paid</w:t>
            </w:r>
          </w:p>
        </w:tc>
        <w:tc>
          <w:tcPr>
            <w:tcW w:w="1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(39,529)</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(38,328)</w:t>
            </w:r>
          </w:p>
        </w:tc>
      </w:tr>
      <w:tr>
        <w:trPr>
          <w:trHeight w:val="168"/>
        </w:trPr>
        <w:tc>
          <w:tcPr>
            <w:tcW w:w="6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shares repurchased</w:t>
            </w:r>
          </w:p>
        </w:tc>
        <w:tc>
          <w:tcPr>
            <w:tcW w:w="1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(87,271)</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(16,695)</w:t>
            </w:r>
          </w:p>
        </w:tc>
      </w:tr>
      <w:tr>
        <w:trPr>
          <w:trHeight w:val="168"/>
        </w:trPr>
        <w:tc>
          <w:tcPr>
            <w:tcW w:w="6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ind w:left="540"/>
              <w:spacing w:after="0"/>
              <w:rPr>
                <w:sz w:val="20"/>
                <w:szCs w:val="20"/>
                <w:color w:val="auto"/>
              </w:rPr>
            </w:pPr>
            <w:r>
              <w:rPr>
                <w:rFonts w:ascii="Courier New" w:cs="Courier New" w:eastAsia="Courier New" w:hAnsi="Courier New"/>
                <w:sz w:val="15"/>
                <w:szCs w:val="15"/>
                <w:color w:val="auto"/>
              </w:rPr>
              <w:t>Net cash used in financing activities</w:t>
            </w:r>
          </w:p>
        </w:tc>
        <w:tc>
          <w:tcPr>
            <w:tcW w:w="118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(139,217)</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(93,285)</w:t>
            </w:r>
          </w:p>
        </w:tc>
      </w:tr>
      <w:tr>
        <w:trPr>
          <w:trHeight w:val="168"/>
        </w:trPr>
        <w:tc>
          <w:tcPr>
            <w:tcW w:w="6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Net decrease in cash and cash equivalents</w:t>
            </w:r>
          </w:p>
        </w:tc>
        <w:tc>
          <w:tcPr>
            <w:tcW w:w="118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(68,076)</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(45,891)</w:t>
            </w:r>
          </w:p>
        </w:tc>
      </w:tr>
      <w:tr>
        <w:trPr>
          <w:trHeight w:val="168"/>
        </w:trPr>
        <w:tc>
          <w:tcPr>
            <w:tcW w:w="6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Beginning cash and cash equivalents</w:t>
            </w:r>
          </w:p>
        </w:tc>
        <w:tc>
          <w:tcPr>
            <w:tcW w:w="118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102,278</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146,901</w:t>
            </w:r>
          </w:p>
        </w:tc>
      </w:tr>
      <w:tr>
        <w:trPr>
          <w:trHeight w:val="168"/>
        </w:trPr>
        <w:tc>
          <w:tcPr>
            <w:tcW w:w="6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Ending cash and cash equivalents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34,202</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101,010</w:t>
            </w:r>
          </w:p>
        </w:tc>
      </w:tr>
      <w:tr>
        <w:trPr>
          <w:trHeight w:val="168"/>
        </w:trPr>
        <w:tc>
          <w:tcPr>
            <w:tcW w:w="6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jc w:val="right"/>
        <w:ind w:right="3239"/>
        <w:spacing w:after="0" w:line="237" w:lineRule="auto"/>
        <w:rPr>
          <w:sz w:val="20"/>
          <w:szCs w:val="20"/>
          <w:color w:val="auto"/>
        </w:rPr>
      </w:pPr>
      <w:r>
        <w:rPr>
          <w:rFonts w:ascii="Courier New" w:cs="Courier New" w:eastAsia="Courier New" w:hAnsi="Courier New"/>
          <w:sz w:val="15"/>
          <w:szCs w:val="15"/>
          <w:color w:val="auto"/>
        </w:rPr>
        <w:t>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Washington Post Company</w:t>
      </w:r>
    </w:p>
    <w:p>
      <w:pPr>
        <w:spacing w:after="0" w:line="237" w:lineRule="auto"/>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Note 1: 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6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Note 2: Summarized combined (unaudited) results of operations for the third quarter and year-to-date of 1997 and 1996 for the company's affiliates are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3580" w:type="dxa"/>
            <w:vAlign w:val="bottom"/>
            <w:gridSpan w:val="2"/>
          </w:tcPr>
          <w:p>
            <w:pPr>
              <w:ind w:left="1520"/>
              <w:spacing w:after="0"/>
              <w:rPr>
                <w:sz w:val="20"/>
                <w:szCs w:val="20"/>
                <w:color w:val="auto"/>
              </w:rPr>
            </w:pPr>
            <w:r>
              <w:rPr>
                <w:rFonts w:ascii="Courier New" w:cs="Courier New" w:eastAsia="Courier New" w:hAnsi="Courier New"/>
                <w:sz w:val="15"/>
                <w:szCs w:val="15"/>
                <w:color w:val="auto"/>
              </w:rPr>
              <w:t>Third Quarter</w:t>
            </w:r>
          </w:p>
        </w:tc>
        <w:tc>
          <w:tcPr>
            <w:tcW w:w="25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Year-to-Date</w:t>
            </w:r>
          </w:p>
        </w:tc>
      </w:tr>
      <w:tr>
        <w:trPr>
          <w:trHeight w:val="168"/>
        </w:trPr>
        <w:tc>
          <w:tcPr>
            <w:tcW w:w="2680" w:type="dxa"/>
            <w:vAlign w:val="bottom"/>
          </w:tcPr>
          <w:p>
            <w:pPr>
              <w:spacing w:after="0"/>
              <w:rPr>
                <w:sz w:val="14"/>
                <w:szCs w:val="14"/>
                <w:color w:val="auto"/>
              </w:rPr>
            </w:pPr>
          </w:p>
        </w:tc>
        <w:tc>
          <w:tcPr>
            <w:tcW w:w="3580" w:type="dxa"/>
            <w:vAlign w:val="bottom"/>
            <w:gridSpan w:val="2"/>
          </w:tcPr>
          <w:p>
            <w:pPr>
              <w:ind w:left="1100"/>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rPr>
                <w:sz w:val="14"/>
                <w:szCs w:val="14"/>
                <w:color w:val="auto"/>
              </w:rPr>
            </w:pPr>
          </w:p>
        </w:tc>
        <w:tc>
          <w:tcPr>
            <w:tcW w:w="232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1997</w:t>
            </w:r>
          </w:p>
        </w:tc>
        <w:tc>
          <w:tcPr>
            <w:tcW w:w="12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1996</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680" w:type="dxa"/>
            <w:vAlign w:val="bottom"/>
          </w:tcPr>
          <w:p>
            <w:pPr>
              <w:spacing w:after="0"/>
              <w:rPr>
                <w:sz w:val="14"/>
                <w:szCs w:val="14"/>
                <w:color w:val="auto"/>
              </w:rPr>
            </w:pPr>
          </w:p>
        </w:tc>
        <w:tc>
          <w:tcPr>
            <w:tcW w:w="232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320" w:type="dxa"/>
            <w:vAlign w:val="bottom"/>
          </w:tcPr>
          <w:p>
            <w:pPr>
              <w:ind w:left="1100"/>
              <w:spacing w:after="0"/>
              <w:rPr>
                <w:sz w:val="20"/>
                <w:szCs w:val="20"/>
                <w:color w:val="auto"/>
              </w:rPr>
            </w:pPr>
            <w:r>
              <w:rPr>
                <w:rFonts w:ascii="Courier New" w:cs="Courier New" w:eastAsia="Courier New" w:hAnsi="Courier New"/>
                <w:sz w:val="15"/>
                <w:szCs w:val="15"/>
                <w:color w:val="auto"/>
              </w:rPr>
              <w:t>$223,608</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4"/>
              </w:rPr>
              <w:t>$226,310</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$656,680</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$698,214</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232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24,276</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20,106</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54,319</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85,163</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32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15,846</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11,947</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33,475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59,171</w:t>
            </w:r>
          </w:p>
        </w:tc>
      </w:tr>
    </w:tbl>
    <w:p>
      <w:pPr>
        <w:spacing w:after="0" w:line="341"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Note 3: In the first quarter of 1997, the company purchased a cable system in Cleveland, Mississippi, serving about 16,000 subscribers for approximately $23 million.</w:t>
      </w:r>
    </w:p>
    <w:p>
      <w:pPr>
        <w:spacing w:after="0" w:line="174"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In the second quarter of 1997, the company completed the exchange of assets of certain cable systems with Tele-Communications, Inc. The trade resulted in an increase of about 21,000 subscribers for the company.</w:t>
      </w:r>
    </w:p>
    <w:p>
      <w:pPr>
        <w:spacing w:after="0" w:line="174" w:lineRule="exact"/>
        <w:rPr>
          <w:sz w:val="20"/>
          <w:szCs w:val="20"/>
          <w:color w:val="auto"/>
        </w:rPr>
      </w:pPr>
    </w:p>
    <w:p>
      <w:pPr>
        <w:ind w:right="3579" w:firstLine="350"/>
        <w:spacing w:after="0" w:line="254" w:lineRule="auto"/>
        <w:rPr>
          <w:sz w:val="20"/>
          <w:szCs w:val="20"/>
          <w:color w:val="auto"/>
        </w:rPr>
      </w:pPr>
      <w:r>
        <w:rPr>
          <w:rFonts w:ascii="Courier New" w:cs="Courier New" w:eastAsia="Courier New" w:hAnsi="Courier New"/>
          <w:sz w:val="14"/>
          <w:szCs w:val="14"/>
          <w:color w:val="auto"/>
        </w:rPr>
        <w:t>In the third quarter of 1997 the company completed a transaction with Meredith Corporation to exchange the assets of WCPX-TV, the CBS affiliate in Orlando, FL for the assets of WFSB-TV, the CBS affiliate in Hartford, CT and approximately $60 million. In the third quarter of 1997, the company</w:t>
      </w:r>
    </w:p>
    <w:p>
      <w:pPr>
        <w:spacing w:after="0" w:line="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also sold the assets of its PASS Sports subsidiary and terminated its regional sports network for an after-tax gain of $16 million.</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During the first three quarters of 1996 the company expended approximately $143 million on investments in new businesses. These included, among others, cable systems serving approximately 66,000 subscribers, a commercial printer in the Maryland suburbs of Washington, D.C., a company which provides educational services to students in grades K through 12, and a publisher of business periodicals for the computer services industry and the Washington-area technology community.</w:t>
      </w:r>
    </w:p>
    <w:p>
      <w:pPr>
        <w:spacing w:after="0" w:line="176"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Note 4: In February 1997, the Financial Accounting Standards Board issued Statement of Financial Accounting Standards No. 128, "Earnings Per Share," which is effective for periods ending after December 15, 1997, including interim periods. The new standard requires disclosure of basic and diluted earnings per share for income from continuing operations and net income. The company intends to adopt this standard</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left="6840"/>
        <w:spacing w:after="0"/>
        <w:rPr>
          <w:sz w:val="20"/>
          <w:szCs w:val="20"/>
          <w:color w:val="auto"/>
        </w:rPr>
      </w:pPr>
      <w:r>
        <w:rPr>
          <w:rFonts w:ascii="Courier New" w:cs="Courier New" w:eastAsia="Courier New" w:hAnsi="Courier New"/>
          <w:sz w:val="12"/>
          <w:szCs w:val="12"/>
          <w:color w:val="auto"/>
        </w:rPr>
        <w:t>7.</w:t>
      </w:r>
    </w:p>
    <w:p>
      <w:pPr>
        <w:spacing w:after="0" w:line="200"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in the fourth quarter of its fiscal year ending December 28, 1997. Adoption of this new standard will not have a material impact on the company's computation of earnings per share.</w:t>
      </w:r>
    </w:p>
    <w:p>
      <w:pPr>
        <w:spacing w:after="0" w:line="174"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In June 1997, the Financial Accounting Standards Board issued Statement of Accounting Standards No. 130, "Reporting Comprehensive Income," which is effective for fiscal years beginning after December 15, 1997. The Statement establishes standards for reporting and displaying comprehensive income, as defined, and its components. The company plans to adopt the Statement's disclosure standards in fiscal 1998.</w:t>
      </w:r>
    </w:p>
    <w:p>
      <w:pPr>
        <w:spacing w:after="0" w:line="175"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In June 1997, the Financial Accounting Standards Board issued Statement of Financial Accounting Standards No. 131, "Disclosures about Segments of an Enterprise and Related Information," which is effective for fiscal years beginning after December 15, 1997. The Statement establishes standards for the way companies report information about operating segments in annual and interim financial statements. Generally, the Statement requires financial information to be reported on the basis that is used internally for evaluating segment performance and deciding how to allocate resources to segments. The company plans to adopt the Statement's disclosure standards in fiscal 1998.</w:t>
      </w:r>
    </w:p>
    <w:p>
      <w:pPr>
        <w:spacing w:after="0" w:line="165"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Note 5: During the first nine months of 1997 the company repurchased 245,390 shares of its Class B common stock at a cost of approximately $87 million.</w:t>
      </w:r>
    </w:p>
    <w:p>
      <w:pPr>
        <w:spacing w:after="0" w:line="328"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Note 6: In November 1997, the company reached an agreement to acquire a cable system in Anniston, AL serving about 36,000 subscribers for approximately $66 million. The transaction, which will occur in three stages, is expected to take place in the first half of 1998.</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jc w:val="right"/>
        <w:ind w:right="3239"/>
        <w:spacing w:after="0" w:line="237" w:lineRule="auto"/>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right="5059"/>
        <w:spacing w:after="0" w:line="234" w:lineRule="auto"/>
        <w:rPr>
          <w:sz w:val="20"/>
          <w:szCs w:val="20"/>
          <w:color w:val="auto"/>
        </w:rPr>
      </w:pPr>
      <w:r>
        <w:rPr>
          <w:rFonts w:ascii="Courier New" w:cs="Courier New" w:eastAsia="Courier New" w:hAnsi="Courier New"/>
          <w:sz w:val="15"/>
          <w:szCs w:val="15"/>
          <w:color w:val="auto"/>
        </w:rPr>
        <w:t>ITEM 2. MANAGEMENT'S DISCUSSION AND ANALYSIS OF RESULTS OF OPERATIONS AND FINANCIAL CONDITION</w:t>
      </w:r>
    </w:p>
    <w:p>
      <w:pPr>
        <w:spacing w:after="0" w:line="173"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This analysis should be read in conjunction with the consolidated financial statements and the notes thereto.</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Revenues and expenses in the first and third quarters are customarily lower than those in the second and fourth quarters because of significant seasonal fluctuations in advertising volume. For that reason, the results of operations for each quarter are compared with those of the corresponding quarter in the preceding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QUARTER COMPARISONS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Net income for the third quarter of 1997 was $71.6 million, an increase of 29 percent from net income of $55.4 million in the third quarter last year. Earnings per share increased 33 percent to $6.64, from $5.00 for the same period last year. The 1997 third quarter results included a one-time after-tax gain of $16.0 million ($1.49 per share) relating to the sale of the assets of its PASS Sports subsidiary and the termination of its regional sports network. Excluding this one-time item, net income was $55.6 million and earnings per share were $5.15.</w:t>
      </w:r>
    </w:p>
    <w:p>
      <w:pPr>
        <w:spacing w:after="0" w:line="177" w:lineRule="exact"/>
        <w:rPr>
          <w:sz w:val="20"/>
          <w:szCs w:val="20"/>
          <w:color w:val="auto"/>
        </w:rPr>
      </w:pPr>
    </w:p>
    <w:p>
      <w:pPr>
        <w:ind w:right="3759" w:firstLine="787"/>
        <w:spacing w:after="0" w:line="235" w:lineRule="auto"/>
        <w:rPr>
          <w:sz w:val="20"/>
          <w:szCs w:val="20"/>
          <w:color w:val="auto"/>
        </w:rPr>
      </w:pPr>
      <w:r>
        <w:rPr>
          <w:rFonts w:ascii="Courier New" w:cs="Courier New" w:eastAsia="Courier New" w:hAnsi="Courier New"/>
          <w:sz w:val="15"/>
          <w:szCs w:val="15"/>
          <w:color w:val="auto"/>
        </w:rPr>
        <w:t>Revenues for the third quarter of 1997 rose 4 percent to $478.4 million, from $460.3 million in the same period last year. Advertising revenues and circulation and subscriber revenues increased 4 percent and 7 percent, respectively, while other revenues decreased 4 percent.</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Costs and expenses for the third quarter of 1997 increased 4 percent to $387.1 million, from $373.1 million in the third quarter of 1996. Both operating expenses and selling, general and administrative expenses increased 3 percent compared with the third quarter last year. Depreciation expense and amortization expense both increased 13 percent over the third quarter of 1996. The increase was due primarily to recent acquisitions at the cable division.</w:t>
      </w:r>
    </w:p>
    <w:p>
      <w:pPr>
        <w:spacing w:after="0" w:line="166"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Third quarter 1997 operating income was $91.2 million, a 5 percent increase from $87.2 million in 1996. The increase resulted from strength at the company's print businesses, partially offset by increased spending at the company's other businesses.</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NEWSPAPER DIVISION. At the newspaper division revenues rose 4 percent in the third quarter of 1997. Advertising revenues for the division increased 7 percent for the quarter due mainly to strong classified and preprint advertising results at The Washington Post. Overall, classified volume improved 4 percent compared to third quarter 1996; recruitment advertising rose 15 percent. Preprint volume increased 8 percent for the quarter. Retail and general advertisement volume declined 4 percent and 1 percent, respectively, compared with the same</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jc w:val="right"/>
        <w:ind w:right="3239"/>
        <w:spacing w:after="0" w:line="237" w:lineRule="auto"/>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period last year. Circulation revenues for the division were essentially unchanged compared to the third quarter of 1996.</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BROADCAST DIVISION. Revenues at the broadcast division decreased 1 percent from the third quarter of 1996 due mainly to a 1 percent decline in advertising revenues. The comparable quarter last year included significant amounts of Olympics-related and political advertising, which did not recur in 1997. Network compensation increased 2 percent over the comparable period last year.</w:t>
      </w:r>
    </w:p>
    <w:p>
      <w:pPr>
        <w:spacing w:after="0" w:line="16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MAGAZINE DIVISION. Newsweek revenues in the third quarter of 1997 increased 2 percent. Circulation revenues were up 5 percent due primarily to increased newsstand sales from the publication of a special newsstand-only edition after the death of Princess Diana.</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CABLE DIVISION. At the cable division third quarter 1997 revenues were up 13 percent over 1996. About one-third of the increase resulted from the effects of cable system acquisitions in 1997 and late 1996.</w:t>
      </w:r>
    </w:p>
    <w:p>
      <w:pPr>
        <w:spacing w:after="0" w:line="174"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OTHER BUSINESSES. In the third quarter of 1997, revenues from other businesses, principally Kaplan Educational Centers (Kaplan), PASS Sports, Legi-Slate, Digital Ink, MLJ (Moffet, Larson, &amp; Johnson) and TechNews, increased 3 percent.</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EQUITY IN EARNINGS AND LOSSES OF AFFILIATES. The company's equity in earnings of affiliates in the third quarter of 1997 was $4.7 million, compared with $2.5 million in the third quarter of 1996. The increase was due to strong results at Cowles Media.</w:t>
      </w:r>
    </w:p>
    <w:p>
      <w:pPr>
        <w:spacing w:after="0" w:line="17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NON-OPERATING ITEMS. Interest income, net of interest expense, was $0.5 million for the third quarter of 1997 compared with $1.2 million in the same period last year.</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Other income (expense), net was income of $23.5 million compared to expense of $0.05 million in the third quarter of 1996. The 1997 amount included the gain on the sale of assets of the company's PASS Sports subsidiary mentioned previously.</w:t>
      </w:r>
    </w:p>
    <w:p>
      <w:pPr>
        <w:spacing w:after="0" w:line="175" w:lineRule="exact"/>
        <w:rPr>
          <w:sz w:val="20"/>
          <w:szCs w:val="20"/>
          <w:color w:val="auto"/>
        </w:rPr>
      </w:pPr>
    </w:p>
    <w:p>
      <w:pPr>
        <w:ind w:right="3759"/>
        <w:spacing w:after="0" w:line="258" w:lineRule="auto"/>
        <w:rPr>
          <w:sz w:val="20"/>
          <w:szCs w:val="20"/>
          <w:color w:val="auto"/>
        </w:rPr>
      </w:pPr>
      <w:r>
        <w:rPr>
          <w:rFonts w:ascii="Courier New" w:cs="Courier New" w:eastAsia="Courier New" w:hAnsi="Courier New"/>
          <w:sz w:val="14"/>
          <w:szCs w:val="14"/>
          <w:color w:val="auto"/>
        </w:rPr>
        <w:t>INCOME TAXES. The effective income tax rate for the third quarter of 1997 increased to 40.4 percent from 39.1 percent in the same period of 1996, resulting from a revised estimate in the tax rate for the entire year.</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 COMPARISONS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Net income for the first nine months of 1997 was $190.6 million, up 23 percent from net income of $155.6 million in the same period last year. Earnings per share increased 25 percent to $17.57 in 1997, from $14.09 in 1996. The company's net income for the first nine months of 1997 included $16.0 million ($1.49 per share)from the sale of the</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jc w:val="right"/>
        <w:ind w:right="3239"/>
        <w:spacing w:after="0" w:line="237" w:lineRule="auto"/>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assets of its PASS Sports subsidiary mentioned previously. Excluding the effect of this one-time item, net income increased 12 percent and earnings per share rose 14 percent in the first nine months of 1997.</w:t>
      </w:r>
    </w:p>
    <w:p>
      <w:pPr>
        <w:spacing w:after="0" w:line="174"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Revenues for the first nine months of 1997 increased 6 percent to $1,433.9 million, from $1,349.8 million in the comparable period last year. Advertising revenues increased 7 percent, circulation and subscriber revenues rose 6 percent, and other revenues increased 4 percent.</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Total costs and expenses increased 3 percent during the first nine months of 1997 to $1,154.7 million, from $1,116.9 million in the corresponding period of 1996. Operating expenses did not vary significantly from the prior year, while selling, general and administrative expenses increased 9 percent. A 16 percent decline in newsprint expense was offset by increased spending at the company's other businesses as well as normal growth in the cost of operations. Depreciation expense increased 11 percent and amortization expense increased 14 percent for the first nine months of 1997 due to recent acquisitions at the cable division.</w:t>
      </w:r>
    </w:p>
    <w:p>
      <w:pPr>
        <w:spacing w:after="0" w:line="178"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In the first three quarters of 1997 operating income rose to $279.1 million, a 20 percent increase over $232.9 million in the same period last year.</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NEWSPAPER DIVISION. Newspaper division revenues were up 6 percent in the first three quarters of 1997 over the comparable period of 1996. Advertising revenues for the division rose 9 percent in the period due mainly to increased advertising volume. Advertising volume at The Washington Post rose 4 percent to 2,328,000 inches from 2,237,300 inches in the first nine months of 1996. Circulation revenues for the division increased 1 percent compared with the first three quarters of 1996, though both daily and Sunday circulation at The Washington Post declined 1 percent from the prior year.</w:t>
      </w:r>
    </w:p>
    <w:p>
      <w:pPr>
        <w:spacing w:after="0" w:line="177"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BROADCAST DIVISION. Revenues at the broadcast division increased 2 percent over the first nine months of 1996. In the first three quarters of 1997, local advertising revenues rose 4 percent. National advertising revenues and network compensation did not vary significantly from 1996.</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MAGAZINE DIVISION. At Newsweek revenues increased 3 percent in the first three quarters of 1997. Advertising revenues increased 3 percent primarily due to higher page volume. Circulation revenues increased 2 percent due to the publication of an additional newsstand-only issue. In the first three quarters of 1997 thirty-eight weekly and two special newsstand-only issues were published versus thirty-nine weekly issues in 1996.</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4"/>
          <w:szCs w:val="14"/>
          <w:color w:val="auto"/>
        </w:rPr>
        <w:t>11.</w:t>
      </w:r>
    </w:p>
    <w:p>
      <w:pPr>
        <w:spacing w:after="0" w:line="178"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CABLE DIVISION. Cable division revenues were up 13 percent in the first three quarters of 1997. Subscriber revenues increased 14 percent in the first nine months of 1997; about half of the increase was due to the effects of cable system acquisitions in 1997 and 1996. At the end of September 1997, cable operations had 635,000 basic subscribers compared to 587,000 basic subscribers at the same time last year.</w:t>
      </w:r>
    </w:p>
    <w:p>
      <w:pPr>
        <w:spacing w:after="0" w:line="17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OTHER BUSINESSES. At the company's other businesses, revenues rose 12 percent in the first three quarters of 1997. Most of the increase was due to growth at Kaplan Educational Centers and the addition of TechNews beginning in September 1996.</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EQUITY IN EARNINGS AND LOSSES OF AFFILIATES. The company's equity in earnings of affiliates during the first nine months of 1997 was $8.2 million, compared with $17.7 million in the first nine months of 1996. The decrease was due to declining results at the affiliated newsprint mills resulting from lower newsprint prices.</w:t>
      </w:r>
    </w:p>
    <w:p>
      <w:pPr>
        <w:spacing w:after="0" w:line="174" w:lineRule="exact"/>
        <w:rPr>
          <w:sz w:val="20"/>
          <w:szCs w:val="20"/>
          <w:color w:val="auto"/>
        </w:rPr>
      </w:pPr>
    </w:p>
    <w:p>
      <w:pPr>
        <w:ind w:right="3939"/>
        <w:spacing w:after="0" w:line="261" w:lineRule="auto"/>
        <w:rPr>
          <w:sz w:val="20"/>
          <w:szCs w:val="20"/>
          <w:color w:val="auto"/>
        </w:rPr>
      </w:pPr>
      <w:r>
        <w:rPr>
          <w:rFonts w:ascii="Courier New" w:cs="Courier New" w:eastAsia="Courier New" w:hAnsi="Courier New"/>
          <w:sz w:val="14"/>
          <w:szCs w:val="14"/>
          <w:color w:val="auto"/>
        </w:rPr>
        <w:t>NON-OPERATING ITEMS. Interest income, net of interest expense, was $2.4 million for the first three quarters of 1997, unchanged from 1996.</w:t>
      </w:r>
    </w:p>
    <w:p>
      <w:pPr>
        <w:spacing w:after="0" w:line="160"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Other income in the first three quarters of 1997 was $24.3 million, compared with $2.1 million in the comparable period of 1996. Other income in 1997 included the gain from the sale of the assets of the company's PASS Sports subsidiary mentioned previously.</w:t>
      </w:r>
    </w:p>
    <w:p>
      <w:pPr>
        <w:spacing w:after="0" w:line="17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INCOME TAXES. The effective income tax rate for the first nine months of 1997 increased to 39.3 percent from 39.0 percent in 1996.</w:t>
      </w:r>
    </w:p>
    <w:p>
      <w:pPr>
        <w:spacing w:after="0" w:line="167"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5"/>
          <w:szCs w:val="15"/>
          <w:color w:val="auto"/>
        </w:rPr>
        <w:t>FINANCIAL CONDITION:</w:t>
      </w:r>
      <w:r>
        <w:rPr>
          <w:sz w:val="20"/>
          <w:szCs w:val="20"/>
          <w:color w:val="auto"/>
        </w:rPr>
        <w:tab/>
      </w:r>
      <w:r>
        <w:rPr>
          <w:rFonts w:ascii="Courier New" w:cs="Courier New" w:eastAsia="Courier New" w:hAnsi="Courier New"/>
          <w:sz w:val="14"/>
          <w:szCs w:val="14"/>
          <w:color w:val="auto"/>
        </w:rPr>
        <w:t>CAPITAL RESOURCES AND LIQUIDITY</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During the first half of 1997 the company purchased a cable system in Cleveland, Mississippi, serving about 16,000 subscribers for approximately $23 million. The company also completed the exchange of the assets of certain cable systems with Tele-Communications, Inc. The trade resulted in an increase of about 21,000 subscribers for the company.</w:t>
      </w:r>
    </w:p>
    <w:p>
      <w:pPr>
        <w:spacing w:after="0" w:line="174"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In September 1997, the company completed a transaction with Meredith Corporation to exchange the assets of WCPX-TV, the CBS affiliate in Orlando, FL for the assets of WFSB-TV, the CBS affiliate in Hartford, CT and approximately $60 million in cash. The company also completed the sale of the assets of its PASS Sports subsidiary for $32.5 million in cash and notes receivable.</w:t>
      </w:r>
    </w:p>
    <w:p>
      <w:pPr>
        <w:spacing w:after="0" w:line="163" w:lineRule="exact"/>
        <w:rPr>
          <w:sz w:val="20"/>
          <w:szCs w:val="20"/>
          <w:color w:val="auto"/>
        </w:rPr>
      </w:pPr>
    </w:p>
    <w:p>
      <w:pPr>
        <w:jc w:val="both"/>
        <w:ind w:right="3319" w:firstLine="787"/>
        <w:spacing w:after="0" w:line="258" w:lineRule="auto"/>
        <w:rPr>
          <w:sz w:val="20"/>
          <w:szCs w:val="20"/>
          <w:color w:val="auto"/>
        </w:rPr>
      </w:pPr>
      <w:r>
        <w:rPr>
          <w:rFonts w:ascii="Courier New" w:cs="Courier New" w:eastAsia="Courier New" w:hAnsi="Courier New"/>
          <w:sz w:val="14"/>
          <w:szCs w:val="14"/>
          <w:color w:val="auto"/>
        </w:rPr>
        <w:t>The company has reached an agreement to sell its 35 percent interests in Bear Island Paper Company and Bear Island Timberlands Company to Brant-Allen Industries. The transaction is expected to be completed by the end of 1997.</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jc w:val="right"/>
        <w:ind w:right="3239"/>
        <w:spacing w:after="0" w:line="237" w:lineRule="auto"/>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The company has also reached an agreement in principle to exchange the assets of selected cable systems with TCA Cable Partners. The exchange is expected to be completed by the end of 1997.</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In November 1997, the company reached an agreement to acquire a cable system in Anniston, AL serving about 36,000 subscribers for approximately $66 million. The transaction, which will occur in three stages, is expected to take place in the first half of 1998.</w:t>
      </w:r>
    </w:p>
    <w:p>
      <w:pPr>
        <w:spacing w:after="0" w:line="175" w:lineRule="exact"/>
        <w:rPr>
          <w:sz w:val="20"/>
          <w:szCs w:val="20"/>
          <w:color w:val="auto"/>
        </w:rPr>
      </w:pPr>
    </w:p>
    <w:p>
      <w:pPr>
        <w:ind w:right="3839" w:firstLine="437"/>
        <w:spacing w:after="0" w:line="236" w:lineRule="auto"/>
        <w:rPr>
          <w:sz w:val="20"/>
          <w:szCs w:val="20"/>
          <w:color w:val="auto"/>
        </w:rPr>
      </w:pPr>
      <w:r>
        <w:rPr>
          <w:rFonts w:ascii="Courier New" w:cs="Courier New" w:eastAsia="Courier New" w:hAnsi="Courier New"/>
          <w:sz w:val="15"/>
          <w:szCs w:val="15"/>
          <w:color w:val="auto"/>
        </w:rPr>
        <w:t>As of the end of the third quarter of 1997, the company had spent approximately $86 million as part of a three-year $250 million project to provide new production facilities for the Washington Post newspaper. The company estimates that it will spend approximately $40 million during the remainder of the year on this project.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of the end of 1996, the company had repurchased approximately</w:t>
      </w:r>
    </w:p>
    <w:p>
      <w:pPr>
        <w:spacing w:after="0" w:line="237" w:lineRule="auto"/>
        <w:rPr>
          <w:sz w:val="20"/>
          <w:szCs w:val="20"/>
          <w:color w:val="auto"/>
        </w:rPr>
      </w:pPr>
      <w:r>
        <w:rPr>
          <w:rFonts w:ascii="Courier New" w:cs="Courier New" w:eastAsia="Courier New" w:hAnsi="Courier New"/>
          <w:sz w:val="15"/>
          <w:szCs w:val="15"/>
          <w:color w:val="auto"/>
        </w:rPr>
        <w:t>339,000 shares of the one million Class B shares authorized for repurchase by</w:t>
      </w:r>
    </w:p>
    <w:p>
      <w:pPr>
        <w:spacing w:after="0"/>
        <w:tabs>
          <w:tab w:leader="none" w:pos="3580" w:val="left"/>
        </w:tabs>
        <w:rPr>
          <w:sz w:val="20"/>
          <w:szCs w:val="20"/>
          <w:color w:val="auto"/>
        </w:rPr>
      </w:pPr>
      <w:r>
        <w:rPr>
          <w:rFonts w:ascii="Courier New" w:cs="Courier New" w:eastAsia="Courier New" w:hAnsi="Courier New"/>
          <w:sz w:val="15"/>
          <w:szCs w:val="15"/>
          <w:color w:val="auto"/>
        </w:rPr>
        <w:t>the Board of Directors in January 1995.</w:t>
      </w:r>
      <w:r>
        <w:rPr>
          <w:sz w:val="20"/>
          <w:szCs w:val="20"/>
          <w:color w:val="auto"/>
        </w:rPr>
        <w:tab/>
      </w:r>
      <w:r>
        <w:rPr>
          <w:rFonts w:ascii="Courier New" w:cs="Courier New" w:eastAsia="Courier New" w:hAnsi="Courier New"/>
          <w:sz w:val="14"/>
          <w:szCs w:val="14"/>
          <w:color w:val="auto"/>
        </w:rPr>
        <w:t>In the first nine months of 1997, the</w:t>
      </w:r>
    </w:p>
    <w:p>
      <w:pPr>
        <w:spacing w:after="0" w:line="237" w:lineRule="auto"/>
        <w:rPr>
          <w:sz w:val="20"/>
          <w:szCs w:val="20"/>
          <w:color w:val="auto"/>
        </w:rPr>
      </w:pPr>
      <w:r>
        <w:rPr>
          <w:rFonts w:ascii="Courier New" w:cs="Courier New" w:eastAsia="Courier New" w:hAnsi="Courier New"/>
          <w:sz w:val="15"/>
          <w:szCs w:val="15"/>
          <w:color w:val="auto"/>
        </w:rPr>
        <w:t>company repurchased 245,390 shares of its Class B common stock for</w:t>
      </w:r>
    </w:p>
    <w:p>
      <w:pPr>
        <w:spacing w:after="0"/>
        <w:tabs>
          <w:tab w:leader="none" w:pos="2620" w:val="left"/>
        </w:tabs>
        <w:rPr>
          <w:sz w:val="20"/>
          <w:szCs w:val="20"/>
          <w:color w:val="auto"/>
        </w:rPr>
      </w:pPr>
      <w:r>
        <w:rPr>
          <w:rFonts w:ascii="Courier New" w:cs="Courier New" w:eastAsia="Courier New" w:hAnsi="Courier New"/>
          <w:sz w:val="15"/>
          <w:szCs w:val="15"/>
          <w:color w:val="auto"/>
        </w:rPr>
        <w:t>approximately $87.3 million.</w:t>
      </w:r>
      <w:r>
        <w:rPr>
          <w:sz w:val="20"/>
          <w:szCs w:val="20"/>
          <w:color w:val="auto"/>
        </w:rPr>
        <w:tab/>
      </w:r>
      <w:r>
        <w:rPr>
          <w:rFonts w:ascii="Courier New" w:cs="Courier New" w:eastAsia="Courier New" w:hAnsi="Courier New"/>
          <w:sz w:val="14"/>
          <w:szCs w:val="14"/>
          <w:color w:val="auto"/>
        </w:rPr>
        <w:t>In October 1997, the company repurchased an</w:t>
      </w:r>
    </w:p>
    <w:p>
      <w:pPr>
        <w:spacing w:after="0"/>
        <w:tabs>
          <w:tab w:leader="none" w:pos="5240" w:val="left"/>
        </w:tabs>
        <w:rPr>
          <w:sz w:val="20"/>
          <w:szCs w:val="20"/>
          <w:color w:val="auto"/>
        </w:rPr>
      </w:pPr>
      <w:r>
        <w:rPr>
          <w:rFonts w:ascii="Courier New" w:cs="Courier New" w:eastAsia="Courier New" w:hAnsi="Courier New"/>
          <w:sz w:val="15"/>
          <w:szCs w:val="15"/>
          <w:color w:val="auto"/>
        </w:rPr>
        <w:t>additional 214,100 shares for approximately $92.9 million.</w:t>
      </w:r>
      <w:r>
        <w:rPr>
          <w:sz w:val="20"/>
          <w:szCs w:val="20"/>
          <w:color w:val="auto"/>
        </w:rPr>
        <w:tab/>
      </w:r>
      <w:r>
        <w:rPr>
          <w:rFonts w:ascii="Courier New" w:cs="Courier New" w:eastAsia="Courier New" w:hAnsi="Courier New"/>
          <w:sz w:val="14"/>
          <w:szCs w:val="14"/>
          <w:color w:val="auto"/>
        </w:rPr>
        <w:t>Approximately</w:t>
      </w:r>
    </w:p>
    <w:p>
      <w:pPr>
        <w:spacing w:after="0" w:line="238" w:lineRule="auto"/>
        <w:rPr>
          <w:sz w:val="20"/>
          <w:szCs w:val="20"/>
          <w:color w:val="auto"/>
        </w:rPr>
      </w:pPr>
      <w:r>
        <w:rPr>
          <w:rFonts w:ascii="Courier New" w:cs="Courier New" w:eastAsia="Courier New" w:hAnsi="Courier New"/>
          <w:sz w:val="15"/>
          <w:szCs w:val="15"/>
          <w:color w:val="auto"/>
        </w:rPr>
        <w:t>200,000 Class B common shares remain to be repurchased under the January 1995</w:t>
      </w:r>
    </w:p>
    <w:p>
      <w:pPr>
        <w:spacing w:after="0" w:line="237" w:lineRule="auto"/>
        <w:rPr>
          <w:sz w:val="20"/>
          <w:szCs w:val="20"/>
          <w:color w:val="auto"/>
        </w:rPr>
      </w:pPr>
      <w:r>
        <w:rPr>
          <w:rFonts w:ascii="Courier New" w:cs="Courier New" w:eastAsia="Courier New" w:hAnsi="Courier New"/>
          <w:sz w:val="15"/>
          <w:szCs w:val="15"/>
          <w:color w:val="auto"/>
        </w:rPr>
        <w:t>authorization.</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 September 28, 1997, the company had $34.2 million in cash and cash equivalents. The company expects to fund the majority of its estimated capital expenditures through internally generated funds and, if necessary, through the issuance of short-term promissory notes supported by existing credit facilities. In management's opinion, the company will have ample liquidity to meet its various cash needs during the remainder of 1997 and 1998 as outlined above.</w:t>
      </w:r>
    </w:p>
    <w:p>
      <w:pPr>
        <w:spacing w:after="0" w:line="176" w:lineRule="exact"/>
        <w:rPr>
          <w:sz w:val="20"/>
          <w:szCs w:val="20"/>
          <w:color w:val="auto"/>
        </w:rPr>
      </w:pPr>
    </w:p>
    <w:p>
      <w:pPr>
        <w:ind w:right="3939" w:firstLine="787"/>
        <w:spacing w:after="0" w:line="234" w:lineRule="auto"/>
        <w:rPr>
          <w:sz w:val="20"/>
          <w:szCs w:val="20"/>
          <w:color w:val="auto"/>
        </w:rPr>
      </w:pPr>
      <w:r>
        <w:rPr>
          <w:rFonts w:ascii="Courier New" w:cs="Courier New" w:eastAsia="Courier New" w:hAnsi="Courier New"/>
          <w:sz w:val="15"/>
          <w:szCs w:val="15"/>
          <w:color w:val="auto"/>
        </w:rPr>
        <w:t>The company has experienced no other significant changes in its financial condition since the end of 1996.</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jc w:val="right"/>
        <w:ind w:right="3239"/>
        <w:spacing w:after="0" w:line="237" w:lineRule="auto"/>
        <w:rPr>
          <w:sz w:val="20"/>
          <w:szCs w:val="20"/>
          <w:color w:val="auto"/>
        </w:rPr>
      </w:pPr>
      <w:r>
        <w:rPr>
          <w:rFonts w:ascii="Courier New" w:cs="Courier New" w:eastAsia="Courier New" w:hAnsi="Courier New"/>
          <w:sz w:val="15"/>
          <w:szCs w:val="15"/>
          <w:color w:val="auto"/>
        </w:rPr>
        <w:t>13.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335" w:lineRule="exact"/>
        <w:rPr>
          <w:sz w:val="20"/>
          <w:szCs w:val="20"/>
          <w:color w:val="auto"/>
        </w:rPr>
      </w:pPr>
    </w:p>
    <w:p>
      <w:pPr>
        <w:ind w:left="1500" w:hanging="703"/>
        <w:spacing w:after="0"/>
        <w:tabs>
          <w:tab w:leader="none" w:pos="15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exhibits to this report:</w:t>
      </w:r>
    </w:p>
    <w:p>
      <w:pPr>
        <w:sectPr>
          <w:pgSz w:w="11900" w:h="16838" w:orient="portrait"/>
          <w:cols w:equalWidth="0" w:num="1">
            <w:col w:w="10239"/>
          </w:cols>
          <w:pgMar w:left="220" w:top="281" w:right="1440" w:bottom="1440" w:gutter="0" w:footer="0" w:header="0"/>
        </w:sectPr>
      </w:pPr>
    </w:p>
    <w:p>
      <w:pPr>
        <w:spacing w:after="0" w:line="341"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EXHIBIT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77" w:lineRule="exact"/>
        <w:rPr>
          <w:sz w:val="20"/>
          <w:szCs w:val="20"/>
          <w:color w:val="auto"/>
        </w:rPr>
      </w:pPr>
    </w:p>
    <w:p>
      <w:pPr>
        <w:sectPr>
          <w:pgSz w:w="11900" w:h="16838" w:orient="portrait"/>
          <w:cols w:equalWidth="0" w:num="2">
            <w:col w:w="3060" w:space="720"/>
            <w:col w:w="6459"/>
          </w:cols>
          <w:pgMar w:left="220" w:top="281" w:right="1440" w:bottom="1440" w:gutter="0" w:footer="0" w:header="0"/>
          <w:type w:val="continuous"/>
        </w:sectPr>
      </w:pPr>
    </w:p>
    <w:p>
      <w:pPr>
        <w:ind w:left="2280" w:right="4799" w:hanging="1483"/>
        <w:spacing w:after="0" w:line="234" w:lineRule="auto"/>
        <w:tabs>
          <w:tab w:leader="none" w:pos="22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 of Earnings Per Share of Common Stock</w:t>
      </w:r>
    </w:p>
    <w:p>
      <w:pPr>
        <w:spacing w:after="0" w:line="167" w:lineRule="exact"/>
        <w:rPr>
          <w:sz w:val="20"/>
          <w:szCs w:val="20"/>
          <w:color w:val="auto"/>
        </w:rPr>
      </w:pPr>
    </w:p>
    <w:p>
      <w:pPr>
        <w:ind w:left="800"/>
        <w:spacing w:after="0"/>
        <w:tabs>
          <w:tab w:leader="none" w:pos="226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 (Electronic Filing Only)</w:t>
      </w:r>
    </w:p>
    <w:p>
      <w:pPr>
        <w:spacing w:after="0" w:line="341" w:lineRule="exact"/>
        <w:rPr>
          <w:sz w:val="20"/>
          <w:szCs w:val="20"/>
          <w:color w:val="auto"/>
        </w:rPr>
      </w:pPr>
    </w:p>
    <w:p>
      <w:pPr>
        <w:ind w:left="1500" w:right="3319" w:hanging="703"/>
        <w:spacing w:after="0" w:line="234" w:lineRule="auto"/>
        <w:tabs>
          <w:tab w:leader="none" w:pos="15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during the period covered by this report.</w:t>
      </w:r>
    </w:p>
    <w:p>
      <w:pPr>
        <w:sectPr>
          <w:pgSz w:w="11900" w:h="16838" w:orient="portrait"/>
          <w:cols w:equalWidth="0" w:num="1">
            <w:col w:w="10239"/>
          </w:cols>
          <w:pgMar w:left="220" w:top="281"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jc w:val="right"/>
        <w:ind w:right="3239"/>
        <w:spacing w:after="0" w:line="237" w:lineRule="auto"/>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309"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WASHINGTON POST COMPANY</w:t>
      </w:r>
    </w:p>
    <w:p>
      <w:pPr>
        <w:ind w:left="3420"/>
        <w:spacing w:after="0" w:line="237" w:lineRule="auto"/>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both"/>
        <w:spacing w:after="0" w:line="261" w:lineRule="auto"/>
        <w:rPr>
          <w:sz w:val="20"/>
          <w:szCs w:val="20"/>
          <w:color w:val="auto"/>
        </w:rPr>
      </w:pPr>
      <w:r>
        <w:rPr>
          <w:rFonts w:ascii="Courier New" w:cs="Courier New" w:eastAsia="Courier New" w:hAnsi="Courier New"/>
          <w:sz w:val="14"/>
          <w:szCs w:val="14"/>
          <w:color w:val="auto"/>
        </w:rPr>
        <w:t>November 12, 1997 -----------------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DONALD E. GRAHAM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E. Graham, Chairman &amp;</w:t>
      </w:r>
    </w:p>
    <w:p>
      <w:pPr>
        <w:spacing w:after="0" w:line="237" w:lineRule="auto"/>
        <w:rPr>
          <w:sz w:val="20"/>
          <w:szCs w:val="20"/>
          <w:color w:val="auto"/>
        </w:rPr>
      </w:pPr>
      <w:r>
        <w:rPr>
          <w:rFonts w:ascii="Courier New" w:cs="Courier New" w:eastAsia="Courier New" w:hAnsi="Courier New"/>
          <w:sz w:val="15"/>
          <w:szCs w:val="15"/>
          <w:color w:val="auto"/>
        </w:rPr>
        <w:t>Chief Executive Officer</w:t>
      </w:r>
    </w:p>
    <w:p>
      <w:pPr>
        <w:spacing w:after="0" w:line="238" w:lineRule="auto"/>
        <w:rPr>
          <w:sz w:val="20"/>
          <w:szCs w:val="20"/>
          <w:color w:val="auto"/>
        </w:rPr>
      </w:pPr>
      <w:r>
        <w:rPr>
          <w:rFonts w:ascii="Courier New" w:cs="Courier New" w:eastAsia="Courier New" w:hAnsi="Courier New"/>
          <w:sz w:val="15"/>
          <w:szCs w:val="15"/>
          <w:color w:val="auto"/>
        </w:rPr>
        <w:t>(Principal Executive Officer)</w:t>
      </w:r>
    </w:p>
    <w:p>
      <w:pPr>
        <w:spacing w:after="0" w:line="200" w:lineRule="exact"/>
        <w:rPr>
          <w:sz w:val="20"/>
          <w:szCs w:val="20"/>
          <w:color w:val="auto"/>
        </w:rPr>
      </w:pPr>
    </w:p>
    <w:p>
      <w:pPr>
        <w:sectPr>
          <w:pgSz w:w="11900" w:h="16838" w:orient="portrait"/>
          <w:cols w:equalWidth="0" w:num="3">
            <w:col w:w="440" w:space="180"/>
            <w:col w:w="1480" w:space="620"/>
            <w:col w:w="7519"/>
          </w:cols>
          <w:pgMar w:left="220" w:top="281" w:right="1440"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jc w:val="both"/>
        <w:spacing w:after="0" w:line="261" w:lineRule="auto"/>
        <w:rPr>
          <w:sz w:val="20"/>
          <w:szCs w:val="20"/>
          <w:color w:val="auto"/>
        </w:rPr>
      </w:pPr>
      <w:r>
        <w:rPr>
          <w:rFonts w:ascii="Courier New" w:cs="Courier New" w:eastAsia="Courier New" w:hAnsi="Courier New"/>
          <w:sz w:val="14"/>
          <w:szCs w:val="14"/>
          <w:color w:val="auto"/>
        </w:rPr>
        <w:t>November 12, 1997 -----------------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JOHN B. MORSE,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B. Morse, Jr., Vice President-Finance</w:t>
      </w:r>
    </w:p>
    <w:p>
      <w:pPr>
        <w:ind w:left="260"/>
        <w:spacing w:after="0" w:line="237" w:lineRule="auto"/>
        <w:rPr>
          <w:sz w:val="20"/>
          <w:szCs w:val="20"/>
          <w:color w:val="auto"/>
        </w:rPr>
      </w:pPr>
      <w:r>
        <w:rPr>
          <w:rFonts w:ascii="Courier New" w:cs="Courier New" w:eastAsia="Courier New" w:hAnsi="Courier New"/>
          <w:sz w:val="15"/>
          <w:szCs w:val="15"/>
          <w:color w:val="auto"/>
        </w:rPr>
        <w:t>(Principal Financial Officer)</w:t>
      </w:r>
    </w:p>
    <w:p>
      <w:pPr>
        <w:sectPr>
          <w:pgSz w:w="11900" w:h="16838" w:orient="portrait"/>
          <w:cols w:equalWidth="0" w:num="3">
            <w:col w:w="440" w:space="180"/>
            <w:col w:w="1480" w:space="620"/>
            <w:col w:w="7519"/>
          </w:cols>
          <w:pgMar w:left="220" w:top="281"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70"/>
        </w:trPr>
        <w:tc>
          <w:tcPr>
            <w:tcW w:w="4640" w:type="dxa"/>
            <w:vAlign w:val="bottom"/>
          </w:tcPr>
          <w:p>
            <w:pPr>
              <w:ind w:left="280"/>
              <w:spacing w:after="0"/>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41"/>
        </w:trPr>
        <w:tc>
          <w:tcPr>
            <w:tcW w:w="4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0" w:type="dxa"/>
            <w:vAlign w:val="bottom"/>
            <w:gridSpan w:val="2"/>
          </w:tcPr>
          <w:p>
            <w:pPr>
              <w:jc w:val="right"/>
              <w:ind w:right="947"/>
              <w:spacing w:after="0"/>
              <w:rPr>
                <w:sz w:val="20"/>
                <w:szCs w:val="20"/>
                <w:color w:val="auto"/>
              </w:rPr>
            </w:pPr>
            <w:r>
              <w:rPr>
                <w:rFonts w:ascii="Courier New" w:cs="Courier New" w:eastAsia="Courier New" w:hAnsi="Courier New"/>
                <w:sz w:val="15"/>
                <w:szCs w:val="15"/>
                <w:color w:val="auto"/>
              </w:rPr>
              <w:t>Exhibit 11</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05"/>
        </w:trPr>
        <w:tc>
          <w:tcPr>
            <w:tcW w:w="4640" w:type="dxa"/>
            <w:vAlign w:val="bottom"/>
          </w:tcPr>
          <w:p>
            <w:pPr>
              <w:ind w:left="2460"/>
              <w:spacing w:after="0"/>
              <w:rPr>
                <w:sz w:val="20"/>
                <w:szCs w:val="20"/>
                <w:color w:val="auto"/>
              </w:rPr>
            </w:pPr>
            <w:r>
              <w:rPr>
                <w:rFonts w:ascii="Courier New" w:cs="Courier New" w:eastAsia="Courier New" w:hAnsi="Courier New"/>
                <w:sz w:val="15"/>
                <w:szCs w:val="15"/>
                <w:color w:val="auto"/>
              </w:rPr>
              <w:t>CALCULATION OF EARNINGS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640" w:type="dxa"/>
            <w:vAlign w:val="bottom"/>
          </w:tcPr>
          <w:p>
            <w:pPr>
              <w:ind w:left="2380"/>
              <w:spacing w:after="0" w:line="168" w:lineRule="exact"/>
              <w:rPr>
                <w:sz w:val="20"/>
                <w:szCs w:val="20"/>
                <w:color w:val="auto"/>
              </w:rPr>
            </w:pPr>
            <w:r>
              <w:rPr>
                <w:rFonts w:ascii="Courier New" w:cs="Courier New" w:eastAsia="Courier New" w:hAnsi="Courier New"/>
                <w:sz w:val="15"/>
                <w:szCs w:val="15"/>
                <w:color w:val="auto"/>
                <w:w w:val="99"/>
              </w:rPr>
              <w:t>PER SHARE OF COMMON STOCK</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40" w:type="dxa"/>
            <w:vAlign w:val="bottom"/>
          </w:tcPr>
          <w:p>
            <w:pPr>
              <w:ind w:left="2460"/>
              <w:spacing w:after="0" w:line="168" w:lineRule="exact"/>
              <w:rPr>
                <w:sz w:val="20"/>
                <w:szCs w:val="20"/>
                <w:color w:val="auto"/>
              </w:rPr>
            </w:pPr>
            <w:r>
              <w:rPr>
                <w:rFonts w:ascii="Courier New" w:cs="Courier New" w:eastAsia="Courier New" w:hAnsi="Courier New"/>
                <w:sz w:val="15"/>
                <w:szCs w:val="15"/>
                <w:color w:val="auto"/>
                <w:w w:val="99"/>
              </w:rPr>
              <w:t>(In thousands of shares)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41"/>
        </w:trPr>
        <w:tc>
          <w:tcPr>
            <w:tcW w:w="4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gridSpan w:val="3"/>
          </w:tcPr>
          <w:p>
            <w:pPr>
              <w:jc w:val="right"/>
              <w:ind w:right="1027"/>
              <w:spacing w:after="0"/>
              <w:rPr>
                <w:sz w:val="20"/>
                <w:szCs w:val="20"/>
                <w:color w:val="auto"/>
              </w:rPr>
            </w:pPr>
            <w:r>
              <w:rPr>
                <w:rFonts w:ascii="Courier New" w:cs="Courier New" w:eastAsia="Courier New" w:hAnsi="Courier New"/>
                <w:sz w:val="15"/>
                <w:szCs w:val="15"/>
                <w:color w:val="auto"/>
              </w:rPr>
              <w:t>Thirteen Weeks Ended</w:t>
            </w:r>
          </w:p>
        </w:tc>
        <w:tc>
          <w:tcPr>
            <w:tcW w:w="740" w:type="dxa"/>
            <w:vAlign w:val="bottom"/>
          </w:tcPr>
          <w:p>
            <w:pPr>
              <w:spacing w:after="0"/>
              <w:rPr>
                <w:sz w:val="24"/>
                <w:szCs w:val="24"/>
                <w:color w:val="auto"/>
              </w:rPr>
            </w:pPr>
          </w:p>
        </w:tc>
        <w:tc>
          <w:tcPr>
            <w:tcW w:w="262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Thirty-nine Weeks Ended</w:t>
            </w:r>
          </w:p>
        </w:tc>
      </w:tr>
      <w:tr>
        <w:trPr>
          <w:trHeight w:val="168"/>
        </w:trPr>
        <w:tc>
          <w:tcPr>
            <w:tcW w:w="4640" w:type="dxa"/>
            <w:vAlign w:val="bottom"/>
          </w:tcPr>
          <w:p>
            <w:pPr>
              <w:spacing w:after="0"/>
              <w:rPr>
                <w:sz w:val="14"/>
                <w:szCs w:val="14"/>
                <w:color w:val="auto"/>
              </w:rPr>
            </w:pPr>
          </w:p>
        </w:tc>
        <w:tc>
          <w:tcPr>
            <w:tcW w:w="3380" w:type="dxa"/>
            <w:vAlign w:val="bottom"/>
            <w:gridSpan w:val="4"/>
          </w:tcPr>
          <w:p>
            <w:pPr>
              <w:jc w:val="right"/>
              <w:ind w:right="507"/>
              <w:spacing w:after="0" w:line="168" w:lineRule="exact"/>
              <w:rPr>
                <w:sz w:val="20"/>
                <w:szCs w:val="20"/>
                <w:color w:val="auto"/>
              </w:rPr>
            </w:pPr>
            <w:r>
              <w:rPr>
                <w:rFonts w:ascii="Courier New" w:cs="Courier New" w:eastAsia="Courier New" w:hAnsi="Courier New"/>
                <w:sz w:val="15"/>
                <w:szCs w:val="15"/>
                <w:color w:val="auto"/>
                <w:w w:val="99"/>
              </w:rPr>
              <w:t>-------------------------------</w:t>
            </w:r>
          </w:p>
        </w:tc>
        <w:tc>
          <w:tcPr>
            <w:tcW w:w="33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Sep. 28,</w:t>
            </w:r>
          </w:p>
        </w:tc>
        <w:tc>
          <w:tcPr>
            <w:tcW w:w="2200" w:type="dxa"/>
            <w:vAlign w:val="bottom"/>
            <w:gridSpan w:val="2"/>
          </w:tcPr>
          <w:p>
            <w:pPr>
              <w:ind w:left="920"/>
              <w:spacing w:after="0" w:line="168" w:lineRule="exact"/>
              <w:rPr>
                <w:sz w:val="20"/>
                <w:szCs w:val="20"/>
                <w:color w:val="auto"/>
              </w:rPr>
            </w:pPr>
            <w:r>
              <w:rPr>
                <w:rFonts w:ascii="Courier New" w:cs="Courier New" w:eastAsia="Courier New" w:hAnsi="Courier New"/>
                <w:sz w:val="15"/>
                <w:szCs w:val="15"/>
                <w:color w:val="auto"/>
              </w:rPr>
              <w:t>Sep. 29,</w:t>
            </w:r>
          </w:p>
        </w:tc>
        <w:tc>
          <w:tcPr>
            <w:tcW w:w="7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Sep. 28,</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Sep. 29,</w:t>
            </w:r>
          </w:p>
        </w:tc>
      </w:tr>
      <w:tr>
        <w:trPr>
          <w:trHeight w:val="168"/>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1020" w:type="dxa"/>
            <w:vAlign w:val="bottom"/>
          </w:tcPr>
          <w:p>
            <w:pPr>
              <w:spacing w:after="0"/>
              <w:rPr>
                <w:sz w:val="14"/>
                <w:szCs w:val="14"/>
                <w:color w:val="auto"/>
              </w:rPr>
            </w:pPr>
          </w:p>
        </w:tc>
        <w:tc>
          <w:tcPr>
            <w:tcW w:w="118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1996</w:t>
            </w:r>
          </w:p>
        </w:tc>
        <w:tc>
          <w:tcPr>
            <w:tcW w:w="74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1997</w:t>
            </w:r>
          </w:p>
        </w:tc>
        <w:tc>
          <w:tcPr>
            <w:tcW w:w="6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640" w:type="dxa"/>
            <w:vAlign w:val="bottom"/>
          </w:tcPr>
          <w:p>
            <w:pPr>
              <w:spacing w:after="0"/>
              <w:rPr>
                <w:sz w:val="14"/>
                <w:szCs w:val="14"/>
                <w:color w:val="auto"/>
              </w:rPr>
            </w:pPr>
          </w:p>
        </w:tc>
        <w:tc>
          <w:tcPr>
            <w:tcW w:w="11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Number of shares of</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A and Class B</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outstanding</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at beginning of</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period</w:t>
            </w:r>
          </w:p>
        </w:tc>
        <w:tc>
          <w:tcPr>
            <w:tcW w:w="1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10,715</w:t>
            </w:r>
          </w:p>
        </w:tc>
        <w:tc>
          <w:tcPr>
            <w:tcW w:w="10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10,963</w:t>
            </w:r>
          </w:p>
        </w:tc>
        <w:tc>
          <w:tcPr>
            <w:tcW w:w="7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10,910</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11,005</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Issuance of shares of</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B common stock</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net of</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forfeiture of restricted stock awards</w:t>
            </w:r>
          </w:p>
        </w:tc>
        <w:tc>
          <w:tcPr>
            <w:tcW w:w="1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w:t>
            </w:r>
          </w:p>
        </w:tc>
        <w:tc>
          <w:tcPr>
            <w:tcW w:w="74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w:t>
            </w:r>
          </w:p>
        </w:tc>
        <w:tc>
          <w:tcPr>
            <w:tcW w:w="6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Repurchase of Class B</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(weighted)</w:t>
            </w:r>
          </w:p>
        </w:tc>
        <w:tc>
          <w:tcPr>
            <w:tcW w:w="1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w:t>
            </w:r>
          </w:p>
        </w:tc>
        <w:tc>
          <w:tcPr>
            <w:tcW w:w="10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w:t>
            </w:r>
          </w:p>
        </w:tc>
        <w:tc>
          <w:tcPr>
            <w:tcW w:w="7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(163)</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Unexercised stock option</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equivalent shares computed under the</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"treasury stock method"</w:t>
            </w:r>
          </w:p>
        </w:tc>
        <w:tc>
          <w:tcPr>
            <w:tcW w:w="1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w:t>
            </w:r>
          </w:p>
        </w:tc>
        <w:tc>
          <w:tcPr>
            <w:tcW w:w="10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18</w:t>
            </w:r>
          </w:p>
        </w:tc>
        <w:tc>
          <w:tcPr>
            <w:tcW w:w="7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w:t>
            </w:r>
          </w:p>
        </w:tc>
        <w:tc>
          <w:tcPr>
            <w:tcW w:w="10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1"/>
              </w:rPr>
              <w:t>-------</w:t>
            </w:r>
          </w:p>
        </w:tc>
        <w:tc>
          <w:tcPr>
            <w:tcW w:w="7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Shares used in the</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computation of primary</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common share</w:t>
            </w:r>
          </w:p>
        </w:tc>
        <w:tc>
          <w:tcPr>
            <w:tcW w:w="1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10,743</w:t>
            </w:r>
          </w:p>
        </w:tc>
        <w:tc>
          <w:tcPr>
            <w:tcW w:w="10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10,975</w:t>
            </w:r>
          </w:p>
        </w:tc>
        <w:tc>
          <w:tcPr>
            <w:tcW w:w="7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10,794</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10,990</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Adjustment to reflect fully</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dilution computation (1)</w:t>
            </w:r>
          </w:p>
        </w:tc>
        <w:tc>
          <w:tcPr>
            <w:tcW w:w="1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10,743</w:t>
            </w:r>
          </w:p>
        </w:tc>
        <w:tc>
          <w:tcPr>
            <w:tcW w:w="1020" w:type="dxa"/>
            <w:vAlign w:val="bottom"/>
          </w:tcPr>
          <w:p>
            <w:pPr>
              <w:spacing w:after="0"/>
              <w:rPr>
                <w:sz w:val="24"/>
                <w:szCs w:val="24"/>
                <w:color w:val="auto"/>
              </w:rPr>
            </w:pP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10,975</w:t>
            </w:r>
          </w:p>
        </w:tc>
        <w:tc>
          <w:tcPr>
            <w:tcW w:w="740" w:type="dxa"/>
            <w:vAlign w:val="bottom"/>
          </w:tcPr>
          <w:p>
            <w:pPr>
              <w:spacing w:after="0"/>
              <w:rPr>
                <w:sz w:val="24"/>
                <w:szCs w:val="2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10,794</w:t>
            </w:r>
          </w:p>
        </w:tc>
        <w:tc>
          <w:tcPr>
            <w:tcW w:w="6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10,990</w:t>
            </w:r>
          </w:p>
        </w:tc>
      </w:tr>
      <w:tr>
        <w:trPr>
          <w:trHeight w:val="168"/>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w:t>
            </w:r>
          </w:p>
        </w:tc>
        <w:tc>
          <w:tcPr>
            <w:tcW w:w="10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1"/>
              </w:rPr>
              <w:t>-------</w:t>
            </w:r>
          </w:p>
        </w:tc>
        <w:tc>
          <w:tcPr>
            <w:tcW w:w="7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Net income available for</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71,312</w:t>
            </w:r>
          </w:p>
        </w:tc>
        <w:tc>
          <w:tcPr>
            <w:tcW w:w="10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54,913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189,646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154,871</w:t>
            </w:r>
          </w:p>
        </w:tc>
      </w:tr>
      <w:tr>
        <w:trPr>
          <w:trHeight w:val="168"/>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w:t>
            </w:r>
          </w:p>
        </w:tc>
        <w:tc>
          <w:tcPr>
            <w:tcW w:w="10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1"/>
              </w:rPr>
              <w:t>-------</w:t>
            </w:r>
          </w:p>
        </w:tc>
        <w:tc>
          <w:tcPr>
            <w:tcW w:w="7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Primary earnings per common</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6.64</w:t>
            </w:r>
          </w:p>
        </w:tc>
        <w:tc>
          <w:tcPr>
            <w:tcW w:w="10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5.00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17.57</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14.09</w:t>
            </w:r>
          </w:p>
        </w:tc>
      </w:tr>
      <w:tr>
        <w:trPr>
          <w:trHeight w:val="168"/>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w:t>
            </w:r>
          </w:p>
        </w:tc>
        <w:tc>
          <w:tcPr>
            <w:tcW w:w="10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1"/>
              </w:rPr>
              <w:t>-------</w:t>
            </w:r>
          </w:p>
        </w:tc>
        <w:tc>
          <w:tcPr>
            <w:tcW w:w="7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Fully diluted earnings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per common share (1)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6.64</w:t>
            </w:r>
          </w:p>
        </w:tc>
        <w:tc>
          <w:tcPr>
            <w:tcW w:w="10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5.00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17.57</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14.09</w:t>
            </w:r>
          </w:p>
        </w:tc>
      </w:tr>
      <w:tr>
        <w:trPr>
          <w:trHeight w:val="168"/>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w:t>
            </w:r>
          </w:p>
        </w:tc>
        <w:tc>
          <w:tcPr>
            <w:tcW w:w="10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1"/>
              </w:rPr>
              <w:t>-------</w:t>
            </w:r>
          </w:p>
        </w:tc>
        <w:tc>
          <w:tcPr>
            <w:tcW w:w="7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200" w:lineRule="exact"/>
        <w:rPr>
          <w:sz w:val="20"/>
          <w:szCs w:val="20"/>
          <w:color w:val="auto"/>
        </w:rPr>
      </w:pPr>
    </w:p>
    <w:p>
      <w:pPr>
        <w:spacing w:after="0" w:line="309" w:lineRule="exact"/>
        <w:rPr>
          <w:sz w:val="20"/>
          <w:szCs w:val="20"/>
          <w:color w:val="auto"/>
        </w:rPr>
      </w:pPr>
    </w:p>
    <w:p>
      <w:pPr>
        <w:jc w:val="both"/>
        <w:ind w:right="4820" w:firstLine="10"/>
        <w:spacing w:after="0" w:line="235"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computation is submitted although it is not required by Accounting Principles Board Opinion No. 15 since it results in dilution of less than 3 percent.</w:t>
      </w:r>
    </w:p>
    <w:p>
      <w:pPr>
        <w:sectPr>
          <w:pgSz w:w="11900" w:h="16838" w:orient="portrait"/>
          <w:cols w:equalWidth="0" w:num="1">
            <w:col w:w="11380"/>
          </w:cols>
          <w:pgMar w:left="220" w:top="135" w:right="299" w:bottom="1440" w:gutter="0" w:footer="0" w:header="0"/>
        </w:sectPr>
      </w:pPr>
    </w:p>
    <w:bookmarkStart w:id="15" w:name="page16"/>
    <w:bookmarkEnd w:id="15"/>
    <w:p>
      <w:pPr>
        <w:ind w:left="6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299"/>
        <w:spacing w:after="0" w:line="236"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Condensed Consolidated Statement of Income for the thirty-nine weeks ended September 28, 1997 and the Condensed Consolidated Balance Sheet as of September 28, 1997 and is qualified in its entirety by reference to such financial statements.</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9-MOS</w:t>
      </w:r>
    </w:p>
    <w:p>
      <w:pPr>
        <w:ind w:left="2680"/>
        <w:spacing w:after="0" w:line="237" w:lineRule="auto"/>
        <w:rPr>
          <w:sz w:val="20"/>
          <w:szCs w:val="20"/>
          <w:color w:val="auto"/>
        </w:rPr>
      </w:pPr>
      <w:r>
        <w:rPr>
          <w:rFonts w:ascii="Courier New" w:cs="Courier New" w:eastAsia="Courier New" w:hAnsi="Courier New"/>
          <w:sz w:val="15"/>
          <w:szCs w:val="15"/>
          <w:color w:val="auto"/>
        </w:rPr>
        <w:t>DEC-28-1997</w:t>
      </w:r>
    </w:p>
    <w:p>
      <w:pPr>
        <w:ind w:left="2940"/>
        <w:spacing w:after="0" w:line="238" w:lineRule="auto"/>
        <w:rPr>
          <w:sz w:val="20"/>
          <w:szCs w:val="20"/>
          <w:color w:val="auto"/>
        </w:rPr>
      </w:pPr>
      <w:r>
        <w:rPr>
          <w:rFonts w:ascii="Courier New" w:cs="Courier New" w:eastAsia="Courier New" w:hAnsi="Courier New"/>
          <w:sz w:val="15"/>
          <w:szCs w:val="15"/>
          <w:color w:val="auto"/>
        </w:rPr>
        <w:t>DEC-30-1996</w:t>
      </w:r>
    </w:p>
    <w:p>
      <w:pPr>
        <w:ind w:left="3120"/>
        <w:spacing w:after="0" w:line="237" w:lineRule="auto"/>
        <w:rPr>
          <w:sz w:val="20"/>
          <w:szCs w:val="20"/>
          <w:color w:val="auto"/>
        </w:rPr>
      </w:pPr>
      <w:r>
        <w:rPr>
          <w:rFonts w:ascii="Courier New" w:cs="Courier New" w:eastAsia="Courier New" w:hAnsi="Courier New"/>
          <w:sz w:val="15"/>
          <w:szCs w:val="15"/>
          <w:color w:val="auto"/>
        </w:rPr>
        <w:t>SEP-28-1997</w:t>
      </w:r>
    </w:p>
    <w:p>
      <w:pPr>
        <w:ind w:left="4080"/>
        <w:spacing w:after="0" w:line="238" w:lineRule="auto"/>
        <w:rPr>
          <w:sz w:val="20"/>
          <w:szCs w:val="20"/>
          <w:color w:val="auto"/>
        </w:rPr>
      </w:pPr>
      <w:r>
        <w:rPr>
          <w:rFonts w:ascii="Courier New" w:cs="Courier New" w:eastAsia="Courier New" w:hAnsi="Courier New"/>
          <w:sz w:val="15"/>
          <w:szCs w:val="15"/>
          <w:color w:val="auto"/>
        </w:rPr>
        <w:t>34,202</w:t>
      </w:r>
    </w:p>
    <w:p>
      <w:pPr>
        <w:ind w:left="4000"/>
        <w:spacing w:after="0" w:line="237" w:lineRule="auto"/>
        <w:rPr>
          <w:sz w:val="20"/>
          <w:szCs w:val="20"/>
          <w:color w:val="auto"/>
        </w:rPr>
      </w:pPr>
      <w:r>
        <w:rPr>
          <w:rFonts w:ascii="Courier New" w:cs="Courier New" w:eastAsia="Courier New" w:hAnsi="Courier New"/>
          <w:sz w:val="15"/>
          <w:szCs w:val="15"/>
          <w:color w:val="auto"/>
        </w:rPr>
        <w:t>0</w:t>
      </w:r>
    </w:p>
    <w:p>
      <w:pPr>
        <w:ind w:left="3380"/>
        <w:spacing w:after="0" w:line="238" w:lineRule="auto"/>
        <w:rPr>
          <w:sz w:val="20"/>
          <w:szCs w:val="20"/>
          <w:color w:val="auto"/>
        </w:rPr>
      </w:pPr>
      <w:r>
        <w:rPr>
          <w:rFonts w:ascii="Courier New" w:cs="Courier New" w:eastAsia="Courier New" w:hAnsi="Courier New"/>
          <w:sz w:val="15"/>
          <w:szCs w:val="15"/>
          <w:color w:val="auto"/>
        </w:rPr>
        <w:t>294,818</w:t>
      </w:r>
    </w:p>
    <w:p>
      <w:pPr>
        <w:ind w:left="3560"/>
        <w:spacing w:after="0" w:line="237" w:lineRule="auto"/>
        <w:rPr>
          <w:sz w:val="20"/>
          <w:szCs w:val="20"/>
          <w:color w:val="auto"/>
        </w:rPr>
      </w:pPr>
      <w:r>
        <w:rPr>
          <w:rFonts w:ascii="Courier New" w:cs="Courier New" w:eastAsia="Courier New" w:hAnsi="Courier New"/>
          <w:sz w:val="15"/>
          <w:szCs w:val="15"/>
          <w:color w:val="auto"/>
        </w:rPr>
        <w:t>51,029</w:t>
      </w:r>
    </w:p>
    <w:p>
      <w:pPr>
        <w:ind w:left="3640"/>
        <w:spacing w:after="0" w:line="238" w:lineRule="auto"/>
        <w:rPr>
          <w:sz w:val="20"/>
          <w:szCs w:val="20"/>
          <w:color w:val="auto"/>
        </w:rPr>
      </w:pPr>
      <w:r>
        <w:rPr>
          <w:rFonts w:ascii="Courier New" w:cs="Courier New" w:eastAsia="Courier New" w:hAnsi="Courier New"/>
          <w:sz w:val="15"/>
          <w:szCs w:val="15"/>
          <w:color w:val="auto"/>
        </w:rPr>
        <w:t>26,931</w:t>
      </w:r>
    </w:p>
    <w:p>
      <w:pPr>
        <w:ind w:left="3120"/>
        <w:spacing w:after="0" w:line="238" w:lineRule="auto"/>
        <w:rPr>
          <w:sz w:val="20"/>
          <w:szCs w:val="20"/>
          <w:color w:val="auto"/>
        </w:rPr>
      </w:pPr>
      <w:r>
        <w:rPr>
          <w:rFonts w:ascii="Courier New" w:cs="Courier New" w:eastAsia="Courier New" w:hAnsi="Courier New"/>
          <w:sz w:val="15"/>
          <w:szCs w:val="15"/>
          <w:color w:val="auto"/>
        </w:rPr>
        <w:t>328,390</w:t>
      </w:r>
    </w:p>
    <w:p>
      <w:pPr>
        <w:ind w:left="3820"/>
        <w:spacing w:after="0" w:line="237" w:lineRule="auto"/>
        <w:rPr>
          <w:sz w:val="20"/>
          <w:szCs w:val="20"/>
          <w:color w:val="auto"/>
        </w:rPr>
      </w:pPr>
      <w:r>
        <w:rPr>
          <w:rFonts w:ascii="Courier New" w:cs="Courier New" w:eastAsia="Courier New" w:hAnsi="Courier New"/>
          <w:sz w:val="15"/>
          <w:szCs w:val="15"/>
          <w:color w:val="auto"/>
        </w:rPr>
        <w:t>1,220,147</w:t>
      </w:r>
    </w:p>
    <w:p>
      <w:pPr>
        <w:ind w:left="3300"/>
        <w:spacing w:after="0" w:line="238" w:lineRule="auto"/>
        <w:rPr>
          <w:sz w:val="20"/>
          <w:szCs w:val="20"/>
          <w:color w:val="auto"/>
        </w:rPr>
      </w:pPr>
      <w:r>
        <w:rPr>
          <w:rFonts w:ascii="Courier New" w:cs="Courier New" w:eastAsia="Courier New" w:hAnsi="Courier New"/>
          <w:sz w:val="15"/>
          <w:szCs w:val="15"/>
          <w:color w:val="auto"/>
        </w:rPr>
        <w:t>627,517</w:t>
      </w:r>
    </w:p>
    <w:p>
      <w:pPr>
        <w:ind w:left="3120"/>
        <w:spacing w:after="0" w:line="237" w:lineRule="auto"/>
        <w:rPr>
          <w:sz w:val="20"/>
          <w:szCs w:val="20"/>
          <w:color w:val="auto"/>
        </w:rPr>
      </w:pPr>
      <w:r>
        <w:rPr>
          <w:rFonts w:ascii="Courier New" w:cs="Courier New" w:eastAsia="Courier New" w:hAnsi="Courier New"/>
          <w:sz w:val="15"/>
          <w:szCs w:val="15"/>
          <w:color w:val="auto"/>
        </w:rPr>
        <w:t>1,983,104</w:t>
      </w:r>
    </w:p>
    <w:p>
      <w:pPr>
        <w:ind w:left="2680"/>
        <w:spacing w:after="0" w:line="238" w:lineRule="auto"/>
        <w:rPr>
          <w:sz w:val="20"/>
          <w:szCs w:val="20"/>
          <w:color w:val="auto"/>
        </w:rPr>
      </w:pPr>
      <w:r>
        <w:rPr>
          <w:rFonts w:ascii="Courier New" w:cs="Courier New" w:eastAsia="Courier New" w:hAnsi="Courier New"/>
          <w:sz w:val="15"/>
          <w:szCs w:val="15"/>
          <w:color w:val="auto"/>
        </w:rPr>
        <w:t>330,350</w:t>
      </w:r>
    </w:p>
    <w:p>
      <w:pPr>
        <w:ind w:left="4440"/>
        <w:spacing w:after="0" w:line="237" w:lineRule="auto"/>
        <w:rPr>
          <w:sz w:val="20"/>
          <w:szCs w:val="20"/>
          <w:color w:val="auto"/>
        </w:rPr>
      </w:pPr>
      <w:r>
        <w:rPr>
          <w:rFonts w:ascii="Courier New" w:cs="Courier New" w:eastAsia="Courier New" w:hAnsi="Courier New"/>
          <w:sz w:val="15"/>
          <w:szCs w:val="15"/>
          <w:color w:val="auto"/>
        </w:rPr>
        <w:t>0</w:t>
      </w:r>
    </w:p>
    <w:p>
      <w:pPr>
        <w:ind w:left="2760"/>
        <w:spacing w:after="0" w:line="238" w:lineRule="auto"/>
        <w:rPr>
          <w:sz w:val="20"/>
          <w:szCs w:val="20"/>
          <w:color w:val="auto"/>
        </w:rPr>
      </w:pPr>
      <w:r>
        <w:rPr>
          <w:rFonts w:ascii="Courier New" w:cs="Courier New" w:eastAsia="Courier New" w:hAnsi="Courier New"/>
          <w:sz w:val="15"/>
          <w:szCs w:val="15"/>
          <w:color w:val="auto"/>
        </w:rPr>
        <w:t>11,947</w:t>
      </w:r>
    </w:p>
    <w:p>
      <w:pPr>
        <w:ind w:left="4080"/>
        <w:spacing w:after="0" w:line="238" w:lineRule="auto"/>
        <w:rPr>
          <w:sz w:val="20"/>
          <w:szCs w:val="20"/>
          <w:color w:val="auto"/>
        </w:rPr>
      </w:pPr>
      <w:r>
        <w:rPr>
          <w:rFonts w:ascii="Courier New" w:cs="Courier New" w:eastAsia="Courier New" w:hAnsi="Courier New"/>
          <w:sz w:val="15"/>
          <w:szCs w:val="15"/>
          <w:color w:val="auto"/>
        </w:rPr>
        <w:t>0</w:t>
      </w:r>
    </w:p>
    <w:p>
      <w:pPr>
        <w:ind w:left="3900"/>
        <w:spacing w:after="0" w:line="237" w:lineRule="auto"/>
        <w:rPr>
          <w:sz w:val="20"/>
          <w:szCs w:val="20"/>
          <w:color w:val="auto"/>
        </w:rPr>
      </w:pPr>
      <w:r>
        <w:rPr>
          <w:rFonts w:ascii="Courier New" w:cs="Courier New" w:eastAsia="Courier New" w:hAnsi="Courier New"/>
          <w:sz w:val="15"/>
          <w:szCs w:val="15"/>
          <w:color w:val="auto"/>
        </w:rPr>
        <w:t>20,000</w:t>
      </w:r>
    </w:p>
    <w:p>
      <w:pPr>
        <w:ind w:left="3460"/>
        <w:spacing w:after="0" w:line="238" w:lineRule="auto"/>
        <w:rPr>
          <w:sz w:val="20"/>
          <w:szCs w:val="20"/>
          <w:color w:val="auto"/>
        </w:rPr>
      </w:pPr>
      <w:r>
        <w:rPr>
          <w:rFonts w:ascii="Courier New" w:cs="Courier New" w:eastAsia="Courier New" w:hAnsi="Courier New"/>
          <w:sz w:val="15"/>
          <w:szCs w:val="15"/>
          <w:color w:val="auto"/>
        </w:rPr>
        <w:t>1,353,713</w:t>
      </w:r>
    </w:p>
    <w:p>
      <w:pPr>
        <w:ind w:left="1900"/>
        <w:spacing w:after="0" w:line="237" w:lineRule="auto"/>
        <w:rPr>
          <w:sz w:val="20"/>
          <w:szCs w:val="20"/>
          <w:color w:val="auto"/>
        </w:rPr>
      </w:pPr>
      <w:r>
        <w:rPr>
          <w:rFonts w:ascii="Courier New" w:cs="Courier New" w:eastAsia="Courier New" w:hAnsi="Courier New"/>
          <w:sz w:val="15"/>
          <w:szCs w:val="15"/>
          <w:color w:val="auto"/>
        </w:rPr>
        <w:t>1,983,104</w:t>
      </w:r>
    </w:p>
    <w:p>
      <w:pPr>
        <w:ind w:left="4440"/>
        <w:spacing w:after="0" w:line="238" w:lineRule="auto"/>
        <w:rPr>
          <w:sz w:val="20"/>
          <w:szCs w:val="20"/>
          <w:color w:val="auto"/>
        </w:rPr>
      </w:pPr>
      <w:r>
        <w:rPr>
          <w:rFonts w:ascii="Courier New" w:cs="Courier New" w:eastAsia="Courier New" w:hAnsi="Courier New"/>
          <w:sz w:val="15"/>
          <w:szCs w:val="15"/>
          <w:color w:val="auto"/>
        </w:rPr>
        <w:t>0</w:t>
      </w:r>
    </w:p>
    <w:p>
      <w:pPr>
        <w:ind w:left="2940"/>
        <w:spacing w:after="0" w:line="237" w:lineRule="auto"/>
        <w:rPr>
          <w:sz w:val="20"/>
          <w:szCs w:val="20"/>
          <w:color w:val="auto"/>
        </w:rPr>
      </w:pPr>
      <w:r>
        <w:rPr>
          <w:rFonts w:ascii="Courier New" w:cs="Courier New" w:eastAsia="Courier New" w:hAnsi="Courier New"/>
          <w:sz w:val="15"/>
          <w:szCs w:val="15"/>
          <w:color w:val="auto"/>
        </w:rPr>
        <w:t>1,433,851</w:t>
      </w:r>
    </w:p>
    <w:p>
      <w:pPr>
        <w:ind w:left="4600"/>
        <w:spacing w:after="0" w:line="238" w:lineRule="auto"/>
        <w:rPr>
          <w:sz w:val="20"/>
          <w:szCs w:val="20"/>
          <w:color w:val="auto"/>
        </w:rPr>
      </w:pPr>
      <w:r>
        <w:rPr>
          <w:rFonts w:ascii="Courier New" w:cs="Courier New" w:eastAsia="Courier New" w:hAnsi="Courier New"/>
          <w:sz w:val="15"/>
          <w:szCs w:val="15"/>
          <w:color w:val="auto"/>
        </w:rPr>
        <w:t>0</w:t>
      </w:r>
    </w:p>
    <w:p>
      <w:pPr>
        <w:ind w:left="3380"/>
        <w:spacing w:after="0" w:line="238" w:lineRule="auto"/>
        <w:rPr>
          <w:sz w:val="20"/>
          <w:szCs w:val="20"/>
          <w:color w:val="auto"/>
        </w:rPr>
      </w:pPr>
      <w:r>
        <w:rPr>
          <w:rFonts w:ascii="Courier New" w:cs="Courier New" w:eastAsia="Courier New" w:hAnsi="Courier New"/>
          <w:sz w:val="15"/>
          <w:szCs w:val="15"/>
          <w:color w:val="auto"/>
        </w:rPr>
        <w:t>743,547</w:t>
      </w:r>
    </w:p>
    <w:p>
      <w:pPr>
        <w:ind w:left="3640"/>
        <w:spacing w:after="0" w:line="237" w:lineRule="auto"/>
        <w:rPr>
          <w:sz w:val="20"/>
          <w:szCs w:val="20"/>
          <w:color w:val="auto"/>
        </w:rPr>
      </w:pPr>
      <w:r>
        <w:rPr>
          <w:rFonts w:ascii="Courier New" w:cs="Courier New" w:eastAsia="Courier New" w:hAnsi="Courier New"/>
          <w:sz w:val="15"/>
          <w:szCs w:val="15"/>
          <w:color w:val="auto"/>
        </w:rPr>
        <w:t>0</w:t>
      </w:r>
    </w:p>
    <w:p>
      <w:pPr>
        <w:ind w:left="3200"/>
        <w:spacing w:after="0" w:line="238" w:lineRule="auto"/>
        <w:rPr>
          <w:sz w:val="20"/>
          <w:szCs w:val="20"/>
          <w:color w:val="auto"/>
        </w:rPr>
      </w:pPr>
      <w:r>
        <w:rPr>
          <w:rFonts w:ascii="Courier New" w:cs="Courier New" w:eastAsia="Courier New" w:hAnsi="Courier New"/>
          <w:sz w:val="15"/>
          <w:szCs w:val="15"/>
          <w:color w:val="auto"/>
        </w:rPr>
        <w:t>48,554</w:t>
      </w:r>
    </w:p>
    <w:p>
      <w:pPr>
        <w:ind w:left="3300"/>
        <w:spacing w:after="0" w:line="237" w:lineRule="auto"/>
        <w:rPr>
          <w:sz w:val="20"/>
          <w:szCs w:val="20"/>
          <w:color w:val="auto"/>
        </w:rPr>
      </w:pPr>
      <w:r>
        <w:rPr>
          <w:rFonts w:ascii="Courier New" w:cs="Courier New" w:eastAsia="Courier New" w:hAnsi="Courier New"/>
          <w:sz w:val="15"/>
          <w:szCs w:val="15"/>
          <w:color w:val="auto"/>
        </w:rPr>
        <w:t>505</w:t>
      </w:r>
    </w:p>
    <w:p>
      <w:pPr>
        <w:ind w:left="3200"/>
        <w:spacing w:after="0" w:line="238" w:lineRule="auto"/>
        <w:rPr>
          <w:sz w:val="20"/>
          <w:szCs w:val="20"/>
          <w:color w:val="auto"/>
        </w:rPr>
      </w:pPr>
      <w:r>
        <w:rPr>
          <w:rFonts w:ascii="Courier New" w:cs="Courier New" w:eastAsia="Courier New" w:hAnsi="Courier New"/>
          <w:sz w:val="15"/>
          <w:szCs w:val="15"/>
          <w:color w:val="auto"/>
        </w:rPr>
        <w:t>314,012</w:t>
      </w:r>
    </w:p>
    <w:p>
      <w:pPr>
        <w:ind w:left="3460"/>
        <w:spacing w:after="0" w:line="237" w:lineRule="auto"/>
        <w:rPr>
          <w:sz w:val="20"/>
          <w:szCs w:val="20"/>
          <w:color w:val="auto"/>
        </w:rPr>
      </w:pPr>
      <w:r>
        <w:rPr>
          <w:rFonts w:ascii="Courier New" w:cs="Courier New" w:eastAsia="Courier New" w:hAnsi="Courier New"/>
          <w:sz w:val="15"/>
          <w:szCs w:val="15"/>
          <w:color w:val="auto"/>
        </w:rPr>
        <w:t>123,410</w:t>
      </w:r>
    </w:p>
    <w:p>
      <w:pPr>
        <w:ind w:left="2860"/>
        <w:spacing w:after="0" w:line="238" w:lineRule="auto"/>
        <w:rPr>
          <w:sz w:val="20"/>
          <w:szCs w:val="20"/>
          <w:color w:val="auto"/>
        </w:rPr>
      </w:pPr>
      <w:r>
        <w:rPr>
          <w:rFonts w:ascii="Courier New" w:cs="Courier New" w:eastAsia="Courier New" w:hAnsi="Courier New"/>
          <w:sz w:val="15"/>
          <w:szCs w:val="15"/>
          <w:color w:val="auto"/>
        </w:rPr>
        <w:t>190,602</w:t>
      </w:r>
    </w:p>
    <w:p>
      <w:pPr>
        <w:ind w:left="3820"/>
        <w:spacing w:after="0" w:line="238" w:lineRule="auto"/>
        <w:rPr>
          <w:sz w:val="20"/>
          <w:szCs w:val="20"/>
          <w:color w:val="auto"/>
        </w:rPr>
      </w:pPr>
      <w:r>
        <w:rPr>
          <w:rFonts w:ascii="Courier New" w:cs="Courier New" w:eastAsia="Courier New" w:hAnsi="Courier New"/>
          <w:sz w:val="15"/>
          <w:szCs w:val="15"/>
          <w:color w:val="auto"/>
        </w:rPr>
        <w:t>0</w:t>
      </w:r>
    </w:p>
    <w:p>
      <w:pPr>
        <w:ind w:left="3740"/>
        <w:spacing w:after="0" w:line="237" w:lineRule="auto"/>
        <w:rPr>
          <w:sz w:val="20"/>
          <w:szCs w:val="20"/>
          <w:color w:val="auto"/>
        </w:rPr>
      </w:pPr>
      <w:r>
        <w:rPr>
          <w:rFonts w:ascii="Courier New" w:cs="Courier New" w:eastAsia="Courier New" w:hAnsi="Courier New"/>
          <w:sz w:val="15"/>
          <w:szCs w:val="15"/>
          <w:color w:val="auto"/>
        </w:rPr>
        <w:t>0</w:t>
      </w:r>
    </w:p>
    <w:p>
      <w:pPr>
        <w:ind w:left="4260"/>
        <w:spacing w:after="0" w:line="238" w:lineRule="auto"/>
        <w:rPr>
          <w:sz w:val="20"/>
          <w:szCs w:val="20"/>
          <w:color w:val="auto"/>
        </w:rPr>
      </w:pPr>
      <w:r>
        <w:rPr>
          <w:rFonts w:ascii="Courier New" w:cs="Courier New" w:eastAsia="Courier New" w:hAnsi="Courier New"/>
          <w:sz w:val="15"/>
          <w:szCs w:val="15"/>
          <w:color w:val="auto"/>
        </w:rPr>
        <w:t>0</w:t>
      </w:r>
    </w:p>
    <w:p>
      <w:pPr>
        <w:jc w:val="center"/>
        <w:ind w:right="2659"/>
        <w:spacing w:after="0" w:line="237" w:lineRule="auto"/>
        <w:rPr>
          <w:sz w:val="20"/>
          <w:szCs w:val="20"/>
          <w:color w:val="auto"/>
        </w:rPr>
      </w:pPr>
      <w:r>
        <w:rPr>
          <w:rFonts w:ascii="Courier New" w:cs="Courier New" w:eastAsia="Courier New" w:hAnsi="Courier New"/>
          <w:sz w:val="15"/>
          <w:szCs w:val="15"/>
          <w:color w:val="auto"/>
        </w:rPr>
        <w:t>190,602</w:t>
      </w:r>
    </w:p>
    <w:p>
      <w:pPr>
        <w:jc w:val="center"/>
        <w:ind w:right="2659"/>
        <w:spacing w:after="0" w:line="238" w:lineRule="auto"/>
        <w:rPr>
          <w:sz w:val="20"/>
          <w:szCs w:val="20"/>
          <w:color w:val="auto"/>
        </w:rPr>
      </w:pPr>
      <w:r>
        <w:rPr>
          <w:rFonts w:ascii="Courier New" w:cs="Courier New" w:eastAsia="Courier New" w:hAnsi="Courier New"/>
          <w:sz w:val="15"/>
          <w:szCs w:val="15"/>
          <w:color w:val="auto"/>
        </w:rPr>
        <w:t>17.57</w:t>
      </w:r>
    </w:p>
    <w:p>
      <w:pPr>
        <w:jc w:val="center"/>
        <w:ind w:right="2659"/>
        <w:spacing w:after="0" w:line="237" w:lineRule="auto"/>
        <w:rPr>
          <w:sz w:val="20"/>
          <w:szCs w:val="20"/>
          <w:color w:val="auto"/>
        </w:rPr>
      </w:pPr>
      <w:r>
        <w:rPr>
          <w:rFonts w:ascii="Courier New" w:cs="Courier New" w:eastAsia="Courier New" w:hAnsi="Courier New"/>
          <w:sz w:val="15"/>
          <w:szCs w:val="15"/>
          <w:color w:val="auto"/>
        </w:rPr>
        <w:t>17.57</w:t>
      </w:r>
    </w:p>
    <w:sectPr>
      <w:pgSz w:w="11900" w:h="16838" w:orient="portrait"/>
      <w:cols w:equalWidth="0" w:num="1">
        <w:col w:w="10199"/>
      </w:cols>
      <w:pgMar w:left="26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decimal"/>
      <w:start w:val="202"/>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1"/>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2019-12-13T08:08:57Z</dcterms:created>
  <dcterms:modified xsi:type="dcterms:W3CDTF">2019-12-13T08:08:57Z</dcterms:modified>
</cp:coreProperties>
</file>