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3,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20" w:type="dxa"/>
            <w:vAlign w:val="bottom"/>
          </w:tcPr>
          <w:p>
            <w:pPr>
              <w:spacing w:after="0"/>
              <w:rPr>
                <w:sz w:val="23"/>
                <w:szCs w:val="23"/>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2"/>
          </w:tcPr>
          <w:p>
            <w:pPr>
              <w:ind w:left="8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spacing w:after="0"/>
              <w:rPr>
                <w:sz w:val="24"/>
                <w:szCs w:val="24"/>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2"/>
          </w:tcPr>
          <w:p>
            <w:pPr>
              <w:ind w:left="8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8060" w:type="dxa"/>
            <w:vAlign w:val="bottom"/>
            <w:gridSpan w:val="3"/>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60" w:type="dxa"/>
            <w:vAlign w:val="bottom"/>
            <w:gridSpan w:val="3"/>
          </w:tcPr>
          <w:p>
            <w:pPr>
              <w:spacing w:after="0"/>
              <w:rPr>
                <w:sz w:val="20"/>
                <w:szCs w:val="20"/>
                <w:color w:val="auto"/>
              </w:rPr>
            </w:pPr>
            <w:r>
              <w:rPr>
                <w:rFonts w:ascii="Arial" w:cs="Arial" w:eastAsia="Arial" w:hAnsi="Arial"/>
                <w:sz w:val="18"/>
                <w:szCs w:val="18"/>
                <w:color w:val="auto"/>
              </w:rPr>
              <w:t>Shares outstanding at November 5, 2010:</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1,240,883 Shares</w:t>
            </w:r>
          </w:p>
        </w:tc>
        <w:tc>
          <w:tcPr>
            <w:tcW w:w="1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Class B Common Stock</w:t>
            </w:r>
          </w:p>
        </w:tc>
        <w:tc>
          <w:tcPr>
            <w:tcW w:w="1540" w:type="dxa"/>
            <w:vAlign w:val="bottom"/>
          </w:tcPr>
          <w:p>
            <w:pPr>
              <w:ind w:left="200"/>
              <w:spacing w:after="0"/>
              <w:rPr>
                <w:sz w:val="20"/>
                <w:szCs w:val="20"/>
                <w:color w:val="auto"/>
              </w:rPr>
            </w:pPr>
            <w:r>
              <w:rPr>
                <w:rFonts w:ascii="Arial" w:cs="Arial" w:eastAsia="Arial" w:hAnsi="Arial"/>
                <w:sz w:val="18"/>
                <w:szCs w:val="18"/>
                <w:color w:val="auto"/>
                <w:w w:val="92"/>
              </w:rPr>
              <w:t>7,205,624 Shares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117"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a. </w:t>
            </w:r>
            <w:hyperlink w:anchor="page3">
              <w:r>
                <w:rPr>
                  <w:rFonts w:ascii="Arial" w:cs="Arial" w:eastAsia="Arial" w:hAnsi="Arial"/>
                  <w:sz w:val="18"/>
                  <w:szCs w:val="18"/>
                  <w:color w:val="0000EE"/>
                  <w:w w:val="93"/>
                </w:rPr>
                <w:t>Condensed Consolidated Statements of Operations (Unaudited) for the Thirteen and Thirty-Nine Weeks Ended October 3, 2010 and</w:t>
              </w:r>
            </w:hyperlink>
          </w:p>
        </w:tc>
        <w:tc>
          <w:tcPr>
            <w:tcW w:w="4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1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27, 2009</w:t>
              </w:r>
            </w:hyperlink>
          </w:p>
        </w:tc>
        <w:tc>
          <w:tcPr>
            <w:tcW w:w="52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b. </w:t>
            </w:r>
            <w:hyperlink w:anchor="page4">
              <w:r>
                <w:rPr>
                  <w:rFonts w:ascii="Arial" w:cs="Arial" w:eastAsia="Arial" w:hAnsi="Arial"/>
                  <w:sz w:val="18"/>
                  <w:szCs w:val="18"/>
                  <w:color w:val="0000EE"/>
                  <w:w w:val="91"/>
                </w:rPr>
                <w:t>Condensed Consolidated Statements of Comprehensive Income (Unaudited) for the Thirteen and Thirty-Nine Weeks Ended October 3,</w:t>
              </w:r>
            </w:hyperlink>
          </w:p>
        </w:tc>
        <w:tc>
          <w:tcPr>
            <w:tcW w:w="4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2010 and September 27, 2009</w:t>
              </w:r>
            </w:hyperlink>
          </w:p>
        </w:tc>
        <w:tc>
          <w:tcPr>
            <w:tcW w:w="7240" w:type="dxa"/>
            <w:vAlign w:val="bottom"/>
            <w:tcBorders>
              <w:top w:val="single" w:sz="8" w:color="0000EE"/>
            </w:tcBorders>
            <w:gridSpan w:val="8"/>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October 3, 2010 (Unaudited) and January 3, 2010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d. </w:t>
            </w:r>
            <w:hyperlink w:anchor="page6">
              <w:r>
                <w:rPr>
                  <w:rFonts w:ascii="Arial" w:cs="Arial" w:eastAsia="Arial" w:hAnsi="Arial"/>
                  <w:sz w:val="18"/>
                  <w:szCs w:val="18"/>
                  <w:color w:val="0000EE"/>
                  <w:w w:val="91"/>
                </w:rPr>
                <w:t>Condensed Consolidated Statements of Cash Flows (Unaudited) for the Thirty-Nine Weeks Ended October 3, 2010 and September 27,</w:t>
              </w:r>
            </w:hyperlink>
          </w:p>
        </w:tc>
        <w:tc>
          <w:tcPr>
            <w:tcW w:w="48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60" w:type="dxa"/>
            <w:vAlign w:val="bottom"/>
            <w:tcBorders>
              <w:top w:val="single" w:sz="8" w:color="0000EE"/>
            </w:tcBorders>
            <w:gridSpan w:val="3"/>
          </w:tcPr>
          <w:p>
            <w:pPr>
              <w:ind w:left="12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2009</w:t>
              </w:r>
            </w:hyperlink>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20"/>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Results of Operations and Financial Condition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70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Controls and Procedures</w:t>
              </w:r>
            </w:hyperlink>
          </w:p>
        </w:tc>
        <w:tc>
          <w:tcPr>
            <w:tcW w:w="2440" w:type="dxa"/>
            <w:vAlign w:val="bottom"/>
            <w:tcBorders>
              <w:top w:val="single" w:sz="8" w:color="0000EE"/>
            </w:tcBorders>
            <w:gridSpan w:val="2"/>
          </w:tcPr>
          <w:p>
            <w:pPr>
              <w:spacing w:after="0"/>
              <w:rPr>
                <w:sz w:val="24"/>
                <w:szCs w:val="24"/>
                <w:color w:val="auto"/>
              </w:rPr>
            </w:pPr>
          </w:p>
        </w:tc>
        <w:tc>
          <w:tcPr>
            <w:tcW w:w="58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25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PART II. OTHER INFORMATION</w:t>
            </w:r>
          </w:p>
        </w:tc>
        <w:tc>
          <w:tcPr>
            <w:tcW w:w="832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7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8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7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840" w:type="dxa"/>
            <w:vAlign w:val="bottom"/>
            <w:gridSpan w:val="2"/>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Signatures</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3"/>
        </w:trPr>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14"/>
          </w:tcPr>
          <w:p>
            <w:pPr>
              <w:ind w:left="4840"/>
              <w:spacing w:after="0"/>
              <w:rPr>
                <w:sz w:val="20"/>
                <w:szCs w:val="20"/>
                <w:color w:val="auto"/>
              </w:rPr>
            </w:pPr>
            <w:r>
              <w:rPr>
                <w:rFonts w:ascii="Arial" w:cs="Arial" w:eastAsia="Arial" w:hAnsi="Arial"/>
                <w:sz w:val="18"/>
                <w:szCs w:val="18"/>
                <w:color w:val="auto"/>
                <w:w w:val="99"/>
              </w:rPr>
              <w:t>2</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500" w:type="dxa"/>
            <w:vAlign w:val="bottom"/>
            <w:gridSpan w:val="5"/>
          </w:tcPr>
          <w:p>
            <w:pPr>
              <w:jc w:val="center"/>
              <w:ind w:left="75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The Washington Post Company</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500" w:type="dxa"/>
            <w:vAlign w:val="bottom"/>
            <w:gridSpan w:val="5"/>
          </w:tcPr>
          <w:p>
            <w:pPr>
              <w:jc w:val="center"/>
              <w:ind w:left="77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960" w:type="dxa"/>
            <w:vAlign w:val="bottom"/>
          </w:tcPr>
          <w:p>
            <w:pPr>
              <w:jc w:val="center"/>
              <w:ind w:left="2292"/>
              <w:spacing w:after="0"/>
              <w:rPr>
                <w:sz w:val="20"/>
                <w:szCs w:val="20"/>
                <w:color w:val="auto"/>
              </w:rPr>
            </w:pPr>
            <w:r>
              <w:rPr>
                <w:rFonts w:ascii="Arial" w:cs="Arial" w:eastAsia="Arial" w:hAnsi="Arial"/>
                <w:sz w:val="18"/>
                <w:szCs w:val="18"/>
                <w:b w:val="1"/>
                <w:bCs w:val="1"/>
                <w:color w:val="auto"/>
                <w:w w:val="89"/>
              </w:rPr>
              <w:t>(Unaudited)</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6"/>
              </w:rPr>
              <w:t>October 3,</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October 3,</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743,319</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684,516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2,202,024</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1,927,369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179,804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Circulation and subscriber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212,376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211,773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641,803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1,189,723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1,108,794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3,533,566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3,200,273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476,918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461,867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1,420,022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1,399,462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471,249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1,484,479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1,422,789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68,897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183,780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Impairment of goodwill and other long-lived assets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1,059,148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1,034,167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3,136,399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5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130,575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74,627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397,167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103,050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Equity in earnings (losses) of affiliates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138,168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40,560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375,935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81,368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25,960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227,835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(35,442)</w:t>
            </w:r>
          </w:p>
        </w:tc>
        <w:tc>
          <w:tcPr>
            <w:tcW w:w="0" w:type="dxa"/>
            <w:vAlign w:val="bottom"/>
          </w:tcPr>
          <w:p>
            <w:pPr>
              <w:spacing w:after="0"/>
              <w:rPr>
                <w:sz w:val="1"/>
                <w:szCs w:val="1"/>
                <w:color w:val="auto"/>
              </w:rPr>
            </w:pPr>
          </w:p>
        </w:tc>
      </w:tr>
      <w:tr>
        <w:trPr>
          <w:trHeight w:val="221"/>
        </w:trPr>
        <w:tc>
          <w:tcPr>
            <w:tcW w:w="840" w:type="dxa"/>
            <w:vAlign w:val="bottom"/>
            <w:gridSpan w:val="2"/>
          </w:tcPr>
          <w:p>
            <w:pPr>
              <w:spacing w:after="0"/>
              <w:rPr>
                <w:sz w:val="20"/>
                <w:szCs w:val="20"/>
                <w:color w:val="auto"/>
              </w:rPr>
            </w:pPr>
            <w:r>
              <w:rPr>
                <w:rFonts w:ascii="Arial" w:cs="Arial" w:eastAsia="Arial" w:hAnsi="Arial"/>
                <w:sz w:val="18"/>
                <w:szCs w:val="18"/>
                <w:color w:val="auto"/>
                <w:w w:val="90"/>
              </w:rPr>
              <w:t>Net income</w:t>
            </w:r>
          </w:p>
        </w:tc>
        <w:tc>
          <w:tcPr>
            <w:tcW w:w="17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61,076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gridSpan w:val="4"/>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61,152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199,127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Net income available for The Washington Post Company common stockholders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4"/>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60,922</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198,205</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Amounts attributable to The Washington Post Company common stockholders: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81,214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25,944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227,009</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(20,292)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(35,442)</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Net income available for The Washington Post Company common stockholders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00" w:type="dxa"/>
            <w:vAlign w:val="bottom"/>
            <w:gridSpan w:val="4"/>
            <w:vMerge w:val="continue"/>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198,205</w:t>
            </w:r>
          </w:p>
        </w:tc>
        <w:tc>
          <w:tcPr>
            <w:tcW w:w="240" w:type="dxa"/>
            <w:vAlign w:val="bottom"/>
          </w:tcPr>
          <w:p>
            <w:pPr>
              <w:spacing w:after="0"/>
              <w:rPr>
                <w:sz w:val="20"/>
                <w:szCs w:val="20"/>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Per share information attributable to The Washington Post Company common</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income per common share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loss per common share from 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4"/>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6.85</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500" w:type="dxa"/>
            <w:vAlign w:val="bottom"/>
            <w:gridSpan w:val="4"/>
          </w:tcPr>
          <w:p>
            <w:pPr>
              <w:spacing w:after="0"/>
              <w:rPr>
                <w:sz w:val="20"/>
                <w:szCs w:val="20"/>
                <w:color w:val="auto"/>
              </w:rPr>
            </w:pPr>
            <w:r>
              <w:rPr>
                <w:rFonts w:ascii="Arial" w:cs="Arial" w:eastAsia="Arial" w:hAnsi="Arial"/>
                <w:sz w:val="18"/>
                <w:szCs w:val="18"/>
                <w:color w:val="auto"/>
              </w:rPr>
              <w:t>Diluted income per common share from continuing operations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24.91</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common share from discontinued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4"/>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average number of common shares outstanding</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Thirteen Weeks Ended</w:t>
            </w:r>
          </w:p>
        </w:tc>
        <w:tc>
          <w:tcPr>
            <w:tcW w:w="20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October 3,</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42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October 3,</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$ 61,076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199,031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330"/>
        </w:trPr>
        <w:tc>
          <w:tcPr>
            <w:tcW w:w="550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6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5,731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41,721</w:t>
            </w:r>
          </w:p>
        </w:tc>
        <w:tc>
          <w:tcPr>
            <w:tcW w:w="660" w:type="dxa"/>
            <w:vAlign w:val="bottom"/>
          </w:tcPr>
          <w:p>
            <w:pPr>
              <w:jc w:val="right"/>
              <w:spacing w:after="0"/>
              <w:rPr>
                <w:sz w:val="20"/>
                <w:szCs w:val="20"/>
                <w:color w:val="auto"/>
              </w:rPr>
            </w:pPr>
            <w:r>
              <w:rPr>
                <w:rFonts w:ascii="Arial" w:cs="Arial" w:eastAsia="Arial" w:hAnsi="Arial"/>
                <w:sz w:val="18"/>
                <w:szCs w:val="18"/>
                <w:color w:val="auto"/>
              </w:rPr>
              <w:t>11,094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24,790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53,570</w:t>
            </w:r>
          </w:p>
        </w:tc>
        <w:tc>
          <w:tcPr>
            <w:tcW w:w="660" w:type="dxa"/>
            <w:vAlign w:val="bottom"/>
          </w:tcPr>
          <w:p>
            <w:pPr>
              <w:jc w:val="right"/>
              <w:spacing w:after="0"/>
              <w:rPr>
                <w:sz w:val="20"/>
                <w:szCs w:val="20"/>
                <w:color w:val="auto"/>
              </w:rPr>
            </w:pPr>
            <w:r>
              <w:rPr>
                <w:rFonts w:ascii="Arial" w:cs="Arial" w:eastAsia="Arial" w:hAnsi="Arial"/>
                <w:sz w:val="18"/>
                <w:szCs w:val="18"/>
                <w:color w:val="auto"/>
              </w:rPr>
              <w:t>12,891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71,012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 related to other comprehensive income</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(18,227)</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(3,872)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22,346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35,343</w:t>
            </w:r>
          </w:p>
        </w:tc>
        <w:tc>
          <w:tcPr>
            <w:tcW w:w="660" w:type="dxa"/>
            <w:vAlign w:val="bottom"/>
          </w:tcPr>
          <w:p>
            <w:pPr>
              <w:jc w:val="right"/>
              <w:spacing w:after="0"/>
              <w:rPr>
                <w:sz w:val="20"/>
                <w:szCs w:val="20"/>
                <w:color w:val="auto"/>
              </w:rPr>
            </w:pPr>
            <w:r>
              <w:rPr>
                <w:rFonts w:ascii="Arial" w:cs="Arial" w:eastAsia="Arial" w:hAnsi="Arial"/>
                <w:sz w:val="18"/>
                <w:szCs w:val="18"/>
                <w:color w:val="auto"/>
              </w:rPr>
              <w:t>9,019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52,824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52,409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w w:val="92"/>
              </w:rPr>
              <w:t>Comprehensive (income) loss attributable to noncontrolling interests</w:t>
            </w:r>
          </w:p>
        </w:tc>
        <w:tc>
          <w:tcPr>
            <w:tcW w:w="16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219</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Total comprehensive income attributable to The Washington Post Company</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$ 83,421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208,082</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40" w:type="dxa"/>
            <w:vAlign w:val="bottom"/>
            <w:vMerge w:val="restart"/>
          </w:tcPr>
          <w:p>
            <w:pPr>
              <w:jc w:val="right"/>
              <w:ind w:right="1296"/>
              <w:spacing w:after="0"/>
              <w:rPr>
                <w:sz w:val="20"/>
                <w:szCs w:val="20"/>
                <w:color w:val="auto"/>
              </w:rPr>
            </w:pPr>
            <w:r>
              <w:rPr>
                <w:rFonts w:ascii="Arial" w:cs="Arial" w:eastAsia="Arial" w:hAnsi="Arial"/>
                <w:sz w:val="18"/>
                <w:szCs w:val="18"/>
                <w:color w:val="auto"/>
              </w:rPr>
              <w:t>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October 3,</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3,</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1,459,725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1,184,615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1,239,692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Goodwill,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1,371,920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1,423,462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5,122,207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623,171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452,953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declared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Short-term borrowings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1,108,012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Long-term debt</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2,312,992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2,227,752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Preferred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4,439,577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4,324,289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Unrealized loss on pensions and other postretirement plans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(2,030,039)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(1,750,686)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The Washington Post Company common shareholders’ equity</w:t>
            </w:r>
          </w:p>
        </w:tc>
        <w:tc>
          <w:tcPr>
            <w:tcW w:w="1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2,790,922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2,939,550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280"/>
              <w:spacing w:after="0"/>
              <w:rPr>
                <w:sz w:val="20"/>
                <w:szCs w:val="20"/>
                <w:color w:val="auto"/>
              </w:rPr>
            </w:pPr>
            <w:r>
              <w:rPr>
                <w:rFonts w:ascii="Arial" w:cs="Arial" w:eastAsia="Arial" w:hAnsi="Arial"/>
                <w:sz w:val="18"/>
                <w:szCs w:val="18"/>
                <w:color w:val="auto"/>
              </w:rPr>
              <w:t>Total equity</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2,790,922</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2,940,021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equity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5,122,207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jc w:val="right"/>
              <w:ind w:right="1752"/>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October 3,</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$ 199,031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188,451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Goodwill and other long-lived asset impairment charges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27,477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Multiemployer pension plan withdrawal charge</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20,355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Foreign exchange gain</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on sales of businesses</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Equity in losses of affiliates, including impairment charges, net of distributions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3,942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Benefit for deferred income taxes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860"/>
              <w:spacing w:after="0"/>
              <w:rPr>
                <w:sz w:val="20"/>
                <w:szCs w:val="20"/>
                <w:color w:val="auto"/>
              </w:rPr>
            </w:pPr>
            <w:r>
              <w:rPr>
                <w:rFonts w:ascii="Arial" w:cs="Arial" w:eastAsia="Arial" w:hAnsi="Arial"/>
                <w:sz w:val="18"/>
                <w:szCs w:val="18"/>
                <w:color w:val="auto"/>
              </w:rPr>
              <w:t>Net loss on sale or write-down of property, plant and equipment and other assets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11,621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Decrease in accounts receivable, net</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9,555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inventories</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Increase (decrease) in accounts payable and accrued liabilities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2,832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Kaplan stock compensation</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Increase in deferred revenue</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41,825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income taxes payable</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Increase in other assets and other liabilities, net</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27,567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543,467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503,637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(159,167)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proceeds from sales of businesses</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15,418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(3,626)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Return of escrow funds from acquisition</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Return of investment in affiliates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4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(130,370)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(189,094)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(277,053)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Principal payments on debt</w:t>
            </w:r>
          </w:p>
        </w:tc>
        <w:tc>
          <w:tcPr>
            <w:tcW w:w="1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of notes, net</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420"/>
              <w:spacing w:after="0"/>
              <w:rPr>
                <w:sz w:val="20"/>
                <w:szCs w:val="20"/>
                <w:color w:val="auto"/>
              </w:rPr>
            </w:pPr>
            <w:r>
              <w:rPr>
                <w:rFonts w:ascii="Arial" w:cs="Arial" w:eastAsia="Arial" w:hAnsi="Arial"/>
                <w:sz w:val="18"/>
                <w:szCs w:val="18"/>
                <w:color w:val="auto"/>
              </w:rPr>
              <w:t>Repayments of commercial paper, net</w:t>
            </w:r>
          </w:p>
        </w:tc>
        <w:tc>
          <w:tcPr>
            <w:tcW w:w="1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(314,692)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currency exchange rate change</w:t>
            </w:r>
          </w:p>
        </w:tc>
        <w:tc>
          <w:tcPr>
            <w:tcW w:w="1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3"/>
          </w:tcPr>
          <w:p>
            <w:pPr>
              <w:spacing w:after="0"/>
              <w:rPr>
                <w:sz w:val="20"/>
                <w:szCs w:val="20"/>
                <w:color w:val="auto"/>
              </w:rPr>
            </w:pPr>
            <w:r>
              <w:rPr>
                <w:rFonts w:ascii="Arial" w:cs="Arial" w:eastAsia="Arial" w:hAnsi="Arial"/>
                <w:sz w:val="18"/>
                <w:szCs w:val="18"/>
                <w:color w:val="auto"/>
              </w:rPr>
              <w:t>Net increase in cash and cash equivalents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100,202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110,126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3"/>
          </w:tcPr>
          <w:p>
            <w:pPr>
              <w:spacing w:after="0"/>
              <w:rPr>
                <w:sz w:val="20"/>
                <w:szCs w:val="20"/>
                <w:color w:val="auto"/>
              </w:rPr>
            </w:pPr>
            <w:r>
              <w:rPr>
                <w:rFonts w:ascii="Arial" w:cs="Arial" w:eastAsia="Arial" w:hAnsi="Arial"/>
                <w:sz w:val="18"/>
                <w:szCs w:val="18"/>
                <w:color w:val="auto"/>
              </w:rPr>
              <w:t>Ending cash and cash equivalents</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$ 577,875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500,635</w:t>
            </w: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jc w:val="right"/>
              <w:ind w:right="2072"/>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The Company announced on August 2, 2010 that it had entered into an agreement to sell Newsweek. On September 30, 2010, the Company completed such sale.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Newsweek have been presented in loss from discontinued operations, net of tax, for all periods presented.</w:t>
      </w:r>
    </w:p>
    <w:p>
      <w:pPr>
        <w:spacing w:after="0" w:line="15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Financial Periods </w:t>
      </w:r>
      <w:r>
        <w:rPr>
          <w:rFonts w:ascii="Arial" w:cs="Arial" w:eastAsia="Arial" w:hAnsi="Arial"/>
          <w:sz w:val="16"/>
          <w:szCs w:val="16"/>
          <w:color w:val="auto"/>
        </w:rPr>
        <w:t>– The Company generally reports on a thirteen week fiscal quarter ending on the Sunday nearest the calendar quarter-end. The fiscal quarters</w:t>
      </w:r>
      <w:r>
        <w:rPr>
          <w:rFonts w:ascii="Arial" w:cs="Arial" w:eastAsia="Arial" w:hAnsi="Arial"/>
          <w:sz w:val="16"/>
          <w:szCs w:val="16"/>
          <w:b w:val="1"/>
          <w:bCs w:val="1"/>
          <w:color w:val="auto"/>
        </w:rPr>
        <w:t xml:space="preserve"> </w:t>
      </w:r>
      <w:r>
        <w:rPr>
          <w:rFonts w:ascii="Arial" w:cs="Arial" w:eastAsia="Arial" w:hAnsi="Arial"/>
          <w:sz w:val="16"/>
          <w:szCs w:val="16"/>
          <w:color w:val="auto"/>
        </w:rPr>
        <w:t>for 2010 and 2009 ended on October 3, 2010, July 4, 2010, April 4, 2010, September 27, 2009, June 28, 2009 and March 29, 2009, respectively. With the exception of the newspaper publishing operations and the corporate office, subsidiaries of the Company report on a calendar-quarter basis.</w:t>
      </w:r>
    </w:p>
    <w:p>
      <w:pPr>
        <w:spacing w:after="0" w:line="9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condensed consolidated financial statements have been prepared in accordance with: (i)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thirty-nine weeks ended October 3, 2010 and September 27, 2009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3, 2010.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the magazine publishing segment as discontinued operations for all periods presented.</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A business is classified as a discontinued operation when (i) the operations and cash flows of the business can be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condensed consolidated statement of operations, net of income taxes. The assets and related liabilities are aggregated and separately presented in the Company’s condensed consolidated balance sheet.</w:t>
      </w:r>
    </w:p>
    <w:p>
      <w:pPr>
        <w:spacing w:after="0" w:line="13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3"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October 2009, the Financial Accounting Standards Board (“FASB”) issued new guidance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revenue arrangements entered into or materially modified in fiscal years beginning on or after June 15, 2010. Early application is permitted. The Company is not planning to early adopt the guidance and will continue evaluating the impact of this new guidance on its condensed consolidated financial statements.</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FASB issued additional disclosure requirements for fair value measurements.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These additional requirements became effective for interim and annual periods beginning after December 15, 2009 and did not have an impact on the condensed consolidated financial statements of the Company. In addition, the fair value disclosure amendments also require more detailed disclosures of the changes in Level 3 instruments. These changes will not become effective until interim and annual periods beginning after December 15, 2010 and are not expected to have an impact on the condensed consolidated financial statements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September 30, 2010, the Company completed the sale of Newsweek magazine. Under the terms of the asset purchase agreement, the buyer assumed Newsweek’s subscription obligations and received Newsweek’s intellectual property, target working capital and selected equipment used in the business. The Company retained the pension assets and liabilities and certain employee obligations, including severance, and other liabilities arising prior to the sale. The Company recorded an after-tax loss on the transaction of $11.5 million, which is included in “Loss from discontinued operations, net of tax” in the Company’s condensed consolidated statement of income for the third quarter and first nine months of 2010.</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results of operations of the magazine publishing division for the third quarter and first nine months of 2010 and 2009 are included in the Company’s condensed consolidated statement of income as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consolidated balance sheet as of December 31, 2009 to reflect the discontinued operations. The Company also did not reclassify its cash flow statements to reflect the discontinued operations.</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Newsweek employees were participants in The Washington Post Company Retirement Plan and Newsweek had historically been allocated a net pension credit for segment reporting purposes. Since the associated pension assets and liabilities were retained by the Company, the associated credit had been excluded from the reclassification of Newsweek results to discontinued operations. Pension cost arising from early retirement programs at Newsweek, however, is included in discontinued operations (see Note 12).</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third quarter and first nine months of 2010, Newsweek recorded $0.8 million and $4.7 million, respectively, in accelerated depreciation and property, plant and equipment write-downs.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summarized loss from discontinued operations, net of tax for the third quarter and first nine months of 2010 and 2009 is presented below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5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0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9"/>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540" w:type="dxa"/>
            <w:vAlign w:val="bottom"/>
          </w:tcPr>
          <w:p>
            <w:pPr>
              <w:spacing w:after="0"/>
              <w:rPr>
                <w:sz w:val="11"/>
                <w:szCs w:val="11"/>
                <w:color w:val="auto"/>
              </w:rPr>
            </w:pPr>
          </w:p>
        </w:tc>
        <w:tc>
          <w:tcPr>
            <w:tcW w:w="1280" w:type="dxa"/>
            <w:vAlign w:val="bottom"/>
            <w:tcBorders>
              <w:top w:val="single" w:sz="8" w:color="auto"/>
            </w:tcBorders>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95"/>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$ 28,750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(41,149)</w:t>
            </w: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(53,561)</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(121,842)</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(187,018)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(27,611)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(3,569)</w:t>
            </w: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(10,269)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(8,830)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Loss on sale of discontinued operations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(10,293)</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(10,293)</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on sale of discontinued operations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(20,292)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October 3, 2010 and January 3, 2010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October 3,</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unrealized gains</w:t>
            </w:r>
          </w:p>
        </w:tc>
        <w:tc>
          <w:tcPr>
            <w:tcW w:w="2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141,914</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364,978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were no new investments or sales of marketable equity securities in the first nine months of 2010. In the first quarter of 2009, the Company invested $10.8 million in the Class B common stock of Berkshire Hathaway Inc.</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third quarter of 2009, the Company recorded $29.0 million in impairment charges at two of the Company’s affiliate investments. The loss primarily related to an impairment charge recorded on the Company’s interest in Bowater Mersey Paper Company, as a result of the challenging economic environment for newsprint producers.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Dispositions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second quarter of 2010, the Company made two small acquisitions in its Cable division and in Other businesses. In the first quarter of 2010, Kaplan made one small acquisition in its Kaplan Ventures division. The Company did not make any acquisitions during the third quarter of 2010. On September 30, 2010, the Company completed the sale of Newsweek. Consequently, the Company’s income from continuing operations for the third quarter and year-to-date periods excludes Newsweek results, which have been reclassified to discontinued operations (see Note 2). In the second quarter of 2010, Kaplan completed the sale of Education Connection, which was part of the Kaplan Ventures division.</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nine months of 2009, the Company completed business acquisitions totaling approximately $8.1 million. This included the acquisition of a company at the Kaplan International division in the third quarter of 2009, as well as a small acquisition by the Company in the second quarter of 2009. This also included $3.2 million of additional purchase consideration recorded to goodwill in the second quarter of 2009, in connection with the achievement of certain operating results by a company acquired by Kaplan in 2007. The purchase consideration was contingent on the achievement of certain future operating results and therefore was not included in the Company’s purchase accounting as of December 30, 2007. The Company did not make any acquisitions during the first quarter of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education division made several minor changes to its operating and reporting structure in the first quarter of 2010, changing the composition of the reporting units within Kaplan Test Preparation, Kaplan Ventures and Kaplan Higher Education (see Note 12).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challenges in the lead generation industry, in the third quarter of 2010, the Company performed an interim review of the carrying value of goodwill and other intangible asset at its online lead generation business, which is included within the other businesses segment. The Company failed the step one goodwill impairment test and performed a step two analysis, resulting in a $27.5 million goodwill and other intangible asset impairment charge. The Company estimated the fair value utilizing a discounted cash flow model.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education division reorganized its operations in the third quarter of 2009 into the following four operating segments for the purpose of making operating decisions and assessing performance: Higher Education, Test Preparation, Kaplan International and Kaplan Ventures. The reorganization changed the composition of the reporting units within the education division and resulted in the reassignment of the assets and liabilities. The goodwill was allocated to the reporting units using the relative fair value approach. As a result of the reassignment and allocation, the Company performed an interim review of the carrying value of goodwill at the education division for possible impairment on both a prereorganization and postreorganization basis. No impairment of goodwill was indicated at the prereorganization reporting units. On a postreorganization basis, the Company failed the step one goodwill impairment test at two reporting units (Kaplan EduNeering and Kaplan Compliance Solutions) within the Kaplan Ventures operating segment and performed a step two analysis. The Company recorded a goodwill and other long-lived asset impairment charge of $25.4 million related to these two reporting units. The fair value of Kaplan EduNeering was determined utilizing a discounted cash flow model; the fair value of Kaplan Compliance Solutions was determined using a cost approach. Effective in the first quarter of 2010, Kaplan Compliance Solutions was moved from Kaplan Ventures to Test Preparation (see Note 12).</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amortizes the recorded values of its amortized intangible assets over their estimated useful lives. Amortization of intangible assets for the thirteen weeks ended October 3, 2010 and September 27, 2009 was $6.5 million and $6.8 million, respectively. Amortization of intangible assets for the thirty-nine weeks ended October 3, 2010 and September 27, 2009 was $20.6 million. Amortization of intangible assets is estimated to be approximately $7 million for the remainder of 2010, $22 million in 2011, $10 million in 2012, $5 million in 2013, $4 million in 2014 and $15 million thereafter.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related to continuing operations, by segment, for the thirty-nine weeks ended October 3, 2010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Cable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Magazine</w:t>
            </w: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4"/>
              </w:rPr>
              <w:t>Broadcasting</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79"/>
              </w:rPr>
              <w:t>Businesses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$1,073,852</w:t>
            </w:r>
          </w:p>
        </w:tc>
        <w:tc>
          <w:tcPr>
            <w:tcW w:w="1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81,186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203,165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24,515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97,342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$1,565,548</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(65,772)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(60,785)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(142,086)</w:t>
            </w:r>
          </w:p>
        </w:tc>
      </w:tr>
      <w:tr>
        <w:trPr>
          <w:trHeight w:val="221"/>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1,058,323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15,414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203,165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24,515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36,557</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1,423,462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Impairment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(24,634)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(24,634)</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(19,851)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(24,515)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(44,366)</w:t>
            </w: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 currency exchange rate changes and other</w:t>
            </w:r>
          </w:p>
        </w:tc>
        <w:tc>
          <w:tcPr>
            <w:tcW w:w="800" w:type="dxa"/>
            <w:vAlign w:val="bottom"/>
          </w:tcPr>
          <w:p>
            <w:pPr>
              <w:jc w:val="right"/>
              <w:spacing w:after="0"/>
              <w:rPr>
                <w:sz w:val="20"/>
                <w:szCs w:val="20"/>
                <w:color w:val="auto"/>
              </w:rPr>
            </w:pPr>
            <w:r>
              <w:rPr>
                <w:rFonts w:ascii="Arial" w:cs="Arial" w:eastAsia="Arial" w:hAnsi="Arial"/>
                <w:sz w:val="18"/>
                <w:szCs w:val="18"/>
                <w:color w:val="auto"/>
              </w:rPr>
              <w:t>10,652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10,649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 2010</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1,068,652</w:t>
            </w:r>
          </w:p>
        </w:tc>
        <w:tc>
          <w:tcPr>
            <w:tcW w:w="1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81,183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203,165</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100,152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1,538,640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(65,772)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(85,419)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1,053,123</w:t>
            </w:r>
          </w:p>
        </w:tc>
        <w:tc>
          <w:tcPr>
            <w:tcW w:w="1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15,411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203,165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14,733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1,371,920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amount of goodwill at the Company’s education division for the thirty-nine weeks ended October 3, 2010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4"/>
                <w:szCs w:val="14"/>
                <w:b w:val="1"/>
                <w:bCs w:val="1"/>
                <w:color w:val="auto"/>
              </w:rPr>
              <w:t>Higher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Kaplan</w:t>
            </w:r>
          </w:p>
        </w:tc>
        <w:tc>
          <w:tcPr>
            <w:tcW w:w="4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Kaplan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Education</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Test Preparation</w:t>
            </w:r>
          </w:p>
        </w:tc>
        <w:tc>
          <w:tcPr>
            <w:tcW w:w="1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International</w:t>
            </w:r>
          </w:p>
        </w:tc>
        <w:tc>
          <w:tcPr>
            <w:tcW w:w="4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Ventures</w:t>
            </w: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1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$335,226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236,779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432,973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$ 68,874</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$1,073,852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(15,529)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335,226</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236,779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432,973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53,345</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1,058,323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Reallocation (Note 12)</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Acquisitions</w:t>
            </w:r>
          </w:p>
        </w:tc>
        <w:tc>
          <w:tcPr>
            <w:tcW w:w="12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3,999</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(19,851)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exchange rate changes and other</w:t>
            </w:r>
          </w:p>
        </w:tc>
        <w:tc>
          <w:tcPr>
            <w:tcW w:w="12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 2010</w:t>
            </w:r>
          </w:p>
        </w:tc>
        <w:tc>
          <w:tcPr>
            <w:tcW w:w="1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335,226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229,363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441,854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62,209</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1,068,652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(8,492)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335,226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222,326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441,854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$ 53,717</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October 3, 2010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9"/>
              </w:rPr>
              <w:t>As of January 3, 2010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9"/>
              </w:rPr>
              <w:t>Useful Life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Carrying</w:t>
            </w: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88"/>
              </w:rPr>
              <w:t>Range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60" w:type="dxa"/>
            <w:vAlign w:val="bottom"/>
            <w:gridSpan w:val="3"/>
          </w:tcPr>
          <w:p>
            <w:pPr>
              <w:ind w:left="420"/>
              <w:spacing w:after="0"/>
              <w:rPr>
                <w:sz w:val="20"/>
                <w:szCs w:val="20"/>
                <w:color w:val="auto"/>
              </w:rPr>
            </w:pPr>
            <w:r>
              <w:rPr>
                <w:rFonts w:ascii="Arial" w:cs="Arial" w:eastAsia="Arial" w:hAnsi="Arial"/>
                <w:sz w:val="18"/>
                <w:szCs w:val="18"/>
                <w:color w:val="auto"/>
              </w:rPr>
              <w:t>Non-compete agreements</w:t>
            </w:r>
          </w:p>
        </w:tc>
        <w:tc>
          <w:tcPr>
            <w:tcW w:w="1140" w:type="dxa"/>
            <w:vAlign w:val="bottom"/>
          </w:tcPr>
          <w:p>
            <w:pPr>
              <w:jc w:val="center"/>
              <w:ind w:right="78"/>
              <w:spacing w:after="0"/>
              <w:rPr>
                <w:sz w:val="20"/>
                <w:szCs w:val="20"/>
                <w:color w:val="auto"/>
              </w:rPr>
            </w:pPr>
            <w:r>
              <w:rPr>
                <w:rFonts w:ascii="Arial" w:cs="Arial" w:eastAsia="Arial" w:hAnsi="Arial"/>
                <w:sz w:val="18"/>
                <w:szCs w:val="18"/>
                <w:color w:val="auto"/>
                <w:w w:val="87"/>
              </w:rPr>
              <w:t>2-5 years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$ 43,172</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30,993</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w w:val="86"/>
              </w:rPr>
              <w:t>$12,179</w:t>
            </w:r>
          </w:p>
        </w:tc>
        <w:tc>
          <w:tcPr>
            <w:tcW w:w="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4"/>
              </w:rPr>
              <w:t>$ 43,886</w:t>
            </w:r>
          </w:p>
        </w:tc>
        <w:tc>
          <w:tcPr>
            <w:tcW w:w="4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24,093</w:t>
            </w:r>
          </w:p>
        </w:tc>
        <w:tc>
          <w:tcPr>
            <w:tcW w:w="2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$19,793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1140" w:type="dxa"/>
            <w:vAlign w:val="bottom"/>
            <w:shd w:val="clear" w:color="auto" w:fill="CCEEFF"/>
          </w:tcPr>
          <w:p>
            <w:pPr>
              <w:jc w:val="center"/>
              <w:ind w:right="78"/>
              <w:spacing w:after="0"/>
              <w:rPr>
                <w:sz w:val="20"/>
                <w:szCs w:val="20"/>
                <w:color w:val="auto"/>
              </w:rPr>
            </w:pPr>
            <w:r>
              <w:rPr>
                <w:rFonts w:ascii="Arial" w:cs="Arial" w:eastAsia="Arial" w:hAnsi="Arial"/>
                <w:sz w:val="18"/>
                <w:szCs w:val="18"/>
                <w:color w:val="auto"/>
                <w:w w:val="86"/>
              </w:rPr>
              <w:t>2-10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40,209</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25,826</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35,475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420"/>
              <w:spacing w:after="0"/>
              <w:rPr>
                <w:sz w:val="20"/>
                <w:szCs w:val="20"/>
                <w:color w:val="auto"/>
              </w:rPr>
            </w:pPr>
            <w:r>
              <w:rPr>
                <w:rFonts w:ascii="Arial" w:cs="Arial" w:eastAsia="Arial" w:hAnsi="Arial"/>
                <w:sz w:val="18"/>
                <w:szCs w:val="18"/>
                <w:color w:val="auto"/>
              </w:rPr>
              <w:t>Databases and technology</w:t>
            </w:r>
          </w:p>
        </w:tc>
        <w:tc>
          <w:tcPr>
            <w:tcW w:w="1140" w:type="dxa"/>
            <w:vAlign w:val="bottom"/>
          </w:tcPr>
          <w:p>
            <w:pPr>
              <w:jc w:val="center"/>
              <w:ind w:right="78"/>
              <w:spacing w:after="0"/>
              <w:rPr>
                <w:sz w:val="20"/>
                <w:szCs w:val="20"/>
                <w:color w:val="auto"/>
              </w:rPr>
            </w:pPr>
            <w:r>
              <w:rPr>
                <w:rFonts w:ascii="Arial" w:cs="Arial" w:eastAsia="Arial" w:hAnsi="Arial"/>
                <w:sz w:val="18"/>
                <w:szCs w:val="18"/>
                <w:color w:val="auto"/>
                <w:w w:val="87"/>
              </w:rPr>
              <w:t>3-5 years</w:t>
            </w:r>
          </w:p>
        </w:tc>
        <w:tc>
          <w:tcPr>
            <w:tcW w:w="680" w:type="dxa"/>
            <w:vAlign w:val="bottom"/>
          </w:tcPr>
          <w:p>
            <w:pPr>
              <w:jc w:val="right"/>
              <w:spacing w:after="0"/>
              <w:rPr>
                <w:sz w:val="20"/>
                <w:szCs w:val="20"/>
                <w:color w:val="auto"/>
              </w:rPr>
            </w:pPr>
            <w:r>
              <w:rPr>
                <w:rFonts w:ascii="Arial" w:cs="Arial" w:eastAsia="Arial" w:hAnsi="Arial"/>
                <w:sz w:val="18"/>
                <w:szCs w:val="18"/>
                <w:color w:val="auto"/>
              </w:rPr>
              <w:t>10,526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1,952</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8,574</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12,195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3,889</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1140" w:type="dxa"/>
            <w:vAlign w:val="bottom"/>
            <w:shd w:val="clear" w:color="auto" w:fill="CCEEFF"/>
          </w:tcPr>
          <w:p>
            <w:pPr>
              <w:jc w:val="center"/>
              <w:ind w:right="78"/>
              <w:spacing w:after="0"/>
              <w:rPr>
                <w:sz w:val="20"/>
                <w:szCs w:val="20"/>
                <w:color w:val="auto"/>
              </w:rPr>
            </w:pPr>
            <w:r>
              <w:rPr>
                <w:rFonts w:ascii="Arial" w:cs="Arial" w:eastAsia="Arial" w:hAnsi="Arial"/>
                <w:sz w:val="18"/>
                <w:szCs w:val="18"/>
                <w:color w:val="auto"/>
                <w:w w:val="86"/>
              </w:rPr>
              <w:t>2-10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14,210</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14,773</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10,639</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tcPr>
          <w:p>
            <w:pPr>
              <w:jc w:val="center"/>
              <w:ind w:right="78"/>
              <w:spacing w:after="0"/>
              <w:rPr>
                <w:sz w:val="20"/>
                <w:szCs w:val="20"/>
                <w:color w:val="auto"/>
              </w:rPr>
            </w:pPr>
            <w:r>
              <w:rPr>
                <w:rFonts w:ascii="Arial" w:cs="Arial" w:eastAsia="Arial" w:hAnsi="Arial"/>
                <w:sz w:val="18"/>
                <w:szCs w:val="18"/>
                <w:color w:val="auto"/>
                <w:w w:val="86"/>
              </w:rPr>
              <w:t>1-25 years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2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1,703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7,797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5,806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156,715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93,660</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63,055</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151,216</w:t>
            </w:r>
          </w:p>
        </w:tc>
        <w:tc>
          <w:tcPr>
            <w:tcW w:w="4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79,902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1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$496,166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$496,047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420"/>
              <w:spacing w:after="0"/>
              <w:rPr>
                <w:sz w:val="20"/>
                <w:szCs w:val="20"/>
                <w:color w:val="auto"/>
              </w:rPr>
            </w:pPr>
            <w:r>
              <w:rPr>
                <w:rFonts w:ascii="Arial" w:cs="Arial" w:eastAsia="Arial" w:hAnsi="Arial"/>
                <w:sz w:val="18"/>
                <w:szCs w:val="18"/>
                <w:color w:val="auto"/>
              </w:rPr>
              <w:t>Wireless licenses</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22,150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13,953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530,662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540,012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6: Borrowings</w:t>
            </w:r>
          </w:p>
        </w:tc>
        <w:tc>
          <w:tcPr>
            <w:tcW w:w="1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8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80" w:type="dxa"/>
            <w:vAlign w:val="bottom"/>
            <w:gridSpan w:val="4"/>
          </w:tcPr>
          <w:p>
            <w:pPr>
              <w:spacing w:after="0"/>
              <w:rPr>
                <w:sz w:val="20"/>
                <w:szCs w:val="20"/>
                <w:color w:val="auto"/>
              </w:rPr>
            </w:pPr>
            <w:r>
              <w:rPr>
                <w:rFonts w:ascii="Arial" w:cs="Arial" w:eastAsia="Arial" w:hAnsi="Arial"/>
                <w:sz w:val="18"/>
                <w:szCs w:val="18"/>
                <w:color w:val="auto"/>
              </w:rPr>
              <w:t>Debt consists of the following (in millions):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5"/>
          </w:tcPr>
          <w:p>
            <w:pPr>
              <w:ind w:left="200"/>
              <w:spacing w:after="0"/>
              <w:rPr>
                <w:sz w:val="20"/>
                <w:szCs w:val="20"/>
                <w:color w:val="auto"/>
              </w:rPr>
            </w:pPr>
            <w:r>
              <w:rPr>
                <w:rFonts w:ascii="Arial" w:cs="Arial" w:eastAsia="Arial" w:hAnsi="Arial"/>
                <w:sz w:val="14"/>
                <w:szCs w:val="14"/>
                <w:b w:val="1"/>
                <w:bCs w:val="1"/>
                <w:color w:val="auto"/>
                <w:w w:val="92"/>
              </w:rPr>
              <w:t>October 3,</w:t>
            </w:r>
          </w:p>
        </w:tc>
        <w:tc>
          <w:tcPr>
            <w:tcW w:w="1220" w:type="dxa"/>
            <w:vAlign w:val="bottom"/>
            <w:gridSpan w:val="5"/>
          </w:tcPr>
          <w:p>
            <w:pPr>
              <w:ind w:left="600"/>
              <w:spacing w:after="0"/>
              <w:rPr>
                <w:sz w:val="20"/>
                <w:szCs w:val="20"/>
                <w:color w:val="auto"/>
              </w:rPr>
            </w:pPr>
            <w:r>
              <w:rPr>
                <w:rFonts w:ascii="Arial" w:cs="Arial" w:eastAsia="Arial" w:hAnsi="Arial"/>
                <w:sz w:val="14"/>
                <w:szCs w:val="14"/>
                <w:b w:val="1"/>
                <w:bCs w:val="1"/>
                <w:color w:val="auto"/>
                <w:w w:val="86"/>
              </w:rPr>
              <w:t>January 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89"/>
              </w:rPr>
              <w:t>7.25% unsecured notes due February 1, 2019</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indebtedness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497"/>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October 3, 2010 and January 3, 2010 is at an interest rate of 6% and matures during 2010.</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During the third quarter of 2010 and 2009, the Company had average borrowings outstanding of approximately $399.5 million and $399.2 million, respectively, at average annual interest rates of approximately 7.2%. During the third quarter of 2010 and 2009, the Company incurred net interest expense of $7.0 million.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nine months of 2010 and 2009, the Company had average borrowings outstanding of approximately $399.4 million and $434.9 million, respectively, at average annual interest rates of approximately 7.2% and 6.8%, respectively. During the first nine months of 2010 and 2009, the Company incurred net interest expense of $21.3 million.</w:t>
      </w:r>
    </w:p>
    <w:p>
      <w:pPr>
        <w:spacing w:after="0" w:line="140"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At October 3, 2010, the fair value of the Company’s 7.25% unsecured notes, based on quoted market prices, totaled $481.9 million, compared with the carrying amount of $396.5 million. At January 3, 2010, the fair value of the Company’s 7.25% unsecured notes, based on quoted market prices, totaled $443.1 million, compared with the carrying amount of $396.2 million. The carrying value of the Company’s other unsecured debt at October 3, 2010 approximates fair value.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Company’s earnings per share from continuing operations (basic and diluted) for the third quarter and first nine months of 2010 and 2009 are presented below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560" w:type="dxa"/>
            <w:vAlign w:val="bottom"/>
          </w:tcPr>
          <w:p>
            <w:pPr>
              <w:spacing w:after="0"/>
              <w:rPr>
                <w:sz w:val="11"/>
                <w:szCs w:val="11"/>
                <w:color w:val="auto"/>
              </w:rPr>
            </w:pPr>
          </w:p>
        </w:tc>
        <w:tc>
          <w:tcPr>
            <w:tcW w:w="1220" w:type="dxa"/>
            <w:vAlign w:val="bottom"/>
            <w:tcBorders>
              <w:top w:val="single" w:sz="8" w:color="auto"/>
            </w:tcBorders>
            <w:gridSpan w:val="3"/>
          </w:tcPr>
          <w:p>
            <w:pPr>
              <w:jc w:val="right"/>
              <w:ind w:right="580"/>
              <w:spacing w:after="0" w:line="129" w:lineRule="exact"/>
              <w:rPr>
                <w:sz w:val="20"/>
                <w:szCs w:val="20"/>
                <w:color w:val="auto"/>
              </w:rPr>
            </w:pPr>
            <w:r>
              <w:rPr>
                <w:rFonts w:ascii="Arial" w:cs="Arial" w:eastAsia="Arial" w:hAnsi="Arial"/>
                <w:sz w:val="14"/>
                <w:szCs w:val="14"/>
                <w:b w:val="1"/>
                <w:bCs w:val="1"/>
                <w:color w:val="auto"/>
                <w:w w:val="89"/>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The Washington Post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81,214</w:t>
            </w: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227,009</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Amount attributable to participating securities</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 income from continuing operations attributable to The Washington</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 Company common stockholders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80,756</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225,620</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00" w:type="dxa"/>
            <w:vAlign w:val="bottom"/>
            <w:gridSpan w:val="2"/>
          </w:tcPr>
          <w:p>
            <w:pPr>
              <w:spacing w:after="0"/>
              <w:rPr>
                <w:sz w:val="20"/>
                <w:szCs w:val="20"/>
                <w:color w:val="auto"/>
              </w:rPr>
            </w:pPr>
            <w:r>
              <w:rPr>
                <w:rFonts w:ascii="Arial" w:cs="Arial" w:eastAsia="Arial" w:hAnsi="Arial"/>
                <w:sz w:val="18"/>
                <w:szCs w:val="18"/>
                <w:color w:val="auto"/>
              </w:rPr>
              <w:t>Plus: Amount attributable to participating securities</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1,389</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8"/>
              </w:rPr>
              <w:t>Diluted income from continuing operations attributable to The Washington</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 Company common stockholders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81,214</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25,944</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227,009</w:t>
            </w: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800" w:type="dxa"/>
            <w:vAlign w:val="bottom"/>
            <w:gridSpan w:val="2"/>
          </w:tcPr>
          <w:p>
            <w:pPr>
              <w:spacing w:after="0"/>
              <w:rPr>
                <w:sz w:val="20"/>
                <w:szCs w:val="20"/>
                <w:color w:val="auto"/>
              </w:rPr>
            </w:pPr>
            <w:r>
              <w:rPr>
                <w:rFonts w:ascii="Arial" w:cs="Arial" w:eastAsia="Arial" w:hAnsi="Arial"/>
                <w:sz w:val="18"/>
                <w:szCs w:val="18"/>
                <w:color w:val="auto"/>
              </w:rPr>
              <w:t>Basic weighted-average shares outstanding</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9,047</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Income per share from continuing operations attributable to The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Washington Post Company common stockholders: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9.12</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24.91</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treats unvested share-based payment awards that contain nonforfeitable rights to dividends as participating securities and includes these securities in the computation of earnings per share under the two-class method.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first nine months of 2010, there were 9,046,653 weighted average basic and 9,112,564 weighted average diluted shares outstanding. For the third quarter of 2010, there were 8,839,329 weighted average basic and 8,904,453 weighted average diluted shares outstanding. For the first nine months of 2009, there were 9,339,646 weighted average basic and 9,399,501 weighted average diluted shares outstanding. For the third quarter of 2009, there were 9,340,067 weighted average basic and 9,401,010 weighted average diluted shares outstanding.</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diluted earnings per share amounts for the third quarter of 2010 and the first nine months of 2010 exclude the effects of 59,069 and 36,125 stock options outstanding, respectively, as their inclusion would have been antidilutive. The diluted earnings per share amounts for the third quarter of 2009 and the first nine months of 2009 exclude the effects of 60,125 and 72,069 stock options outstanding, respectively, as their inclusion would have been antidilutive.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r>
        <w:rPr>
          <w:rFonts w:ascii="Arial" w:cs="Arial" w:eastAsia="Arial" w:hAnsi="Arial"/>
          <w:sz w:val="16"/>
          <w:szCs w:val="16"/>
          <w:color w:val="auto"/>
        </w:rPr>
        <w:t>. The total cost (benefit) arising from the Company’s defined benefit pension plans for the third quarter and nine months ended October 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2010 and September 27, 2009,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214"/>
              <w:spacing w:after="0" w:line="142" w:lineRule="exact"/>
              <w:rPr>
                <w:sz w:val="20"/>
                <w:szCs w:val="20"/>
                <w:color w:val="auto"/>
              </w:rPr>
            </w:pPr>
            <w:r>
              <w:rPr>
                <w:rFonts w:ascii="Arial" w:cs="Arial" w:eastAsia="Arial" w:hAnsi="Arial"/>
                <w:sz w:val="14"/>
                <w:szCs w:val="14"/>
                <w:b w:val="1"/>
                <w:bCs w:val="1"/>
                <w:color w:val="auto"/>
                <w:w w:val="99"/>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8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w w:val="89"/>
              </w:rPr>
              <w:t>October 3,</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w w:val="86"/>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20,969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14,993</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13,918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45,180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(23,847)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(71,558)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Special termination benefits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5,295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Recognition of prior service cost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cost (benefit)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Newsweek sale, the Company recorded $5.3 million in special termination benefits expense and $2.4 million in prior service cost expense; these amounts are included in discontinued operations.</w:t>
      </w:r>
    </w:p>
    <w:p>
      <w:pPr>
        <w:spacing w:after="0" w:line="13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Newsweek offered a Voluntary Retirement Incentive Program to certain employees in November 2008 that was completed in the first quarter of 2009; early retirement program expense of $6.6 million was recorded in the first quarter of 2009, and is included in discontinued operations.</w:t>
      </w:r>
    </w:p>
    <w:p>
      <w:pPr>
        <w:spacing w:after="0" w:line="85"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Company offered a Voluntary Retirement Incentive Program to certain employees of The Washington Post newspaper in the first quarter of 2009; early retirement program expense of $56.8 million was recorded in the second quarter of 2009, funded mostly from the assets of the Company’s pension plans.</w:t>
      </w:r>
    </w:p>
    <w:p>
      <w:pPr>
        <w:spacing w:after="0" w:line="6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the third quarter of 2009, the Company offered a Voluntary Retirement Incentive Program to certain employees of Robinson Terminal Warehouse Corporation; early retirement program expense of $1.1 million was recorded in the third quarter of 2009, funded mostly from the assets of the Company’s pension plans.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arising from the Company’s Supplemental Executive Retirement Plan (SERP) for the third quarter and nine months ended October 3,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2009, including a portion included in discontinued operations,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SERP</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276"/>
              <w:spacing w:after="0" w:line="142" w:lineRule="exact"/>
              <w:rPr>
                <w:sz w:val="20"/>
                <w:szCs w:val="20"/>
                <w:color w:val="auto"/>
              </w:rPr>
            </w:pPr>
            <w:r>
              <w:rPr>
                <w:rFonts w:ascii="Arial" w:cs="Arial" w:eastAsia="Arial" w:hAnsi="Arial"/>
                <w:sz w:val="14"/>
                <w:szCs w:val="14"/>
                <w:b w:val="1"/>
                <w:bCs w:val="1"/>
                <w:color w:val="auto"/>
              </w:rPr>
              <w:t>Thirteen Weeks Ended</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176"/>
              <w:spacing w:after="0" w:line="142" w:lineRule="exact"/>
              <w:rPr>
                <w:sz w:val="20"/>
                <w:szCs w:val="20"/>
                <w:color w:val="auto"/>
              </w:rPr>
            </w:pPr>
            <w:r>
              <w:rPr>
                <w:rFonts w:ascii="Arial" w:cs="Arial" w:eastAsia="Arial" w:hAnsi="Arial"/>
                <w:sz w:val="14"/>
                <w:szCs w:val="14"/>
                <w:b w:val="1"/>
                <w:bCs w:val="1"/>
                <w:color w:val="auto"/>
                <w:w w:val="95"/>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3,</w:t>
            </w: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3,</w:t>
            </w:r>
          </w:p>
        </w:tc>
        <w:tc>
          <w:tcPr>
            <w:tcW w:w="6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cost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40" w:type="dxa"/>
            <w:vAlign w:val="bottom"/>
            <w:vMerge w:val="restart"/>
          </w:tcPr>
          <w:p>
            <w:pPr>
              <w:jc w:val="right"/>
              <w:ind w:right="292"/>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September 30, 2010 and December 31, 2009,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U.S. fixed income</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2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September 30, 2010, up to 13% of the assets could be invested in international stocks, and no less than 9% of the assets could be invested in fixed-income securities. None of the assets is managed internally by the Company.</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determining the 6.5%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2010. Types of concentrations that were evaluated include, but are not limited to, investment concentrations in a single entity, type of industry, foreign country and individual fund. Included in the assets are $167.0 million and $274.3 million of Berkshire Hathaway Class A and Class B common stock at September 30, 2010 and December 31, 2009, respectively. Approximately 52% of the Berkshire Hathaway common stock held at December 31, 2009 was sold during the first six months of 2010.</w:t>
      </w:r>
    </w:p>
    <w:p>
      <w:pPr>
        <w:spacing w:after="0" w:line="137"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Other Postretirement Plans</w:t>
      </w:r>
      <w:r>
        <w:rPr>
          <w:rFonts w:ascii="Arial" w:cs="Arial" w:eastAsia="Arial" w:hAnsi="Arial"/>
          <w:sz w:val="16"/>
          <w:szCs w:val="16"/>
          <w:color w:val="auto"/>
        </w:rPr>
        <w:t>. The total (benefit) cost arising from the Company’s postretirement plans for the third quarter and nine months ended October 3,</w:t>
      </w:r>
      <w:r>
        <w:rPr>
          <w:rFonts w:ascii="Arial" w:cs="Arial" w:eastAsia="Arial" w:hAnsi="Arial"/>
          <w:sz w:val="16"/>
          <w:szCs w:val="16"/>
          <w:b w:val="1"/>
          <w:bCs w:val="1"/>
          <w:color w:val="auto"/>
        </w:rPr>
        <w:t xml:space="preserve"> </w:t>
      </w:r>
      <w:r>
        <w:rPr>
          <w:rFonts w:ascii="Arial" w:cs="Arial" w:eastAsia="Arial" w:hAnsi="Arial"/>
          <w:sz w:val="16"/>
          <w:szCs w:val="16"/>
          <w:color w:val="auto"/>
        </w:rPr>
        <w:t>2010 and September 27, 2009, including a portion included in discontinued operations, consists of the following components (in thousands):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Postretirement Plans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right"/>
              <w:ind w:right="195"/>
              <w:spacing w:after="0" w:line="142" w:lineRule="exact"/>
              <w:rPr>
                <w:sz w:val="20"/>
                <w:szCs w:val="20"/>
                <w:color w:val="auto"/>
              </w:rPr>
            </w:pPr>
            <w:r>
              <w:rPr>
                <w:rFonts w:ascii="Arial" w:cs="Arial" w:eastAsia="Arial" w:hAnsi="Arial"/>
                <w:sz w:val="14"/>
                <w:szCs w:val="14"/>
                <w:b w:val="1"/>
                <w:bCs w:val="1"/>
                <w:color w:val="auto"/>
                <w:w w:val="95"/>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2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2,992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(3,862)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(1,538)</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 (benefit)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Curtailment gain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(8,583)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(8,583)</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benefit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(8,539)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(8,451)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Company recorded a curtailment gain of $8.5 million in the third quarter of 2010 due to the sale of Newsweek; the gain is included in discontinued operations.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12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The Washington Post newspaper contributes to multiemployer pension plans on behalf of three union-represented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groups: the CWA-ITU Negotiated Pension Plan on behalf of Post mailers, helpers and utility mailers; the IAM National Pension Fund on behalf of Post machinists; and the Central Pension Fund of the International Union of Operating Engineers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behalf of Post engineers, carpenters and painters. Contributions are made in accordance with the relevant collective bargaining agreements and are generally based on straight-time hours.</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Post has negotiated in collective bargaining the contractual right to withdraw from two of these plans; the right to withdraw from the CWA-ITU Negotiated Pension Plan (the Plan) has been the subject of contract negotiations that have reached an impasse. In July 2010, the Post notified the union and the Plan of its unilateral withdrawal from the Plan effective November 30, 2010. In connection with this action, The Washington Post has recorded a $20.4 million charge based on an estimate of the withdrawal liability; $17.7 million of this charge was recorded in the second quarter of 2010 and $2.7 million was recorded in the third quarter of 2010. The Plan is obligated to notify the Post of the actual withdrawal liability in a timely manner at which time an adjustment to the estimated charge will be made to reflect the difference between the estimated and actual withdrawal liability. Payment of the actual withdrawal liability will relieve the Post of further liability to the Plan absent certain circumstances prescribed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Non-Operating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thirty-nine weeks ended October 3, 2010 and September 27, 2009, is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13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740" w:type="dxa"/>
            <w:vAlign w:val="bottom"/>
          </w:tcPr>
          <w:p>
            <w:pPr>
              <w:spacing w:after="0"/>
              <w:rPr>
                <w:sz w:val="11"/>
                <w:szCs w:val="11"/>
                <w:color w:val="auto"/>
              </w:rPr>
            </w:pPr>
          </w:p>
        </w:tc>
        <w:tc>
          <w:tcPr>
            <w:tcW w:w="13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2010</w:t>
            </w:r>
          </w:p>
        </w:tc>
        <w:tc>
          <w:tcPr>
            <w:tcW w:w="7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2010</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1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w:t>
            </w:r>
          </w:p>
        </w:tc>
        <w:tc>
          <w:tcPr>
            <w:tcW w:w="7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Litigation and Legal Matters</w:t>
      </w:r>
      <w:r>
        <w:rPr>
          <w:rFonts w:ascii="Arial" w:cs="Arial" w:eastAsia="Arial" w:hAnsi="Arial"/>
          <w:sz w:val="16"/>
          <w:szCs w:val="16"/>
          <w:color w:val="auto"/>
        </w:rPr>
        <w:t>. A purported class action complaint was filed against the Company, Donald E. Graham and Hal S. Jones on October 28, 2010,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District Court for the District of Columbia, by the Plumbers Local #200 Pension Fund. The complaint alleges that the Company and certain of its officers made materially false and misleading statements, or failed to disclose material facts relating to Kaplan Higher Education (KHE), in violation of the federal securities laws. The complaint seeks damages, attorneys’ fees, costs and equitable/injunctive relief. Based on an initial review of this complaint, the Company believes the complaint is without merit and intends to vigorously defend against it.</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19, 2010, the Florida Attorney General announced that it had commenced an investigation into alleged deceptive trade practices at five proprietary school groups located in Florida, including Kaplan. The Florida Attorney General has served KHE with a subpoena seeking records. KHE is cooperating with the investigation, but cannot at this time predict the outcome of the investigation.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2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Department of Education (DOE) Program Reviews</w:t>
      </w:r>
      <w:r>
        <w:rPr>
          <w:rFonts w:ascii="Arial" w:cs="Arial" w:eastAsia="Arial" w:hAnsi="Arial"/>
          <w:sz w:val="16"/>
          <w:szCs w:val="16"/>
          <w:color w:val="auto"/>
        </w:rPr>
        <w:t>. From 2007 through 2010, the DOE undertook program reviews at four of KHE’s campus locations and at</w:t>
      </w:r>
      <w:r>
        <w:rPr>
          <w:rFonts w:ascii="Arial" w:cs="Arial" w:eastAsia="Arial" w:hAnsi="Arial"/>
          <w:sz w:val="16"/>
          <w:szCs w:val="16"/>
          <w:b w:val="1"/>
          <w:bCs w:val="1"/>
          <w:color w:val="auto"/>
        </w:rPr>
        <w:t xml:space="preserve"> </w:t>
      </w:r>
      <w:r>
        <w:rPr>
          <w:rFonts w:ascii="Arial" w:cs="Arial" w:eastAsia="Arial" w:hAnsi="Arial"/>
          <w:sz w:val="16"/>
          <w:szCs w:val="16"/>
          <w:color w:val="auto"/>
        </w:rPr>
        <w:t>Kaplan University. The DOE has issued a final report with respect to one of the campus locations with no action taken. No final reports with respect to the other reviews have been issued. Therefore, the results of these reviews and their impact on Kaplan’s operations is uncertain.</w:t>
      </w:r>
    </w:p>
    <w:p>
      <w:pPr>
        <w:spacing w:after="0" w:line="10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particular, while KHE has responded to the previously disclosed preliminary report and request for additional information (which included a complete file review of Title IV disbursements for three consecutive award years from 2005/2006 through 2007/2008) by the DOE with regard to its program review at the Broomall campus, KHE has not received a final report. With respect to the previously disclosed United States Attorney’s inquiry into the surgical tech program, the U.S. Attorney has expressed concerns about the program’s historical sufficiency of externship sites, but has not concluded its inquiry. At this time we cannot predict the ultimate impact the DOE program review or U.S. Attorney’s inquiry may have on Kaplan.</w:t>
      </w:r>
    </w:p>
    <w:p>
      <w:pPr>
        <w:spacing w:after="0" w:line="11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In September 2010 KHE received a report from one of its accreditors, ACCSC, regarding its Riverside campus, which report requested that KHE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ACCSC detailed information about how KHE schools intend to maintain compliance with federal regulations. KHE has responded to ACCSC’s request and at this time cannot predict if ACCSC will request additional information or take additional action. ACCSC accredits 32 Kaplan campuses.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96" w:lineRule="exact"/>
        <w:rPr>
          <w:sz w:val="20"/>
          <w:szCs w:val="20"/>
          <w:color w:val="auto"/>
        </w:rPr>
      </w:pPr>
    </w:p>
    <w:p>
      <w:pPr>
        <w:jc w:val="both"/>
        <w:ind w:right="38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100"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October 3, 2010 were as follows (in millions):</w:t>
      </w:r>
    </w:p>
    <w:tbl>
      <w:tblPr>
        <w:tblLayout w:type="fixed"/>
        <w:tblInd w:w="92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5"/>
          </w:tcPr>
          <w:p>
            <w:pPr>
              <w:ind w:left="440"/>
              <w:spacing w:after="0" w:line="153" w:lineRule="exact"/>
              <w:rPr>
                <w:sz w:val="20"/>
                <w:szCs w:val="20"/>
                <w:color w:val="auto"/>
              </w:rPr>
            </w:pPr>
            <w:r>
              <w:rPr>
                <w:rFonts w:ascii="Arial" w:cs="Arial" w:eastAsia="Arial" w:hAnsi="Arial"/>
                <w:sz w:val="14"/>
                <w:szCs w:val="14"/>
                <w:b w:val="1"/>
                <w:bCs w:val="1"/>
                <w:color w:val="auto"/>
              </w:rPr>
              <w:t>Fair Value Measurements as of</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October 3, 2010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Quoted Prices in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Active</w:t>
            </w:r>
          </w:p>
        </w:tc>
        <w:tc>
          <w:tcPr>
            <w:tcW w:w="9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October 3,</w:t>
            </w:r>
          </w:p>
        </w:tc>
        <w:tc>
          <w:tcPr>
            <w:tcW w:w="4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Items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Money market investments</w:t>
            </w:r>
            <w:r>
              <w:rPr>
                <w:rFonts w:ascii="Arial" w:cs="Arial" w:eastAsia="Arial" w:hAnsi="Arial"/>
                <w:sz w:val="11"/>
                <w:szCs w:val="11"/>
                <w:color w:val="auto"/>
              </w:rPr>
              <w:t>(1)</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342.5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(2)</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(3)</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w:t>
            </w:r>
            <w:r>
              <w:rPr>
                <w:rFonts w:ascii="Arial" w:cs="Arial" w:eastAsia="Arial" w:hAnsi="Arial"/>
                <w:sz w:val="18"/>
                <w:szCs w:val="18"/>
                <w:u w:val="single" w:color="auto"/>
                <w:color w:val="auto"/>
              </w:rPr>
              <w:t>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 xml:space="preserve">7.25% Unsecured notes </w:t>
            </w:r>
            <w:r>
              <w:rPr>
                <w:rFonts w:ascii="Arial" w:cs="Arial" w:eastAsia="Arial" w:hAnsi="Arial"/>
                <w:sz w:val="11"/>
                <w:szCs w:val="11"/>
                <w:color w:val="auto"/>
              </w:rPr>
              <w:t>(5)</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w:t>
            </w:r>
            <w:r>
              <w:rPr>
                <w:rFonts w:ascii="Arial" w:cs="Arial" w:eastAsia="Arial" w:hAnsi="Arial"/>
                <w:sz w:val="18"/>
                <w:szCs w:val="18"/>
                <w:u w:val="single" w:color="auto"/>
                <w:color w:val="auto"/>
              </w:rPr>
              <w:t>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 Company’s money market investments are included in cash and cash equivalents.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 Company’s investments in marketable equity securities are classified as available-for-sale.</w:t>
      </w:r>
    </w:p>
    <w:p>
      <w:pPr>
        <w:spacing w:after="0" w:line="8" w:lineRule="exact"/>
        <w:rPr>
          <w:rFonts w:ascii="Arial" w:cs="Arial" w:eastAsia="Arial" w:hAnsi="Arial"/>
          <w:sz w:val="22"/>
          <w:szCs w:val="22"/>
          <w:color w:val="auto"/>
          <w:vertAlign w:val="superscript"/>
        </w:rPr>
      </w:pPr>
    </w:p>
    <w:p>
      <w:pPr>
        <w:ind w:left="460" w:right="380" w:hanging="452"/>
        <w:spacing w:after="0" w:line="221"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ind w:left="460" w:right="520" w:hanging="452"/>
        <w:spacing w:after="0" w:line="237" w:lineRule="auto"/>
        <w:tabs>
          <w:tab w:leader="none" w:pos="46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ind w:left="460" w:hanging="452"/>
        <w:spacing w:after="0" w:line="20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See Note 6 for carrying amount of these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January 3, 2010 were as follows (in millions):</w:t>
      </w:r>
    </w:p>
    <w:tbl>
      <w:tblPr>
        <w:tblLayout w:type="fixed"/>
        <w:tblInd w:w="920" w:type="dxa"/>
        <w:tblCellMar>
          <w:top w:w="0" w:type="dxa"/>
          <w:left w:w="0" w:type="dxa"/>
          <w:bottom w:w="0" w:type="dxa"/>
          <w:right w:w="0" w:type="dxa"/>
        </w:tblCellMar>
      </w:tblPr>
      <w:tr>
        <w:trPr>
          <w:trHeight w:val="153"/>
        </w:trPr>
        <w:tc>
          <w:tcPr>
            <w:tcW w:w="3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5"/>
          </w:tcPr>
          <w:p>
            <w:pPr>
              <w:ind w:left="420"/>
              <w:spacing w:after="0" w:line="153" w:lineRule="exact"/>
              <w:rPr>
                <w:sz w:val="20"/>
                <w:szCs w:val="20"/>
                <w:color w:val="auto"/>
              </w:rPr>
            </w:pPr>
            <w:r>
              <w:rPr>
                <w:rFonts w:ascii="Arial" w:cs="Arial" w:eastAsia="Arial" w:hAnsi="Arial"/>
                <w:sz w:val="14"/>
                <w:szCs w:val="14"/>
                <w:b w:val="1"/>
                <w:bCs w:val="1"/>
                <w:color w:val="auto"/>
              </w:rPr>
              <w:t>Fair Value Measurements as of</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3, 2010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Quoted Prices in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Active</w:t>
            </w:r>
          </w:p>
        </w:tc>
        <w:tc>
          <w:tcPr>
            <w:tcW w:w="8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January 3,</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Items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(Level 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 xml:space="preserve">Money market investments </w:t>
            </w:r>
            <w:r>
              <w:rPr>
                <w:rFonts w:ascii="Arial" w:cs="Arial" w:eastAsia="Arial" w:hAnsi="Arial"/>
                <w:sz w:val="11"/>
                <w:szCs w:val="11"/>
                <w:color w:val="auto"/>
              </w:rPr>
              <w:t>(1)</w:t>
            </w:r>
          </w:p>
        </w:tc>
        <w:tc>
          <w:tcPr>
            <w:tcW w:w="1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Marketable equity securities </w:t>
            </w:r>
            <w:r>
              <w:rPr>
                <w:rFonts w:ascii="Arial" w:cs="Arial" w:eastAsia="Arial" w:hAnsi="Arial"/>
                <w:sz w:val="11"/>
                <w:szCs w:val="11"/>
                <w:color w:val="auto"/>
              </w:rPr>
              <w:t>(2)</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 xml:space="preserve">Other current investments </w:t>
            </w:r>
            <w:r>
              <w:rPr>
                <w:rFonts w:ascii="Arial" w:cs="Arial" w:eastAsia="Arial" w:hAnsi="Arial"/>
                <w:sz w:val="11"/>
                <w:szCs w:val="11"/>
                <w:color w:val="auto"/>
              </w:rPr>
              <w:t>(3)</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712.</w:t>
            </w:r>
            <w:r>
              <w:rPr>
                <w:rFonts w:ascii="Arial" w:cs="Arial" w:eastAsia="Arial" w:hAnsi="Arial"/>
                <w:sz w:val="18"/>
                <w:szCs w:val="18"/>
                <w:u w:val="single" w:color="auto"/>
                <w:color w:val="auto"/>
              </w:rPr>
              <w:t>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9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(4)</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 xml:space="preserve">7.25% unsecured notes </w:t>
            </w:r>
            <w:r>
              <w:rPr>
                <w:rFonts w:ascii="Arial" w:cs="Arial" w:eastAsia="Arial" w:hAnsi="Arial"/>
                <w:sz w:val="11"/>
                <w:szCs w:val="11"/>
                <w:color w:val="auto"/>
              </w:rPr>
              <w:t>(5)</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509.</w:t>
            </w:r>
            <w:r>
              <w:rPr>
                <w:rFonts w:ascii="Arial" w:cs="Arial" w:eastAsia="Arial" w:hAnsi="Arial"/>
                <w:sz w:val="18"/>
                <w:szCs w:val="18"/>
                <w:u w:val="single" w:color="auto"/>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Company’s money market investments are included in cash and cash equivalents.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Company’s investments in marketable equity securities are classified as available-for-sale.</w:t>
      </w:r>
    </w:p>
    <w:p>
      <w:pPr>
        <w:spacing w:after="0" w:line="8" w:lineRule="exact"/>
        <w:rPr>
          <w:rFonts w:ascii="Arial" w:cs="Arial" w:eastAsia="Arial" w:hAnsi="Arial"/>
          <w:sz w:val="22"/>
          <w:szCs w:val="22"/>
          <w:color w:val="auto"/>
          <w:vertAlign w:val="superscript"/>
        </w:rPr>
      </w:pPr>
    </w:p>
    <w:p>
      <w:pPr>
        <w:ind w:left="460" w:right="380" w:hanging="452"/>
        <w:spacing w:after="0" w:line="221"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ind w:left="460" w:right="520" w:hanging="452"/>
        <w:spacing w:after="0" w:line="237"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ind w:left="460" w:hanging="452"/>
        <w:spacing w:after="0" w:line="20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See Note 6 for carrying amount of these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its subsidiary Kaplan, Inc., the Company provides educational services for individuals, schools and businesses. The Company also operates principally in three areas of the media business: cable television, newspaper publishing and television broadcasting.</w:t>
      </w:r>
    </w:p>
    <w:p>
      <w:pPr>
        <w:spacing w:after="0" w:line="132"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KHE to Kaplan Ventures. The business segments disclosed are based on this organizational structure. Segment operating results of the education division for fiscal years ended 2009 and 2008 have been restated to reflect these changes.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third quarter of 2009,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The Company has concluded that the impact of this change was not material to the Company’s financial position or results of operations for 2009 and the related interim periods, based on its consideration of quantitative and qualitative factors.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end of March 2009, the Company approved a plan to offer tutoring services, previously provided at Score, in Kaplan test preparation centers. The plan was substantially completed by the end of the second quarter of 2009. The Company recorded $24.9 million in asset write-downs, lease terminations, severance and accelerated depreciation of fixed assets in the first half of 2009.</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Restructuring-related expenses of $0.9 million and $8.1 million were recorded in the third quarter and first nine months of 2009, respectively, at Kaplan’s professional domestic training businesses (part of Test Preparation division).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 Revenues from newspaper publishing operations are derived from advertising and, to a lesser extent, from circulation.</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Other businesses include the operating results of Avenue100 Media Solutions and other small businesses. Previously these businesses were combined with the Corporate office in the Other businesses and corporate office division. Segment operating results are now reported separately for Other businesses and Corporate office and results for fiscal years ended 2009 and 2008 have been restated to reflect these changes.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 and the pension credit previously reported in the magazine publishing division.</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to the sale of Newsweek, the magazine publishing division is no longer included as a separate segment as its results have been reclassified to discontinued operations. Newsweek employees are participants in The Washington Post Company Retirement Plan, and Newsweek has historically been allocated a net pension credit for segment reporting purposes. Since the associated pension assets and liabilities will be retained by the Company, the associated credit has been excluded from the reclassification of Newsweek results to discontinued operations. Pension cost arising from early retirement programs at Newsweek, however, is included in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net pension credit is included with operating results for the Corporate office,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Quarter 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Quarter 2</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8,238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Quarter 3</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Quarter 4</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9,080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34,636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$41,652</w:t>
            </w:r>
          </w:p>
        </w:tc>
        <w:tc>
          <w:tcPr>
            <w:tcW w:w="100" w:type="dxa"/>
            <w:vAlign w:val="bottom"/>
            <w:shd w:val="clear" w:color="auto" w:fill="CCEEFF"/>
          </w:tcPr>
          <w:p>
            <w:pPr>
              <w:spacing w:after="0"/>
              <w:rPr>
                <w:sz w:val="18"/>
                <w:szCs w:val="18"/>
                <w:color w:val="auto"/>
              </w:rPr>
            </w:pPr>
          </w:p>
        </w:tc>
      </w:tr>
      <w:tr>
        <w:trPr>
          <w:trHeight w:val="363"/>
        </w:trPr>
        <w:tc>
          <w:tcPr>
            <w:tcW w:w="880" w:type="dxa"/>
            <w:vAlign w:val="bottom"/>
          </w:tcPr>
          <w:p>
            <w:pPr>
              <w:spacing w:after="0"/>
              <w:rPr>
                <w:sz w:val="24"/>
                <w:szCs w:val="24"/>
                <w:color w:val="auto"/>
              </w:rPr>
            </w:pPr>
          </w:p>
        </w:tc>
        <w:tc>
          <w:tcPr>
            <w:tcW w:w="5940" w:type="dxa"/>
            <w:vAlign w:val="bottom"/>
          </w:tcPr>
          <w:p>
            <w:pPr>
              <w:jc w:val="right"/>
              <w:ind w:right="18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100" w:type="dxa"/>
            <w:vAlign w:val="bottom"/>
            <w:gridSpan w:val="2"/>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First Quarter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Second Quarter</w:t>
            </w:r>
          </w:p>
        </w:tc>
        <w:tc>
          <w:tcPr>
            <w:tcW w:w="46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2010 Quarterly Operating Results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Operating revenues</w:t>
            </w:r>
          </w:p>
        </w:tc>
        <w:tc>
          <w:tcPr>
            <w:tcW w:w="3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711,382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747,323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743,319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189,358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190,558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188,694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155,771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172,730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73,482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82,592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1,142,031</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1,201,812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1,189,723</w:t>
            </w:r>
          </w:p>
        </w:tc>
        <w:tc>
          <w:tcPr>
            <w:tcW w:w="0" w:type="dxa"/>
            <w:vAlign w:val="bottom"/>
          </w:tcPr>
          <w:p>
            <w:pPr>
              <w:spacing w:after="0"/>
              <w:rPr>
                <w:sz w:val="1"/>
                <w:szCs w:val="1"/>
                <w:color w:val="auto"/>
              </w:rPr>
            </w:pPr>
          </w:p>
        </w:tc>
      </w:tr>
      <w:tr>
        <w:trPr>
          <w:trHeight w:val="116"/>
        </w:trPr>
        <w:tc>
          <w:tcPr>
            <w:tcW w:w="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57,948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108,982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99,100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(13,752)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(14,300)</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(28,459)</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103,103</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163,489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130,575</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Equity in (losses) earnings of affiliates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5980" w:type="dxa"/>
            <w:vAlign w:val="bottom"/>
            <w:gridSpan w:val="3"/>
          </w:tcPr>
          <w:p>
            <w:pPr>
              <w:ind w:left="4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84,420</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153,347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138,168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18,748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19,129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7,884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61,598</w:t>
            </w:r>
          </w:p>
        </w:tc>
        <w:tc>
          <w:tcPr>
            <w:tcW w:w="260" w:type="dxa"/>
            <w:vAlign w:val="bottom"/>
          </w:tcPr>
          <w:p>
            <w:pPr>
              <w:spacing w:after="0"/>
              <w:rPr>
                <w:sz w:val="20"/>
                <w:szCs w:val="20"/>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61,133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61,049</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5,276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6,355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6,516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7,604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27,477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00"/>
          </w:cols>
          <w:pgMar w:left="240" w:top="459" w:right="459" w:bottom="1440" w:gutter="0" w:footer="0" w:header="0"/>
        </w:sect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w w:val="89"/>
              </w:rPr>
              <w:t>(in thousands)</w:t>
            </w:r>
          </w:p>
        </w:tc>
        <w:tc>
          <w:tcPr>
            <w:tcW w:w="47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First Quarter</w:t>
            </w:r>
          </w:p>
        </w:tc>
        <w:tc>
          <w:tcPr>
            <w:tcW w:w="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r>
      <w:tr>
        <w:trPr>
          <w:trHeight w:val="20"/>
        </w:trPr>
        <w:tc>
          <w:tcPr>
            <w:tcW w:w="8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pension credit (expense)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Education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(1,349)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(1,526)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r>
      <w:tr>
        <w:trPr>
          <w:trHeight w:val="216"/>
        </w:trPr>
        <w:tc>
          <w:tcPr>
            <w:tcW w:w="8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r>
      <w:tr>
        <w:trPr>
          <w:trHeight w:val="216"/>
        </w:trPr>
        <w:tc>
          <w:tcPr>
            <w:tcW w:w="8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Newspaper publishing</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(5,560)</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(23,192)</w:t>
            </w: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(8,088)</w:t>
            </w:r>
          </w:p>
        </w:tc>
      </w:tr>
      <w:tr>
        <w:trPr>
          <w:trHeight w:val="216"/>
        </w:trPr>
        <w:tc>
          <w:tcPr>
            <w:tcW w:w="8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16"/>
        </w:trPr>
        <w:tc>
          <w:tcPr>
            <w:tcW w:w="8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businesses</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8,570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8,571</w:t>
            </w:r>
          </w:p>
        </w:tc>
      </w:tr>
      <w:tr>
        <w:trPr>
          <w:trHeight w:val="20"/>
        </w:trPr>
        <w:tc>
          <w:tcPr>
            <w:tcW w:w="8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w:t>
            </w:r>
          </w:p>
        </w:tc>
        <w:tc>
          <w:tcPr>
            <w:tcW w:w="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(16,936)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(1,732)</w:t>
            </w:r>
          </w:p>
        </w:tc>
      </w:tr>
      <w:tr>
        <w:trPr>
          <w:trHeight w:val="20"/>
        </w:trPr>
        <w:tc>
          <w:tcPr>
            <w:tcW w:w="8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$17.7 million and $2.7 million charge in the second quarter and third quarter of 2010, respectively, related to the withdrawal from a multiemployer pension plan.</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00"/>
          </w:cols>
          <w:pgMar w:left="240" w:top="459" w:right="11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financial information related to each of the Company’s business segments for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2009 Quarterly Operating Results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2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593,530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649,323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684,516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183,508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186,684</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189,647</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168,765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156,281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66,653</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64,599</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businesses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13,156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15,314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Corporate office</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1,008,300</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1,083,179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1,108,794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1,186,243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11,162</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58,107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45,900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39,807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40,329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(53,752)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(89,347)</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(23,622)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14,268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15,052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(3,062)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8,970</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19,453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74,627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154,829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(27,192)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(7,072)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(6,978)</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3"/>
          </w:tcPr>
          <w:p>
            <w:pPr>
              <w:ind w:left="420"/>
              <w:spacing w:after="0"/>
              <w:rPr>
                <w:sz w:val="20"/>
                <w:szCs w:val="20"/>
                <w:color w:val="auto"/>
              </w:rPr>
            </w:pPr>
            <w:r>
              <w:rPr>
                <w:rFonts w:ascii="Arial" w:cs="Arial" w:eastAsia="Arial" w:hAnsi="Arial"/>
                <w:sz w:val="18"/>
                <w:szCs w:val="18"/>
                <w:color w:val="auto"/>
              </w:rPr>
              <w:t>(Loss) income from continuing operations before income</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ind w:left="640"/>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(2,907)</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31,740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40,560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19,681</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22,401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19,017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31,099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30,800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25,741</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15,352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77,168</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82,914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68,897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5,541</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5,617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6,648</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25,387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businesses</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25,387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960"/>
          </w:cols>
          <w:pgMar w:left="240" w:top="459" w:right="6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w w:val="89"/>
              </w:rPr>
              <w:t>(in thousands)</w:t>
            </w:r>
          </w:p>
        </w:tc>
        <w:tc>
          <w:tcPr>
            <w:tcW w:w="40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r>
      <w:tr>
        <w:trPr>
          <w:trHeight w:val="20"/>
        </w:trPr>
        <w:tc>
          <w:tcPr>
            <w:tcW w:w="8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pension credit (expense)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Education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r>
      <w:tr>
        <w:trPr>
          <w:trHeight w:val="216"/>
        </w:trPr>
        <w:tc>
          <w:tcPr>
            <w:tcW w:w="8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Newspaper publishing</w:t>
            </w:r>
          </w:p>
        </w:tc>
        <w:tc>
          <w:tcPr>
            <w:tcW w:w="2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(5,016)</w:t>
            </w:r>
          </w:p>
        </w:tc>
        <w:tc>
          <w:tcPr>
            <w:tcW w:w="2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(61,600)</w:t>
            </w: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(5,168)</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(4,141)</w:t>
            </w:r>
          </w:p>
        </w:tc>
      </w:tr>
      <w:tr>
        <w:trPr>
          <w:trHeight w:val="216"/>
        </w:trPr>
        <w:tc>
          <w:tcPr>
            <w:tcW w:w="8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businesses</w:t>
            </w:r>
          </w:p>
        </w:tc>
        <w:tc>
          <w:tcPr>
            <w:tcW w:w="2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office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8,880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w:t>
            </w: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1,330</w:t>
            </w:r>
          </w:p>
        </w:tc>
        <w:tc>
          <w:tcPr>
            <w:tcW w:w="6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(55,230)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1,183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for the nine months ended 2010 and 2009, as well as for the fiscal years 2009 and 2008:</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 Period</w:t>
            </w:r>
          </w:p>
        </w:tc>
        <w:tc>
          <w:tcPr>
            <w:tcW w:w="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2,202,024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1,927,369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2,636,638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2,331,580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568,610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559,839</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750,409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491,948</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485,937</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679,282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239,252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192,415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272,651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39,290</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53,921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(4,577)</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(6,385)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3,533,566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3,200,273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4,386,516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4,211,715</w:t>
            </w:r>
          </w:p>
        </w:tc>
        <w:tc>
          <w:tcPr>
            <w:tcW w:w="0" w:type="dxa"/>
            <w:vAlign w:val="bottom"/>
          </w:tcPr>
          <w:p>
            <w:pPr>
              <w:spacing w:after="0"/>
              <w:rPr>
                <w:sz w:val="1"/>
                <w:szCs w:val="1"/>
                <w:color w:val="auto"/>
              </w:rPr>
            </w:pPr>
          </w:p>
        </w:tc>
      </w:tr>
      <w:tr>
        <w:trPr>
          <w:trHeight w:val="330"/>
        </w:trPr>
        <w:tc>
          <w:tcPr>
            <w:tcW w:w="57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266,030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194,761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126,590</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122,148</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169,051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(166,721)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(163,549)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76,000</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41,463</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70,506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(32,177)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(8,907)</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(12,829)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231,920</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(28,160)</w:t>
            </w:r>
          </w:p>
        </w:tc>
        <w:tc>
          <w:tcPr>
            <w:tcW w:w="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(29,421)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(21,276)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15,779</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13,197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212,687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202,908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61,099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81,478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93,522</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92,998</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124,207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23,118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64,861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9,458</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263,554</w:t>
            </w:r>
          </w:p>
        </w:tc>
        <w:tc>
          <w:tcPr>
            <w:tcW w:w="0" w:type="dxa"/>
            <w:vAlign w:val="bottom"/>
          </w:tcPr>
          <w:p>
            <w:pPr>
              <w:spacing w:after="0"/>
              <w:rPr>
                <w:sz w:val="1"/>
                <w:szCs w:val="1"/>
                <w:color w:val="auto"/>
              </w:rPr>
            </w:pPr>
          </w:p>
        </w:tc>
      </w:tr>
      <w:tr>
        <w:trPr>
          <w:trHeight w:val="330"/>
        </w:trPr>
        <w:tc>
          <w:tcPr>
            <w:tcW w:w="574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240" w:top="459" w:right="4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Nine Month Period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Impairment of goodwill and other long-lived assets</w:t>
            </w: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25,387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25,387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Cable television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65,772</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Television broadcasting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Corporate office</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27,477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25,387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25,387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135,439</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Cable television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Newspaper publishing</w:t>
            </w:r>
            <w:r>
              <w:rPr>
                <w:rFonts w:ascii="Arial" w:cs="Arial" w:eastAsia="Arial" w:hAnsi="Arial"/>
                <w:sz w:val="11"/>
                <w:szCs w:val="11"/>
                <w:color w:val="auto"/>
              </w:rPr>
              <w:t>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(36,840)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(75,925)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(87,962)</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Television broadcasting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businesses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Corporate office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25,230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39,827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(18,233)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(52,717)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(49,854)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(52,950)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20" w:firstLine="8"/>
        <w:spacing w:after="0" w:line="403" w:lineRule="auto"/>
        <w:tabs>
          <w:tab w:leader="none" w:pos="446"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Includes a $20.4 million charge in the first nine months of 2010, related to the withdrawal from a multiemployer pension plan. Asset information for the Company’s business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 2010</w:t>
            </w:r>
          </w:p>
        </w:tc>
        <w:tc>
          <w:tcPr>
            <w:tcW w:w="1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3, 2010</w:t>
            </w: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Education</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1,964,428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2,188,328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1,146,276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1,164,209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Newspaper publishing</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142,627</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207,234</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425,167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433,705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Other businesses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18,535</w:t>
            </w:r>
          </w:p>
        </w:tc>
        <w:tc>
          <w:tcPr>
            <w:tcW w:w="16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54,418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office</w:t>
            </w:r>
          </w:p>
        </w:tc>
        <w:tc>
          <w:tcPr>
            <w:tcW w:w="1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1,015,202</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729,706</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4,712,235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4,777,600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4,748,678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364,978</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353,884</w:t>
            </w: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54,722</w:t>
            </w: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5,122,207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5,186,206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40" w:type="dxa"/>
            <w:vAlign w:val="bottom"/>
            <w:vMerge w:val="restart"/>
          </w:tcPr>
          <w:p>
            <w:pPr>
              <w:jc w:val="right"/>
              <w:ind w:right="252"/>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8"/>
          </w:tcPr>
          <w:p>
            <w:pPr>
              <w:ind w:left="20"/>
              <w:spacing w:after="0"/>
              <w:rPr>
                <w:sz w:val="20"/>
                <w:szCs w:val="20"/>
                <w:color w:val="auto"/>
              </w:rPr>
            </w:pPr>
            <w:r>
              <w:rPr>
                <w:rFonts w:ascii="Arial" w:cs="Arial" w:eastAsia="Arial" w:hAnsi="Arial"/>
                <w:sz w:val="14"/>
                <w:szCs w:val="14"/>
                <w:b w:val="1"/>
                <w:bCs w:val="1"/>
                <w:color w:val="auto"/>
              </w:rPr>
              <w:t>Third Quarter Period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 Period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280" w:type="dxa"/>
            <w:vAlign w:val="bottom"/>
            <w:gridSpan w:val="6"/>
          </w:tcPr>
          <w:p>
            <w:pPr>
              <w:jc w:val="right"/>
              <w:ind w:right="100"/>
              <w:spacing w:after="0"/>
              <w:rPr>
                <w:sz w:val="20"/>
                <w:szCs w:val="20"/>
                <w:color w:val="auto"/>
              </w:rPr>
            </w:pPr>
            <w:r>
              <w:rPr>
                <w:rFonts w:ascii="Arial" w:cs="Arial" w:eastAsia="Arial" w:hAnsi="Arial"/>
                <w:sz w:val="18"/>
                <w:szCs w:val="18"/>
                <w:color w:val="auto"/>
              </w:rPr>
              <w:t>$465,703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408,537</w:t>
            </w: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$1,383,396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1,118,971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101,491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108,591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313,006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international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151,208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138,089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422,582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382,066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24,865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corporate and other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8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743,319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684,516</w:t>
            </w:r>
          </w:p>
        </w:tc>
        <w:tc>
          <w:tcPr>
            <w:tcW w:w="2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2,202,024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1,927,369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280" w:type="dxa"/>
            <w:vAlign w:val="bottom"/>
            <w:gridSpan w:val="6"/>
          </w:tcPr>
          <w:p>
            <w:pPr>
              <w:jc w:val="right"/>
              <w:ind w:right="100"/>
              <w:spacing w:after="0"/>
              <w:rPr>
                <w:sz w:val="20"/>
                <w:szCs w:val="20"/>
                <w:color w:val="auto"/>
              </w:rPr>
            </w:pPr>
            <w:r>
              <w:rPr>
                <w:rFonts w:ascii="Arial" w:cs="Arial" w:eastAsia="Arial" w:hAnsi="Arial"/>
                <w:sz w:val="18"/>
                <w:szCs w:val="18"/>
                <w:color w:val="auto"/>
              </w:rPr>
              <w:t>$ 117,319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90,026</w:t>
            </w: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329,455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203,744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international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14,904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ventures</w:t>
            </w:r>
            <w:r>
              <w:rPr>
                <w:rFonts w:ascii="Arial" w:cs="Arial" w:eastAsia="Arial" w:hAnsi="Arial"/>
                <w:sz w:val="11"/>
                <w:szCs w:val="11"/>
                <w:color w:val="auto"/>
              </w:rPr>
              <w:t>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(11,428)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corporate and other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(19,357)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(48,185)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(60,467)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(86,324)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99,100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45,900</w:t>
            </w:r>
          </w:p>
        </w:tc>
        <w:tc>
          <w:tcPr>
            <w:tcW w:w="26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266,030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115,169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10,121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9,712</w:t>
            </w: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international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3,054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60" w:type="dxa"/>
            <w:vAlign w:val="bottom"/>
            <w:gridSpan w:val="4"/>
          </w:tcPr>
          <w:p>
            <w:pPr>
              <w:ind w:left="440"/>
              <w:spacing w:after="0"/>
              <w:rPr>
                <w:sz w:val="20"/>
                <w:szCs w:val="20"/>
                <w:color w:val="auto"/>
              </w:rPr>
            </w:pPr>
            <w:r>
              <w:rPr>
                <w:rFonts w:ascii="Arial" w:cs="Arial" w:eastAsia="Arial" w:hAnsi="Arial"/>
                <w:sz w:val="18"/>
                <w:szCs w:val="18"/>
                <w:color w:val="auto"/>
              </w:rPr>
              <w:t>Kaplan corporate and other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1,052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19,060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61,099</w:t>
            </w:r>
          </w:p>
        </w:tc>
        <w:tc>
          <w:tcPr>
            <w:tcW w:w="0" w:type="dxa"/>
            <w:vAlign w:val="bottom"/>
          </w:tcPr>
          <w:p>
            <w:pPr>
              <w:spacing w:after="0"/>
              <w:rPr>
                <w:sz w:val="1"/>
                <w:szCs w:val="1"/>
                <w:color w:val="auto"/>
              </w:rPr>
            </w:pPr>
          </w:p>
        </w:tc>
      </w:tr>
      <w:tr>
        <w:trPr>
          <w:trHeight w:val="20"/>
        </w:trPr>
        <w:tc>
          <w:tcPr>
            <w:tcW w:w="6220" w:type="dxa"/>
            <w:vAlign w:val="bottom"/>
            <w:gridSpan w:val="5"/>
            <w:vMerge w:val="restart"/>
          </w:tcPr>
          <w:p>
            <w:pPr>
              <w:ind w:left="46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gridSpan w:val="5"/>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4,998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5,617</w:t>
            </w:r>
          </w:p>
        </w:tc>
        <w:tc>
          <w:tcPr>
            <w:tcW w:w="2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322"/>
        </w:trPr>
        <w:tc>
          <w:tcPr>
            <w:tcW w:w="6220" w:type="dxa"/>
            <w:vAlign w:val="bottom"/>
            <w:gridSpan w:val="5"/>
          </w:tcPr>
          <w:p>
            <w:pPr>
              <w:ind w:left="460"/>
              <w:spacing w:after="0"/>
              <w:rPr>
                <w:sz w:val="20"/>
                <w:szCs w:val="20"/>
                <w:color w:val="auto"/>
              </w:rPr>
            </w:pPr>
            <w:r>
              <w:rPr>
                <w:rFonts w:ascii="Arial" w:cs="Arial" w:eastAsia="Arial" w:hAnsi="Arial"/>
                <w:sz w:val="18"/>
                <w:szCs w:val="18"/>
                <w:color w:val="auto"/>
              </w:rPr>
              <w:t>Kaplan stock-based incentive compensation (credit)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(2,397)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26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459"/>
        </w:trPr>
        <w:tc>
          <w:tcPr>
            <w:tcW w:w="6220" w:type="dxa"/>
            <w:vAlign w:val="bottom"/>
            <w:gridSpan w:val="5"/>
          </w:tcPr>
          <w:p>
            <w:pPr>
              <w:spacing w:after="0"/>
              <w:rPr>
                <w:sz w:val="20"/>
                <w:szCs w:val="20"/>
                <w:color w:val="auto"/>
              </w:rPr>
            </w:pPr>
            <w:r>
              <w:rPr>
                <w:rFonts w:ascii="Arial" w:cs="Arial" w:eastAsia="Arial" w:hAnsi="Arial"/>
                <w:sz w:val="18"/>
                <w:szCs w:val="18"/>
                <w:color w:val="auto"/>
                <w:w w:val="97"/>
              </w:rPr>
              <w:t>Identifiable assets for the Company’s education division consist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September 30, 2010</w:t>
            </w:r>
          </w:p>
        </w:tc>
        <w:tc>
          <w:tcPr>
            <w:tcW w:w="12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654,530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920,039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391,227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393,399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739,360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671,306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121,442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143,399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4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57,869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1,964,428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2,188,328</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Test Preparation amounts include revenues and operating losses from Score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0" w:type="dxa"/>
            <w:vAlign w:val="bottom"/>
            <w:gridSpan w:val="4"/>
          </w:tcPr>
          <w:p>
            <w:pPr>
              <w:ind w:left="1980"/>
              <w:spacing w:after="0"/>
              <w:rPr>
                <w:sz w:val="20"/>
                <w:szCs w:val="20"/>
                <w:color w:val="auto"/>
              </w:rPr>
            </w:pPr>
            <w:r>
              <w:rPr>
                <w:rFonts w:ascii="Arial" w:cs="Arial" w:eastAsia="Arial" w:hAnsi="Arial"/>
                <w:sz w:val="14"/>
                <w:szCs w:val="14"/>
                <w:b w:val="1"/>
                <w:bCs w:val="1"/>
                <w:color w:val="auto"/>
              </w:rPr>
              <w:t>Third Quarter Period</w:t>
            </w:r>
          </w:p>
        </w:tc>
        <w:tc>
          <w:tcPr>
            <w:tcW w:w="1760" w:type="dxa"/>
            <w:vAlign w:val="bottom"/>
            <w:gridSpan w:val="4"/>
          </w:tcPr>
          <w:p>
            <w:pPr>
              <w:ind w:left="520"/>
              <w:spacing w:after="0"/>
              <w:rPr>
                <w:sz w:val="20"/>
                <w:szCs w:val="20"/>
                <w:color w:val="auto"/>
              </w:rPr>
            </w:pPr>
            <w:r>
              <w:rPr>
                <w:rFonts w:ascii="Arial" w:cs="Arial" w:eastAsia="Arial" w:hAnsi="Arial"/>
                <w:sz w:val="14"/>
                <w:szCs w:val="14"/>
                <w:b w:val="1"/>
                <w:bCs w:val="1"/>
                <w:color w:val="auto"/>
                <w:w w:val="98"/>
              </w:rPr>
              <w:t>Nine Month Period</w:t>
            </w: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2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(371)</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(36,539)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Kaplan Ventures amounts include revenues and operating income from Education Connection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Third Quarter Period</w:t>
            </w:r>
          </w:p>
        </w:tc>
        <w:tc>
          <w:tcPr>
            <w:tcW w:w="80" w:type="dxa"/>
            <w:vAlign w:val="bottom"/>
          </w:tcPr>
          <w:p>
            <w:pPr>
              <w:spacing w:after="0"/>
              <w:rPr>
                <w:sz w:val="14"/>
                <w:szCs w:val="14"/>
                <w:color w:val="auto"/>
              </w:rPr>
            </w:pPr>
          </w:p>
        </w:tc>
        <w:tc>
          <w:tcPr>
            <w:tcW w:w="15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 Period</w:t>
            </w:r>
          </w:p>
        </w:tc>
      </w:tr>
      <w:tr>
        <w:trPr>
          <w:trHeight w:val="142"/>
        </w:trPr>
        <w:tc>
          <w:tcPr>
            <w:tcW w:w="88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20,841</w:t>
            </w:r>
          </w:p>
        </w:tc>
        <w:tc>
          <w:tcPr>
            <w:tcW w:w="100" w:type="dxa"/>
            <w:vAlign w:val="bottom"/>
            <w:shd w:val="clear" w:color="auto" w:fill="CCEEFF"/>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300" w:type="dxa"/>
            <w:vAlign w:val="bottom"/>
            <w:gridSpan w:val="2"/>
          </w:tcPr>
          <w:p>
            <w:pPr>
              <w:jc w:val="right"/>
              <w:ind w:right="12"/>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960"/>
          </w:cols>
          <w:pgMar w:left="240" w:top="459" w:right="6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Net income available for common shares was $60.9 million ($6.84 per share) for the third quarter ended October 3, 2010, compared to net income available for common shares of $17.1 million ($1.81 per share) for the third quarter of last year. Net income includes $20.3 million ($2.28 per share) and $8.9 million ($0.95 per share) in losses from discontinued operations for the third quarter of 2010 and 2009, respectively. Income from continuing operations available for common shares was $81.2 million ($9.12 per share) for the third quarter of 2010, compared to $25.9 million ($2.76 per share) for the third quarter of 2009. There were fewer diluted average shares outstanding in 2010.</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Kaplan’s higher education businesses are subject to a number of recently enacted and pending regulations by the Department of Education. Also, Kaplan is launching a new program entitled the “Kaplan Commitment” that includes a “risk-free period” of enrollment. The recent and potential rulemaking activities and the “Kaplan Commitment” could have a material adverse effect on Kaplan’s operating results.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September 30, 2010, the Company completed the sale of Newsweek. Consequently, the Company’s income from continuing operations for the third quarter and year-to-date periods excludes Newsweek results, which have been reclassified to discontinued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2010:</w:t>
      </w:r>
    </w:p>
    <w:p>
      <w:pPr>
        <w:spacing w:after="0" w:line="90" w:lineRule="exact"/>
        <w:rPr>
          <w:sz w:val="20"/>
          <w:szCs w:val="20"/>
          <w:color w:val="auto"/>
        </w:rPr>
      </w:pPr>
    </w:p>
    <w:p>
      <w:pPr>
        <w:ind w:left="900" w:right="5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$27.5 million goodwill and other long-lived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$11.9 million in non-operating unrealized foreign currency gains arising from the weakening of the U.S. dollar (after-tax impact of $7.5 million, or $0.84 per share).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2009:</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$6.1 million in accelerated depreciation at The Washington Post (after-tax impact of $3.8 million, or $0.40 per share);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for the third quarter of 2010 was $1,189.7 million, up 7% from $1,108.8 million in the third quarter of 2009, due to increased revenues at the education, television broadcasting and newspaper publishing divisions, offset by a small decrease at the cable television division. Operating income increased in the third quarter of 2010 to $130.6 million, from $74.6 million in the third quarter of 2009, due to improved operating results at the education, television broadcasting and newspaper publishing divisions.</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the first nine months of 2010, the Company reported net income available for common shares of $198.2 million ($21.75 per share), compared to net income available for common shares of $10.1 million ($1.08 per share) for the same period of 2009. Net income includes $28.8 million ($3.16 per share) and $35.4 million ($3.77 per share) in losses from discontinued operations for the first nine months of 2010 and 2009, respectively. Income from continuing operations available for common shares was $227.0 million ($24.91 per share) for the first nine months of 2010, compared to $45.6 million ($4.85 per share) for the first nine months of 2009. There were fewer diluted average shares outstanding in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2010:</w:t>
      </w:r>
    </w:p>
    <w:p>
      <w:pPr>
        <w:spacing w:after="0" w:line="90" w:lineRule="exact"/>
        <w:rPr>
          <w:sz w:val="20"/>
          <w:szCs w:val="20"/>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$20.4 million charge recorded at The Washington Post in connection with the planned withdrawal from a multiemployer pension plan (after-tax impact of $12.7 million, or $1.38 per share);</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$27.5 million goodwill and other long-lived assets impairment charge at the Company’s online lead generation business, included in other businesses (after-tax impact of $26.3 million, or $2.96 per share); and</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 million in non-operating unrealized foreign currency gains arising from the weakening of the U.S. dollar (after-tax impact of $3.1 million, or $0.36 per share).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2009:</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$56.8 million in early retirement program expense at The Washington Post (after-tax impact of $35.2 million, or $3.77 per share);</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$33.0 million in restructuring charges related to Kaplan’s Score and Test Preparation operations (after-tax impact of $20.5 million, or $2.18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$33.8 million in accelerated depreciation at The Washington Post (after-tax impact of $21.0 million, or $2.23 per share);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$1.21 per share).</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Revenue for the first nine months of 2010 was $3,533.6 million, up 10% from $3,200.3 million in the first nine months of 2009. The Company reported operating income of $397.2 million for the first nine months of 2010, compared to $103.1 million for the first nine months of 2009. Revenue and operating results improved at all of the Company’s divisions for the first nine months of 2010.</w:t>
      </w:r>
    </w:p>
    <w:p>
      <w:pPr>
        <w:spacing w:after="0" w:line="134"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$743.3 million for the third quarter of 2010, a 9% increase over revenue of $684.5 million for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2009. Kaplan reported operating income of $99.1 million for the third quarter of 2010, up from $45.9 million in the third quarter of 2009. Results for the third quarter of 2009 included a goodwill and other long-lived assets impairment charge of $25.4 million related to two businesses at Kaplan Ventures.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2010, education division revenue totaled $2,202.0 million, a 14% increase over revenue of $1,927.4 million for the same period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Kaplan reported operating income of $266.0 million for the first nine months of 2010, up from $115.2 million for the first nine months of 2009. Results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nine months of 2010 included $7.8 million in restructuring costs related to Kaplan’s K12 business; results for the first nine months of 2009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$33.0 million in restructuring charges related to Score and Test Preparation operations and a $25.4 million goodwill and other long-lived assets impairment charge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to two businesses at Kaplan Ventures.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the first nine months of 2010 compared to 2009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5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465,703</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408,537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1,383,396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1,118,971</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 excluding Score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108,386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Score</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8,557</w:t>
            </w: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151,208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138,089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31,102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91,628</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(2,531)</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(8,108)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743,319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684,516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2,202,024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1,927,369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117,319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90,026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203,744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Test prep, excluding Score</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3,898</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20,882</w:t>
            </w: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(36,539)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8,311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27,304</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(11,428)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(14,134)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(16,756)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(15,484)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(38,535)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(5,617)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(17,247)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5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(25,387)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(25,387)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Kaplan Higher Education (KHE)</w:t>
      </w:r>
      <w:r>
        <w:rPr>
          <w:rFonts w:ascii="Arial" w:cs="Arial" w:eastAsia="Arial" w:hAnsi="Arial"/>
          <w:sz w:val="18"/>
          <w:szCs w:val="18"/>
          <w:color w:val="auto"/>
        </w:rPr>
        <w:t>. KHE includes Kaplan’s domestic postsecondary education businesses, made up of fixed-facility colleges and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postsecondary and career programs. KHE revenue and operating income grew in the first nine months of 2010 due to enrollment growth, improved student retention and increased margins. Total KHE enrollments increased 8% compared to enrollments at September 30, 2009. KHE enrollments in the prior year increased 28% compared to enrollments at September 30, 2008. A summary of KHE student enrollments at September 30, 2010, and September 30, 2009, is as follows: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As of September 30,</w:t>
            </w:r>
          </w:p>
        </w:tc>
        <w:tc>
          <w:tcPr>
            <w:tcW w:w="118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62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0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118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 Change</w:t>
            </w:r>
          </w:p>
        </w:tc>
      </w:tr>
      <w:tr>
        <w:trPr>
          <w:trHeight w:val="102"/>
        </w:trPr>
        <w:tc>
          <w:tcPr>
            <w:tcW w:w="67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18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Kaplan University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56,115</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Kaplan Higher Education Campuses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44,389</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112,141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103,849</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r>
      <w:tr>
        <w:trPr>
          <w:trHeight w:val="20"/>
        </w:trPr>
        <w:tc>
          <w:tcPr>
            <w:tcW w:w="6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Kaplan University and KHE Campuses enrollments at September 30, 2010, and September 30, 2009, by degree and certificate programs are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68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Associate’s</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34.7%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Master’s</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6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Department of Education (DOE) Rulemaking and “Kaplan Commitment” Program</w:t>
      </w:r>
      <w:r>
        <w:rPr>
          <w:rFonts w:ascii="Arial" w:cs="Arial" w:eastAsia="Arial" w:hAnsi="Arial"/>
          <w:sz w:val="18"/>
          <w:szCs w:val="18"/>
          <w:color w:val="auto"/>
        </w:rPr>
        <w:t>. In October 2010, the DOE released rules that address program integrity issues for postsecondary education institutions that participate in Title IV programs. The rules include, among other items, state approval processes, DOE program approval processes, revised standards governing the payment of incentive compensation to admissions and financial aid advisors, standards around misrepresentation and the definition of “credit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hour.” The Company is taking steps to fully comply with these rules but cannot currently predict the impact that these rules will have on its operations and future operating results.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2010, the DOE released a notice of proposed rulemaking addressing substantive measurements for whether an educational program leads to gainful employment in a recognized occupation for purposes of that program’s eligibility for Title IV funds. The proposed rulemaking addressing the definition of gainful employment includes provisions whereby students at a program level must demonstrate certain levels of student loan repayment and/or a program’s graduates must achieve certain debt-to-income ratios for the institution’s program to remain eligible for participation in the Title IV program. If a program fails to meet some or all of these proposed requirements, the program’s eligibility to participate in the Title IV program may be restricted or lost entirely. Some of the data needed to compute program eligibility under this proposed regulation is not readily accessible to the institutions, but is compiled by the DOE.</w:t>
      </w:r>
    </w:p>
    <w:p>
      <w:pPr>
        <w:spacing w:after="0" w:line="1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cannot currently predict with reasonable accuracy the impact the proposed regulation would have on its program offerings if it were enacted in its current form. However, the Company expects that this regulation if enacted as proposed would significantly impact Kaplan’s operating results as some or all institutions owned by Kaplan might be required to limit program offerings to ensure compliance with the restrictions of the proposed gainful employment rule. The Company has filed public comments related to the proposed rulemaking on gainful employment. The DOE plans to issue final rules in early 2011 for an effective date on July 1, 2012.</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2010, KHE announced a new program entitled the “Kaplan Commitment,” which has commenced and will be fully operational by the end of 2010. Under this program, students of Kaplan University, Kaplan College and other KHE schools may enroll in classes for several weeks and assess whether their educational experience meets their needs and expectations before incurring a financial obligation. Kaplan will also conduct academic assessments to help determine whether students are likely to be successful in their chosen course of study. Students who choose to withdraw from the program during this time frame (“risk-free period”) and students who do not pass the academic evaluation will not have to pay for the coursework. In general, the risk-free period is approximately four weeks for diploma programs and five weeks for Associate’s and Bachelor’s degrees.</w:t>
      </w:r>
    </w:p>
    <w:p>
      <w:pPr>
        <w:spacing w:after="0" w:line="12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This program and related initiatives are designed to benefit students and will likely have a significant impact on the future operations of KHE, including student enrollment and retention, tuition revenues, operating income and cash flow. Based on historical student withdrawal and performance patterns and assuming students who withdrew during early academic terms would have instead availed themselves of the Kaplan Commitment, management estimates that KHE revenues would have been approximately $100 million less in the first nine months of 2010 had the provisions of the Kaplan Commitment commenced on January 1, 2010. Management is not able to estimate whether the Kaplan Commitment will cause student retention patterns to differ from historical levels or whether additional students will be attracted to Kaplan as a result of the risk-free offering.</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recent and potential rulemaking activities and the “Kaplan Commitment” could have a material adverse effect on Kaplan’s operating results.</w:t>
      </w:r>
    </w:p>
    <w:p>
      <w:pPr>
        <w:spacing w:after="0" w:line="19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u w:val="single" w:color="auto"/>
          <w:color w:val="auto"/>
        </w:rPr>
        <w:t>U.S. Senate Committee Review</w:t>
      </w:r>
      <w:r>
        <w:rPr>
          <w:rFonts w:ascii="Arial" w:cs="Arial" w:eastAsia="Arial" w:hAnsi="Arial"/>
          <w:sz w:val="15"/>
          <w:szCs w:val="15"/>
          <w:color w:val="auto"/>
        </w:rPr>
        <w:t>. In the summer of 2010, the Health, Education, Labor and Pension Committee (“the HELP Committee”) of the U.S. Senate commenced an industry-wide review of private sector higher education institutions. The institutions owned and operated by KHE are included in the scope of this industry-wide review. The scope of the hearings are being established and directed by the chairman of the HELP Committee. Hearings have been conducted thus far and additional hearings are anticipated. The ultimate outcome of the hearings and implications to the operation of KHE’s institutions are presently unknown.</w:t>
      </w:r>
    </w:p>
    <w:p>
      <w:pPr>
        <w:spacing w:after="0" w:line="9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part of the HELP Committee’s review of private sector higher education institutions, investigators from the United States Government Accountability Office (GAO) performed undercover tests at 15 private sector higher education institutions, including two campuses of KHE. In August 2010, the GAO issued a report which was critical of the recruiting tactics at several schools, including the two Kaplan campuses. The Company has evaluated the GAO findings, conducted an internal investigation and taken appropriate action.</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On August 5, 2010 the HELP Committee sent a document request to numerous proprietary schools including Kaplan. The HELP Committee indicated that it is interested in investigating the receipt and use of federal student loan funds at proprietary higher education institutions, and potentially proposing additional legislation related to the sector. KHE is complying with the request. At this time we cannot predict the ultimate impact the investigation may have on Kaplan.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Test Preparation</w:t>
      </w:r>
      <w:r>
        <w:rPr>
          <w:rFonts w:ascii="Arial" w:cs="Arial" w:eastAsia="Arial" w:hAnsi="Arial"/>
          <w:sz w:val="16"/>
          <w:szCs w:val="16"/>
          <w:color w:val="auto"/>
        </w:rPr>
        <w:t>. Test Preparation includes Kaplan’s standardized test preparation and tutoring offerings, as well as the domestic professional training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K12 and other businesses. In the first quarter of 2010, the Company discontinued certain offerings of the K12 business; $7.8 million in severance, asset write-offs and other closure costs were recorded in the first nine months of 2010 in connection with this plan. Test preparation revenue declined 6% in both the third quarter and first nine months of 2010. Excluding acquisitions, test preparation revenue declined 10% and 9% for the third quarter and first nine months of 2010, respectively, due mostly to the termination of certain K12 offerings. Test preparation operating results were also down in the first nine months of 2010 due to K12, reduced prices at the traditional test preparation programs and higher spending to expand online offerings and innovate various programs. The declines were offset by improved results at test preparation’s domestic professional training businesses due to expense reductions; total restructuring-related expenses of $0.9 million and $8.1 million were recorded in the third quarter and first nine months of 2009, respectively.</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Kaplan Test Preparation recently announced a plan to reorganize its business consistent with the migration of students to Kaplan’s online and hybrid test preparation offerings. In conjunction with this plan, Kaplan intends to reduce the number of leased test preparation centers over the next 18 months. The Company estimates that approximately $20.0 million in costs will be incurred related to this plan, mostly comprised of charges related to early lease termination and property, plant and equipment write-downs.</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March 2009, the Company approved a plan to close its Score tutoring centers. The Company recorded charges of $24.9 million in asset write-downs, lease terminations, severance and accelerated depreciation of fixed assets in the first half of 2009.</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includes professional training and postsecondary education businesses outside the United States, as well as English-language programs. Kaplan International revenue increased 10% and 11% in the third quarter and first nine months of 2010, respectively, with increases in operating income for these periods as well. The increases in revenue and operating income for 2010 are primarily the result of enrollment growth in the pathway and other higher education programs in the U.K., Singapore and Australia. The rise in revenue is also due to increased English-language program revenue and favorable exchange rates in Europe, Australia and Singapore.</w:t>
      </w:r>
    </w:p>
    <w:p>
      <w:pPr>
        <w:spacing w:after="0" w:line="14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Kaplan Ventures</w:t>
      </w:r>
      <w:r>
        <w:rPr>
          <w:rFonts w:ascii="Arial" w:cs="Arial" w:eastAsia="Arial" w:hAnsi="Arial"/>
          <w:sz w:val="16"/>
          <w:szCs w:val="16"/>
          <w:color w:val="auto"/>
        </w:rPr>
        <w:t>. Kaplan Ventures is made up of a number of businesses in various stages of development that are managed separately from the other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Revenues at Kaplan Ventures declined 20% in the third quarter and decreased 6% in the first nine months of 2010, respectively; these revenue comparisons were adversely impacted by the April 2010 sale of a business unit within the division. Kaplan Ventures reported operating losses of $11.4 million and $25.4 million in the third quarter and first nine months of 2010, respectively, compared to operating losses of $7.9 million and $14.1 million in the third quarter and first nine months of 2009, respectively. The decline in results for the first nine months of 2010 is due to the sale of the above noted business, decreased operating margins at several of Kaplan Ventures’ established businesses, and increased investment in certain developing business units, including Kaplan Virtual Education, a developing group of online high school institutions. A goodwill and other long-lived assets impairment charge of $25.4 million was recorded at Kaplan in the third quarter of 2009 related to certain Kaplan Ventures businesses, as the book value of these businesses exceeded their estimated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 Corporate represents unallocated expenses of Kaplan, Inc.’s corporate office and other minor shared activities.</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Stock Compensation</w:t>
      </w:r>
      <w:r>
        <w:rPr>
          <w:rFonts w:ascii="Arial" w:cs="Arial" w:eastAsia="Arial" w:hAnsi="Arial"/>
          <w:sz w:val="18"/>
          <w:szCs w:val="18"/>
          <w:color w:val="auto"/>
        </w:rPr>
        <w:t>. Stock compensation relates to incentive compensation arising from equity awards under the Kaplan stock option plan. Kaplan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credit of $2.4 million and $1.3 million for the third quarter and first nine months of 2010, respectively, compared to stock compensation expense of $1.7 million and $5.2 million for the third quarter and first nine months of 2009, respectively. The stock compensation credit for 2010 relates to an estimated decline in the fair value of Kaplan common stock since the end of 2009.</w:t>
      </w:r>
    </w:p>
    <w:p>
      <w:pPr>
        <w:spacing w:after="0" w:line="13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television division revenue declined slightly for the third quarter of 2010 to $188.7 million, from $189.6 million for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2009; for the first nine months of 2010, revenue increased 2% to $568.6 million, from $559.8 million in the same period of 2009. The revenue increase for the first nine months of 2010 is due to continued growth of the division’s cable modem and telephone revenues.</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Cable division operating income was $40.3 million for the third quarter of 2010 and 2009; cable division operating income for the first nine months of 2010 increased 4% to $126.6 million, from $122.1 million for the first nine months of 2009. The increase in operating income is due to the division’s revenue growth, offset by increased technical and sales costs.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At September 30, 2010, Revenue Generating Units (RGUs) were up 2% from the prior year due to growth in high-speed data and telephony subscribers, offset by a decrease in basic and digital subscribers. RGUs include about 6,200 subscribers who receive free basic cable service, primarily local governments, schools and other organizations as required by the various franchise agreements. A summary of RGUs is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9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520"/>
              <w:spacing w:after="0"/>
              <w:rPr>
                <w:sz w:val="20"/>
                <w:szCs w:val="20"/>
                <w:color w:val="auto"/>
              </w:rPr>
            </w:pPr>
            <w:r>
              <w:rPr>
                <w:rFonts w:ascii="Arial" w:cs="Arial" w:eastAsia="Arial" w:hAnsi="Arial"/>
                <w:sz w:val="14"/>
                <w:szCs w:val="14"/>
                <w:b w:val="1"/>
                <w:bCs w:val="1"/>
                <w:color w:val="auto"/>
                <w:w w:val="93"/>
              </w:rPr>
              <w:t>September 30,</w:t>
            </w:r>
          </w:p>
        </w:tc>
      </w:t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89"/>
              </w:rPr>
              <w:t>Cable Television Division Subscribers</w:t>
            </w:r>
          </w:p>
        </w:tc>
        <w:tc>
          <w:tcPr>
            <w:tcW w:w="4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3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650,902</w:t>
            </w:r>
          </w:p>
        </w:tc>
        <w:tc>
          <w:tcPr>
            <w:tcW w:w="5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Digital</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214,071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221,564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Telephony</w:t>
            </w:r>
          </w:p>
        </w:tc>
        <w:tc>
          <w:tcPr>
            <w:tcW w:w="4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137,709</w:t>
            </w: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1,419,372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1,393,093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2010 and 2009,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Commercial</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Line Extensions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Support Capital</w:t>
            </w:r>
          </w:p>
        </w:tc>
        <w:tc>
          <w:tcPr>
            <w:tcW w:w="2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$163.4 million for the third quarter of 2010, an increase of 5%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$156.3 million for the third quarter of 2009; division revenue increased 1% to $491.9 million for the first nine months of 2010, from $485.9 million for the first nine months of 2009. Print advertising revenue at The Washington Post in the third quarter of 2010 increased 3% to $72.0 million, from $70.0 million in the third quarter of 2009, but decreased 4% to $215.9 million for the first nine months of 2010, from $224.4 million for the first nine months of 2009. The print revenue increase in the third quarter of 2010 is largely due to an increase in general advertising; the decline in the first nine months of 2010 is largely due to reductions in retail and classified advertising. Revenue generated by the Company’s newspaper online publishing activities, primarily washingtonpost.com and Slate, increased 21% to $27.2 million for the third quarter of 2010, versus $22.6 million for the third quarter of 2009; newspaper online revenues increased 14% to $77.8 million for the first nine months of 2010, versus $68.1 million for the first nine months of 2009. Display online advertising revenue grew 26% and 21% for the third quarter and first nine months of 2010, respectively. Online classified advertising revenue on washingtonpost.com increased 6% for the third quarter of 2010, but decreased 1% for the first nine months of 2010.</w:t>
      </w:r>
    </w:p>
    <w:p>
      <w:pPr>
        <w:spacing w:after="0" w:line="12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For the first nine months of 2010, Post daily and Sunday circulation declined 8.7% and 8.3%, respectively, compared to the same periods of the prior year. A portion of this decline relates to increased circulation volumes in the first quarter of 2009 due to the Presidential Inauguration. For the nine months ended October 3, 2010, average daily circulation at The Washington Post totaled 548,400, and average Sunday circulation totaled 770,800.</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previously disclosed, The Washington Post contributes to multiemployer plans on behalf of three union-represented employee groups. The Post has negotiated in collective bargaining the contractual right to withdraw from two of these plans; the right to withdraw from the CWA-ITU Negotiated Pension Plan (CWA-ITU Plan) has been the subject of contract negotiations that reached an impasse. In July 2010, the Post notified the union and the CWA-ITU Plan of its unilateral withdrawal from the Plan effective November 30, 2010. In connection with this action, The Washington Post has recorded a $20.4 million charge based on an estimate of the withdrawal liability; $17.7 million of this charge was recorded in the second quarter of 2010, and $2.7 million was recorded in the third quarter of 2010.</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previously reported, The Washington Post recorded early retirement program expense of $56.8 million in the second quarter of 2009, and Robinson Terminal Warehouse Corporation recorded early retirement program expense of $1.1 million in the third quarter of 2009. The costs of these early retirement programs are being funded mostly from the assets of the Company’s pension plans. Also as previously reported, the Post closed a printing plant in July 2009 and consolidated its printing operations. The Post also completed the consolidation of certain other operations in Washington, DC, in the first quarter of 2010. In connection with these activities, accelerated depreciation of $6.1 million and $33.8 million was recorded in the third quarter and first nine months of 2009, respectively, and a $3.1 million loss on an office lease was recorded by the Company in the first quarter of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newspaper division reported an operating loss of $1.7 million in the third quarter of 2010, compared to an operating loss of $23.6 million in the third quarter of 2009. For the first nine months of 2010, the newspaper division reported an operating loss of $29.8 million, compared to an operating loss of $166.7 million for the first nine months of 2009. Excluding the multiemployer pension plan charge, early retirement program expense and accelerated depreciation, operating results improved in the first nine months of 2010 due to expense reductions in payroll, newsprint, depreciation, bad debt and agency fees, and expense reductions at washingtonpost.com. Newsprint expense increased 10% for the third quarter of 2010 due to an increase in newsprint prices, offset by a decline in newsprint consumption. Newsprint expense decreased 16% for the first nine months of 2010 due to a decline in newsprint consumption, offset by an increase in newsprint prices.</w:t>
      </w:r>
    </w:p>
    <w:p>
      <w:pPr>
        <w:spacing w:after="0" w:line="14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29% in the third quarter of 2010 to $83.2 million, from $64.6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2009; operating income for the third quarter of 2010 increased 68% to $25.3 million, from $15.1 million in 2009. For the first nine months of 2010, revenue increased 24% to $239.3 million, from $192.4 million in 2009; operating income for the first nine months of 2010 increased 83% to $76.0 million, from $41.5 million in 2009.</w:t>
      </w:r>
    </w:p>
    <w:p>
      <w:pPr>
        <w:spacing w:after="0" w:line="14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increase in revenue and operating income is due to improved advertising demand in all markets and most product categories, particularly automotive. The increased revenue and operating income also includes $5.1 million in incremental winter Olympics-related advertising at the Company’s NBC affiliates in the first quarter of 2010, and a $9.0 million and $14.5 million increase in political advertising revenue for the third quarter and first nine months of 2010, respectively.</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Avenue100 Media Solutions and other small businesses. In the third quarter of 2010, a</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and other long-lived assets impairment charge of $27.5 million was recorded at Avenue100 Media Solutions, the Company’s digital marketing business that sources leads for academic institutions and recruiting organizations.</w:t>
      </w:r>
    </w:p>
    <w:p>
      <w:pPr>
        <w:spacing w:after="0" w:line="1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third quarter of 2010, the Company performed an interim review of the carrying value of goodwill and other intangible assets at its online lead generation business for possible impairment, as a result of challenges facing the lead generation business due to the changing regulatory environment for private sector higher education institutions. The online lead generation reporting unit failed step one of the interim goodwill impairment review, and the Company performed a step two analysis.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 The methodology used to estimate the fair value of the Company’s lead generation business reporting unit was consistent with the one used during the Company’s 2009 annual goodwill impairment test. The Company recorded a goodwill and other long-lived assets impairment charge of $27.5 million related to the reporting unit. Following the impairment, the remaining goodwill balance at the reporting unit as of October 3, 2010 was not significant. There exists a reasonable possibility that a decrease in the projected cash flows or long-term growth rate, or an increase in the discount rate assumption used in the discounted cash flow model of this reporting unit, could result in additional impairment charges.</w:t>
      </w:r>
    </w:p>
    <w:p>
      <w:pPr>
        <w:spacing w:after="0" w:line="33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the pension credit previously reported in the magazine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publishing division (refer to Discontinued Operations discussion below).</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Equity in Earnings (Losses) of Affiliates. </w:t>
      </w:r>
      <w:r>
        <w:rPr>
          <w:rFonts w:ascii="Arial" w:cs="Arial" w:eastAsia="Arial" w:hAnsi="Arial"/>
          <w:sz w:val="18"/>
          <w:szCs w:val="18"/>
          <w:color w:val="auto"/>
        </w:rPr>
        <w:t>The Company’s equity in earnings of affiliates for the third quarter of 2010 was $2.1 million, compared to losses of</w:t>
      </w:r>
      <w:r>
        <w:rPr>
          <w:rFonts w:ascii="Arial" w:cs="Arial" w:eastAsia="Arial" w:hAnsi="Arial"/>
          <w:sz w:val="18"/>
          <w:szCs w:val="18"/>
          <w:b w:val="1"/>
          <w:bCs w:val="1"/>
          <w:color w:val="auto"/>
        </w:rPr>
        <w:t xml:space="preserve"> </w:t>
      </w:r>
      <w:r>
        <w:rPr>
          <w:rFonts w:ascii="Arial" w:cs="Arial" w:eastAsia="Arial" w:hAnsi="Arial"/>
          <w:sz w:val="18"/>
          <w:szCs w:val="18"/>
          <w:color w:val="auto"/>
        </w:rPr>
        <w:t>$27.2 million for the third quarter of 2009. For the first nine months of 2010, the Company’s equity in losses of affiliates totaled $3.9 million, compared to losses of $28.2 million for the same period of 2009.</w:t>
      </w:r>
    </w:p>
    <w:p>
      <w:pPr>
        <w:spacing w:after="0" w:line="13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Results for the third quarter of 2009 included $29.0 million in write-downs at two of the Company’s affiliate investments. The loss primarily related to an impairment charge recorded on the Company’s interest in Bowater Mersey Paper Company.</w:t>
      </w:r>
    </w:p>
    <w:p>
      <w:pPr>
        <w:spacing w:after="0" w:line="12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$12.5 million for the third quarter of 2010,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income, net, of $0.1 million for the third quarter of 2009. The third quarter 2010 non-operating income, net, included $11.9 million in unrealized foreign currency gains and other items.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recorded other non-operating income, net, of $4.0 million for the first nine months of 2010, compared to other non-operating income, net, of $15.8 million for the same period of the prior year. The 2010 non-operating expense, net, included $4.8 million in unrealized foreign currency gains and other items. The 2009 non-operating income, net, included $18.4 million in unrealized foreign currency gains, offset by $2.9 million in impairment write-downs on cost method investments and other items.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noted above, a large part of the Company’s non-operating income (expense) is from unrealized foreign currency gains or losses arising from the translation of British pound and Australian dollar-denominated intercompany loans into U.S. dollars.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The Company incurred net interest expense of $7.0 million for the third quarter of 2010 and 2009, and $21.3 million for the first nine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of 2010 and 2009. At October 3, 2010, the Company had $399.5 million in borrowings outstanding at an average interest rate of 7.2%.</w:t>
      </w:r>
    </w:p>
    <w:p>
      <w:pPr>
        <w:spacing w:after="0" w:line="74"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effective tax rate for the third quarter and first nine months of 2010 was 41.1% and 39.4%, respectively. The higher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rate in 2010 is primarily due to $9.1 million from nondeductible goodwill in connection with an impairment charge recorded in the third quarter of 2010.</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effective tax rate for the third quarter and first nine months of 2009 was 36.0%. The low effective tax rate for 2009 was due primarily to favorable adjustments recorded in the third quarter of 2009 for a reduction in state income taxes and for prior year permanent federal tax deductions, offset by $3.3 million from nondeductible goodwill in connection with the impairment charge recorded in the third quarter of 2009.</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On September 30, 2010, the Company completed the sale of Newsweek. Consequently, the Company’s income from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for the third quarter and year-to-date periods excludes magazine publishing operations, which have been reclassified to discontinued operations, net of tax. Under the terms of the asset purchase agreement, The Washington Post Company retained the pension assets and liabilities, certain employee obligations arising prior to the sale and other items. A loss of $11.5 million from the Newsweek sale is included in discontinued operations.</w:t>
      </w:r>
    </w:p>
    <w:p>
      <w:pPr>
        <w:spacing w:after="0" w:line="10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Newsweek employees were participants in The Washington Post Company Retirement Plan, and Newsweek was historically allocated a net pension credit. Since this net pension credit will be included in income from continuing operations in the future, it has been excluded from the reclassification of Newsweek results to discontinued operations. The pension cost arising from early retirement programs at Newsweek, however, is included in discontinued operations.</w:t>
      </w:r>
    </w:p>
    <w:p>
      <w:pPr>
        <w:spacing w:after="0" w:line="1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third quarter and first nine months of 2010 was based on 8,904,453 and 9,112,564</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9,401,010 and 9,399,501, respectively, for the third quarter and first nine months of 2009. In the first nine months of 2010, the Company repurchased 739,935 shares of its Class B common stock at a cost of $277.0 million. On September 23, 2010, the Company’s Board of Directors authorized the Company to acquire up to 750,000 shares of its Class B common stock. The Company did not announce a ceiling price or a time limit for the purchases. The authorization included 16,312 shares that remained under the previous authorization.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second quarter of 2010, the Company made two small acquisitions in its Cable divisions and in Other businesses.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2010, Kaplan made one small acquisition in its Kaplan Ventures division. The Company did not make any acquisitions during the third quarter of 2010. On September 30, 2010, the Company completed the sale of Newsweek. Consequently, the Company’s income from continuing operations for the third quarter and year-to-date periods excludes Newsweek results, which have been reclassified to discontinued operations. In the second quarter of 2010, Kaplan completed the sale of Education Connection, which was part of the Kaplan Ventures division.</w:t>
      </w:r>
    </w:p>
    <w:p>
      <w:pPr>
        <w:spacing w:after="0" w:line="11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nine months of 2009, the Company completed business acquisitions totaling approximately $8.1 million. This included the acquisition of a company at the Kaplan International division in the third quarter of 2009, as well as a small acquisition by the Company in the second quarter of 2009. This also included $3.2 million of additional purchase consideration recorded to goodwill in the second quarter of 2009, in connection with the achievement of certain operating results by a company acquired by Kaplan in 2007. The purchase consideration was contingent on the achievement of certain future operating results and therefore was not included in the Company’s purchase accounting as of December 30, 2007. The Company did not make any acquisitions during the first quarter of 2009.</w:t>
      </w:r>
    </w:p>
    <w:p>
      <w:pPr>
        <w:spacing w:after="0" w:line="1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2010, the Company’s capital expenditures totaled $159.2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$220 million to $245 million in 2010.</w:t>
      </w:r>
    </w:p>
    <w:p>
      <w:pPr>
        <w:spacing w:after="0" w:line="120"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The Company’s borrowings increased by $0.2 million, to $399.5 million at October 3, 2010, as compared to borrowings of $399.3 million at</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3, 2010</w:t>
      </w:r>
      <w:r>
        <w:rPr>
          <w:rFonts w:ascii="Arial" w:cs="Arial" w:eastAsia="Arial" w:hAnsi="Arial"/>
          <w:sz w:val="16"/>
          <w:szCs w:val="16"/>
          <w:i w:val="1"/>
          <w:iCs w:val="1"/>
          <w:color w:val="auto"/>
        </w:rPr>
        <w:t>.</w:t>
      </w:r>
      <w:r>
        <w:rPr>
          <w:rFonts w:ascii="Arial" w:cs="Arial" w:eastAsia="Arial" w:hAnsi="Arial"/>
          <w:sz w:val="16"/>
          <w:szCs w:val="16"/>
          <w:color w:val="auto"/>
        </w:rPr>
        <w:t xml:space="preserve"> At October 3, 2010, the Company has $577.9 million in cash and cash equivalents, compared to $477.7 million at January 3, 2010. The Company had money market investments of $342.5 million and $327.8 million that are classified as cash and cash equivalents in the Company’s condensed consolidated Balance Sheets as of October 3, 2010 and January 3, 2010, respectively.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Company’s total debt outstanding of $399.5 million at October 3, 2010 included $396.5 million of 7.25% unsecured notes due February 1, 2019 and $3.0 million in other debt.</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 has a $500 million revolving credit facility that expires in August 2011, which supports the issuance of the Company’s short-term commercial paper and provides for general corporate purposes. The Company did not issue any commercial paper in the first nine months of 2010.</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August 2010, Standard &amp; Poor’s revised the Company’s long-term outlook to negative from stable; the Company’s “A” long-term corporate credit and senior unsecured ratings and “A-1” short-term commercial rating remained unchanged. Moody’s lowered the Company’s long-term rating in October 2010 to “A2” from “A1”, confirmed the “Prime-1” commercial paper rating and changed the ratings outlook to negative. The Company’s current credit ratings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Standard</w:t>
            </w:r>
          </w:p>
        </w:tc>
      </w:tr>
      <w:tr>
        <w:trPr>
          <w:trHeight w:val="161"/>
        </w:trPr>
        <w:tc>
          <w:tcPr>
            <w:tcW w:w="69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Moody’s</w:t>
            </w:r>
          </w:p>
        </w:tc>
        <w:tc>
          <w:tcPr>
            <w:tcW w:w="5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&amp; Poor’s</w:t>
            </w:r>
          </w:p>
        </w:tc>
        <w:tc>
          <w:tcPr>
            <w:tcW w:w="10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A2</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Short-term</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Prime-1</w:t>
            </w:r>
          </w:p>
        </w:tc>
        <w:tc>
          <w:tcPr>
            <w:tcW w:w="5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r>
    </w:tbl>
    <w:p>
      <w:pPr>
        <w:spacing w:after="0" w:line="14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During the third quarter of 2010 and 2009, the Company had average borrowings outstanding of approximately $399.5 million and $399.2 million, respectively, at average annual interest rates of approximately 7.2%. During the third quarter of 2010 and 2009, the Company incurred net interest expense of $7.0 million.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nine months of 2010 and 2009, the Company had average borrowings outstanding of approximately $399.4 million and $434.9 million, respectively, at average annual interest rates of approximately 7.2% and 6.8%, respectively. During the first nine months of 2010 and 2009, the Company incurred net interest expense of $21.3 million.</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At October 3, 2010 and January 3, 2010, the Company had working capital of $351.7 million and $398.5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2010.</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3,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reviews its indefinite-lived intangible assets annually, as of November 30, for possible impairment or</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annual tests if an event occurred or circumstances changed that would more likely than not reduce the fair value of the reporting unit below its carrying value.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w:t>
      </w:r>
    </w:p>
    <w:p>
      <w:pPr>
        <w:spacing w:after="0" w:line="11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television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material modifications to the agreements. The franchise agreements represent 93% of the $530.7 million of indefinite-lived intangible assets of the Company as of October 3, 2010. The Company grouped the recorded values of its various cable franchise agreements into regional cable television systems or units of account.</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key assumptions used by the Company to determine the fair value of its franchise agreements as of November 30, 2009, the date of its last annual impairment review, were as follows:</w:t>
      </w:r>
    </w:p>
    <w:p>
      <w:pPr>
        <w:spacing w:after="0" w:line="51" w:lineRule="exact"/>
        <w:rPr>
          <w:sz w:val="20"/>
          <w:szCs w:val="20"/>
          <w:color w:val="auto"/>
        </w:rPr>
      </w:pPr>
    </w:p>
    <w:p>
      <w:pPr>
        <w:ind w:left="900" w:right="20" w:hanging="325"/>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Expected cash flows underlying the Company’s business plans for the periods 2010 through 2019, assuming the only assets the unbuilt start-up cable television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television systems’ cost structures, homes in each region’s service area, number of subscribers based on penetration of homes passed by the systems, and expected revenues per subscriber.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flows beyond 2019 were projected to grow at a long-term growth rate, which the Company estimated by considering historical market growth trends, anticipated cable television system performance, and expected market conditions.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used a discount rate of 8.3% to risk adjust the cash flow projections in determining the estimated fair value.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estimated fair value of the Company’s franchise agreements exceeded their respective carrying values by a margin in excess of 50%. There is always a possibility that impairment charges could occur in the future given changes in the cable television market and U.S. economic environment, as well as the inherent variability in projecting future operating performance.</w:t>
      </w:r>
    </w:p>
    <w:p>
      <w:pPr>
        <w:spacing w:after="0" w:line="134"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The Company’s net pension cost (credit) includes an expected return on plan assets component, calculated using the expected return on plan</w:t>
      </w:r>
      <w:r>
        <w:rPr>
          <w:rFonts w:ascii="Arial" w:cs="Arial" w:eastAsia="Arial" w:hAnsi="Arial"/>
          <w:sz w:val="15"/>
          <w:szCs w:val="15"/>
          <w:b w:val="1"/>
          <w:bCs w:val="1"/>
          <w:color w:val="auto"/>
        </w:rPr>
        <w:t xml:space="preserve"> </w:t>
      </w:r>
      <w:r>
        <w:rPr>
          <w:rFonts w:ascii="Arial" w:cs="Arial" w:eastAsia="Arial" w:hAnsi="Arial"/>
          <w:sz w:val="15"/>
          <w:szCs w:val="15"/>
          <w:color w:val="auto"/>
        </w:rPr>
        <w:t>assets assumption applied to a market-related value of plan assets. The market-related value of plan assets is determined using a 5-year average market value method, which recognizes realized and unrealized appreciation and depreciation in market values over a 5-year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cost for the year.</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 The types of items that generate actuarial gains and losses that may be subject to amortization in net periodic pension cost (credit) include:</w:t>
      </w:r>
    </w:p>
    <w:p>
      <w:pPr>
        <w:spacing w:after="0" w:line="3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Amortization of the unrecognized actuarial gain or loss is included as a component of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2007, the Company had net unamortized actuarial gains in accumulated other comprehensive income potentially subject to amortization that were outside the 10% corridor that resulted in amortized gains of $6,168,000 being included in 2008 pension cost. Primarily as a result of the significant pension asset losses during 2008, increased life expectations and a decrease in the discount rate, the Company had net unamortized actuarial losses in accumulated other comprehensive income potentially subject to amortization that were outside the corridor that resulted in amortized losses of $40,000 being included in 2009 pension cost. During 2009, there were pension asset gains that were offset by the impact of an increase in the discount rate. The Company currently estimates that there will be no net unamortized actuarial gains or losses in accumulated other comprehensive income potentially subject to amortization outside the corridor and therefore, no amortized gain or loss amounts included in pension cost (credit) in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3, 2010.</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2009 Annual Report filed on Form 10-K have not otherwise changed significantly.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October 3, 2010.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October 3, 2010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purported class action complaint was filed against the Company, Donald E. Graham and Hal S. Jones on October 28, 2010, in the U.S. District Court for the District of Columbia, by the Plumbers Local #200 Pension Fund. The complaint alleges that the Company and certain of its officers made materially false and misleading statements, or failed to disclose material facts relating to Kaplan Higher Education, in violation of the federal securities laws. The complaint seeks damages, attorneys’ fees, costs and equitable/injunctive relief. Based on an initial review of this complaint, the Company believes the complaint is without merit and intends to vigorously defend against it.</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as discussed in Part I, “Item 1A. Risk Factors” in the Company’s Annual Report on Form 10-K for the year ended January 3, 2010. Those risks, except to the extent they are updated or amended below, are incorporated herein by this reference. The risks described in the Company’s Annual Report on Form 10-K and updated or amended below, may not be the only ones facing the Company. Additional risks and uncertainties not presently known, or currently deemed immaterial, could have a material adverse effect on the Company’s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Extensive Regulation of Kaplan Higher Education (KHE)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Rulemaking by the U.S. Department of Education (DOE) could result in regulatory changes that could have a material adverse effect on Kaplan’s business.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28, 2010, the DOE issued final rules that address program integrity issues for postsecondary education institutions that participate in Title IV programs, which will take effect on July 1, 2011. The DOE expects to issue final rules in early 2011 related to the definition of gainful employment, which are expected to take effect on July 1, 2012. The Company cannot predict the substance of the final rules related to the definition of gainful employment. In connection with both of these rulemaking activities, the Company filed public comments that collectively address issues related to state authorization, substantial misrepresentation, incentive compensation, and the definition of gainful employment under Title IV. The Company also raised concerns about metrics regarding gainful employment and institution-specific repayment rate data released by the DOE. Under the proposed regulations, if a particular program does not meet the definition of “gainful employment,” the program could be subject to increased disclosure requirements, limits on enrollment growth, termination of Title IV eligibility, and/or other consequences. If Kaplan students’ repayment rates at the programmatic level are similar to the student repayment rates released by the DOE on August 13, 2010, and Kaplan’s students do not meet the alternative debt-to-earnings ratio test, a significant number of Kaplan programs may be deemed either restricted or ineligible to receive Title IV funding. Thus, the gainful employment rules, if adopted as presently drafted, could have a material adverse effect on the future results of the Company’s higher education division.</w:t>
      </w:r>
    </w:p>
    <w:p>
      <w:pPr>
        <w:spacing w:after="0" w:line="12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Company is in the process of reviewing the final regulations published on October 28, 2010. The Company cannot predict how these regulations or any future regulations will be interpreted. Compliance with the final rules could affect how Kaplan conducts its business, and insufficient time or lack of sufficient guidance for compliance could have a material adverse effect on Kaplan’s business. Uncertainty surrounding the final rules, interpretive regulations or guidance by the DOE may continue for some period of time and could have a material adverse effect on Kaplan’s revenue, operating results, cash flow and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Congressional examination of private sector higher education could lead to legislation or other governmental action that may materially and adversely affect Kaplan’s business.</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has been increased focus by the U.S. Congress in 2010 on the role private sector education institutions play in higher education, including regarding participation in Title IV programs and U.S. Department of Defense oversight of tuition assistance for military service members attending for-profit colleges. Since June 2010, the Health, Education, Labor and Pensions Committee of the U.S. Senate (“HELP Committee”) has held hearings to examine the proprietary education sector. As part of the HELP Committee’s review, investigators from the United States Government Accountability Office (GAO) performed undercover tests at 15 private sector higher education institutions, including two campuses of KHE. In August 2010, the GAO issued a report which was critical of the recruiting tactics at several schools, including the two Kaplan campuses.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5, 2010, the HELP Committee sent a document request to numerous proprietary schools including Kaplan. The information requested covered a broad range of business activities including detailed information relating to financial results, management, operations, personnel, recruiting, enrollment, graduation, student withdrawals, receipt of Title IV funds, accreditation, regulatory compliance and other items. KHE is complying with the request. The HELP Committee indicated that it is interested in investigating the receipt and use of federal student loan funds at proprietary higher education institutions, and potentially proposing additional legislation related to the sector. At this time, the Company cannot predict the ultimate impact the investigation may have on KHE, or the chances of or content of any such legislation.</w:t>
      </w:r>
    </w:p>
    <w:p>
      <w:pPr>
        <w:spacing w:after="0" w:line="144"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Other Committees of the U.S. Congress have also held hearings into, among other things, the standards and procedures of accrediting agencies, credit hours and program length, and the portion of federal student financial aid going to for-profit institutions. A number of legislators have variously requested the GAO Office to review and make recommendations regarding, among other things, recruitment practices, educational quality, student outcomes, the sufficiency of integrity safeguards against waste, fraud and abuse in Title IV programs, and the percentage of proprietary institutions’ revenue coming from Title IV and other federal funding sources. This increased activity may result in legislation, further rulemaking affecting participation in Title IV programs, and other governmental actions. In addition, concerns generated by Congressional or other activity, or media reports, may adversely affect enrollment in for-profit educational institutions.</w:t>
      </w:r>
    </w:p>
    <w:p>
      <w:pPr>
        <w:spacing w:after="0" w:line="105"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 cannot predict the extent to which these activities could result in further investigations, legislation or rulemaking affecting the Company’s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impact of the “Kaplan Commitment” program could be greater than Company estimates.</w:t>
      </w:r>
    </w:p>
    <w:p>
      <w:pPr>
        <w:spacing w:after="0" w:line="90"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In September 2010, KHE announced a new program entitled the “Kaplan Commitment,” which has commenced and will be fully operational by the end of 2010. Under this program, students of Kaplan University, Kaplan College and other KHE schools may enroll in classes for several weeks and assess whether their educational experience meets their needs and expectations before incurring a financial obligation. Kaplan will also conduct academic assessments to help determine whether students are likely to be successful in their chosen course of study. Students who choose to withdraw from the program during this time frame (“risk-free period”) and students who do not pass the academic evaluation will not have to pay for the coursework. In general, the risk-free period is approximately four weeks for diploma programs and five weeks for Associate’s and Bachelor’s degrees. This program will likely have a significant adverse impact on the future operations of KHE, including student enrollment and retention, tuition revenues, operating income and cash flow. Based on historical student withdrawal and performance patterns and assuming students who withdrew during early academic terms would have instead availed themselves of the Kaplan Commitment, management estimates that KHE revenues would have been approximately $100 million less in the first nine months of 2010 had the provision of the Kaplan Commitment commenced on January 1, 2010. The Company’s actual experience and the overall impact of this program could be worse than expected.</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October 3, 2010, the Company purchased shares of its Class B Common Stock as set forth in the following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Total Number</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of Shares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Part of</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Publicly</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Paid per</w:t>
            </w:r>
          </w:p>
        </w:tc>
        <w:tc>
          <w:tcPr>
            <w:tcW w:w="56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Plan*</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 5 - Aug. 8, 2010</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Aug 9 - Sept. 5, 2010</w:t>
            </w:r>
          </w:p>
        </w:tc>
        <w:tc>
          <w:tcPr>
            <w:tcW w:w="820" w:type="dxa"/>
            <w:vAlign w:val="bottom"/>
          </w:tcPr>
          <w:p>
            <w:pPr>
              <w:jc w:val="right"/>
              <w:spacing w:after="0"/>
              <w:rPr>
                <w:sz w:val="20"/>
                <w:szCs w:val="20"/>
                <w:color w:val="auto"/>
              </w:rPr>
            </w:pPr>
            <w:r>
              <w:rPr>
                <w:rFonts w:ascii="Arial" w:cs="Arial" w:eastAsia="Arial" w:hAnsi="Arial"/>
                <w:sz w:val="18"/>
                <w:szCs w:val="18"/>
                <w:color w:val="auto"/>
              </w:rPr>
              <w:t>564,316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363.38</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564,316</w:t>
            </w:r>
          </w:p>
        </w:tc>
        <w:tc>
          <w:tcPr>
            <w:tcW w:w="700" w:type="dxa"/>
            <w:vAlign w:val="bottom"/>
          </w:tcPr>
          <w:p>
            <w:pPr>
              <w:jc w:val="right"/>
              <w:spacing w:after="0"/>
              <w:rPr>
                <w:sz w:val="20"/>
                <w:szCs w:val="20"/>
                <w:color w:val="auto"/>
              </w:rPr>
            </w:pPr>
            <w:r>
              <w:rPr>
                <w:rFonts w:ascii="Arial" w:cs="Arial" w:eastAsia="Arial" w:hAnsi="Arial"/>
                <w:sz w:val="18"/>
                <w:szCs w:val="18"/>
                <w:color w:val="auto"/>
              </w:rPr>
              <w:t>91,996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 6 - Oct. 3, 2010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376.70</w:t>
            </w:r>
          </w:p>
        </w:tc>
        <w:tc>
          <w:tcPr>
            <w:tcW w:w="5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75,684</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640,000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364.95</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640,000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21, 2010 and September 23, 2010, the Company’s Board of Directors authorized the Company to purchase, on the open market or otherwise, up to 750,000 shares of its Class B Common Stock. There is no expiration date for that authorization. All purchases made during the quarter ended October 3, 2010, were open market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2"/>
              </w:rPr>
              <w:t>By-Laws of the Company as amended and restated through November 8, 2007 (incorporated by reference to Exhibit 3.1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dated November 14, 2007).</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8-K dated January 30, 2009).</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1"/>
              </w:rPr>
              <w:t>Five Year Credit Agreement dated as of August 8, 2006, among the Company, Citibank, N.A., JPMorgan Chase Bank, N.A., Wachovia Bank,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0"/>
              </w:rPr>
              <w:t>National Association, SunTrust Bank, The Bank of New York, PNC Bank, National Association, Bank of America, N.A. and Wells Fargo Bank,</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97"/>
              </w:rPr>
              <w:t>N.A. (incorporated by reference to Exhibit 4.4 to the Company’s Quarterly Report on Form 10-Q for the quarter ended July 2, 2006).</w:t>
            </w:r>
          </w:p>
        </w:tc>
      </w:tr>
      <w:tr>
        <w:trPr>
          <w:trHeight w:val="318"/>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w w:val="89"/>
              </w:rPr>
              <w:t>The Washington Post Company Deferred Compensation Plan as amended and restated through December 2007, and amended September 23,</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2010.</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31.1</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62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4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WASHINGTON POST COMPANY</w:t>
            </w:r>
          </w:p>
        </w:tc>
      </w:tr>
      <w:tr>
        <w:trPr>
          <w:trHeight w:val="222"/>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 November 10, 2010</w:t>
            </w:r>
          </w:p>
        </w:tc>
        <w:tc>
          <w:tcPr>
            <w:tcW w:w="234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D</w:t>
            </w:r>
            <w:r>
              <w:rPr>
                <w:rFonts w:ascii="Arial" w:cs="Arial" w:eastAsia="Arial" w:hAnsi="Arial"/>
                <w:sz w:val="14"/>
                <w:szCs w:val="14"/>
                <w:color w:val="auto"/>
                <w:w w:val="99"/>
              </w:rPr>
              <w:t>ONALD</w:t>
            </w:r>
            <w:r>
              <w:rPr>
                <w:rFonts w:ascii="Arial" w:cs="Arial" w:eastAsia="Arial" w:hAnsi="Arial"/>
                <w:sz w:val="18"/>
                <w:szCs w:val="18"/>
                <w:color w:val="auto"/>
                <w:w w:val="99"/>
              </w:rPr>
              <w:t xml:space="preserve"> E. G</w:t>
            </w:r>
            <w:r>
              <w:rPr>
                <w:rFonts w:ascii="Arial" w:cs="Arial" w:eastAsia="Arial" w:hAnsi="Arial"/>
                <w:sz w:val="14"/>
                <w:szCs w:val="14"/>
                <w:color w:val="auto"/>
                <w:w w:val="99"/>
              </w:rPr>
              <w:t>RAHAM</w:t>
            </w:r>
          </w:p>
        </w:tc>
      </w:tr>
      <w:tr>
        <w:trPr>
          <w:trHeight w:val="144"/>
        </w:trPr>
        <w:tc>
          <w:tcPr>
            <w:tcW w:w="3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Donald E. Graham,</w:t>
            </w:r>
          </w:p>
        </w:tc>
      </w:tr>
      <w:tr>
        <w:trPr>
          <w:trHeight w:val="149"/>
        </w:trPr>
        <w:tc>
          <w:tcPr>
            <w:tcW w:w="3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Chairman &amp; Chief Executive Officer</w:t>
            </w:r>
          </w:p>
        </w:tc>
      </w:tr>
      <w:tr>
        <w:trPr>
          <w:trHeight w:val="174"/>
        </w:trPr>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Executive Officer)</w:t>
            </w: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Date: November 10, 2010</w:t>
            </w:r>
          </w:p>
        </w:tc>
        <w:tc>
          <w:tcPr>
            <w:tcW w:w="234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H</w:t>
            </w:r>
            <w:r>
              <w:rPr>
                <w:rFonts w:ascii="Arial" w:cs="Arial" w:eastAsia="Arial" w:hAnsi="Arial"/>
                <w:sz w:val="14"/>
                <w:szCs w:val="14"/>
                <w:color w:val="auto"/>
                <w:w w:val="95"/>
              </w:rPr>
              <w:t>AL</w:t>
            </w:r>
            <w:r>
              <w:rPr>
                <w:rFonts w:ascii="Arial" w:cs="Arial" w:eastAsia="Arial" w:hAnsi="Arial"/>
                <w:sz w:val="18"/>
                <w:szCs w:val="18"/>
                <w:color w:val="auto"/>
                <w:w w:val="95"/>
              </w:rPr>
              <w:t xml:space="preserve"> S. J</w:t>
            </w:r>
            <w:r>
              <w:rPr>
                <w:rFonts w:ascii="Arial" w:cs="Arial" w:eastAsia="Arial" w:hAnsi="Arial"/>
                <w:sz w:val="14"/>
                <w:szCs w:val="14"/>
                <w:color w:val="auto"/>
                <w:w w:val="95"/>
              </w:rPr>
              <w:t>ONES</w:t>
            </w:r>
          </w:p>
        </w:tc>
      </w:tr>
      <w:tr>
        <w:trPr>
          <w:trHeight w:val="144"/>
        </w:trPr>
        <w:tc>
          <w:tcPr>
            <w:tcW w:w="3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Hal S. Jones,</w:t>
            </w:r>
          </w:p>
        </w:tc>
      </w:tr>
      <w:tr>
        <w:trPr>
          <w:trHeight w:val="149"/>
        </w:trPr>
        <w:tc>
          <w:tcPr>
            <w:tcW w:w="3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Senior Vice President-Finance</w:t>
            </w:r>
          </w:p>
        </w:tc>
      </w:tr>
      <w:tr>
        <w:trPr>
          <w:trHeight w:val="174"/>
        </w:trPr>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r>
        <w:trPr>
          <w:trHeight w:val="350"/>
        </w:trPr>
        <w:tc>
          <w:tcPr>
            <w:tcW w:w="3720" w:type="dxa"/>
            <w:vAlign w:val="bottom"/>
          </w:tcPr>
          <w:p>
            <w:pPr>
              <w:spacing w:after="0"/>
              <w:rPr>
                <w:sz w:val="24"/>
                <w:szCs w:val="24"/>
                <w:color w:val="auto"/>
              </w:rPr>
            </w:pPr>
          </w:p>
        </w:tc>
        <w:tc>
          <w:tcPr>
            <w:tcW w:w="234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WASHINGTON POST COMPANY</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COMPENSATION PLAN</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December, 2007</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Effective January 1, 2005</w:t>
      </w:r>
    </w:p>
    <w:p>
      <w:pPr>
        <w:sectPr>
          <w:pgSz w:w="11900" w:h="16838" w:orient="portrait"/>
          <w:cols w:equalWidth="0" w:num="1">
            <w:col w:w="10220"/>
          </w:cols>
          <w:pgMar w:left="1440" w:top="13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040" w:type="dxa"/>
            <w:vAlign w:val="bottom"/>
          </w:tcPr>
          <w:p>
            <w:pPr>
              <w:jc w:val="right"/>
              <w:ind w:right="4852"/>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4280" w:type="dxa"/>
            <w:vAlign w:val="bottom"/>
            <w:gridSpan w:val="2"/>
          </w:tcPr>
          <w:p>
            <w:pPr>
              <w:spacing w:after="0"/>
              <w:rPr>
                <w:sz w:val="20"/>
                <w:szCs w:val="20"/>
                <w:color w:val="auto"/>
              </w:rPr>
            </w:pPr>
            <w:r>
              <w:rPr>
                <w:rFonts w:ascii="Arial" w:cs="Arial" w:eastAsia="Arial" w:hAnsi="Arial"/>
                <w:sz w:val="18"/>
                <w:szCs w:val="18"/>
                <w:color w:val="auto"/>
              </w:rPr>
              <w:t>Section 1. Purpose</w:t>
            </w:r>
          </w:p>
        </w:tc>
        <w:tc>
          <w:tcPr>
            <w:tcW w:w="7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Section 2. Definitions</w:t>
            </w:r>
          </w:p>
        </w:tc>
        <w:tc>
          <w:tcPr>
            <w:tcW w:w="7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Section 3. Deferral Elections</w:t>
            </w:r>
          </w:p>
        </w:tc>
        <w:tc>
          <w:tcPr>
            <w:tcW w:w="7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Section 4. Treatment of Deferred Amounts</w:t>
            </w:r>
          </w:p>
        </w:tc>
        <w:tc>
          <w:tcPr>
            <w:tcW w:w="7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89"/>
              </w:rPr>
              <w:t>Section 5.</w:t>
            </w:r>
          </w:p>
        </w:tc>
        <w:tc>
          <w:tcPr>
            <w:tcW w:w="3540" w:type="dxa"/>
            <w:vAlign w:val="bottom"/>
          </w:tcPr>
          <w:p>
            <w:pPr>
              <w:ind w:left="20"/>
              <w:spacing w:after="0"/>
              <w:rPr>
                <w:sz w:val="20"/>
                <w:szCs w:val="20"/>
                <w:color w:val="auto"/>
              </w:rPr>
            </w:pPr>
            <w:r>
              <w:rPr>
                <w:rFonts w:ascii="Arial" w:cs="Arial" w:eastAsia="Arial" w:hAnsi="Arial"/>
                <w:sz w:val="18"/>
                <w:szCs w:val="18"/>
                <w:color w:val="auto"/>
              </w:rPr>
              <w:t>Payment of Deferred Accounts</w:t>
            </w:r>
          </w:p>
        </w:tc>
        <w:tc>
          <w:tcPr>
            <w:tcW w:w="7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89"/>
              </w:rPr>
              <w:t>Section 6.</w:t>
            </w:r>
          </w:p>
        </w:tc>
        <w:tc>
          <w:tcPr>
            <w:tcW w:w="3540" w:type="dxa"/>
            <w:vAlign w:val="bottom"/>
          </w:tcPr>
          <w:p>
            <w:pPr>
              <w:ind w:left="20"/>
              <w:spacing w:after="0"/>
              <w:rPr>
                <w:sz w:val="20"/>
                <w:szCs w:val="20"/>
                <w:color w:val="auto"/>
              </w:rPr>
            </w:pPr>
            <w:r>
              <w:rPr>
                <w:rFonts w:ascii="Arial" w:cs="Arial" w:eastAsia="Arial" w:hAnsi="Arial"/>
                <w:sz w:val="18"/>
                <w:szCs w:val="18"/>
                <w:color w:val="auto"/>
              </w:rPr>
              <w:t>Grandfathered Deferred Compensation</w:t>
            </w:r>
          </w:p>
        </w:tc>
        <w:tc>
          <w:tcPr>
            <w:tcW w:w="7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89"/>
              </w:rPr>
              <w:t>Section 7.</w:t>
            </w:r>
          </w:p>
        </w:tc>
        <w:tc>
          <w:tcPr>
            <w:tcW w:w="3540" w:type="dxa"/>
            <w:vAlign w:val="bottom"/>
          </w:tcPr>
          <w:p>
            <w:pPr>
              <w:ind w:left="20"/>
              <w:spacing w:after="0"/>
              <w:rPr>
                <w:sz w:val="20"/>
                <w:szCs w:val="20"/>
                <w:color w:val="auto"/>
              </w:rPr>
            </w:pPr>
            <w:r>
              <w:rPr>
                <w:rFonts w:ascii="Arial" w:cs="Arial" w:eastAsia="Arial" w:hAnsi="Arial"/>
                <w:sz w:val="18"/>
                <w:szCs w:val="18"/>
                <w:color w:val="auto"/>
              </w:rPr>
              <w:t>Administration and Amendment</w:t>
            </w:r>
          </w:p>
        </w:tc>
        <w:tc>
          <w:tcPr>
            <w:tcW w:w="7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89"/>
              </w:rPr>
              <w:t>Section 8.</w:t>
            </w:r>
          </w:p>
        </w:tc>
        <w:tc>
          <w:tcPr>
            <w:tcW w:w="3540" w:type="dxa"/>
            <w:vAlign w:val="bottom"/>
          </w:tcPr>
          <w:p>
            <w:pPr>
              <w:ind w:left="20"/>
              <w:spacing w:after="0"/>
              <w:rPr>
                <w:sz w:val="20"/>
                <w:szCs w:val="20"/>
                <w:color w:val="auto"/>
              </w:rPr>
            </w:pPr>
            <w:r>
              <w:rPr>
                <w:rFonts w:ascii="Arial" w:cs="Arial" w:eastAsia="Arial" w:hAnsi="Arial"/>
                <w:sz w:val="18"/>
                <w:szCs w:val="18"/>
                <w:color w:val="auto"/>
              </w:rPr>
              <w:t>Disputed Claims Procedure</w:t>
            </w:r>
          </w:p>
        </w:tc>
        <w:tc>
          <w:tcPr>
            <w:tcW w:w="7040" w:type="dxa"/>
            <w:vAlign w:val="bottom"/>
          </w:tcPr>
          <w:p>
            <w:pPr>
              <w:jc w:val="right"/>
              <w:spacing w:after="0"/>
              <w:rPr>
                <w:sz w:val="20"/>
                <w:szCs w:val="20"/>
                <w:color w:val="auto"/>
              </w:rPr>
            </w:pPr>
            <w:r>
              <w:rPr>
                <w:rFonts w:ascii="Arial" w:cs="Arial" w:eastAsia="Arial" w:hAnsi="Arial"/>
                <w:sz w:val="18"/>
                <w:szCs w:val="18"/>
                <w:color w:val="auto"/>
              </w:rPr>
              <w:t>13</w:t>
            </w:r>
          </w:p>
        </w:tc>
      </w:tr>
    </w:tbl>
    <w:p>
      <w:pPr>
        <w:jc w:val="right"/>
        <w:spacing w:after="0"/>
        <w:rPr>
          <w:sz w:val="20"/>
          <w:szCs w:val="20"/>
          <w:color w:val="auto"/>
        </w:rPr>
        <w:sectPr>
          <w:pgSz w:w="11900" w:h="16838" w:orient="portrait"/>
          <w:cols w:equalWidth="0" w:num="1">
            <w:col w:w="11320"/>
          </w:cols>
          <w:pgMar w:left="240" w:top="503"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DEFERRED COMPENSATION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Washington Post Company Deferred Compensation Plan (the “Plan”) is an unfunded plan established for the purpose of offering a select group of management and other highly compensated key employees and non-employee directors the opportunity to defer the receipt of compensation payments or fees that would otherwise become payable to them currently for the periods provided in the Plan.</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or any director,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 nor shall it be deemed to give any director the right to be retained as a director of the Company.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To the extent Section 409A of the Internal Revenue Code of 1986 applies to the Plan, the terms of the Plan are intended to comply with Section 409A and shall be interpreted and administered in accordance with Section 409A and any governmental regulations and other guidance issued thereunder. To the extent any provision of this Plan that is intended to comply with Section 409A must be effective as of January 1, 2005, such provision shall be effective as of such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03" w:right="259" w:bottom="1440" w:gutter="0" w:footer="0" w:header="0"/>
        </w:sectPr>
      </w:pPr>
    </w:p>
    <w:bookmarkStart w:id="43" w:name="page44"/>
    <w:bookmarkEnd w:id="43"/>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 Participant who terminated employment before January 1, 2005, any benefits payable hereunder shall be based on the terms of the Plan in effect on such termination of employment, and not on the terms of this amendment and restatement.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Plan, the following words shall have the following meanings:</w:t>
      </w:r>
    </w:p>
    <w:p>
      <w:pPr>
        <w:spacing w:after="0" w:line="90" w:lineRule="exact"/>
        <w:rPr>
          <w:sz w:val="20"/>
          <w:szCs w:val="20"/>
          <w:color w:val="auto"/>
        </w:rPr>
      </w:pPr>
    </w:p>
    <w:p>
      <w:pPr>
        <w:ind w:right="260" w:firstLine="464"/>
        <w:spacing w:after="0" w:line="30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Code. The term Affiliate shall include any other entity required to be aggregated with the Company under Section 409A.</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Incentive Compensation” means any bonus awarded to a Participant and payable in cash under the Company’s Incentive Compensation Plan or any other annual bonus program maintained by the Company or an Affiliate.</w:t>
      </w:r>
    </w:p>
    <w:p>
      <w:pPr>
        <w:spacing w:after="0" w:line="131" w:lineRule="exact"/>
        <w:rPr>
          <w:rFonts w:ascii="Arial" w:cs="Arial" w:eastAsia="Arial" w:hAnsi="Arial"/>
          <w:sz w:val="18"/>
          <w:szCs w:val="18"/>
          <w:color w:val="auto"/>
        </w:rPr>
      </w:pPr>
    </w:p>
    <w:p>
      <w:pPr>
        <w:ind w:right="40" w:firstLine="464"/>
        <w:spacing w:after="0" w:line="30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“Beneficiary” means the person, persons or entity designated in writing by the Participant to receive his or her Participant Account in the 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106"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References herein to Section 409A and other sections of the Code shall apply to any successor provisions.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“Committee” means the Compensation Committee of the Board of Directors or such other Committee appointed by the Board to administer the Plan.</w:t>
      </w:r>
    </w:p>
    <w:p>
      <w:pPr>
        <w:spacing w:after="0" w:line="194" w:lineRule="exact"/>
        <w:rPr>
          <w:rFonts w:ascii="Arial" w:cs="Arial" w:eastAsia="Arial" w:hAnsi="Arial"/>
          <w:sz w:val="16"/>
          <w:szCs w:val="16"/>
          <w:color w:val="auto"/>
        </w:rPr>
      </w:pPr>
    </w:p>
    <w:p>
      <w:pPr>
        <w:ind w:right="40" w:firstLine="464"/>
        <w:spacing w:after="0" w:line="268" w:lineRule="auto"/>
        <w:tabs>
          <w:tab w:leader="none" w:pos="6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means The Washington Post Company, a Delaware Corporation, and any successors in interest thereto. Where required by context, the term “Company” shall include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7" w:right="239" w:bottom="1440" w:gutter="0" w:footer="0" w:header="0"/>
        </w:sectPr>
      </w:pPr>
    </w:p>
    <w:bookmarkStart w:id="44" w:name="page45"/>
    <w:bookmarkEnd w:id="44"/>
    <w:p>
      <w:pPr>
        <w:ind w:left="720" w:hanging="256"/>
        <w:spacing w:after="0"/>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means any amounts deferred under this Plan in accordance with Section 3, together with any investment credits thereto under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4.</w:t>
      </w:r>
    </w:p>
    <w:p>
      <w:pPr>
        <w:spacing w:after="0" w:line="164" w:lineRule="exact"/>
        <w:rPr>
          <w:rFonts w:ascii="Arial" w:cs="Arial" w:eastAsia="Arial" w:hAnsi="Arial"/>
          <w:sz w:val="15"/>
          <w:szCs w:val="15"/>
          <w:color w:val="auto"/>
        </w:rPr>
      </w:pPr>
    </w:p>
    <w:p>
      <w:pPr>
        <w:ind w:firstLine="464"/>
        <w:spacing w:after="0" w:line="287"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“Designated Deferral Period” means one of the following periods as selected by the Participant with respect to his or her Deferred Compensation for the particular Plan Year or Short Year: (1) until a specified date in the future; or (2) until a date which is the end of the calendar month (or a designated subsequent period) following the month of the Participant’s Separation from Service from the Company or an Affiliate or Separation from Service as an Eligible Director, provided, however, that if a Participant (other than a director who has never been an employee of the Company) selects a date determined on the basis of the date of such Participant’s Separation from Service, then, notwithstanding such Participant’s election, the Designated Deferral Period for such Plan Year or Short Year shall end on the later of (i) the date selected by such Participant, or (ii) the end of the six-month period following the date of the Participant’s Separation from Service. Notwithstanding any other provision of this subparagraph or of this Plan and except as is otherwise required in the preceding sentence, a Participant may not defer the date on which payment of his or her Deferred Compensation is made or commences beyond the later of (i) the first of the calendar month following his or her 65</w:t>
      </w:r>
      <w:r>
        <w:rPr>
          <w:rFonts w:ascii="Arial" w:cs="Arial" w:eastAsia="Arial" w:hAnsi="Arial"/>
          <w:sz w:val="10"/>
          <w:szCs w:val="10"/>
          <w:color w:val="auto"/>
        </w:rPr>
        <w:t>th</w:t>
      </w:r>
      <w:r>
        <w:rPr>
          <w:rFonts w:ascii="Arial" w:cs="Arial" w:eastAsia="Arial" w:hAnsi="Arial"/>
          <w:sz w:val="16"/>
          <w:szCs w:val="16"/>
          <w:color w:val="auto"/>
        </w:rPr>
        <w:t xml:space="preserve"> birthday, or (ii) the first day of the seventh calendar month following the month in which the Participant separates from service as an employee of the Company or an Affiliate or as a Director of the Company.</w:t>
      </w:r>
    </w:p>
    <w:p>
      <w:pPr>
        <w:spacing w:after="0" w:line="122" w:lineRule="exact"/>
        <w:rPr>
          <w:rFonts w:ascii="Arial" w:cs="Arial" w:eastAsia="Arial" w:hAnsi="Arial"/>
          <w:sz w:val="16"/>
          <w:szCs w:val="16"/>
          <w:color w:val="auto"/>
        </w:rPr>
      </w:pPr>
    </w:p>
    <w:p>
      <w:pPr>
        <w:ind w:right="480" w:firstLine="464"/>
        <w:spacing w:after="0" w:line="268"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Date” means November 15, 1996, in the case of employees of the Company or an Affiliate, and October 1, 1997, in the case of Eligible Directors.</w:t>
      </w:r>
    </w:p>
    <w:p>
      <w:pPr>
        <w:spacing w:after="0" w:line="131" w:lineRule="exact"/>
        <w:rPr>
          <w:rFonts w:ascii="Arial" w:cs="Arial" w:eastAsia="Arial" w:hAnsi="Arial"/>
          <w:sz w:val="18"/>
          <w:szCs w:val="18"/>
          <w:color w:val="auto"/>
        </w:rPr>
      </w:pPr>
    </w:p>
    <w:p>
      <w:pPr>
        <w:ind w:right="280" w:firstLine="464"/>
        <w:spacing w:after="0" w:line="268"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“Eligible Director” means any member of the Board of Directors of the Company who is not an employee of the Company or an Affiliate and who is entitled to receive fees for service as a director.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7" w:right="239" w:bottom="1440" w:gutter="0" w:footer="0" w:header="0"/>
        </w:sectPr>
      </w:pPr>
    </w:p>
    <w:bookmarkStart w:id="45" w:name="page46"/>
    <w:bookmarkEnd w:id="45"/>
    <w:p>
      <w:pPr>
        <w:ind w:left="640" w:hanging="2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Compensation” means Annual Incentive Compensation and Long-Term Incentive Compensation.</w:t>
      </w:r>
    </w:p>
    <w:p>
      <w:pPr>
        <w:spacing w:after="0" w:line="171" w:lineRule="exact"/>
        <w:rPr>
          <w:rFonts w:ascii="Arial" w:cs="Arial" w:eastAsia="Arial" w:hAnsi="Arial"/>
          <w:sz w:val="18"/>
          <w:szCs w:val="18"/>
          <w:color w:val="auto"/>
        </w:rPr>
      </w:pPr>
    </w:p>
    <w:p>
      <w:pPr>
        <w:ind w:left="-40" w:firstLine="464"/>
        <w:spacing w:after="0" w:line="259" w:lineRule="auto"/>
        <w:tabs>
          <w:tab w:leader="none" w:pos="7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Election” means an election filed by a Participant selecting the investment credit factor(s) that will be applicable to the Participant Accounts of the Participant. The Committee shall determine the manner in which Investment Elections may be made and the frequency with which such elections may be prospectively changed.</w:t>
      </w:r>
    </w:p>
    <w:p>
      <w:pPr>
        <w:spacing w:after="0" w:line="140" w:lineRule="exact"/>
        <w:rPr>
          <w:rFonts w:ascii="Arial" w:cs="Arial" w:eastAsia="Arial" w:hAnsi="Arial"/>
          <w:sz w:val="18"/>
          <w:szCs w:val="18"/>
          <w:color w:val="auto"/>
        </w:rPr>
      </w:pPr>
    </w:p>
    <w:p>
      <w:pPr>
        <w:ind w:left="-40" w:right="100" w:firstLine="464"/>
        <w:spacing w:after="0" w:line="306"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“Long-Term Incentive Compensation” means any bonus awarded to a Participant and payable in cash under the Performance Unit provisions of the Company’s Incentive Compensation Plan or another special long-term incentive compensation plan maintained by the Company or an Affiliate that provides the opportunity for a cash bonus payment at the end of a specified period (minimum two years) based on the attainment of specific performance goals.</w:t>
      </w:r>
    </w:p>
    <w:p>
      <w:pPr>
        <w:spacing w:after="0" w:line="106" w:lineRule="exact"/>
        <w:rPr>
          <w:rFonts w:ascii="Arial" w:cs="Arial" w:eastAsia="Arial" w:hAnsi="Arial"/>
          <w:sz w:val="16"/>
          <w:szCs w:val="16"/>
          <w:color w:val="auto"/>
        </w:rPr>
      </w:pPr>
    </w:p>
    <w:p>
      <w:pPr>
        <w:ind w:left="-40" w:right="120" w:firstLine="464"/>
        <w:spacing w:after="0" w:line="298"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“Participant” means (i) an employee of the Company or an Affiliate recommended by the Company’s senior management and designated a participant in this Plan by the Committee, who is within the category of a select group of management or highly compensated employees as referred to in Sections 201(2), 301(a)(3) and 401(a)(1) of ERISA for any Plan Year and who is a participant in the Company’s Incentive Compensation Plan or any other incentive program maintained by the Company or an Affiliate or (ii) an Eligible Director who elects to participate in the Plan.</w:t>
      </w:r>
    </w:p>
    <w:p>
      <w:pPr>
        <w:spacing w:after="0" w:line="112" w:lineRule="exact"/>
        <w:rPr>
          <w:rFonts w:ascii="Arial" w:cs="Arial" w:eastAsia="Arial" w:hAnsi="Arial"/>
          <w:sz w:val="16"/>
          <w:szCs w:val="16"/>
          <w:color w:val="auto"/>
        </w:rPr>
      </w:pPr>
    </w:p>
    <w:p>
      <w:pPr>
        <w:ind w:left="-40" w:right="140" w:firstLine="464"/>
        <w:spacing w:after="0" w:line="335" w:lineRule="auto"/>
        <w:tabs>
          <w:tab w:leader="none" w:pos="665" w:val="left"/>
        </w:tabs>
        <w:numPr>
          <w:ilvl w:val="0"/>
          <w:numId w:val="20"/>
        </w:numPr>
        <w:rPr>
          <w:rFonts w:ascii="Arial" w:cs="Arial" w:eastAsia="Arial" w:hAnsi="Arial"/>
          <w:sz w:val="15"/>
          <w:szCs w:val="15"/>
          <w:color w:val="auto"/>
        </w:rPr>
      </w:pPr>
      <w:r>
        <w:rPr>
          <w:rFonts w:ascii="Arial" w:cs="Arial" w:eastAsia="Arial" w:hAnsi="Arial"/>
          <w:sz w:val="15"/>
          <w:szCs w:val="15"/>
          <w:color w:val="auto"/>
        </w:rPr>
        <w:t>“Participant Account” includes separate accounts representing the value of a Participant’s Deferred Compensation with respect to each Plan Year or Short Year, and with respect to any amounts that are payable at different times or in different forms. A Participant may have more than one Participant Account, reflecting separate year deferral elections. A separate Participant Account or Accounts will be maintained for all grandfathered deferred compensation.</w:t>
      </w:r>
    </w:p>
    <w:p>
      <w:pPr>
        <w:spacing w:after="0" w:line="88" w:lineRule="exact"/>
        <w:rPr>
          <w:rFonts w:ascii="Arial" w:cs="Arial" w:eastAsia="Arial" w:hAnsi="Arial"/>
          <w:sz w:val="15"/>
          <w:szCs w:val="15"/>
          <w:color w:val="auto"/>
        </w:rPr>
      </w:pPr>
    </w:p>
    <w:p>
      <w:pPr>
        <w:ind w:left="-40" w:right="540" w:firstLine="464"/>
        <w:spacing w:after="0" w:line="268"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“Payout Period” means either (i) a lump sum or (ii) a series of annual installments, which may not be less than 2 nor more than 10, over which a Participant Account shall be paid. Each installment shall be the balance in the Participant’s Account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347" w:right="279" w:bottom="1440" w:gutter="0" w:footer="0" w:header="0"/>
        </w:sectPr>
      </w:pPr>
    </w:p>
    <w:bookmarkStart w:id="46" w:name="page47"/>
    <w:bookmarkEnd w:id="4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date of the distribution divided by the number of remaining installments (including the then current installment). The first installment shall be paid on the first day of the month following the end of the Deferral Period, and, except as provided below, each subsequent installment shall be paid on each anniversary of the payment date of the first installment. Effective for installments commencing on or after January 1, 2008 (that is, for installments in which the first installment is payable on or after January 1, 2008), the second and all subsequent installments shall be payable on each January 1 following the prior installment. If Participant’s installment payments commenced before January 1, 2008, the Participant shall have two opportunities to elect to change the installment payment date to January 1 of the year in which the installment would otherwise have been paid. The first opportunity shall be on or before December 31, 2007 and shall be applicable to installments (other than the first installment of a series) payable in 2008 and later years. The second opportunity shall be on or before December 31, 2008 and shall be applicable to installments (other than the first installment of a series) payable in 2009 and later years.</w:t>
      </w:r>
    </w:p>
    <w:p>
      <w:pPr>
        <w:spacing w:after="0" w:line="118" w:lineRule="exact"/>
        <w:rPr>
          <w:sz w:val="20"/>
          <w:szCs w:val="20"/>
          <w:color w:val="auto"/>
        </w:rPr>
      </w:pPr>
    </w:p>
    <w:p>
      <w:pPr>
        <w:ind w:left="680" w:hanging="21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“Plan Year” means a calendar year.</w:t>
      </w:r>
    </w:p>
    <w:p>
      <w:pPr>
        <w:spacing w:after="0" w:line="171" w:lineRule="exact"/>
        <w:rPr>
          <w:rFonts w:ascii="Arial" w:cs="Arial" w:eastAsia="Arial" w:hAnsi="Arial"/>
          <w:sz w:val="18"/>
          <w:szCs w:val="18"/>
          <w:color w:val="auto"/>
        </w:rPr>
      </w:pPr>
    </w:p>
    <w:p>
      <w:pPr>
        <w:ind w:right="180" w:firstLine="464"/>
        <w:spacing w:after="0" w:line="290" w:lineRule="auto"/>
        <w:tabs>
          <w:tab w:leader="none" w:pos="6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“Separation from Service” means a separation from service as defined in § 409A and the final regulations thereunder. In determining whether a Separation of Service has occurred, service as a Director is considered separately from service as an employee. It is not considered a Separation from Service when a Participant is transferred from the Company to an Affiliate or from an Affiliate to the Company or another Affiliate. A Separation from Service as an employee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“Short Year” means (i) the remainder of the Plan Year following the Effective Date of this Plan and (ii) the remainder of the Plan Year following the date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or director first becomes a Participant in this Plan if other than the beginning of a Plan Year.</w:t>
      </w:r>
    </w:p>
    <w:p>
      <w:pPr>
        <w:spacing w:after="0" w:line="171" w:lineRule="exact"/>
        <w:rPr>
          <w:sz w:val="20"/>
          <w:szCs w:val="20"/>
          <w:color w:val="auto"/>
        </w:rPr>
      </w:pPr>
    </w:p>
    <w:p>
      <w:pPr>
        <w:jc w:val="both"/>
        <w:ind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“Specified Amount” means the portion of the Participant’s Incentive Compensation for a particular Plan Year or Short Year which the Participant elects in writing to defer hereunder, provided that such amount shall not be less than $10,000 or the portion of the Participant’s directors’ fees for a particular Plan Year or Short Year which the Participant elects in writing to defer hereunder, as the case may be.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Deferral Elections</w:t>
      </w:r>
    </w:p>
    <w:p>
      <w:pPr>
        <w:spacing w:after="0" w:line="96" w:lineRule="exact"/>
        <w:rPr>
          <w:sz w:val="20"/>
          <w:szCs w:val="20"/>
          <w:color w:val="auto"/>
        </w:rPr>
      </w:pPr>
    </w:p>
    <w:p>
      <w:pPr>
        <w:ind w:right="2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the limitations described below, each Participant may elect to have the payment of a Specified Amount of his or her Incentive Compensation or annual directors’ fees, as the case may be, deferred pursuant to this Plan for the Designated Deferral Period.</w:t>
      </w:r>
    </w:p>
    <w:p>
      <w:pPr>
        <w:spacing w:after="0" w:line="131" w:lineRule="exact"/>
        <w:rPr>
          <w:rFonts w:ascii="Arial" w:cs="Arial" w:eastAsia="Arial" w:hAnsi="Arial"/>
          <w:sz w:val="18"/>
          <w:szCs w:val="18"/>
          <w:color w:val="auto"/>
        </w:rPr>
      </w:pPr>
    </w:p>
    <w:p>
      <w:pPr>
        <w:ind w:right="80" w:firstLine="464"/>
        <w:spacing w:after="0" w:line="302" w:lineRule="auto"/>
        <w:tabs>
          <w:tab w:leader="none" w:pos="695"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deferral election must be an irrevocable written election made on a form prescribed by the Committee within a period specified by the Committee which, (I) for an employee Participant (1) in the case of Annual Incentive Compensation shall end no later than the last day of the Plan Year preceding the Plan Year for which such Incentive Compensation would be payable, and (2) in the case of Long-Term Incentive Compensation shall end no later than the last day of the Plan Year preceding the first Plan Year in the period for which such Incentive Compensation would be payable, and (II) for an Eligible Director, shall end no later than the last day of the Plan Year preceding the Plan Year in which the annual directors’ fees are earned. Notwithstanding the foregoing, in the event any Incentive Compensation that constitutes performance-based compensation under Section 409A of the Code is payable with respect to any period of at least</w:t>
      </w:r>
    </w:p>
    <w:p>
      <w:pPr>
        <w:spacing w:after="0" w:line="255" w:lineRule="auto"/>
        <w:rPr>
          <w:rFonts w:ascii="Arial" w:cs="Arial" w:eastAsia="Arial" w:hAnsi="Arial"/>
          <w:sz w:val="15"/>
          <w:szCs w:val="15"/>
          <w:color w:val="auto"/>
        </w:rPr>
      </w:pPr>
      <w:r>
        <w:rPr>
          <w:rFonts w:ascii="Arial" w:cs="Arial" w:eastAsia="Arial" w:hAnsi="Arial"/>
          <w:sz w:val="18"/>
          <w:szCs w:val="18"/>
          <w:color w:val="auto"/>
        </w:rPr>
        <w:t>12 months, the specified period established by the Committee for such Incentive Compensation shall end no later than six months before the end of the period for which such Incentive Compensation would be payable, provided that the Participant performs services continuously from the later of the beginning of the performance period or the date the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8" w:name="page49"/>
    <w:bookmarkEnd w:id="4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criteria are established through the date a deferral election is made, and provided further that an election to defer performance-based compensation may not be made after such compensation has become readily ascertainable. In the event of a Short Year, the specified period established by the Committee shall end no later than 30 days following the date the employee or Eligible Director first becomes eligible to participate in the Plan, and, except as otherwise permitted under Section 409A of the Code, such deferral election shall apply only to Incentive Compensation or annual directors’ fees earned after the date of the Participant’s deferral election.</w:t>
      </w:r>
    </w:p>
    <w:p>
      <w:pPr>
        <w:spacing w:after="0" w:line="143" w:lineRule="exact"/>
        <w:rPr>
          <w:sz w:val="20"/>
          <w:szCs w:val="20"/>
          <w:color w:val="auto"/>
        </w:rPr>
      </w:pPr>
    </w:p>
    <w:p>
      <w:pPr>
        <w:ind w:right="2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deferral election shall set forth the Specified Amount of the Participant’s Incentive Compensation or annual directors’ fees, as the case may be, for the period covered by the election that the Participant desires to have deferred, the Designated Deferral Period, and the Payout Period. After the latest date that a deferral election may be made, a Participant may not change the election, except as follows:</w:t>
      </w:r>
    </w:p>
    <w:p>
      <w:pPr>
        <w:spacing w:after="0" w:line="140" w:lineRule="exact"/>
        <w:rPr>
          <w:rFonts w:ascii="Arial" w:cs="Arial" w:eastAsia="Arial" w:hAnsi="Arial"/>
          <w:sz w:val="18"/>
          <w:szCs w:val="18"/>
          <w:color w:val="auto"/>
        </w:rPr>
      </w:pPr>
    </w:p>
    <w:p>
      <w:pPr>
        <w:ind w:firstLine="921"/>
        <w:spacing w:after="0" w:line="291" w:lineRule="auto"/>
        <w:tabs>
          <w:tab w:leader="none" w:pos="11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Except as provided in Section 3(c)(II) below, a Participant may file a change in the Designated Deferral Period and/or the Payout Period with respect to his or her deferral election for any Plan Year or Short Year, provided that (1) such change will be given effect only if made at least 12 months before the end of the previously elected Designated Deferral Period (or at least 12 months before actual Separation from Service if the previously elected Designated Deferred Period was based on Separation from Service), and (2) any change in the Designated Deferral Period must extend the Designated Deferral Period for a minimum of 60 months. With respect to elections under this Section 3(c)(I) relating to installment payments, for purposes of applying Section 409A of the Code, a series of installment payments shall be treated as a single payment.</w:t>
      </w:r>
    </w:p>
    <w:p>
      <w:pPr>
        <w:spacing w:after="0" w:line="120" w:lineRule="exact"/>
        <w:rPr>
          <w:sz w:val="20"/>
          <w:szCs w:val="20"/>
          <w:color w:val="auto"/>
        </w:rPr>
      </w:pPr>
    </w:p>
    <w:p>
      <w:pPr>
        <w:ind w:right="100" w:firstLine="921"/>
        <w:spacing w:after="0" w:line="306" w:lineRule="auto"/>
        <w:tabs>
          <w:tab w:leader="none" w:pos="11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before December 31, 2007, a Participant who had previously elected, to defer Incentive Compensation under the Plan may elect a new Designated Deferral Period and/or a new Payout Period with respect to such deferred Incentive Compensation, provided that the election (1) may not apply to an amount that would otherwise be payable in 2007 and (2) may not cause an amount to be paid in 2007 that would not otherwise be payable in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9" w:name="page50"/>
    <w:bookmarkEnd w:id="49"/>
    <w:p>
      <w:pPr>
        <w:ind w:right="60" w:firstLine="464"/>
        <w:spacing w:after="0" w:line="256" w:lineRule="auto"/>
        <w:tabs>
          <w:tab w:leader="none" w:pos="702"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may, from time to time, set limitations on the amount of a Participant’s Incentive Compensation or directors’ fees, as the case may be,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 which such limitations are applicable.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Participant will be 100% vested in his or her Participant Account at all times.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Treatment of Deferred Amounts.</w:t>
      </w:r>
    </w:p>
    <w:p>
      <w:pPr>
        <w:spacing w:after="0" w:line="96" w:lineRule="exact"/>
        <w:rPr>
          <w:sz w:val="20"/>
          <w:szCs w:val="20"/>
          <w:color w:val="auto"/>
        </w:rPr>
      </w:pPr>
    </w:p>
    <w:p>
      <w:pPr>
        <w:ind w:right="140" w:firstLine="464"/>
        <w:spacing w:after="0" w:line="306" w:lineRule="auto"/>
        <w:tabs>
          <w:tab w:leader="none" w:pos="6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shall maintain on its books a separate Participant Account for each Participant who has deferred compensation under this Plan with respect to any Plan Year or Short Year. The amount of such Deferred Compensation shall be credited to such Participant Account on the date or dates during the Plan Year on which the Deferred Compensation would have been payable to the Participant but for the deferral under this Plan.</w:t>
      </w:r>
    </w:p>
    <w:p>
      <w:pPr>
        <w:spacing w:after="0" w:line="106" w:lineRule="exact"/>
        <w:rPr>
          <w:rFonts w:ascii="Arial" w:cs="Arial" w:eastAsia="Arial" w:hAnsi="Arial"/>
          <w:sz w:val="16"/>
          <w:szCs w:val="16"/>
          <w:color w:val="auto"/>
        </w:rPr>
      </w:pPr>
    </w:p>
    <w:p>
      <w:pPr>
        <w:ind w:firstLine="464"/>
        <w:spacing w:after="0" w:line="255"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Participant Account shall be deemed to earn investment credits reflecting gains or losses with respect to each Plan Year or Short Year in accordance with the Participant’s individual Investment Election. The Committee shall determine the investment credit factors that will be offered in any Plan Year. Beginning with the applicable Effective Date, the investment credit factors will be the equivalent rates of return generated by the investment options offered under the 401(k) plan maintained by the Company covering eligible corporate office employees and shall continue to be such factors unless otherwise determined by the Committee.</w:t>
      </w:r>
    </w:p>
    <w:p>
      <w:pPr>
        <w:spacing w:after="0" w:line="142" w:lineRule="exact"/>
        <w:rPr>
          <w:rFonts w:ascii="Arial" w:cs="Arial" w:eastAsia="Arial" w:hAnsi="Arial"/>
          <w:sz w:val="18"/>
          <w:szCs w:val="18"/>
          <w:color w:val="auto"/>
        </w:rPr>
      </w:pPr>
    </w:p>
    <w:p>
      <w:pPr>
        <w:ind w:right="460" w:firstLine="464"/>
        <w:spacing w:after="0" w:line="30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Participant must file an Investment Election at the time he or she first files a deferral election. The Investment Election will determine the investment credit factors that will be applicable to the Deferred Compensation in the Participant Accounts of such Participant. A Participant may file a new Investment Election at any time. In the event a Participant fails to complete a valid Investment Election, his or her Deferred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47" w:right="279" w:bottom="1440" w:gutter="0" w:footer="0" w:header="0"/>
        </w:sectPr>
      </w:pPr>
    </w:p>
    <w:bookmarkStart w:id="50" w:name="page51"/>
    <w:bookmarkEnd w:id="5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will be credited with the investment credit amounts equivalent to the rates of return generated by the money market option under the Company’s 401(k) plan referred to above.</w:t>
      </w:r>
    </w:p>
    <w:p>
      <w:pPr>
        <w:spacing w:after="0" w:line="132" w:lineRule="exact"/>
        <w:rPr>
          <w:sz w:val="20"/>
          <w:szCs w:val="20"/>
          <w:color w:val="auto"/>
        </w:rPr>
      </w:pPr>
    </w:p>
    <w:p>
      <w:pPr>
        <w:ind w:right="640" w:firstLine="464"/>
        <w:spacing w:after="0" w:line="268" w:lineRule="auto"/>
        <w:tabs>
          <w:tab w:leader="none" w:pos="7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add to (or subtract from) each Participant Account the appropriate amounts, in accordance with the Participant’s Investment Election, calculated no less frequently than the last day of each calendar quarter.</w:t>
      </w:r>
    </w:p>
    <w:p>
      <w:pPr>
        <w:spacing w:after="0" w:line="131" w:lineRule="exact"/>
        <w:rPr>
          <w:rFonts w:ascii="Arial" w:cs="Arial" w:eastAsia="Arial" w:hAnsi="Arial"/>
          <w:sz w:val="18"/>
          <w:szCs w:val="18"/>
          <w:color w:val="auto"/>
        </w:rPr>
      </w:pPr>
    </w:p>
    <w:p>
      <w:pPr>
        <w:ind w:firstLine="464"/>
        <w:spacing w:after="0" w:line="256"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assets shall be segregated or earmarked in respect of any Participant Account and no Participant shall have any right to assign, transfer, or pledge his or her interest, or any portion thereof, in his or her Participant Accounts. The Plan and the crediting of accounts hereunder shall not constitute a trust and shall merely be for the purpose of recording an unsecured contractual obligation. All amounts payable pursuant to the terms of this Plan shall be paid from the general assets of the Company.</w:t>
      </w:r>
    </w:p>
    <w:p>
      <w:pPr>
        <w:spacing w:after="0" w:line="143" w:lineRule="exact"/>
        <w:rPr>
          <w:rFonts w:ascii="Arial" w:cs="Arial" w:eastAsia="Arial" w:hAnsi="Arial"/>
          <w:sz w:val="18"/>
          <w:szCs w:val="18"/>
          <w:color w:val="auto"/>
        </w:rPr>
      </w:pPr>
    </w:p>
    <w:p>
      <w:pPr>
        <w:ind w:right="34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Until the entire balance in all of the Participant Accounts of a Participant has been paid in full, the Company will furnish or cause to be furnished to each Participant a report, at least annually, setting forth the credits and debits to each Participant Account and the status of all Participant Accounts of such Participant.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of Deferred Accounts.</w:t>
      </w:r>
    </w:p>
    <w:p>
      <w:pPr>
        <w:spacing w:after="0" w:line="96" w:lineRule="exact"/>
        <w:rPr>
          <w:sz w:val="20"/>
          <w:szCs w:val="20"/>
          <w:color w:val="auto"/>
        </w:rPr>
      </w:pPr>
    </w:p>
    <w:p>
      <w:pPr>
        <w:ind w:right="140" w:firstLine="464"/>
        <w:spacing w:after="0" w:line="259"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to be paid to a Participant following the expiration of the Designated Deferral Period with respect to any Participant Account shall be computed on the basis of the balance of the Participant Account (i.e., the original Deferred Compensation amount plus and minus cumulative investment credits under Section 4 and minus any payments previously made) as of the payment date.</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payments of amounts under this Plan shall be made in cash.</w:t>
      </w:r>
    </w:p>
    <w:p>
      <w:pPr>
        <w:spacing w:after="0" w:line="17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the Designated Deferral Period or the Payout Period selected by the Participant, if a Participant dies or becomes permanently disabled before the end of the Designated Deferral Period selected by the Participant, the entire Participant Account shall be payable in a lump sum to such Participant (or, in the case of death, to his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her Beneficiary) as soon as practical but not more than 90 days following the Participant’s death or permanent disability. A Participant is permanently disabled if the Participant is receiving income replacement benefits for a period of not less than three months under an accident and health plan of the Company by reason of any medically determinable physical or mental impairment that can be expected to result in death or can be expected to last for a continuous period of not less than 12 months. .</w:t>
      </w:r>
    </w:p>
    <w:p>
      <w:pPr>
        <w:spacing w:after="0" w:line="143" w:lineRule="exact"/>
        <w:rPr>
          <w:sz w:val="20"/>
          <w:szCs w:val="20"/>
          <w:color w:val="auto"/>
        </w:rPr>
      </w:pPr>
    </w:p>
    <w:p>
      <w:pPr>
        <w:ind w:right="100" w:firstLine="464"/>
        <w:spacing w:after="0" w:line="291"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 other provision of this Plan to the contrary, a Participant’s Deferred Compensation shall become payable upon the Participant’s incurring an unforeseeable emergency within the meaning of Section 409A of the Code. In such event, the amount of Deferred Compensation payable with respect to the unforeseeable emergency shall not exceed the amount necessary to satisfy the emergency plus the amount necessary to satisfy taxes reasonably anticipated as a result of the emergency payment; the amount necessary to satisfy the emergency shall be determined taking into account the extent to which the financial hardship caused by the emergency is or may be relieved through reimbursement or compensation by insurance or otherwise or by liquidation of the Participant’s assets (to the extent the liquidation of such assets would not itself cause severe financial hardship).</w:t>
      </w:r>
    </w:p>
    <w:p>
      <w:pPr>
        <w:spacing w:after="0" w:line="120" w:lineRule="exact"/>
        <w:rPr>
          <w:rFonts w:ascii="Arial" w:cs="Arial" w:eastAsia="Arial" w:hAnsi="Arial"/>
          <w:sz w:val="16"/>
          <w:szCs w:val="16"/>
          <w:color w:val="auto"/>
        </w:rPr>
      </w:pPr>
    </w:p>
    <w:p>
      <w:pPr>
        <w:ind w:right="420" w:firstLine="464"/>
        <w:spacing w:after="0" w:line="332"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to the extent consistent with Section 409A of the Code, the Committee shall cause Deferred Compensation to be paid in accordance with a qualified domestic relations order as defined in Section 414(p) of the Code.</w:t>
      </w:r>
    </w:p>
    <w:p>
      <w:pPr>
        <w:spacing w:after="0" w:line="85" w:lineRule="exact"/>
        <w:rPr>
          <w:rFonts w:ascii="Arial" w:cs="Arial" w:eastAsia="Arial" w:hAnsi="Arial"/>
          <w:sz w:val="16"/>
          <w:szCs w:val="16"/>
          <w:color w:val="auto"/>
        </w:rPr>
      </w:pPr>
    </w:p>
    <w:p>
      <w:pPr>
        <w:ind w:right="120" w:firstLine="464"/>
        <w:spacing w:after="0" w:line="259" w:lineRule="auto"/>
        <w:tabs>
          <w:tab w:leader="none" w:pos="6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shall have the authority to require deferral of a Participant’s Deferred Compensation beyond the expiration of the Designated Deferral Period to the extent necessary to avoid a limitation on the deductibility by the Company of the deferred amount under Section 162(m) as permitted under Section 409A.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Grandfathered Deferred Compensation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With respect to individually designated grandfathered Participants, the portion of such a Participant’s benefit under the Plan that was accrued as of December 31, 2004, plus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52" w:name="page53"/>
    <w:bookmarkEnd w:id="5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investment credits thereon, shall be payable under the terms of the Plan in effect before January 1, 2005. Individually designated grandfathered Participants shall include Diana Daniels.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Administration and Amendment</w:t>
      </w:r>
    </w:p>
    <w:p>
      <w:pPr>
        <w:spacing w:after="0" w:line="96" w:lineRule="exact"/>
        <w:rPr>
          <w:sz w:val="20"/>
          <w:szCs w:val="20"/>
          <w:color w:val="auto"/>
        </w:rPr>
      </w:pPr>
    </w:p>
    <w:p>
      <w:pPr>
        <w:jc w:val="both"/>
        <w:ind w:right="60" w:firstLine="464"/>
        <w:spacing w:after="0" w:line="256" w:lineRule="auto"/>
        <w:tabs>
          <w:tab w:leader="none" w:pos="6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Plan shall be administered by the Committee. All decisions and interpretations of the Committee shall be conclusive and binding on the Company, its Affiliates and the Participants. The Committee may at any time terminate an employee’s designation as a Participant, in which event the employee shall not be permitted to defer additional Incentive Compensation under the Plan. No such change in designation shall otherwise affect such a Participant’s rights under the Plan.</w:t>
      </w:r>
    </w:p>
    <w:p>
      <w:pPr>
        <w:spacing w:after="0" w:line="143" w:lineRule="exact"/>
        <w:rPr>
          <w:rFonts w:ascii="Arial" w:cs="Arial" w:eastAsia="Arial" w:hAnsi="Arial"/>
          <w:sz w:val="18"/>
          <w:szCs w:val="18"/>
          <w:color w:val="auto"/>
        </w:rPr>
      </w:pPr>
    </w:p>
    <w:p>
      <w:pPr>
        <w:ind w:firstLine="464"/>
        <w:spacing w:after="0" w:line="291" w:lineRule="auto"/>
        <w:tabs>
          <w:tab w:leader="none" w:pos="7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Board of Directors of the Company may at any time amend the Plan, including an amendment to suspend or terminate the right of Participants to defer Incentive Compensation and/or directors’ fees under the Plan. No such amendment shall adversely affect a Participant’s rights with respect to Deferred Compensation credited to a Participant Account before such amendment, including the right to be credited with investment credits for the period of time after such amendment as long as there continues to be a positive balance in the Participant Account. To the extent permitted under Section 409A of the Code, the Board of Directors may in its discretion terminate the Plan and distribute all Participant Accounts established under the Plan within twelve months of a change in control of the Company, as defined for purposes of Section 409A of the Code.</w:t>
      </w:r>
    </w:p>
    <w:p>
      <w:pPr>
        <w:spacing w:after="0" w:line="120" w:lineRule="exact"/>
        <w:rPr>
          <w:rFonts w:ascii="Arial" w:cs="Arial" w:eastAsia="Arial" w:hAnsi="Arial"/>
          <w:sz w:val="16"/>
          <w:szCs w:val="16"/>
          <w:color w:val="auto"/>
        </w:rPr>
      </w:pPr>
    </w:p>
    <w:p>
      <w:pPr>
        <w:ind w:firstLine="464"/>
        <w:spacing w:after="0" w:line="25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other section of this Plan, if a Participant is discharged by the Company or an Affiliate or his or her services as a director are terminated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investment credits shall be reduced to the lesser of the Participant’s actual investment credits up to the date of discharge or the investment credits that would have been credited under the money market fund in the Company’s 401(k) plan (or the most similar fund if there is no money market fund in the Company’s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401(k) plan), and from the date of discharge to the date of payment hereunder, investment credits shall be at such money market rate.</w:t>
      </w:r>
    </w:p>
    <w:p>
      <w:pPr>
        <w:spacing w:after="0" w:line="171" w:lineRule="exact"/>
        <w:rPr>
          <w:sz w:val="20"/>
          <w:szCs w:val="20"/>
          <w:color w:val="auto"/>
        </w:rPr>
      </w:pPr>
    </w:p>
    <w:p>
      <w:pPr>
        <w:ind w:right="60" w:firstLine="464"/>
        <w:spacing w:after="0" w:line="306" w:lineRule="auto"/>
        <w:tabs>
          <w:tab w:leader="none" w:pos="7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sole obligation under this Plan is to pay the benefits provided for herein and neither the Participant nor any other person shall have any legal or equitable right against the Company, any Affiliate, the Boards of Directors thereof, the Committee or any officer or employee of the Company or any Affiliate other than the right against the Company to receive such payments from the Company provided herein.</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bear all expenses incurred by it in administering this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Disputed Claims Procedure</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If a Participant or Beneficiary (collectively,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113" w:lineRule="exact"/>
        <w:rPr>
          <w:sz w:val="20"/>
          <w:szCs w:val="20"/>
          <w:color w:val="auto"/>
        </w:rPr>
      </w:pPr>
    </w:p>
    <w:p>
      <w:pPr>
        <w:ind w:left="460" w:right="20"/>
        <w:spacing w:after="0" w:line="391" w:lineRule="auto"/>
        <w:rPr>
          <w:sz w:val="20"/>
          <w:szCs w:val="20"/>
          <w:color w:val="auto"/>
        </w:rPr>
      </w:pPr>
      <w:r>
        <w:rPr>
          <w:rFonts w:ascii="Arial" w:cs="Arial" w:eastAsia="Arial" w:hAnsi="Arial"/>
          <w:sz w:val="16"/>
          <w:szCs w:val="16"/>
          <w:color w:val="auto"/>
        </w:rPr>
        <w:t>If a Claimant has applied for a benefit under the Plan and that claim as been denied, in whole or in part, the Claimant has the right to a review of the denial. Within 60 days after a claim is received, the Claimant will be notified in writing by the Committee of its decision. If special circumstances require an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5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4" w:name="page55"/>
    <w:bookmarkEnd w:id="54"/>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needed to process the request and an explanation of why this information is necessary.</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reasons the claim should not have been denied,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written evidence that supports the claim,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appropriate issues or comments.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Legal action may not be brought against the Committee or the Company without first pursuing the claims procedures. Any legal action to recover a benefit under this Plan must be filed within one year of the Committee’s decision on appeal. Failure to file suit within this time period will extinguish any right to benefits under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93"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amendment and restatement of the Plan to be adopted by action of the Compensation Committee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spacing w:after="0"/>
              <w:rPr>
                <w:sz w:val="20"/>
                <w:szCs w:val="20"/>
                <w:color w:val="auto"/>
              </w:rPr>
            </w:pPr>
            <w:r>
              <w:rPr>
                <w:rFonts w:ascii="Arial" w:cs="Arial" w:eastAsia="Arial" w:hAnsi="Arial"/>
                <w:sz w:val="18"/>
                <w:szCs w:val="18"/>
                <w:color w:val="auto"/>
                <w:w w:val="97"/>
              </w:rPr>
              <w:t>of the Board of Directors on this</w:t>
            </w:r>
          </w:p>
        </w:tc>
        <w:tc>
          <w:tcPr>
            <w:tcW w:w="8920" w:type="dxa"/>
            <w:vAlign w:val="bottom"/>
            <w:gridSpan w:val="2"/>
          </w:tcPr>
          <w:p>
            <w:pPr>
              <w:ind w:left="220"/>
              <w:spacing w:after="0"/>
              <w:rPr>
                <w:sz w:val="20"/>
                <w:szCs w:val="20"/>
                <w:color w:val="auto"/>
              </w:rPr>
            </w:pPr>
            <w:r>
              <w:rPr>
                <w:rFonts w:ascii="Arial" w:cs="Arial" w:eastAsia="Arial" w:hAnsi="Arial"/>
                <w:sz w:val="18"/>
                <w:szCs w:val="18"/>
                <w:color w:val="auto"/>
              </w:rPr>
              <w:t>day of December, 2007.</w:t>
            </w:r>
          </w:p>
        </w:tc>
      </w:tr>
      <w:tr>
        <w:trPr>
          <w:trHeight w:val="412"/>
        </w:trPr>
        <w:tc>
          <w:tcPr>
            <w:tcW w:w="2500" w:type="dxa"/>
            <w:vAlign w:val="bottom"/>
          </w:tcPr>
          <w:p>
            <w:pPr>
              <w:spacing w:after="0"/>
              <w:rPr>
                <w:sz w:val="24"/>
                <w:szCs w:val="24"/>
                <w:color w:val="auto"/>
              </w:rPr>
            </w:pPr>
          </w:p>
        </w:tc>
        <w:tc>
          <w:tcPr>
            <w:tcW w:w="8920" w:type="dxa"/>
            <w:vAlign w:val="bottom"/>
            <w:gridSpan w:val="2"/>
          </w:tcPr>
          <w:p>
            <w:pPr>
              <w:ind w:left="4360"/>
              <w:spacing w:after="0"/>
              <w:rPr>
                <w:sz w:val="20"/>
                <w:szCs w:val="20"/>
                <w:color w:val="auto"/>
              </w:rPr>
            </w:pPr>
            <w:r>
              <w:rPr>
                <w:rFonts w:ascii="Arial" w:cs="Arial" w:eastAsia="Arial" w:hAnsi="Arial"/>
                <w:sz w:val="18"/>
                <w:szCs w:val="18"/>
                <w:color w:val="auto"/>
              </w:rPr>
              <w:t>THE WASHINGTON POST COMPANY</w:t>
            </w:r>
          </w:p>
        </w:tc>
      </w:tr>
      <w:tr>
        <w:trPr>
          <w:trHeight w:val="421"/>
        </w:trPr>
        <w:tc>
          <w:tcPr>
            <w:tcW w:w="2500" w:type="dxa"/>
            <w:vAlign w:val="bottom"/>
          </w:tcPr>
          <w:p>
            <w:pPr>
              <w:spacing w:after="0"/>
              <w:rPr>
                <w:sz w:val="24"/>
                <w:szCs w:val="24"/>
                <w:color w:val="auto"/>
              </w:rPr>
            </w:pPr>
          </w:p>
        </w:tc>
        <w:tc>
          <w:tcPr>
            <w:tcW w:w="4860" w:type="dxa"/>
            <w:vAlign w:val="bottom"/>
          </w:tcPr>
          <w:p>
            <w:pPr>
              <w:ind w:left="43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4"/>
                <w:szCs w:val="24"/>
                <w:color w:val="auto"/>
              </w:rPr>
            </w:pPr>
          </w:p>
        </w:tc>
      </w:tr>
      <w:tr>
        <w:trPr>
          <w:trHeight w:val="412"/>
        </w:trPr>
        <w:tc>
          <w:tcPr>
            <w:tcW w:w="2500" w:type="dxa"/>
            <w:vAlign w:val="bottom"/>
          </w:tcPr>
          <w:p>
            <w:pPr>
              <w:spacing w:after="0"/>
              <w:rPr>
                <w:sz w:val="24"/>
                <w:szCs w:val="24"/>
                <w:color w:val="auto"/>
              </w:rPr>
            </w:pPr>
          </w:p>
        </w:tc>
        <w:tc>
          <w:tcPr>
            <w:tcW w:w="8920" w:type="dxa"/>
            <w:vAlign w:val="bottom"/>
            <w:gridSpan w:val="2"/>
          </w:tcPr>
          <w:p>
            <w:pPr>
              <w:ind w:left="4360"/>
              <w:spacing w:after="0"/>
              <w:rPr>
                <w:sz w:val="20"/>
                <w:szCs w:val="20"/>
                <w:color w:val="auto"/>
              </w:rPr>
            </w:pPr>
            <w:r>
              <w:rPr>
                <w:rFonts w:ascii="Arial" w:cs="Arial" w:eastAsia="Arial" w:hAnsi="Arial"/>
                <w:sz w:val="18"/>
                <w:szCs w:val="18"/>
                <w:color w:val="auto"/>
              </w:rPr>
              <w:t>Title:</w:t>
            </w:r>
          </w:p>
        </w:tc>
      </w:tr>
      <w:tr>
        <w:trPr>
          <w:trHeight w:val="356"/>
        </w:trPr>
        <w:tc>
          <w:tcPr>
            <w:tcW w:w="2500" w:type="dxa"/>
            <w:vAlign w:val="bottom"/>
          </w:tcPr>
          <w:p>
            <w:pPr>
              <w:spacing w:after="0"/>
              <w:rPr>
                <w:sz w:val="24"/>
                <w:szCs w:val="24"/>
                <w:color w:val="auto"/>
              </w:rPr>
            </w:pPr>
          </w:p>
        </w:tc>
        <w:tc>
          <w:tcPr>
            <w:tcW w:w="4860" w:type="dxa"/>
            <w:vAlign w:val="bottom"/>
          </w:tcPr>
          <w:p>
            <w:pPr>
              <w:jc w:val="right"/>
              <w:ind w:right="1472"/>
              <w:spacing w:after="0"/>
              <w:rPr>
                <w:sz w:val="20"/>
                <w:szCs w:val="20"/>
                <w:color w:val="auto"/>
              </w:rPr>
            </w:pPr>
            <w:r>
              <w:rPr>
                <w:rFonts w:ascii="Arial" w:cs="Arial" w:eastAsia="Arial" w:hAnsi="Arial"/>
                <w:sz w:val="18"/>
                <w:szCs w:val="18"/>
                <w:color w:val="auto"/>
              </w:rPr>
              <w:t>15</w:t>
            </w:r>
          </w:p>
        </w:tc>
        <w:tc>
          <w:tcPr>
            <w:tcW w:w="4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56" w:name="page57"/>
    <w:bookmarkEnd w:id="56"/>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Amendment</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The Washington Post Company Deferred Compensation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December, 6, 2007, Effective January 1, 2005)</w:t>
      </w:r>
    </w:p>
    <w:p>
      <w:pPr>
        <w:spacing w:after="0" w:line="16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Washington Post Company Deferred Compensation Plan, as amended and restated effective January 1, 2005 (the “Plan”), is hereby amended as follows:</w:t>
      </w:r>
    </w:p>
    <w:p>
      <w:pPr>
        <w:spacing w:after="0" w:line="132"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Effective as of January 1, 2011, Section 2(h) (the definition of “Designated Deferral Period”) is amended in its entirety to read as follows:</w:t>
      </w:r>
    </w:p>
    <w:p>
      <w:pPr>
        <w:spacing w:after="0" w:line="113"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“Designated Deferral Period” means one of the following periods as selected by the Participant with respect to his or her Deferred Compensation for the particular Plan Year or Short Year: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until a specified date in the future;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until Separation from Service.</w:t>
      </w:r>
    </w:p>
    <w:p>
      <w:pPr>
        <w:spacing w:after="0" w:line="171"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following rules shall apply to the designation of the deferral period. In the case of a deferral until a specified date in the future, such date may not be later than the first day of the month following the Participant’s 65th birthday. In the case of a deferral until Separation from Service, (except in the case of a director who has never been an employee of the Company) the deferral period shall end on the first day of the seventh month following Separation from Service. In the case of a director who has never been an employee of the Company, if the Participant elects a deferral until Separation from Service, the Participant may specify payment on the first day of a month (not later than the seventh) following Separation from Service. By way of example of the preceding sentence, a director who has never been an employee of the Company may specify payment on the first day of the first month following Separation from Service.</w:t>
      </w:r>
    </w:p>
    <w:p>
      <w:pPr>
        <w:sectPr>
          <w:pgSz w:w="11900" w:h="16838" w:orient="portrait"/>
          <w:cols w:equalWidth="0" w:num="1">
            <w:col w:w="11420"/>
          </w:cols>
          <w:pgMar w:left="240" w:top="341" w:right="239" w:bottom="1440" w:gutter="0" w:footer="0" w:header="0"/>
        </w:sectPr>
      </w:pPr>
    </w:p>
    <w:bookmarkStart w:id="57" w:name="page58"/>
    <w:bookmarkEnd w:id="57"/>
    <w:p>
      <w:pPr>
        <w:ind w:right="10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 Participant selects a specified date that is not the first day of a month, the following rules shall apply. If the deferral election relates to compensation earned on or before December 31, 2010 (including performance based Incentive Compensation that would otherwise be payable in 2011 or earlier), and the Payout Period is installments, the payment date shall be the first day of the following month. If the deferral election relates to compensation earned after December 31, 2010, the payment date shall be the first day of the month containing the specified date.</w:t>
      </w:r>
    </w:p>
    <w:p>
      <w:pPr>
        <w:spacing w:after="0" w:line="113" w:lineRule="exact"/>
        <w:rPr>
          <w:sz w:val="20"/>
          <w:szCs w:val="20"/>
          <w:color w:val="auto"/>
        </w:rPr>
      </w:pPr>
    </w:p>
    <w:p>
      <w:pPr>
        <w:ind w:left="180" w:hanging="176"/>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as of January 1, 2011, Section 2(q) (the definition of “Payout Period”) is amended in its entirety to read as follows:</w:t>
      </w:r>
    </w:p>
    <w:p>
      <w:pPr>
        <w:spacing w:after="0" w:line="90" w:lineRule="exact"/>
        <w:rPr>
          <w:rFonts w:ascii="Arial" w:cs="Arial" w:eastAsia="Arial" w:hAnsi="Arial"/>
          <w:sz w:val="18"/>
          <w:szCs w:val="18"/>
          <w:color w:val="auto"/>
        </w:rPr>
      </w:pPr>
    </w:p>
    <w:p>
      <w:pPr>
        <w:ind w:firstLine="443"/>
        <w:spacing w:after="0" w:line="287" w:lineRule="auto"/>
        <w:tabs>
          <w:tab w:leader="none" w:pos="687" w:val="left"/>
        </w:tabs>
        <w:numPr>
          <w:ilvl w:val="1"/>
          <w:numId w:val="37"/>
        </w:numPr>
        <w:rPr>
          <w:rFonts w:ascii="Arial" w:cs="Arial" w:eastAsia="Arial" w:hAnsi="Arial"/>
          <w:sz w:val="16"/>
          <w:szCs w:val="16"/>
          <w:color w:val="auto"/>
        </w:rPr>
      </w:pPr>
      <w:r>
        <w:rPr>
          <w:rFonts w:ascii="Arial" w:cs="Arial" w:eastAsia="Arial" w:hAnsi="Arial"/>
          <w:sz w:val="16"/>
          <w:szCs w:val="16"/>
          <w:color w:val="auto"/>
        </w:rPr>
        <w:t>“Payout Period” means either (i) a lump sum or (ii) a series of annual installments, which may not be less than 2 nor more than 10, over which a Participant Account shall be paid. Each installment shall be the balance in the Participant’s Account as of the date of the distribution divided by the number of remaining installments (including the then current installment). The first installment shall be paid on date specified in the Designated Deferral period. Except as provided below, each subsequent installment shall be paid on each anniversary of the payment date of the first installment. Effective for installments commencing on or after January 1, 2008 (that is, for installments in which the first installment is payable on or after January 1, 2008), the second and all subsequent installments shall be payable on each January 1 following the prior installment. If a Participant’s installment payments commenced before January 1, 2008, the Participant shall have two opportunities to elect to change the installment payment date to January 1 of the year in which the installment would otherwise have been paid. The first opportunity shall be on or before December 31, 2007 and shall be applicable to installments (other than the first installment of a series) payable in 2008 and later years. The second opportunity shall be on or before December 31, 2008 and shall be applicable to installments (other than the first installment of a series) payable in 2009 and later years.</w:t>
      </w:r>
    </w:p>
    <w:p>
      <w:pPr>
        <w:sectPr>
          <w:pgSz w:w="11900" w:h="16838" w:orient="portrait"/>
          <w:cols w:equalWidth="0" w:num="1">
            <w:col w:w="10920"/>
          </w:cols>
          <w:pgMar w:left="700" w:top="293" w:right="279" w:bottom="1440" w:gutter="0" w:footer="0" w:header="0"/>
        </w:sectPr>
      </w:pPr>
    </w:p>
    <w:bookmarkStart w:id="58" w:name="page59"/>
    <w:bookmarkEnd w:id="5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amendment of the Plan to be adopted by action of the Compensation Committee of the Board of Directors on this twenty-third day of September,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33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Ann L. McDaniel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Ann L. McDaniel</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Senior Vice President</w:t>
      </w:r>
    </w:p>
    <w:p>
      <w:pPr>
        <w:sectPr>
          <w:pgSz w:w="11900" w:h="16838" w:orient="portrait"/>
          <w:cols w:equalWidth="0" w:num="1">
            <w:col w:w="11260"/>
          </w:cols>
          <w:pgMar w:left="240" w:top="347" w:right="3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2010</w:t>
      </w:r>
    </w:p>
    <w:p>
      <w:pPr>
        <w:sectPr>
          <w:pgSz w:w="11900" w:h="16838" w:orient="portrait"/>
          <w:cols w:equalWidth="0" w:num="1">
            <w:col w:w="11420"/>
          </w:cols>
          <w:pgMar w:left="240" w:top="13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2010</w:t>
      </w:r>
    </w:p>
    <w:p>
      <w:pPr>
        <w:sectPr>
          <w:pgSz w:w="11900" w:h="16838" w:orient="portrait"/>
          <w:cols w:equalWidth="0" w:num="1">
            <w:col w:w="11420"/>
          </w:cols>
          <w:pgMar w:left="240" w:top="13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October 3, 2010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bullet"/>
      <w:start w:val="1"/>
    </w:lvl>
  </w:abstractNum>
  <w:abstractNum w:abstractNumId="6">
    <w:nsid w:val="6763845E"/>
    <w:multiLevelType w:val="hybridMultilevel"/>
    <w:lvl w:ilvl="0">
      <w:lvlJc w:val="left"/>
      <w:lvlText w:val="1"/>
      <w:numFmt w:val="bullet"/>
      <w:start w:val="1"/>
    </w:lvl>
  </w:abstractNum>
  <w:abstractNum w:abstractNumId="7">
    <w:nsid w:val="75A2A8D4"/>
    <w:multiLevelType w:val="hybridMultilevel"/>
    <w:lvl w:ilvl="0">
      <w:lvlJc w:val="left"/>
      <w:lvlText w:val="1"/>
      <w:numFmt w:val="bullet"/>
      <w:start w:val="1"/>
    </w:lvl>
  </w:abstractNum>
  <w:abstractNum w:abstractNumId="8">
    <w:nsid w:val="8EDBDAB"/>
    <w:multiLevelType w:val="hybridMultilevel"/>
    <w:lvl w:ilvl="0">
      <w:lvlJc w:val="left"/>
      <w:lvlText w:val="2"/>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7"/>
    </w:lvl>
  </w:abstractNum>
  <w:abstractNum w:abstractNumId="19">
    <w:nsid w:val="8138641"/>
    <w:multiLevelType w:val="hybridMultilevel"/>
    <w:lvl w:ilvl="0">
      <w:lvlJc w:val="left"/>
      <w:lvlText w:val="(%1)"/>
      <w:numFmt w:val="lowerLetter"/>
      <w:start w:val="12"/>
    </w:lvl>
  </w:abstractNum>
  <w:abstractNum w:abstractNumId="20">
    <w:nsid w:val="1E7FF521"/>
    <w:multiLevelType w:val="hybridMultilevel"/>
    <w:lvl w:ilvl="0">
      <w:lvlJc w:val="left"/>
      <w:lvlText w:val="(%1)"/>
      <w:numFmt w:val="lowerLetter"/>
      <w:start w:val="18"/>
    </w:lvl>
  </w:abstractNum>
  <w:abstractNum w:abstractNumId="21">
    <w:nsid w:val="7C3DBD3D"/>
    <w:multiLevelType w:val="hybridMultilevel"/>
    <w:lvl w:ilvl="0">
      <w:lvlJc w:val="left"/>
      <w:lvlText w:val="(%1)"/>
      <w:numFmt w:val="lowerLetter"/>
      <w:start w:val="2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3"/>
    </w:lvl>
    <w:lvl w:ilvl="1">
      <w:lvlJc w:val="left"/>
      <w:lvlText w:val="(%2)"/>
      <w:numFmt w:val="upperLetter"/>
      <w:start w:val="9"/>
    </w:lvl>
  </w:abstractNum>
  <w:abstractNum w:abstractNumId="24">
    <w:nsid w:val="22221A70"/>
    <w:multiLevelType w:val="hybridMultilevel"/>
    <w:lvl w:ilvl="0">
      <w:lvlJc w:val="left"/>
      <w:lvlText w:val="(%1)"/>
      <w:numFmt w:val="upperLetter"/>
      <w:start w:val="35"/>
    </w:lvl>
  </w:abstractNum>
  <w:abstractNum w:abstractNumId="25">
    <w:nsid w:val="4516DDE9"/>
    <w:multiLevelType w:val="hybridMultilevel"/>
    <w:lvl w:ilvl="0">
      <w:lvlJc w:val="left"/>
      <w:lvlText w:val="(%1)"/>
      <w:numFmt w:val="lowerLetter"/>
      <w:start w:val="4"/>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4"/>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4"/>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4"/>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36">
    <w:nsid w:val="2463B9EA"/>
    <w:multiLevelType w:val="hybridMultilevel"/>
    <w:lvl w:ilvl="0">
      <w:lvlJc w:val="left"/>
      <w:lvlText w:val="%1."/>
      <w:numFmt w:val="decimal"/>
      <w:start w:val="2"/>
    </w:lvl>
    <w:lvl w:ilvl="1">
      <w:lvlJc w:val="left"/>
      <w:lvlText w:val="(%2)"/>
      <w:numFmt w:val="lowerLetter"/>
      <w:start w:val="17"/>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2019-12-10T03:24:37Z</dcterms:created>
  <dcterms:modified xsi:type="dcterms:W3CDTF">2019-12-10T03:24:37Z</dcterms:modified>
</cp:coreProperties>
</file>