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24, 2025:</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3,398,422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Income (Expense)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1A.</w:t>
      </w:r>
      <w:r>
        <w:rPr>
          <w:sz w:val="20"/>
          <w:szCs w:val="20"/>
          <w:color w:val="auto"/>
        </w:rPr>
        <w:tab/>
      </w:r>
      <w:r>
        <w:rPr>
          <w:rFonts w:ascii="Arial" w:cs="Arial" w:eastAsia="Arial" w:hAnsi="Arial"/>
          <w:sz w:val="16"/>
          <w:szCs w:val="16"/>
          <w:u w:val="single" w:color="auto"/>
          <w:color w:val="0000FF"/>
        </w:rPr>
        <w:t>Risk Factors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45</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47</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700,356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700,009</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2,016,490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2,003,543</w:t>
            </w:r>
          </w:p>
        </w:tc>
        <w:tc>
          <w:tcPr>
            <w:tcW w:w="0" w:type="dxa"/>
            <w:vAlign w:val="bottom"/>
          </w:tcPr>
          <w:p>
            <w:pPr>
              <w:spacing w:after="0"/>
              <w:rPr>
                <w:sz w:val="1"/>
                <w:szCs w:val="1"/>
                <w:color w:val="auto"/>
              </w:rPr>
            </w:pPr>
          </w:p>
        </w:tc>
      </w:tr>
      <w:tr>
        <w:trPr>
          <w:trHeight w:val="233"/>
        </w:trPr>
        <w:tc>
          <w:tcPr>
            <w:tcW w:w="6000" w:type="dxa"/>
            <w:vAlign w:val="bottom"/>
          </w:tcPr>
          <w:p>
            <w:pPr>
              <w:ind w:left="20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578,503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507,153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1,644,056</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1,541,561</w:t>
            </w: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1,278,859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1,207,162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3,660,546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3,545,104</w:t>
            </w: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425,051</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399,667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1,200,503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1,171,703</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479,344</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427,114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1,362,688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1,306,905</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276,103</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269,016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823,499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801,982</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19,298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21,332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59,504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66,032</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9,692</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8,385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24,757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29,194</w:t>
            </w:r>
          </w:p>
        </w:tc>
        <w:tc>
          <w:tcPr>
            <w:tcW w:w="0" w:type="dxa"/>
            <w:vAlign w:val="bottom"/>
          </w:tcPr>
          <w:p>
            <w:pPr>
              <w:spacing w:after="0"/>
              <w:rPr>
                <w:sz w:val="1"/>
                <w:szCs w:val="1"/>
                <w:color w:val="auto"/>
              </w:rPr>
            </w:pPr>
          </w:p>
        </w:tc>
      </w:tr>
      <w:tr>
        <w:trPr>
          <w:trHeight w:val="233"/>
        </w:trPr>
        <w:tc>
          <w:tcPr>
            <w:tcW w:w="6000" w:type="dxa"/>
            <w:vAlign w:val="bottom"/>
          </w:tcPr>
          <w:p>
            <w:pPr>
              <w:ind w:left="20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2,235</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26,287</w:t>
            </w: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1,211,723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1,125,514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3,473,186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3,402,103</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67,136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81,648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187,360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143,001</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Equity in earnings (losses) of affiliates,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15,780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10,466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(8,470)</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1,464</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2,277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6,225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6,566</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(17,164)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(25,896)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(117,547)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(136,607)</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31,047</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38,307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94,266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105,379</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84,768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30,496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117,026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154,276</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(20,514)</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183,038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113,006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277,282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267,118</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56,800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84,900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86,100</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126,238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74,506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192,382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181,018</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(8,814)</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161"/>
        </w:trPr>
        <w:tc>
          <w:tcPr>
            <w:tcW w:w="6000" w:type="dxa"/>
            <w:vAlign w:val="bottom"/>
          </w:tcPr>
          <w:p>
            <w:pPr>
              <w:spacing w:after="0" w:line="161"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122,925</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72,503</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183,568</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175,843</w:t>
            </w:r>
          </w:p>
        </w:tc>
        <w:tc>
          <w:tcPr>
            <w:tcW w:w="0" w:type="dxa"/>
            <w:vAlign w:val="bottom"/>
          </w:tcPr>
          <w:p>
            <w:pPr>
              <w:spacing w:after="0"/>
              <w:rPr>
                <w:sz w:val="1"/>
                <w:szCs w:val="1"/>
                <w:color w:val="auto"/>
              </w:rPr>
            </w:pPr>
          </w:p>
        </w:tc>
      </w:tr>
      <w:tr>
        <w:trPr>
          <w:trHeight w:val="208"/>
        </w:trPr>
        <w:tc>
          <w:tcPr>
            <w:tcW w:w="6000" w:type="dxa"/>
            <w:vAlign w:val="bottom"/>
          </w:tcPr>
          <w:p>
            <w:pPr>
              <w:ind w:left="16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16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16.54</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4,334</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4,352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4,329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27.91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16.42</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41.75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4,378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4,384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4,370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2"/>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710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20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7100" w:type="dxa"/>
            <w:vAlign w:val="bottom"/>
          </w:tcPr>
          <w:p>
            <w:pPr>
              <w:spacing w:after="0"/>
              <w:rPr>
                <w:sz w:val="20"/>
                <w:szCs w:val="20"/>
                <w:color w:val="auto"/>
              </w:rPr>
            </w:pPr>
            <w:r>
              <w:rPr>
                <w:rFonts w:ascii="Arial" w:cs="Arial" w:eastAsia="Arial" w:hAnsi="Arial"/>
                <w:sz w:val="14"/>
                <w:szCs w:val="14"/>
                <w:color w:val="auto"/>
              </w:rPr>
              <w:t>(in thousands)</w:t>
            </w: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2024</w:t>
            </w: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2025</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800"/>
        <w:spacing w:after="0" w:line="339" w:lineRule="auto"/>
        <w:rPr>
          <w:sz w:val="20"/>
          <w:szCs w:val="20"/>
          <w:color w:val="auto"/>
        </w:rPr>
      </w:pPr>
      <w:r>
        <w:rPr>
          <w:rFonts w:ascii="Arial" w:cs="Arial" w:eastAsia="Arial" w:hAnsi="Arial"/>
          <w:sz w:val="16"/>
          <w:szCs w:val="16"/>
          <w:color w:val="auto"/>
        </w:rPr>
        <w:t>Amortization of net prior service credit included in net income Amortization of net actuarial gain included in net income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300" w:hanging="280"/>
        <w:spacing w:after="0"/>
        <w:tabs>
          <w:tab w:leader="none" w:pos="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126,238  </w:t>
      </w:r>
      <w:r>
        <w:rPr>
          <w:rFonts w:ascii="Arial" w:cs="Arial" w:eastAsia="Arial" w:hAnsi="Arial"/>
          <w:sz w:val="16"/>
          <w:szCs w:val="16"/>
          <w:color w:val="auto"/>
        </w:rPr>
        <w:t>$   74,506</w:t>
      </w:r>
      <w:r>
        <w:rPr>
          <w:rFonts w:ascii="Arial" w:cs="Arial" w:eastAsia="Arial" w:hAnsi="Arial"/>
          <w:sz w:val="16"/>
          <w:szCs w:val="16"/>
          <w:b w:val="1"/>
          <w:bCs w:val="1"/>
          <w:color w:val="auto"/>
        </w:rPr>
        <w:t xml:space="preserve">  $  192,382  </w:t>
      </w:r>
      <w:r>
        <w:rPr>
          <w:rFonts w:ascii="Arial" w:cs="Arial" w:eastAsia="Arial" w:hAnsi="Arial"/>
          <w:sz w:val="16"/>
          <w:szCs w:val="16"/>
          <w:color w:val="auto"/>
        </w:rPr>
        <w:t>$  181,018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(8,227)</w:t>
            </w:r>
          </w:p>
        </w:tc>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31,469</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38,323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21,702</w:t>
            </w:r>
          </w:p>
        </w:tc>
      </w:tr>
      <w:tr>
        <w:trPr>
          <w:trHeight w:val="233"/>
        </w:trPr>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646</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20"/>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(8,227)</w:t>
            </w:r>
          </w:p>
        </w:tc>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30,704</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38,969</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20,937</w:t>
            </w:r>
          </w:p>
        </w:tc>
      </w:tr>
      <w:tr>
        <w:trPr>
          <w:trHeight w:val="458"/>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(1,560)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(1,463)</w:t>
            </w:r>
          </w:p>
        </w:tc>
      </w:tr>
      <w:tr>
        <w:trPr>
          <w:trHeight w:val="23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(12,360)</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(37,080)</w:t>
            </w:r>
          </w:p>
        </w:tc>
      </w:tr>
      <w:tr>
        <w:trPr>
          <w:trHeight w:val="220"/>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(12,847)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(2,697)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(38,543)</w:t>
            </w:r>
          </w:p>
        </w:tc>
      </w:tr>
      <w:tr>
        <w:trPr>
          <w:trHeight w:val="233"/>
        </w:trPr>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(979)</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r>
      <w:tr>
        <w:trPr>
          <w:trHeight w:val="220"/>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(9,061)</w:t>
            </w:r>
          </w:p>
        </w:tc>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15,882</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35,293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(18,124)</w:t>
            </w:r>
          </w:p>
        </w:tc>
      </w:tr>
      <w:tr>
        <w:trPr>
          <w:trHeight w:val="233"/>
        </w:trPr>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944</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10,002</w:t>
            </w:r>
          </w:p>
        </w:tc>
      </w:tr>
      <w:tr>
        <w:trPr>
          <w:trHeight w:val="22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(8,849)</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19,685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36,237</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w:t>
            </w:r>
          </w:p>
        </w:tc>
      </w:tr>
      <w:tr>
        <w:trPr>
          <w:trHeight w:val="220"/>
        </w:trPr>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117,389</w:t>
            </w:r>
          </w:p>
        </w:tc>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94,191</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228,619</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172,896</w:t>
            </w:r>
          </w:p>
        </w:tc>
      </w:tr>
      <w:tr>
        <w:trPr>
          <w:trHeight w:val="23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(3,313)</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(8,814)</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w:t>
            </w:r>
          </w:p>
        </w:tc>
      </w:tr>
      <w:tr>
        <w:trPr>
          <w:trHeight w:val="223"/>
        </w:trPr>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114,076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92,188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219,805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167,721</w:t>
            </w:r>
          </w:p>
        </w:tc>
      </w:tr>
      <w:tr>
        <w:trPr>
          <w:trHeight w:val="24"/>
        </w:trPr>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400" w:space="720"/>
            <w:col w:w="412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190,822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260,852</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46,281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37,001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1,005,792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858,743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543,995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514,426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306,257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295,808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135,165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116,472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6,402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7,714</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7,861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2,242,575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2,098,624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559,913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549,364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404,029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388,419</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201,144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169,125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1,571,968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165,300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164,323</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68,910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2,462,685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2,510,520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9,519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8,908</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165,926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231,190</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7,851,969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747,486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712,505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425,621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390,976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16,128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11,502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8,661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62,614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58,239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424,870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7,851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1,693,231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1,199,799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131,238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136,101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29,280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27,361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757,898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739,260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13,526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379,092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362,885</w:t>
            </w: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307,026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3,311,291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3,346,569</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52,018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365,595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356,919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8,183,958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8,031,750</w:t>
            </w:r>
          </w:p>
        </w:tc>
        <w:tc>
          <w:tcPr>
            <w:tcW w:w="0" w:type="dxa"/>
            <w:vAlign w:val="bottom"/>
          </w:tcPr>
          <w:p>
            <w:pPr>
              <w:spacing w:after="0"/>
              <w:rPr>
                <w:sz w:val="1"/>
                <w:szCs w:val="1"/>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(19,075)</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(58,044)</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391,942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393,949</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(1,833)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(4,483,861)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(4,486,805)</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4,456,726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4,256,661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31,934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30,154</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4,488,660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4,286,815</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7,851,969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23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23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192,382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181,018</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86,496</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121,513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44,229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47,746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early retirement program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(61,090)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(64,532)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 of impairment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(102,861)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(153,723)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Loss (gain) on disposition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1,019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2,921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4,797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7,707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5,642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(2,562)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19,396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28,578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15,504</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13,083</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11,322</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22,682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(8,105)</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31,249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33,619</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14,382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30,977</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5,455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34,710</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(41,722)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(47,156)</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71,708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63,124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318,896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290,676</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(48,618)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(57,680)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(29,823)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(19,486)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(10,512)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7,747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8,342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23,524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Loan to related party</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2,330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(98,362)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(35,680)</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(191,609)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(4,010)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(repayments of) proceeds from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(27,897)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(23,508)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(22,926)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(22,089)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(16,053)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Principal payments of finance 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(13,049)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(7,017)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(5,390)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(3,468)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(98,170)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borrowings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(34,216)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(1,019)</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(290,817)</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(176,315)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9,533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(60,750)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80,333</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297,853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201,891</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237,103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282,224</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Pr>
          <w:p>
            <w:pPr>
              <w:spacing w:after="0"/>
              <w:rPr>
                <w:sz w:val="13"/>
                <w:szCs w:val="13"/>
                <w:color w:val="auto"/>
              </w:rPr>
            </w:pPr>
          </w:p>
        </w:tc>
        <w:tc>
          <w:tcPr>
            <w:tcW w:w="86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3"/>
                <w:szCs w:val="13"/>
                <w:color w:val="auto"/>
              </w:rPr>
              <w:t>As of December 31,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356,919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8,031,750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334,797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(4,486,805)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30,154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4,286,815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43,821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25,721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25,721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(698)</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634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(747)</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(747)</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(15,662)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(15,662)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(3,468)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(3,468)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9,431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9,141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18,572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(402)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1,724</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1,724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13,096</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13,096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20"/>
                <w:szCs w:val="20"/>
                <w:color w:val="auto"/>
              </w:rPr>
            </w:pPr>
            <w:r>
              <w:rPr>
                <w:rFonts w:ascii="Arial" w:cs="Arial" w:eastAsia="Arial" w:hAnsi="Arial"/>
                <w:sz w:val="13"/>
                <w:szCs w:val="13"/>
                <w:color w:val="auto"/>
              </w:rPr>
              <w:t>As of March 31, 2025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368,074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8,039,982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347,893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(4,481,534)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31,350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4,325,765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43,586</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40,423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40,423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(2,030)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2,030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(1,644)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(1,644)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1,644</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(4,971)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642</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(4,329)</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4,977</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(1,371)</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(1,371)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(7,846)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(7,846)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1,696</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1,696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31,990</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31,990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June 30, 2025</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364,793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8,068,885</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379,883</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(4,481,658)</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32,651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4,384,554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49,869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126,238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126,238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(1,652)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1,652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(1,661)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(1,661)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1,661</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(852)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264</w:t>
            </w: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(588)</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859</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(872)</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(872)</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(371)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(7,852)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(7,852)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(2,235)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(2,235)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1,686</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1,686</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Purchase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(1,761)</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(1,761)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(8,849)</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(8,849)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September 30,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365,595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8,183,958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371,034</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(4,483,861)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31,934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4,488,660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52,018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372,040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7,337,463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614,337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(4,368,103)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26,131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4,001,868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24,185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125,339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125,339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633</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(256)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(15,352)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(20,227)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(344)</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(22,492)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373,367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7,446,491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591,845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(4,388,213)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26,992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4,070,482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24,225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(18,827)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(18,827)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(994)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(13,342)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331</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(13,011)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13,350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(1,109)</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(1,109)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(7,574)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(29,780)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(29,780)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1,648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(5,315)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361,637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7,417,877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586,530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(4,417,957)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27,433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3,995,520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38,006</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74,506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74,506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(1,166)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1,166</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(837)</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220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(891)</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(891)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(7,444)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(7,444)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(49,131)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(49,131)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(1,025)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1,627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1,627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19,685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19,685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As of September 30, 2024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363,224</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7,482,936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606,215</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(4,468,073)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4,032,430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38,672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Through Kaplan, Inc. (Kaplan), the Company provides a wide variety of educational services to students, schools, colleges, universities and</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businesses, both domestically and outside the United States (U.S.). Kaplan’s educational services include academic preparation programs for international students; English-language programs; operations support services for pre-college, certificate, undergraduate and graduate</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programs; exam preparation for high school and graduate students and for professional certifications and licensures; and a United Kingdom sixth-form college that prepares students for A-level examinations.</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0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Company’s manufacturing companies include a supplier of pressure-treated wood and aluminum cladding products,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applied behavior analysis therapy; physician services for allergy, asthma and immunology patients; in-home aesthetics; and healthcare software-as-a-service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seven dealerships and valet repair services.</w:t>
      </w:r>
    </w:p>
    <w:p>
      <w:pPr>
        <w:spacing w:after="0" w:line="15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72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and an online commerce platform featuring original art and designs on an array of consumer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1"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2025 and 2024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2024.</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December 2023,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enhanced income tax disclosures related to the rate reconciliation, information on income taxes paid and</w:t>
      </w:r>
    </w:p>
    <w:p>
      <w:pPr>
        <w:ind w:right="500"/>
        <w:spacing w:after="0" w:line="237" w:lineRule="auto"/>
        <w:rPr>
          <w:sz w:val="20"/>
          <w:szCs w:val="20"/>
          <w:color w:val="auto"/>
        </w:rPr>
      </w:pPr>
      <w:r>
        <w:rPr>
          <w:rFonts w:ascii="Arial" w:cs="Arial" w:eastAsia="Arial" w:hAnsi="Arial"/>
          <w:sz w:val="18"/>
          <w:szCs w:val="18"/>
          <w:color w:val="auto"/>
        </w:rPr>
        <w:t>other items. The guidance is effective for annual periods beginning after December 15, 2024. Early adoption is permitted. The standard permits both prospective 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840"/>
        <w:spacing w:after="0" w:line="271" w:lineRule="auto"/>
        <w:rPr>
          <w:sz w:val="20"/>
          <w:szCs w:val="20"/>
          <w:color w:val="auto"/>
        </w:rPr>
      </w:pPr>
      <w:r>
        <w:rPr>
          <w:rFonts w:ascii="Arial" w:cs="Arial" w:eastAsia="Arial" w:hAnsi="Arial"/>
          <w:sz w:val="18"/>
          <w:szCs w:val="18"/>
          <w:color w:val="auto"/>
        </w:rPr>
        <w:t>retrospective application. The Company is in the process of evaluating the impact of this new guidance on the disclosures within its Condensed Consolidated Financial Statements.</w:t>
      </w:r>
    </w:p>
    <w:p>
      <w:pPr>
        <w:spacing w:after="0" w:line="86"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In November 2024, FASB issued new guidance that requires disclosures about certain significant expense categories including inventory purchases, employee compensation, depreciation, amortization, and selling expenses. The guidance is effective for fiscal years beginning</w:t>
      </w:r>
    </w:p>
    <w:p>
      <w:pPr>
        <w:ind w:right="400"/>
        <w:spacing w:after="0"/>
        <w:rPr>
          <w:sz w:val="20"/>
          <w:szCs w:val="20"/>
          <w:color w:val="auto"/>
        </w:rPr>
      </w:pPr>
      <w:r>
        <w:rPr>
          <w:rFonts w:ascii="Arial" w:cs="Arial" w:eastAsia="Arial" w:hAnsi="Arial"/>
          <w:sz w:val="17"/>
          <w:szCs w:val="17"/>
          <w:color w:val="auto"/>
        </w:rPr>
        <w:t>after December 15, 2026, and interim periods within fiscal years beginning after December 15, 2027. Early adoption is permitted. The Company is in the process of evaluating the impact of this new guidance on the disclosures within its Condensed Consolidated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140"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In September 2025, FASB issued new guidance which updates the accounting for internal-use software by removing references to software development project stages and adding new criteria to determine when an entity is required to start capitalizing internal-use software costs.</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guidance is effective for fiscal years and interim periods beginning after December 15, 2027. Early adoption is permitted. The Company is in the process of evaluating the impact of this new guidance on its Condensed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On October 21, 2025, the Company’s automotive subsidiary acquired a Honda automotive dealership, including the real</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property for the dealership operations. In addition to a cash payment and the assumption of $4.9 million in floor plan payables, the automotive subsidiary borrowed $38.7 million under the delayed draw term loan to finance the acquisition (see Note 7). The dealership is</w:t>
      </w:r>
    </w:p>
    <w:p>
      <w:pPr>
        <w:spacing w:after="0" w:line="2"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operated and managed by an entity affiliated with Christopher J. Ourisman, a member of the Ourisman Automotive Group family of dealerships. This acquisition expands the Company’s automotive business operations and will be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 Company acquired two businesses: one in education and one in manufacturing for $19.9 million in cash and the</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assumption of $107.4 million in net pension obligations.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July 2025, Hoover acquired 100% of Arconic Architectural Products, LLC, a wholly-owned subsidiary of Arconic Corporation, which</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manufactures aluminum cladding products and operates within the broader non-residential materials space from its facility in Eastman, GA. A significant portion of the purchase price was funded by the Company’s assumption of certain pension obligations. The acquisition expands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Hoover’s product offerings and is included in manufacturing.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June 2025, Kaplan acquired one small business which is included in its supplemental education division.</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During 2024, the Company acquired two small businesses. In January 2024, the Company acquired one small business which is included in other businesses. In May 2024, Kaplan acquired one small business which is included in its international division.</w:t>
      </w:r>
    </w:p>
    <w:p>
      <w:pPr>
        <w:spacing w:after="0" w:line="10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Acquisition-related costs for acquisitions that closed during the first nine months of 2025 were $2.0 million and were expensed as incurred. The aggregate purchase price of the 2025 acquisitions was allocated as follows, based on the acquisition date fair values to the following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right"/>
              <w:ind w:right="441"/>
              <w:spacing w:after="0"/>
              <w:rPr>
                <w:sz w:val="20"/>
                <w:szCs w:val="20"/>
                <w:color w:val="auto"/>
              </w:rPr>
            </w:pPr>
            <w:r>
              <w:rPr>
                <w:rFonts w:ascii="Arial" w:cs="Arial" w:eastAsia="Arial" w:hAnsi="Arial"/>
                <w:sz w:val="14"/>
                <w:szCs w:val="14"/>
                <w:b w:val="1"/>
                <w:bCs w:val="1"/>
                <w:color w:val="auto"/>
              </w:rPr>
              <w:t>Nine Months Ended</w:t>
            </w:r>
          </w:p>
        </w:tc>
      </w:tr>
      <w:tr>
        <w:trPr>
          <w:trHeight w:val="22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September 30, 2025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11,641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26,004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14,014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2,540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42,777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41,300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9,716</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202</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Pension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(107,365)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(18,423)</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(2,540)</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19,866</w:t>
            </w:r>
          </w:p>
        </w:tc>
      </w:tr>
      <w:tr>
        <w:trPr>
          <w:trHeight w:val="21"/>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2025 fair values recorded were based upon preliminary valuations and the estimates and assumptions in such valuations are subject to change within the measurement period (up to one year from the acquisition date). The recording of the amounts of residual goodwill, other intangibles and pension liabilities are not yet finalized. Goodwill</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is calculated as the excess of the consideration transferred over the net assets recognized and represents the estimated future economic</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benefits arising from other assets acquired that could not be individually identified and separately recognized. The goodwill recorded due to these acquisitions is attributable to the assembled workforce of the acquired companies and expected synergies. The Company expects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deduct $1.3 million of goodwill for income tax purposes for the acquisitions completed in 2025.</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acquired companies were consolidated into the Company’s financial statements starting on their respective acquisition dates. The Company’s Condensed Consolidated Statement of Operations for the three months ended September 30, 2025 includes aggregate revenues</w:t>
      </w:r>
    </w:p>
    <w:p>
      <w:pPr>
        <w:spacing w:after="0" w:line="235" w:lineRule="auto"/>
        <w:rPr>
          <w:sz w:val="20"/>
          <w:szCs w:val="20"/>
          <w:color w:val="auto"/>
        </w:rPr>
      </w:pPr>
      <w:r>
        <w:rPr>
          <w:rFonts w:ascii="Arial" w:cs="Arial" w:eastAsia="Arial" w:hAnsi="Arial"/>
          <w:sz w:val="18"/>
          <w:szCs w:val="18"/>
          <w:color w:val="auto"/>
        </w:rPr>
        <w:t>and operating losses for the companies acquired in 2025 of $25.7 million and $1.2 million, respectively. The Company’s Condensed</w:t>
      </w:r>
    </w:p>
    <w:p>
      <w:pPr>
        <w:ind w:right="20"/>
        <w:spacing w:after="0" w:line="226" w:lineRule="auto"/>
        <w:rPr>
          <w:sz w:val="20"/>
          <w:szCs w:val="20"/>
          <w:color w:val="auto"/>
        </w:rPr>
      </w:pPr>
      <w:r>
        <w:rPr>
          <w:rFonts w:ascii="Arial" w:cs="Arial" w:eastAsia="Arial" w:hAnsi="Arial"/>
          <w:sz w:val="18"/>
          <w:szCs w:val="18"/>
          <w:color w:val="auto"/>
        </w:rPr>
        <w:t>Consolidated Statement of Operations includes aggregate revenues and operating losses of $25.7 million and $1.3 million, respectively, for the nine months ended September 30, 2025. The following unaudited pro forma financial information includes the 2025 acquisitions as if they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occurred at the beginning of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2024</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1,282,805</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1,231,970</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3,714,292</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3,619,085</w:t>
            </w:r>
          </w:p>
        </w:tc>
      </w:tr>
      <w:tr>
        <w:trPr>
          <w:trHeight w:val="229"/>
        </w:trPr>
        <w:tc>
          <w:tcPr>
            <w:tcW w:w="5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129,195</w:t>
            </w:r>
          </w:p>
        </w:tc>
        <w:tc>
          <w:tcPr>
            <w:tcW w:w="56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75,236</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197,452</w:t>
            </w:r>
          </w:p>
        </w:tc>
        <w:tc>
          <w:tcPr>
            <w:tcW w:w="5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180,257</w:t>
            </w:r>
          </w:p>
        </w:tc>
      </w:tr>
    </w:tbl>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The Company recently decided to cease operations of the Ourisman Jeep of Bethesda dealership,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closed in early September 2025.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April 2025, Kaplan completed the sale of a small business, BridgeU Limited, which was included in Kaplan International.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first half of 2025, World of Good Brands (WGB) completed the sale of various websites and related businesses that made up the WGB</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operations, which were included in other businesses. All remaining WGB operations were substantially shut down by the end of the third quarter of 2025.</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June and September 2024, WGB completed the sales of small businesses. In July 2024, Kaplan completed the sale of a small business, Red Marker, which was included in Kaplan International.</w:t>
      </w:r>
    </w:p>
    <w:p>
      <w:pPr>
        <w:spacing w:after="0" w:line="8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July 2025, CSI Pharmacy Holding Company, LLC (CSI) exercised its call option to purchase some of the minority-owned interest of CSI for $1.8 million.</w:t>
      </w:r>
    </w:p>
    <w:p>
      <w:pPr>
        <w:spacing w:after="0" w:line="100"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related to GHC One LLC (GHC One), including CSI, for a total of $205 million,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consisted of approximately $186.25 million in cash and $18.75 million in Graham Holdings Company Class B common stock.</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related to GHC One and GHC Two LLC (GHC Two) was $ 22.2 million at September 30, 2025, with $8.7 million included in current liabilities due to the expected dissolution of GHC One by March 31, 2026.</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In December 2024, the Company acquired some of the minority-owned shares of CSI for a total estimated amount of $2.0 million. The Company paid cash of $0.6 million and entered into a promissory note with the minority owner for the remaining $1.4 million at an interest</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rate of 5.5% per annum. The note is included in other indebtedness (see Note 7) and is due and payable on January 31, 2026. Following the redemption, the Company owns 87.5% of CSI.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the Company holds a controlling financial interest in GHC One and GHC Two and therefore includes the assets,</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liabilities, results of operations and cash flows in its consolidated financial statements. GHC One acquired Clarus during 2019. GHC Two acquired Impact Medical during 2021 and Skin Clique and Surpass in 2022. The Company accounts for the minority ownership of the group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senior managers in GHC One and GHC Two as a mandatorily redeemable noncontrolling interest (see Note 8).</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September 30, 2025 and December 31, 2024, the Company had money market investments of $5.6</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and $3.9 million, respectively, that are classified as cash and cash equivalents in the Company’s Condensed Consolidated Balance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80" w:type="dxa"/>
            <w:vAlign w:val="bottom"/>
          </w:tcPr>
          <w:p>
            <w:pPr>
              <w:jc w:val="right"/>
              <w:ind w:right="16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256,897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227,153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760,003</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627,760</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(18,107)</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998,793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852,434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and December 31, 2024, the Company owned 55,430 shares in Markel Group Inc. (Markel) valued at $105.9 million</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and $95.7 million, respectively. The Chief Executive Officer of Markel, Mr. Thomas S. Gayner, is a member of the Company’s Board of Directors. As of September 30, 2025, the Company owned 422 Class A and 481,920 Class B shares in Berkshire Hathaway valued at $560.6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which exceeded 5% of the Company’s total assets.</w:t>
      </w:r>
    </w:p>
    <w:p>
      <w:pPr>
        <w:spacing w:after="0" w:line="14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Company purchased $29.8 million of marketable equity securities during the first nine months of 2025. The Company purchased $5.0 million of marketable equity securities during the first nine months of 2024. There were no sales of marketable equity securities during the</w:t>
      </w:r>
    </w:p>
    <w:p>
      <w:pPr>
        <w:spacing w:after="0" w:line="235" w:lineRule="auto"/>
        <w:rPr>
          <w:sz w:val="20"/>
          <w:szCs w:val="20"/>
          <w:color w:val="auto"/>
        </w:rPr>
      </w:pPr>
      <w:r>
        <w:rPr>
          <w:rFonts w:ascii="Arial" w:cs="Arial" w:eastAsia="Arial" w:hAnsi="Arial"/>
          <w:sz w:val="18"/>
          <w:szCs w:val="18"/>
          <w:color w:val="auto"/>
        </w:rPr>
        <w:t>first nine months of 2025. During the first nine months of 2024, the gross cumulative realized net gains from the sales of marketable equity</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securities were $19.8 million. The total proceeds from such sales were $23.5 million. The Company donated marketable equity securities in the first nine months of 2025 and 2024, and recorded $0.4 million in gross cumulative realized gains from the donations in each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2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64"/>
              <w:spacing w:after="0"/>
              <w:rPr>
                <w:sz w:val="20"/>
                <w:szCs w:val="20"/>
                <w:color w:val="auto"/>
              </w:rPr>
            </w:pPr>
            <w:r>
              <w:rPr>
                <w:rFonts w:ascii="Arial" w:cs="Arial" w:eastAsia="Arial" w:hAnsi="Arial"/>
                <w:sz w:val="16"/>
                <w:szCs w:val="16"/>
                <w:b w:val="1"/>
                <w:bCs w:val="1"/>
                <w:color w:val="auto"/>
              </w:rPr>
              <w:t>84,768</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30,496</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4"/>
              <w:spacing w:after="0"/>
              <w:rPr>
                <w:sz w:val="20"/>
                <w:szCs w:val="20"/>
                <w:color w:val="auto"/>
              </w:rPr>
            </w:pPr>
            <w:r>
              <w:rPr>
                <w:rFonts w:ascii="Arial" w:cs="Arial" w:eastAsia="Arial" w:hAnsi="Arial"/>
                <w:sz w:val="16"/>
                <w:szCs w:val="16"/>
                <w:b w:val="1"/>
                <w:bCs w:val="1"/>
                <w:color w:val="auto"/>
              </w:rPr>
              <w:t>117,026</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154,276</w:t>
            </w:r>
          </w:p>
        </w:tc>
        <w:tc>
          <w:tcPr>
            <w:tcW w:w="0" w:type="dxa"/>
            <w:vAlign w:val="bottom"/>
          </w:tcPr>
          <w:p>
            <w:pPr>
              <w:spacing w:after="0"/>
              <w:rPr>
                <w:sz w:val="1"/>
                <w:szCs w:val="1"/>
                <w:color w:val="auto"/>
              </w:rPr>
            </w:pPr>
          </w:p>
        </w:tc>
      </w:tr>
      <w:tr>
        <w:trPr>
          <w:trHeight w:val="182"/>
        </w:trPr>
        <w:tc>
          <w:tcPr>
            <w:tcW w:w="5680" w:type="dxa"/>
            <w:vAlign w:val="bottom"/>
          </w:tcPr>
          <w:p>
            <w:pPr>
              <w:ind w:left="20"/>
              <w:spacing w:after="0" w:line="182" w:lineRule="exact"/>
              <w:rPr>
                <w:sz w:val="20"/>
                <w:szCs w:val="20"/>
                <w:color w:val="auto"/>
              </w:rPr>
            </w:pPr>
            <w:r>
              <w:rPr>
                <w:rFonts w:ascii="Arial" w:cs="Arial" w:eastAsia="Arial" w:hAnsi="Arial"/>
                <w:sz w:val="16"/>
                <w:szCs w:val="16"/>
                <w:color w:val="auto"/>
              </w:rPr>
              <w:t>Less: Net gains in earnings from marketable equity securities sold and</w:t>
            </w:r>
          </w:p>
        </w:tc>
        <w:tc>
          <w:tcPr>
            <w:tcW w:w="28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(25)</w:t>
            </w: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(25)</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680" w:type="dxa"/>
            <w:vAlign w:val="bottom"/>
          </w:tcPr>
          <w:p>
            <w:pPr>
              <w:ind w:left="180"/>
              <w:spacing w:after="0"/>
              <w:rPr>
                <w:sz w:val="20"/>
                <w:szCs w:val="20"/>
                <w:color w:val="auto"/>
              </w:rPr>
            </w:pPr>
            <w:r>
              <w:rPr>
                <w:rFonts w:ascii="Arial" w:cs="Arial" w:eastAsia="Arial" w:hAnsi="Arial"/>
                <w:sz w:val="16"/>
                <w:szCs w:val="16"/>
                <w:color w:val="auto"/>
              </w:rPr>
              <w:t>donated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(5,908)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w:t>
            </w:r>
          </w:p>
        </w:tc>
        <w:tc>
          <w:tcPr>
            <w:tcW w:w="0" w:type="dxa"/>
            <w:vAlign w:val="bottom"/>
          </w:tcPr>
          <w:p>
            <w:pPr>
              <w:spacing w:after="0"/>
              <w:rPr>
                <w:sz w:val="1"/>
                <w:szCs w:val="1"/>
                <w:color w:val="auto"/>
              </w:rPr>
            </w:pPr>
          </w:p>
        </w:tc>
      </w:tr>
      <w:tr>
        <w:trPr>
          <w:trHeight w:val="161"/>
        </w:trPr>
        <w:tc>
          <w:tcPr>
            <w:tcW w:w="56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gains in earnings from marketable equity securities still</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64"/>
              <w:spacing w:after="0"/>
              <w:rPr>
                <w:sz w:val="20"/>
                <w:szCs w:val="20"/>
                <w:color w:val="auto"/>
              </w:rPr>
            </w:pPr>
            <w:r>
              <w:rPr>
                <w:rFonts w:ascii="Arial" w:cs="Arial" w:eastAsia="Arial" w:hAnsi="Arial"/>
                <w:sz w:val="16"/>
                <w:szCs w:val="16"/>
                <w:b w:val="1"/>
                <w:bCs w:val="1"/>
                <w:color w:val="auto"/>
              </w:rPr>
              <w:t>84,743</w:t>
            </w:r>
          </w:p>
        </w:tc>
        <w:tc>
          <w:tcPr>
            <w:tcW w:w="52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41"/>
              <w:spacing w:after="0"/>
              <w:rPr>
                <w:sz w:val="20"/>
                <w:szCs w:val="20"/>
                <w:color w:val="auto"/>
              </w:rPr>
            </w:pPr>
            <w:r>
              <w:rPr>
                <w:rFonts w:ascii="Arial" w:cs="Arial" w:eastAsia="Arial" w:hAnsi="Arial"/>
                <w:sz w:val="16"/>
                <w:szCs w:val="16"/>
                <w:color w:val="auto"/>
              </w:rPr>
              <w:t>24,588</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64"/>
              <w:spacing w:after="0"/>
              <w:rPr>
                <w:sz w:val="20"/>
                <w:szCs w:val="20"/>
                <w:color w:val="auto"/>
              </w:rPr>
            </w:pPr>
            <w:r>
              <w:rPr>
                <w:rFonts w:ascii="Arial" w:cs="Arial" w:eastAsia="Arial" w:hAnsi="Arial"/>
                <w:sz w:val="16"/>
                <w:szCs w:val="16"/>
                <w:b w:val="1"/>
                <w:bCs w:val="1"/>
                <w:color w:val="auto"/>
              </w:rPr>
              <w:t>117,001</w:t>
            </w:r>
          </w:p>
        </w:tc>
        <w:tc>
          <w:tcPr>
            <w:tcW w:w="56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148,266</w:t>
            </w:r>
          </w:p>
        </w:tc>
        <w:tc>
          <w:tcPr>
            <w:tcW w:w="0" w:type="dxa"/>
            <w:vAlign w:val="bottom"/>
          </w:tcPr>
          <w:p>
            <w:pPr>
              <w:spacing w:after="0"/>
              <w:rPr>
                <w:sz w:val="1"/>
                <w:szCs w:val="1"/>
                <w:color w:val="auto"/>
              </w:rPr>
            </w:pPr>
          </w:p>
        </w:tc>
      </w:tr>
      <w:tr>
        <w:trPr>
          <w:trHeight w:val="208"/>
        </w:trPr>
        <w:tc>
          <w:tcPr>
            <w:tcW w:w="5680" w:type="dxa"/>
            <w:vAlign w:val="bottom"/>
          </w:tcPr>
          <w:p>
            <w:pPr>
              <w:ind w:left="180"/>
              <w:spacing w:after="0"/>
              <w:rPr>
                <w:sz w:val="20"/>
                <w:szCs w:val="20"/>
                <w:color w:val="auto"/>
              </w:rPr>
            </w:pPr>
            <w:r>
              <w:rPr>
                <w:rFonts w:ascii="Arial" w:cs="Arial" w:eastAsia="Arial" w:hAnsi="Arial"/>
                <w:sz w:val="16"/>
                <w:szCs w:val="16"/>
                <w:b w:val="1"/>
                <w:bCs w:val="1"/>
                <w:color w:val="auto"/>
              </w:rPr>
              <w:t>held at the end of the period</w:t>
            </w: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September 30, 2025, the Company’s healthcare subsidiary held investments in several affiliates that</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Graham Healthcare Group (GHG) actively manages; GHG held a 40% interest in each of the following affiliates: Residential Home Health Illinois, Residential Hospice Illinois, Mary Free Bed at Home, and Allegheny Health Network Healthcare at Home. For the three and nine</w:t>
      </w:r>
    </w:p>
    <w:p>
      <w:pPr>
        <w:spacing w:after="0" w:line="235" w:lineRule="auto"/>
        <w:rPr>
          <w:sz w:val="20"/>
          <w:szCs w:val="20"/>
          <w:color w:val="auto"/>
        </w:rPr>
      </w:pPr>
      <w:r>
        <w:rPr>
          <w:rFonts w:ascii="Arial" w:cs="Arial" w:eastAsia="Arial" w:hAnsi="Arial"/>
          <w:sz w:val="18"/>
          <w:szCs w:val="18"/>
          <w:color w:val="auto"/>
        </w:rPr>
        <w:t>months ended September 30, 2025, the Company recorded $4.2 million and $12.1 million, respectively, in revenue for services provided to</w:t>
      </w:r>
    </w:p>
    <w:p>
      <w:pPr>
        <w:ind w:right="520"/>
        <w:spacing w:after="0" w:line="237" w:lineRule="auto"/>
        <w:rPr>
          <w:sz w:val="20"/>
          <w:szCs w:val="20"/>
          <w:color w:val="auto"/>
        </w:rPr>
      </w:pPr>
      <w:r>
        <w:rPr>
          <w:rFonts w:ascii="Arial" w:cs="Arial" w:eastAsia="Arial" w:hAnsi="Arial"/>
          <w:sz w:val="18"/>
          <w:szCs w:val="18"/>
          <w:color w:val="auto"/>
        </w:rPr>
        <w:t>the affiliates of GHG. For the three and nine months ended September 30, 2024, the Company recorded $4.4 million and $12.9 million, respectively, in revenue for services provided to the affiliates of GHG.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2025, the Company invested an additional $29.3 million in Intersection Holdings, LLC (Intersection). Intersection used a portion</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of the additional investment to settle, in a non-cash exchange, $19.3 million of the outstanding amount owed to the Company on the $30 million term loan extended in April 2023. The outstanding balance on this loan was $5.0 million as of September 30, 2025, which is now</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repayable by December 2025. Following the additional investment, the Company recognized a gain of $18.6 million in equity earnings and held an approximate 23% interest in Intersection as of September 30, 2025.</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of September 30, 2025, the Company held a 50.4% and 41.4% interest in N2K Networks and Realm, respectively, on a fully diluted basis, and accounts for these investments under the equity method. The Company holds two of the five seats of N2K Networks’ governing board</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with the other shareholders retaining substantive participation rights to control the financial and operating decisions of N2K Networks through representation on the board. In May 2024, the Company entered into a convertible promissory note agreement to loan N2K Networks $2.0</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million. The convertible promissory note bears interest at a rate of 12% per annum and, subject to conversion provisions, all unpaid interest and principal are due by May 2027. In the third quarter of 2024, the Company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ind w:right="360"/>
        <w:spacing w:after="0" w:line="271" w:lineRule="auto"/>
        <w:rPr>
          <w:sz w:val="20"/>
          <w:szCs w:val="20"/>
          <w:color w:val="auto"/>
        </w:rPr>
      </w:pPr>
      <w:r>
        <w:rPr>
          <w:rFonts w:ascii="Arial" w:cs="Arial" w:eastAsia="Arial" w:hAnsi="Arial"/>
          <w:sz w:val="18"/>
          <w:szCs w:val="18"/>
          <w:color w:val="auto"/>
        </w:rPr>
        <w:t>recorded an impairment charge of $14.4 million on its investment in N2K Networks as a result of the investee exiting a significant product offering following losses incurred.</w:t>
      </w:r>
    </w:p>
    <w:p>
      <w:pPr>
        <w:spacing w:after="0" w:line="86"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$26.8 million and $38.0 million in its investment account that represents cumulative undistributed income in its investments in affiliates as of September 30, 2025 and December 31, 2024, respectively.</w:t>
      </w:r>
    </w:p>
    <w:p>
      <w:pPr>
        <w:spacing w:after="0" w:line="10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£18.8 million as of September 30, 2025. The loan is repayable by December 2041.</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235" w:lineRule="auto"/>
        <w:rPr>
          <w:sz w:val="20"/>
          <w:szCs w:val="20"/>
          <w:color w:val="auto"/>
        </w:rPr>
      </w:pPr>
      <w:r>
        <w:rPr>
          <w:rFonts w:ascii="Arial" w:cs="Arial" w:eastAsia="Arial" w:hAnsi="Arial"/>
          <w:sz w:val="18"/>
          <w:szCs w:val="18"/>
          <w:color w:val="auto"/>
        </w:rPr>
        <w:t>identical or similar investments of the same issuer. The carrying value of these investments was $61.1 million and $74.8 million as of</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September 30, 2025 and December 31, 2024, respectively. During the three and nine months ended September 30, 2025, the Company recorded impairment losses of $1.5 million and $14.2 million, respectively, to equity securities that are accounted for as cost method</w:t>
      </w:r>
    </w:p>
    <w:p>
      <w:pPr>
        <w:spacing w:after="0" w:line="235" w:lineRule="auto"/>
        <w:rPr>
          <w:sz w:val="20"/>
          <w:szCs w:val="20"/>
          <w:color w:val="auto"/>
        </w:rPr>
      </w:pPr>
      <w:r>
        <w:rPr>
          <w:rFonts w:ascii="Arial" w:cs="Arial" w:eastAsia="Arial" w:hAnsi="Arial"/>
          <w:sz w:val="18"/>
          <w:szCs w:val="18"/>
          <w:color w:val="auto"/>
        </w:rPr>
        <w:t>investments. During the three and nine months ended September 30, 2024, the Company recorded gains of $0.2 million to equity securities</w:t>
      </w:r>
    </w:p>
    <w:p>
      <w:pPr>
        <w:spacing w:after="0" w:line="219" w:lineRule="auto"/>
        <w:rPr>
          <w:sz w:val="20"/>
          <w:szCs w:val="20"/>
          <w:color w:val="auto"/>
        </w:rPr>
      </w:pPr>
      <w:r>
        <w:rPr>
          <w:rFonts w:ascii="Arial" w:cs="Arial" w:eastAsia="Arial" w:hAnsi="Arial"/>
          <w:sz w:val="18"/>
          <w:szCs w:val="18"/>
          <w:color w:val="auto"/>
        </w:rPr>
        <w:t>that are accounted for as cost method investments based on observable transactions for identical or similar investments of the same issuer.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the Company recorded impairment losses of $0.7 million to those equity securities.</w:t>
      </w:r>
    </w:p>
    <w:p>
      <w:pPr>
        <w:spacing w:after="0" w:line="140" w:lineRule="exact"/>
        <w:rPr>
          <w:sz w:val="20"/>
          <w:szCs w:val="20"/>
          <w:color w:val="auto"/>
        </w:rPr>
      </w:pPr>
    </w:p>
    <w:p>
      <w:pPr>
        <w:ind w:right="140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$24,329 and $23,719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494,460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477,827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49,535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36,599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543,995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514,426</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Credit loss expense was $0.8 million and $1.1 million for the three months ended September 30, 2025 and 2024, respectively. Credit loss expense was $2.9 million and $2.7 million for the nine months ended September 30, 2025 and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176,512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160,384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119,987</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147,884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182,045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172,915</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268,942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231,322</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747,486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712,505</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$1.4 million are included in accounts payable as of September 30,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finances new, used and service loaner vehicle inventory through standardized floor plan facilities with Truist Bank and Toyota</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Motor Credit Corporation and Ford Motor Credit Company. At September 30, 2025, the floor plan facilities bore interest at variable rates that are based on Secured Overnight Financing Rate (SOFR) and prime-based interest rates. The weighted average interest rate for the floor</w:t>
      </w:r>
    </w:p>
    <w:p>
      <w:pPr>
        <w:spacing w:after="0" w:line="235" w:lineRule="auto"/>
        <w:rPr>
          <w:sz w:val="20"/>
          <w:szCs w:val="20"/>
          <w:color w:val="auto"/>
        </w:rPr>
      </w:pPr>
      <w:r>
        <w:rPr>
          <w:rFonts w:ascii="Arial" w:cs="Arial" w:eastAsia="Arial" w:hAnsi="Arial"/>
          <w:sz w:val="18"/>
          <w:szCs w:val="18"/>
          <w:color w:val="auto"/>
        </w:rPr>
        <w:t>plan facilities was 6.2% and 6.8% for the three months ended September 30, 2025 and 2024, respectively. The weighted average interest</w:t>
      </w:r>
    </w:p>
    <w:p>
      <w:pPr>
        <w:ind w:right="160"/>
        <w:spacing w:after="0" w:line="226" w:lineRule="auto"/>
        <w:rPr>
          <w:sz w:val="20"/>
          <w:szCs w:val="20"/>
          <w:color w:val="auto"/>
        </w:rPr>
      </w:pPr>
      <w:r>
        <w:rPr>
          <w:rFonts w:ascii="Arial" w:cs="Arial" w:eastAsia="Arial" w:hAnsi="Arial"/>
          <w:sz w:val="18"/>
          <w:szCs w:val="18"/>
          <w:color w:val="auto"/>
        </w:rPr>
        <w:t>rate for the floor plan facilities was 6.3% and 6.8% for the nine months ended September 30, 2025 and 2024, respectively. The Company incurred floor plan interest expense of $1.7 million and $2.9 million for the three months ended September 30, 2025 and 2024, respectively,</w:t>
      </w:r>
    </w:p>
    <w:p>
      <w:pPr>
        <w:spacing w:after="0" w:line="236" w:lineRule="auto"/>
        <w:rPr>
          <w:sz w:val="20"/>
          <w:szCs w:val="20"/>
          <w:color w:val="auto"/>
        </w:rPr>
      </w:pPr>
      <w:r>
        <w:rPr>
          <w:rFonts w:ascii="Arial" w:cs="Arial" w:eastAsia="Arial" w:hAnsi="Arial"/>
          <w:sz w:val="18"/>
          <w:szCs w:val="18"/>
          <w:color w:val="auto"/>
        </w:rPr>
        <w:t>which is included in interest expense in the Condensed Consolidated Statements of Operations. The Company incurred floor plan interest</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expense of $ 5.8 million and $ 8.9 million for the nine months ended September 30, 2025 and 2024, respectively. Changes in the vehicle floor plan payable are reported as cash flows from financing activities in the Condensed Consolidated Statements of Cash Flows.</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 covenants, including, among others, covenants restricting the dealership subsidiary with</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right="40"/>
        <w:spacing w:after="0" w:line="271" w:lineRule="auto"/>
        <w:rPr>
          <w:sz w:val="20"/>
          <w:szCs w:val="20"/>
          <w:color w:val="auto"/>
        </w:rPr>
      </w:pPr>
      <w:r>
        <w:rPr>
          <w:rFonts w:ascii="Arial" w:cs="Arial" w:eastAsia="Arial" w:hAnsi="Arial"/>
          <w:sz w:val="18"/>
          <w:szCs w:val="18"/>
          <w:color w:val="auto"/>
        </w:rPr>
        <w:t>respect to the creation of liens and changes in ownership, officers and key management personnel. The Company was in compliance with all of these restrictive covenants as of September 30, 2025.</w:t>
      </w:r>
    </w:p>
    <w:p>
      <w:pPr>
        <w:spacing w:after="0" w:line="8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ind w:right="260"/>
        <w:spacing w:after="0" w:line="226" w:lineRule="auto"/>
        <w:rPr>
          <w:sz w:val="20"/>
          <w:szCs w:val="20"/>
          <w:color w:val="auto"/>
        </w:rPr>
      </w:pPr>
      <w:r>
        <w:rPr>
          <w:rFonts w:ascii="Arial" w:cs="Arial" w:eastAsia="Arial" w:hAnsi="Arial"/>
          <w:sz w:val="18"/>
          <w:szCs w:val="18"/>
          <w:color w:val="auto"/>
        </w:rPr>
        <w:t>Operations when the associated inventory is sold. For the three months ended September 30, 2025 and 2024, the Company recognized a reduction in cost of goods sold of $2.1 million and $2.3 million, respectively, related to manufacturer floor plan assistance. For the nine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months ended September 30, 2025 and 2024, the Company recognized a reduction in cost of goods sold of $6.1 million and $6.9 million, respectively, related to manufacturer floor plan assistance.</w:t>
      </w:r>
    </w:p>
    <w:p>
      <w:pPr>
        <w:spacing w:after="0" w:line="104"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As of September 30, 2025 and December 31, 2024, the Company had $107.2 million and $133.5 million, respectively, in obligations outstanding related to floor plan facilities associated with new vehicles.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72,521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46,058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11,862</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12,685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218,365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234,344</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3,509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306,257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295,808</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the Company recorded goodwill and amortized intangible asset impairment charges totaling $26.3 million. The Company estimated the fair value of the reporting unit and amortized intangible asset by utilizing a discounted cash flow model. The carrying value of the reporting unit</w:t>
      </w:r>
    </w:p>
    <w:p>
      <w:pPr>
        <w:spacing w:after="0" w:line="2"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and amortized intangible asset exceeded their estimated fair values, resulting in goodwill and intangible asset impairment charges for the amount by which the carrying values exceeded their estimated fair values. WGB is included in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for the three months ended September 30, 2025 and 2024, was $9.7 million and $8.4 million, respectively.</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Amortization of intangible assets for the nine months ended September 30, 2025 and 2024, was $24.8 million and $29.2 million, respectively. Amortization of intangible assets is estimated to be approximately $7 million for the remainder of 2025, $24 million in 2026, $9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2027, $6 million in 2028, $5 million in 2029 and $18 million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line="183"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1,146,335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2,087,677</w:t>
            </w:r>
          </w:p>
        </w:tc>
        <w:tc>
          <w:tcPr>
            <w:tcW w:w="0" w:type="dxa"/>
            <w:vAlign w:val="bottom"/>
          </w:tcPr>
          <w:p>
            <w:pPr>
              <w:spacing w:after="0"/>
              <w:rPr>
                <w:sz w:val="1"/>
                <w:szCs w:val="1"/>
                <w:color w:val="auto"/>
              </w:rPr>
            </w:pPr>
          </w:p>
        </w:tc>
      </w:tr>
      <w:tr>
        <w:trPr>
          <w:trHeight w:val="204"/>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(174,428)</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(587,641)</w:t>
            </w:r>
          </w:p>
        </w:tc>
        <w:tc>
          <w:tcPr>
            <w:tcW w:w="0" w:type="dxa"/>
            <w:vAlign w:val="bottom"/>
          </w:tcPr>
          <w:p>
            <w:pPr>
              <w:spacing w:after="0"/>
              <w:rPr>
                <w:sz w:val="1"/>
                <w:szCs w:val="1"/>
                <w:color w:val="auto"/>
              </w:rPr>
            </w:pPr>
          </w:p>
        </w:tc>
      </w:tr>
      <w:tr>
        <w:trPr>
          <w:trHeight w:val="216"/>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815,184</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76,788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1,262</w:t>
            </w:r>
          </w:p>
        </w:tc>
        <w:tc>
          <w:tcPr>
            <w:tcW w:w="18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41,515</w:t>
            </w: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42,777</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30,359</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30,359</w:t>
            </w:r>
          </w:p>
        </w:tc>
        <w:tc>
          <w:tcPr>
            <w:tcW w:w="0" w:type="dxa"/>
            <w:vAlign w:val="bottom"/>
          </w:tcPr>
          <w:p>
            <w:pPr>
              <w:spacing w:after="0"/>
              <w:rPr>
                <w:sz w:val="1"/>
                <w:szCs w:val="1"/>
                <w:color w:val="auto"/>
              </w:rPr>
            </w:pPr>
          </w:p>
        </w:tc>
      </w:tr>
      <w:tr>
        <w:trPr>
          <w:trHeight w:val="217"/>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Balance as of September 30,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1,176,752</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276,508</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2,159,609</w:t>
            </w:r>
          </w:p>
        </w:tc>
        <w:tc>
          <w:tcPr>
            <w:tcW w:w="0" w:type="dxa"/>
            <w:vAlign w:val="bottom"/>
          </w:tcPr>
          <w:p>
            <w:pPr>
              <w:spacing w:after="0"/>
              <w:rPr>
                <w:sz w:val="1"/>
                <w:szCs w:val="1"/>
                <w:color w:val="auto"/>
              </w:rPr>
            </w:pPr>
          </w:p>
        </w:tc>
      </w:tr>
      <w:tr>
        <w:trPr>
          <w:trHeight w:val="196"/>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(174,428)</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(587,641)</w:t>
            </w:r>
          </w:p>
        </w:tc>
        <w:tc>
          <w:tcPr>
            <w:tcW w:w="0" w:type="dxa"/>
            <w:vAlign w:val="bottom"/>
          </w:tcPr>
          <w:p>
            <w:pPr>
              <w:spacing w:after="0"/>
              <w:rPr>
                <w:sz w:val="1"/>
                <w:szCs w:val="1"/>
                <w:color w:val="auto"/>
              </w:rPr>
            </w:pPr>
          </w:p>
        </w:tc>
      </w:tr>
      <w:tr>
        <w:trPr>
          <w:trHeight w:val="217"/>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845,601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194,446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1,571,968</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580,495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391,276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1,146,335</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580,495</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171,449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815,184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1,262</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1,262</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(1,204)</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0" w:type="dxa"/>
            <w:vAlign w:val="bottom"/>
          </w:tcPr>
          <w:p>
            <w:pPr>
              <w:spacing w:after="0"/>
              <w:rPr>
                <w:sz w:val="1"/>
                <w:szCs w:val="1"/>
                <w:color w:val="auto"/>
              </w:rPr>
            </w:pPr>
          </w:p>
        </w:tc>
      </w:tr>
      <w:tr>
        <w:trPr>
          <w:trHeight w:val="231"/>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30,302</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30,359</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609,593</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392,595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1,176,752</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609,593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172,768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845,601</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2025</w:t>
            </w: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2024</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307,949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262,789</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45,160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281,140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252,969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28,171</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118,747</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100,985</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17,762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116,081</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94,408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21,673</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15,152</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2,248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13,848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32,357</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30,066</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2,291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38,063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36,614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1,449</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38,214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514,516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445,606</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68,910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432,729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91,602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62,548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60,994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165,300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00" w:type="dxa"/>
            <w:vAlign w:val="bottom"/>
          </w:tcPr>
          <w:p>
            <w:pPr>
              <w:spacing w:after="0"/>
              <w:rPr>
                <w:sz w:val="14"/>
                <w:szCs w:val="14"/>
                <w:color w:val="auto"/>
              </w:rPr>
            </w:pPr>
          </w:p>
        </w:tc>
        <w:tc>
          <w:tcPr>
            <w:tcW w:w="14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399,522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398,985</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6.01% - 6.21%</w:t>
            </w:r>
          </w:p>
        </w:tc>
        <w:tc>
          <w:tcPr>
            <w:tcW w:w="1780" w:type="dxa"/>
            <w:vAlign w:val="bottom"/>
          </w:tcPr>
          <w:p>
            <w:pPr>
              <w:jc w:val="center"/>
              <w:spacing w:after="0"/>
              <w:rPr>
                <w:sz w:val="20"/>
                <w:szCs w:val="20"/>
                <w:color w:val="auto"/>
              </w:rPr>
            </w:pPr>
            <w:r>
              <w:rPr>
                <w:rFonts w:ascii="Arial" w:cs="Arial" w:eastAsia="Arial" w:hAnsi="Arial"/>
                <w:sz w:val="16"/>
                <w:szCs w:val="16"/>
                <w:color w:val="auto"/>
              </w:rPr>
              <w:t>6.26%</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134,637</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140,099</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5.34% - 7.88%</w:t>
            </w:r>
          </w:p>
        </w:tc>
        <w:tc>
          <w:tcPr>
            <w:tcW w:w="1780" w:type="dxa"/>
            <w:vAlign w:val="bottom"/>
          </w:tcPr>
          <w:p>
            <w:pPr>
              <w:jc w:val="center"/>
              <w:spacing w:after="0"/>
              <w:rPr>
                <w:sz w:val="20"/>
                <w:szCs w:val="20"/>
                <w:color w:val="auto"/>
              </w:rPr>
            </w:pPr>
            <w:r>
              <w:rPr>
                <w:rFonts w:ascii="Arial" w:cs="Arial" w:eastAsia="Arial" w:hAnsi="Arial"/>
                <w:sz w:val="16"/>
                <w:szCs w:val="16"/>
                <w:color w:val="auto"/>
              </w:rPr>
              <w:t>5.86%</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67,172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62,836</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6.03% - 6.10%</w:t>
            </w:r>
          </w:p>
        </w:tc>
        <w:tc>
          <w:tcPr>
            <w:tcW w:w="1780" w:type="dxa"/>
            <w:vAlign w:val="bottom"/>
          </w:tcPr>
          <w:p>
            <w:pPr>
              <w:jc w:val="center"/>
              <w:spacing w:after="0"/>
              <w:rPr>
                <w:sz w:val="20"/>
                <w:szCs w:val="20"/>
                <w:color w:val="auto"/>
              </w:rPr>
            </w:pPr>
            <w:r>
              <w:rPr>
                <w:rFonts w:ascii="Arial" w:cs="Arial" w:eastAsia="Arial" w:hAnsi="Arial"/>
                <w:sz w:val="16"/>
                <w:szCs w:val="16"/>
                <w:color w:val="auto"/>
              </w:rPr>
              <w:t>6.14%</w:t>
            </w: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67,985</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70,795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6.78% - 6.85%</w:t>
            </w:r>
          </w:p>
        </w:tc>
        <w:tc>
          <w:tcPr>
            <w:tcW w:w="1780" w:type="dxa"/>
            <w:vAlign w:val="bottom"/>
          </w:tcPr>
          <w:p>
            <w:pPr>
              <w:jc w:val="center"/>
              <w:spacing w:after="0"/>
              <w:rPr>
                <w:sz w:val="20"/>
                <w:szCs w:val="20"/>
                <w:color w:val="auto"/>
              </w:rPr>
            </w:pPr>
            <w:r>
              <w:rPr>
                <w:rFonts w:ascii="Arial" w:cs="Arial" w:eastAsia="Arial" w:hAnsi="Arial"/>
                <w:sz w:val="16"/>
                <w:szCs w:val="16"/>
                <w:color w:val="auto"/>
              </w:rPr>
              <w:t>6.89%</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52,025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56,770</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2025 - 2027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5.50% - 8.00%</w:t>
            </w:r>
          </w:p>
        </w:tc>
        <w:tc>
          <w:tcPr>
            <w:tcW w:w="1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10,555</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731,896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748,192</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(424,870)</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307,026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96"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$0.5 million and $1.0 million of unamortized debt issuance costs as of September 30, 2025 and December 31, 2024, respectively.</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$0.4 million and $0.5 million of unamortized debt issuance costs as of September 30, 2025 and December 31, 2024,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2024.</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$0.5 million and $0.6 million of unamortized debt issuance costs as of September 30, 2025 and December 31, 2024,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ind w:right="260"/>
        <w:spacing w:after="0" w:line="271" w:lineRule="auto"/>
        <w:rPr>
          <w:sz w:val="20"/>
          <w:szCs w:val="20"/>
          <w:color w:val="auto"/>
        </w:rPr>
      </w:pPr>
      <w:r>
        <w:rPr>
          <w:rFonts w:ascii="Arial" w:cs="Arial" w:eastAsia="Arial" w:hAnsi="Arial"/>
          <w:sz w:val="18"/>
          <w:szCs w:val="18"/>
          <w:color w:val="auto"/>
        </w:rPr>
        <w:t>At September 30, 2025 and December 31, 2024, the fair value of the Company’s 5.75% unsecured notes, based on quoted market prices (Level 2 fair value assessment), totaled $399.9 million and $398.9 million, respectively.</w:t>
      </w:r>
    </w:p>
    <w:p>
      <w:pPr>
        <w:spacing w:after="0" w:line="86"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outstanding balance on the Company’s $ 300 million unsecured revolving credit facility was $67.2 million as of September 30, 2025, consisting of British Pound borrowings of £50 million with interest payable at Daily Sterling Overnight Index Average (SONIA) plus 1.375%.</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September 30, 2025 and December 31, 2024. The Company is in compliance with all financial covenants of the revolving credit facility and term loans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the three months ended September 30, 2025 and 2024, the Company had average borrowings outstanding of approximately $856.8 million and $813.5 million, respectively, at average annual interest rates of approximately 6.0% and 6.3%,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2025 and 2024, the Company incurred net interest expense of $15.7 million and $23.6 million, respectively.</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During the nine months ended September 30, 2025 and 2024, the Company had average borrowings outstanding of approximately $835.2 million and $819.6 million, respectively, at average annual interest rates of approximately 6.0% and 6.4%, respectively. During the 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2025 and 2024, the Company incurred net interest expense of $111.3 million and $130.0 million, respectively.</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During the three and nine months ended September 30, 2025, the Company recorded interest expense of $0.7 million and $ 68.3 million, respectively, to adjust the fair value of the mandatorily redeemable noncontrolling interest. During the three and nine months ended</w:t>
      </w:r>
    </w:p>
    <w:p>
      <w:pPr>
        <w:spacing w:after="0" w:line="235" w:lineRule="auto"/>
        <w:rPr>
          <w:sz w:val="20"/>
          <w:szCs w:val="20"/>
          <w:color w:val="auto"/>
        </w:rPr>
      </w:pPr>
      <w:r>
        <w:rPr>
          <w:rFonts w:ascii="Arial" w:cs="Arial" w:eastAsia="Arial" w:hAnsi="Arial"/>
          <w:sz w:val="18"/>
          <w:szCs w:val="18"/>
          <w:color w:val="auto"/>
        </w:rPr>
        <w:t>September 30, 2024, the Company recorded interest expense of $9.7 million and $85.1 million, respectively, to adjust the fair value of the</w:t>
      </w:r>
    </w:p>
    <w:p>
      <w:pPr>
        <w:ind w:right="60"/>
        <w:spacing w:after="0"/>
        <w:rPr>
          <w:sz w:val="20"/>
          <w:szCs w:val="20"/>
          <w:color w:val="auto"/>
        </w:rPr>
      </w:pPr>
      <w:r>
        <w:rPr>
          <w:rFonts w:ascii="Arial" w:cs="Arial" w:eastAsia="Arial" w:hAnsi="Arial"/>
          <w:sz w:val="17"/>
          <w:szCs w:val="17"/>
          <w:color w:val="auto"/>
        </w:rPr>
        <w:t>mandatorily redeemable noncontrolling interest. The fair value of the mandatorily redeemable noncontrolling interest was based on the fair value of the underlying subsidiaries owned by GHC One and GHC Two, after taking into account any debt and other noncontrolling interests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of its subsidiary investments. The fair value of the owned subsidiaries is determined by reference to either a discounted cash flow or EBITDA multiple, which approximates fair value (Level 3 fair value assessment) (See Note 2 and 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which included a $50.0</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million delayed draw term loan. On September 24, 2025, the Company executed an amendment to extend the delayed draw term loan availability period to November 10, 2025. The automotive subsidiary did not borrow against the delayed draw term loan as of September 30,</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2025; the delayed draw term loan was subsequently utilized to finance the acquisition of a Honda automotive dealership in October 2025 (see Note 2).</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September 30, 2025</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60" w:type="dxa"/>
            <w:vAlign w:val="bottom"/>
            <w:gridSpan w:val="2"/>
          </w:tcPr>
          <w:p>
            <w:pPr>
              <w:ind w:left="20"/>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5,592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998,793</w:t>
            </w:r>
          </w:p>
        </w:tc>
        <w:tc>
          <w:tcPr>
            <w:tcW w:w="3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998,793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6,999</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20" w:type="dxa"/>
            <w:vAlign w:val="bottom"/>
          </w:tcPr>
          <w:p>
            <w:pPr>
              <w:ind w:left="1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998,793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12,591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1,011,384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360" w:type="dxa"/>
            <w:vAlign w:val="bottom"/>
            <w:gridSpan w:val="2"/>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1,451</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60" w:type="dxa"/>
            <w:vAlign w:val="bottom"/>
            <w:gridSpan w:val="2"/>
          </w:tcPr>
          <w:p>
            <w:pPr>
              <w:ind w:left="20"/>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2,413</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22,187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22,187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20" w:type="dxa"/>
            <w:vAlign w:val="bottom"/>
          </w:tcPr>
          <w:p>
            <w:pPr>
              <w:ind w:left="1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23,638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940" w:type="dxa"/>
            <w:vAlign w:val="bottom"/>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320" w:type="dxa"/>
            <w:vAlign w:val="bottom"/>
          </w:tcPr>
          <w:p>
            <w:pPr>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3,908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20" w:type="dxa"/>
            <w:vAlign w:val="bottom"/>
          </w:tcPr>
          <w:p>
            <w:pPr>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852,434</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852,434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20" w:type="dxa"/>
            <w:vAlign w:val="bottom"/>
          </w:tcPr>
          <w:p>
            <w:pPr>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6,309</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320" w:type="dxa"/>
            <w:vAlign w:val="bottom"/>
          </w:tcPr>
          <w:p>
            <w:pPr>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2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852,434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320" w:type="dxa"/>
            <w:vAlign w:val="bottom"/>
          </w:tcPr>
          <w:p>
            <w:pPr>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20" w:type="dxa"/>
            <w:vAlign w:val="bottom"/>
          </w:tcPr>
          <w:p>
            <w:pPr>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1,419</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320" w:type="dxa"/>
            <w:vAlign w:val="bottom"/>
          </w:tcPr>
          <w:p>
            <w:pPr>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159,548</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2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160,967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60" w:hanging="454"/>
        <w:spacing w:after="0" w:line="261"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440" w:hanging="454"/>
        <w:spacing w:after="0" w:line="264"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10" w:lineRule="exact"/>
        <w:rPr>
          <w:rFonts w:ascii="Arial" w:cs="Arial" w:eastAsia="Arial" w:hAnsi="Arial"/>
          <w:sz w:val="14"/>
          <w:szCs w:val="14"/>
          <w:color w:val="auto"/>
        </w:rPr>
      </w:pPr>
    </w:p>
    <w:p>
      <w:pPr>
        <w:ind w:left="480" w:right="400" w:hanging="454"/>
        <w:spacing w:after="0" w:line="24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160" w:hanging="454"/>
        <w:spacing w:after="0" w:line="264"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current assets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1,419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68,278</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163</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(205,719)</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186</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1,451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22,187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788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Acquisition of business</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1,293</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85,145</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200" w:type="dxa"/>
            <w:vAlign w:val="bottom"/>
          </w:tcPr>
          <w:p>
            <w:pPr>
              <w:spacing w:after="0"/>
              <w:rPr>
                <w:sz w:val="18"/>
                <w:szCs w:val="18"/>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(719)</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As of September 30,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1,435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125,476</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 of</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 group of minority shareholders, consisting of a group of senior managers of the healthcare business, in subsidiaries of GHG. The Company established GHC One and GHC Two as vehicles to invest in a portfolio of healthcare businesses together with the group of senior managers</w:t>
      </w:r>
    </w:p>
    <w:p>
      <w:pPr>
        <w:spacing w:after="0" w:line="236" w:lineRule="auto"/>
        <w:rPr>
          <w:sz w:val="20"/>
          <w:szCs w:val="20"/>
          <w:color w:val="auto"/>
        </w:rPr>
      </w:pPr>
      <w:r>
        <w:rPr>
          <w:rFonts w:ascii="Arial" w:cs="Arial" w:eastAsia="Arial" w:hAnsi="Arial"/>
          <w:sz w:val="18"/>
          <w:szCs w:val="18"/>
          <w:color w:val="auto"/>
        </w:rPr>
        <w:t>of GHG. As the holder of preferred units, the Company is obligated to contribute 95% of the capital required for the acquisition of portfolio</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investments with the remaining 5% of the capital coming from the group of senior managers. The operating agreements of GHC One and GHC Two require the dissolution of the entities on March 31, 2026, and March 31, 2029, respectively, at which time the net assets will be</w:t>
      </w:r>
    </w:p>
    <w:p>
      <w:pPr>
        <w:spacing w:after="0" w:line="236" w:lineRule="auto"/>
        <w:rPr>
          <w:sz w:val="20"/>
          <w:szCs w:val="20"/>
          <w:color w:val="auto"/>
        </w:rPr>
      </w:pPr>
      <w:r>
        <w:rPr>
          <w:rFonts w:ascii="Arial" w:cs="Arial" w:eastAsia="Arial" w:hAnsi="Arial"/>
          <w:sz w:val="18"/>
          <w:szCs w:val="18"/>
          <w:color w:val="auto"/>
        </w:rPr>
        <w:t>distributed to its members. As a preferred unit holder, the Company will receive an amount up to its contributed capital plus a preferred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annual return of 8% (guaranteed return) after the group of senior managers has received the redemption of their 5% interest in net assets (manager return). All distributions in excess of the manager and guaranteed return will be paid to common unit holders, which currently</w:t>
      </w:r>
    </w:p>
    <w:p>
      <w:pPr>
        <w:spacing w:after="0" w:line="236" w:lineRule="auto"/>
        <w:rPr>
          <w:sz w:val="20"/>
          <w:szCs w:val="20"/>
          <w:color w:val="auto"/>
        </w:rPr>
      </w:pPr>
      <w:r>
        <w:rPr>
          <w:rFonts w:ascii="Arial" w:cs="Arial" w:eastAsia="Arial" w:hAnsi="Arial"/>
          <w:sz w:val="18"/>
          <w:szCs w:val="18"/>
          <w:color w:val="auto"/>
        </w:rPr>
        <w:t>comprise the group of senior managers of GHG. The Company may convert its preferred units to common units at any time after which it will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receive 80% of all distributions in excess of the manager return, with the remaining 20% of excess distributions going to the group of senior managers as holders of the other common units. The mandatorily redeemable noncontrolling interest is reported as a current and noncurrent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liability at September 30, 2025 and a noncurrent liability at December 31, 2024 in the Condensed Consolidated Balance Sheets.</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During the three and nine months ended September 30, 2025, the Company recorded intangible and other long-lived asset</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charges of $2.2 million. During the nine months ended September 30, 2024, the Company recorded goodwill and intangible asset</w:t>
      </w:r>
    </w:p>
    <w:p>
      <w:pPr>
        <w:spacing w:after="0" w:line="235" w:lineRule="auto"/>
        <w:rPr>
          <w:sz w:val="20"/>
          <w:szCs w:val="20"/>
          <w:color w:val="auto"/>
        </w:rPr>
      </w:pPr>
      <w:r>
        <w:rPr>
          <w:rFonts w:ascii="Arial" w:cs="Arial" w:eastAsia="Arial" w:hAnsi="Arial"/>
          <w:sz w:val="18"/>
          <w:szCs w:val="18"/>
          <w:color w:val="auto"/>
        </w:rPr>
        <w:t>impairment charges of $26.3 million. The remeasurement of goodwill and other long-lived assets is classified as a Level 3 fair value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assessment due to the significance of unobservable inputs developed in the determination of the fair value. The Company used a discounted cash flow model to determine the estimated fair value of the reporting unit and other long-lived assets. The Company made estimates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assumptions regarding future cash flows, discount rates and long-term growth rates.</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During the three and nine months ended September 30, 2025, the Company recorded impairment losses of $1.5 million and $14.2 million, respectively, to equity securities that are accounted for as cost method investments. During the three and nine months ended September 30,</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2024, the Company recorded gains of $0.2 million to equity securities that are accounted for as cost method investments based on observable transactions for identical or similar investments of the same issuer. During the nine months ended September 30, 2024,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recorded impairment losses of $0.7 million to equity securities that are accounted for as cost method investments.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During the three and nine months ended September 30, 2024, the Company recorded an impairment charge of $14.4 million on one of its</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investments in affiliates (see Note 3). The Company used a market approach to determine the estimated fair value of its investment in the affiliate.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generated 79% and 78% of its revenue from U.S. domestic sales for the three and nine months ended September 30, 2025, respectively. The remaining 21% and 22% of revenue was generated from non-U.S. sales for the three and nine months ended</w:t>
      </w:r>
    </w:p>
    <w:p>
      <w:pPr>
        <w:spacing w:after="0" w:line="235" w:lineRule="auto"/>
        <w:rPr>
          <w:sz w:val="20"/>
          <w:szCs w:val="20"/>
          <w:color w:val="auto"/>
        </w:rPr>
      </w:pPr>
      <w:r>
        <w:rPr>
          <w:rFonts w:ascii="Arial" w:cs="Arial" w:eastAsia="Arial" w:hAnsi="Arial"/>
          <w:sz w:val="18"/>
          <w:szCs w:val="18"/>
          <w:color w:val="auto"/>
        </w:rPr>
        <w:t>September 30, 2025. For the three and nine months ended September 30, 2024, 80% and 78% of revenue, respectively, was from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domestic sales and the remaining 20% and 22% of revenue was generated from non-U.S. sales.</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For the three and nine months ended September 30, 2025, the Company recognized 51% and 53%, respectively, of its revenue over time as control of the services and goods transferred to the customer, and the remaining 49% and 47% at a point in time, when the customer</w:t>
      </w:r>
    </w:p>
    <w:p>
      <w:pPr>
        <w:ind w:right="400"/>
        <w:spacing w:after="0" w:line="237" w:lineRule="auto"/>
        <w:rPr>
          <w:sz w:val="20"/>
          <w:szCs w:val="20"/>
          <w:color w:val="auto"/>
        </w:rPr>
      </w:pPr>
      <w:r>
        <w:rPr>
          <w:rFonts w:ascii="Arial" w:cs="Arial" w:eastAsia="Arial" w:hAnsi="Arial"/>
          <w:sz w:val="18"/>
          <w:szCs w:val="18"/>
          <w:color w:val="auto"/>
        </w:rPr>
        <w:t>obtained control of the promised goods. For the three and nine months ended September 30, 2024, the Company recognized 54% of its revenue over time, and the remaining 46% at a point in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2025, the Company recognized a contract asset of $31.2 million related to a contract at a Kaplan</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International business, which is included in Deferred Charges and Other Assets. The Company expects to recognize an additional $244.4 million related to the remaining performance obligation in the contract over the next four years. As of December 31, 2024, the contract asset</w:t>
      </w:r>
    </w:p>
    <w:p>
      <w:pPr>
        <w:spacing w:after="0" w:line="236" w:lineRule="auto"/>
        <w:rPr>
          <w:sz w:val="20"/>
          <w:szCs w:val="20"/>
          <w:color w:val="auto"/>
        </w:rPr>
      </w:pPr>
      <w:r>
        <w:rPr>
          <w:rFonts w:ascii="Arial" w:cs="Arial" w:eastAsia="Arial" w:hAnsi="Arial"/>
          <w:sz w:val="18"/>
          <w:szCs w:val="18"/>
          <w:color w:val="auto"/>
        </w:rPr>
        <w:t>was $36.6 million, of which $1.9 million was included in Other current assets and $34.7 million was included in Deferred Charges and Other</w:t>
      </w:r>
    </w:p>
    <w:p>
      <w:pPr>
        <w:spacing w:after="0" w:line="1"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Assets. Additional contract assets of $3.0 million and $3.1 million are included in Other current assets on the Company’s Condensed Consolidated Balance Sheets as of September 30, 2025 and December 31, 2024, respectively.</w:t>
      </w:r>
    </w:p>
    <w:p>
      <w:pPr>
        <w:spacing w:after="0" w:line="1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which includes some payments that are refundable due to the contractual right of the customer to cancel the agreement. As of</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September 30, 2025 and December 31, 2024, 18% and 19%, respectively, of the Company’s deferred revenue consisted of prepaid amounts which are refundable. The following table presents the change in the Company’s deferred revenue balance: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432,335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397,435</w:t>
            </w:r>
          </w:p>
        </w:tc>
        <w:tc>
          <w:tcPr>
            <w:tcW w:w="1320" w:type="dxa"/>
            <w:vAlign w:val="bottom"/>
          </w:tcPr>
          <w:p>
            <w:pPr>
              <w:jc w:val="right"/>
              <w:ind w:right="54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change in the deferred revenue balance is related to increases within the Kaplan International and Supplemental</w:t>
      </w:r>
    </w:p>
    <w:p>
      <w:pPr>
        <w:spacing w:after="0" w:line="14" w:lineRule="exact"/>
        <w:rPr>
          <w:sz w:val="20"/>
          <w:szCs w:val="20"/>
          <w:color w:val="auto"/>
        </w:rPr>
      </w:pPr>
    </w:p>
    <w:p>
      <w:pPr>
        <w:jc w:val="both"/>
        <w:ind w:right="400"/>
        <w:spacing w:after="0" w:line="226" w:lineRule="auto"/>
        <w:rPr>
          <w:sz w:val="20"/>
          <w:szCs w:val="20"/>
          <w:color w:val="auto"/>
        </w:rPr>
      </w:pPr>
      <w:r>
        <w:rPr>
          <w:rFonts w:ascii="Arial" w:cs="Arial" w:eastAsia="Arial" w:hAnsi="Arial"/>
          <w:sz w:val="18"/>
          <w:szCs w:val="18"/>
          <w:color w:val="auto"/>
        </w:rPr>
        <w:t>Education divisions due to the cyclical nature of services. During the nine months ended September 30, 2025, the Company recognized $329.8 million related to the Company’s deferred revenue balance as of December 31, 2024, including $49.3 million of prepaid amounts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were refundable at the prior year-end.</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2025, the deferred revenue balance related to certain medical and nursing qualifications with an original</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contract length greater than twelve months at Kaplan Supplemental Education was $6.8 million. Kaplan Supplemental Education expects to recognize 65% of this revenue over the next twelve months and the remainder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2"/>
                <w:szCs w:val="12"/>
                <w:color w:val="auto"/>
              </w:rPr>
            </w:pPr>
          </w:p>
        </w:tc>
        <w:tc>
          <w:tcPr>
            <w:tcW w:w="9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2"/>
                <w:szCs w:val="12"/>
                <w:color w:val="auto"/>
              </w:rPr>
            </w:pPr>
          </w:p>
        </w:tc>
        <w:tc>
          <w:tcPr>
            <w:tcW w:w="1140" w:type="dxa"/>
            <w:vAlign w:val="bottom"/>
          </w:tcPr>
          <w:p>
            <w:pPr>
              <w:jc w:val="center"/>
              <w:ind w:right="165"/>
              <w:spacing w:after="0" w:line="149" w:lineRule="exact"/>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62"/>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5"/>
        </w:trPr>
        <w:tc>
          <w:tcPr>
            <w:tcW w:w="308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42,121</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84,293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(72,775)</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2,113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55,752</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nine months ended September 30,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securities for purposes of computing earnings per share pursuant to the two-class method. The diluted earnings per share computed under the two-class method is lower than the diluted earnings per share computed under the treasury stock method, resulting in the presentation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lower amount in diluted earnings per</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9" w:name="page20"/>
    <w:bookmarkEnd w:id="19"/>
    <w:p>
      <w:pPr>
        <w:jc w:val="both"/>
        <w:ind w:right="320"/>
        <w:spacing w:after="0" w:line="271" w:lineRule="auto"/>
        <w:rPr>
          <w:sz w:val="20"/>
          <w:szCs w:val="20"/>
          <w:color w:val="auto"/>
        </w:rPr>
      </w:pPr>
      <w:r>
        <w:rPr>
          <w:rFonts w:ascii="Arial" w:cs="Arial" w:eastAsia="Arial" w:hAnsi="Arial"/>
          <w:sz w:val="18"/>
          <w:szCs w:val="18"/>
          <w:color w:val="auto"/>
        </w:rPr>
        <w:t>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8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40" w:type="dxa"/>
            <w:vAlign w:val="bottom"/>
          </w:tcPr>
          <w:p>
            <w:pPr>
              <w:ind w:left="220"/>
              <w:spacing w:after="0" w:line="182" w:lineRule="exact"/>
              <w:rPr>
                <w:sz w:val="20"/>
                <w:szCs w:val="20"/>
                <w:color w:val="auto"/>
              </w:rPr>
            </w:pPr>
            <w:r>
              <w:rPr>
                <w:rFonts w:ascii="Arial" w:cs="Arial" w:eastAsia="Arial" w:hAnsi="Arial"/>
                <w:sz w:val="16"/>
                <w:szCs w:val="16"/>
                <w:color w:val="auto"/>
              </w:rPr>
              <w:t>Net income attributable to Graham Holdings Company common</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122,925</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183,568</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72,503</w:t>
            </w:r>
          </w:p>
        </w:tc>
        <w:tc>
          <w:tcPr>
            <w:tcW w:w="3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175,843</w:t>
            </w:r>
          </w:p>
        </w:tc>
        <w:tc>
          <w:tcPr>
            <w:tcW w:w="0" w:type="dxa"/>
            <w:vAlign w:val="bottom"/>
          </w:tcPr>
          <w:p>
            <w:pPr>
              <w:spacing w:after="0"/>
              <w:rPr>
                <w:sz w:val="1"/>
                <w:szCs w:val="1"/>
                <w:color w:val="auto"/>
              </w:rPr>
            </w:pPr>
          </w:p>
        </w:tc>
      </w:tr>
      <w:tr>
        <w:trPr>
          <w:trHeight w:val="182"/>
        </w:trPr>
        <w:tc>
          <w:tcPr>
            <w:tcW w:w="5440" w:type="dxa"/>
            <w:vAlign w:val="bottom"/>
          </w:tcPr>
          <w:p>
            <w:pPr>
              <w:ind w:left="220"/>
              <w:spacing w:after="0" w:line="182" w:lineRule="exact"/>
              <w:rPr>
                <w:sz w:val="20"/>
                <w:szCs w:val="20"/>
                <w:color w:val="auto"/>
              </w:rPr>
            </w:pPr>
            <w:r>
              <w:rPr>
                <w:rFonts w:ascii="Arial" w:cs="Arial" w:eastAsia="Arial" w:hAnsi="Arial"/>
                <w:sz w:val="16"/>
                <w:szCs w:val="16"/>
                <w:color w:val="auto"/>
              </w:rPr>
              <w:t>Less: Dividends paid-common stock outstanding and unvested</w:t>
            </w:r>
          </w:p>
        </w:tc>
        <w:tc>
          <w:tcPr>
            <w:tcW w:w="300" w:type="dxa"/>
            <w:vAlign w:val="bottom"/>
          </w:tcPr>
          <w:p>
            <w:pPr>
              <w:spacing w:after="0"/>
              <w:rPr>
                <w:sz w:val="15"/>
                <w:szCs w:val="15"/>
                <w:color w:val="auto"/>
              </w:rPr>
            </w:pPr>
          </w:p>
        </w:tc>
        <w:tc>
          <w:tcPr>
            <w:tcW w:w="11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(7,852)</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(31,360)</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400"/>
              <w:spacing w:after="0"/>
              <w:rPr>
                <w:sz w:val="20"/>
                <w:szCs w:val="20"/>
                <w:color w:val="auto"/>
              </w:rPr>
            </w:pPr>
            <w:r>
              <w:rPr>
                <w:rFonts w:ascii="Arial" w:cs="Arial" w:eastAsia="Arial" w:hAnsi="Arial"/>
                <w:sz w:val="16"/>
                <w:szCs w:val="16"/>
                <w:color w:val="auto"/>
              </w:rPr>
              <w:t>restricted shares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(7,444)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(30,370)</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00" w:type="dxa"/>
            <w:vAlign w:val="bottom"/>
          </w:tcPr>
          <w:p>
            <w:pPr>
              <w:spacing w:after="0"/>
              <w:rPr>
                <w:sz w:val="19"/>
                <w:szCs w:val="19"/>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115,073</w:t>
            </w:r>
          </w:p>
        </w:tc>
        <w:tc>
          <w:tcPr>
            <w:tcW w:w="520" w:type="dxa"/>
            <w:vAlign w:val="bottom"/>
          </w:tcPr>
          <w:p>
            <w:pPr>
              <w:spacing w:after="0"/>
              <w:rPr>
                <w:sz w:val="19"/>
                <w:szCs w:val="19"/>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65,059</w:t>
            </w:r>
          </w:p>
        </w:tc>
        <w:tc>
          <w:tcPr>
            <w:tcW w:w="38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152,208</w:t>
            </w:r>
          </w:p>
        </w:tc>
        <w:tc>
          <w:tcPr>
            <w:tcW w:w="54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145,473</w:t>
            </w:r>
          </w:p>
        </w:tc>
        <w:tc>
          <w:tcPr>
            <w:tcW w:w="0" w:type="dxa"/>
            <w:vAlign w:val="bottom"/>
          </w:tcPr>
          <w:p>
            <w:pPr>
              <w:spacing w:after="0"/>
              <w:rPr>
                <w:sz w:val="1"/>
                <w:szCs w:val="1"/>
                <w:color w:val="auto"/>
              </w:rPr>
            </w:pPr>
          </w:p>
        </w:tc>
      </w:tr>
      <w:tr>
        <w:trPr>
          <w:trHeight w:val="235"/>
        </w:trPr>
        <w:tc>
          <w:tcPr>
            <w:tcW w:w="544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99.39 %</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99.31 %</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99.39 %</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99.31 %</w:t>
            </w:r>
          </w:p>
        </w:tc>
        <w:tc>
          <w:tcPr>
            <w:tcW w:w="0" w:type="dxa"/>
            <w:vAlign w:val="bottom"/>
          </w:tcPr>
          <w:p>
            <w:pPr>
              <w:spacing w:after="0"/>
              <w:rPr>
                <w:sz w:val="1"/>
                <w:szCs w:val="1"/>
                <w:color w:val="auto"/>
              </w:rPr>
            </w:pPr>
          </w:p>
        </w:tc>
      </w:tr>
      <w:tr>
        <w:trPr>
          <w:trHeight w:val="217"/>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114,372</w:t>
            </w:r>
          </w:p>
        </w:tc>
        <w:tc>
          <w:tcPr>
            <w:tcW w:w="52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64,612</w:t>
            </w:r>
          </w:p>
        </w:tc>
        <w:tc>
          <w:tcPr>
            <w:tcW w:w="38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151,280</w:t>
            </w: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144,473</w:t>
            </w:r>
          </w:p>
        </w:tc>
        <w:tc>
          <w:tcPr>
            <w:tcW w:w="0" w:type="dxa"/>
            <w:vAlign w:val="bottom"/>
          </w:tcPr>
          <w:p>
            <w:pPr>
              <w:spacing w:after="0"/>
              <w:rPr>
                <w:sz w:val="1"/>
                <w:szCs w:val="1"/>
                <w:color w:val="auto"/>
              </w:rPr>
            </w:pPr>
          </w:p>
        </w:tc>
      </w:tr>
      <w:tr>
        <w:trPr>
          <w:trHeight w:val="233"/>
        </w:trPr>
        <w:tc>
          <w:tcPr>
            <w:tcW w:w="544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7,803</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7,392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31,168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30,164</w:t>
            </w:r>
          </w:p>
        </w:tc>
        <w:tc>
          <w:tcPr>
            <w:tcW w:w="0" w:type="dxa"/>
            <w:vAlign w:val="bottom"/>
          </w:tcPr>
          <w:p>
            <w:pPr>
              <w:spacing w:after="0"/>
              <w:rPr>
                <w:sz w:val="1"/>
                <w:szCs w:val="1"/>
                <w:color w:val="auto"/>
              </w:rPr>
            </w:pPr>
          </w:p>
        </w:tc>
      </w:tr>
      <w:tr>
        <w:trPr>
          <w:trHeight w:val="227"/>
        </w:trPr>
        <w:tc>
          <w:tcPr>
            <w:tcW w:w="5440" w:type="dxa"/>
            <w:vAlign w:val="bottom"/>
          </w:tcPr>
          <w:p>
            <w:pPr>
              <w:ind w:left="22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122,175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72,004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182,448</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174,637</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44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8</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6"/>
        </w:trPr>
        <w:tc>
          <w:tcPr>
            <w:tcW w:w="544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122,182</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72,007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182,456</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174,643</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4,334</w:t>
            </w:r>
          </w:p>
        </w:tc>
        <w:tc>
          <w:tcPr>
            <w:tcW w:w="520" w:type="dxa"/>
            <w:vAlign w:val="bottom"/>
          </w:tcPr>
          <w:p>
            <w:pPr>
              <w:spacing w:after="0"/>
              <w:rPr>
                <w:sz w:val="19"/>
                <w:szCs w:val="19"/>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4,352</w:t>
            </w:r>
          </w:p>
        </w:tc>
        <w:tc>
          <w:tcPr>
            <w:tcW w:w="38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4,329</w:t>
            </w:r>
          </w:p>
        </w:tc>
        <w:tc>
          <w:tcPr>
            <w:tcW w:w="54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233"/>
        </w:trPr>
        <w:tc>
          <w:tcPr>
            <w:tcW w:w="544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44</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41</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4,378</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4,384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4,370</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440" w:type="dxa"/>
            <w:vAlign w:val="bottom"/>
            <w:vMerge w:val="continue"/>
          </w:tcPr>
          <w:p>
            <w:pPr>
              <w:spacing w:after="0"/>
              <w:rPr>
                <w:sz w:val="18"/>
                <w:szCs w:val="18"/>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28.19</w:t>
            </w:r>
          </w:p>
        </w:tc>
        <w:tc>
          <w:tcPr>
            <w:tcW w:w="52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color w:val="auto"/>
              </w:rPr>
              <w:t>16.54</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42.15</w:t>
            </w:r>
          </w:p>
        </w:tc>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20"/>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42"/>
        </w:trPr>
        <w:tc>
          <w:tcPr>
            <w:tcW w:w="544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27.91</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16.42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41.75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35"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80" w:type="dxa"/>
            <w:vAlign w:val="bottom"/>
            <w:gridSpan w:val="2"/>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2"/>
          </w:tcPr>
          <w:p>
            <w:pPr>
              <w:jc w:val="right"/>
              <w:ind w:right="245"/>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r>
      <w:tr>
        <w:trPr>
          <w:trHeight w:val="196"/>
        </w:trPr>
        <w:tc>
          <w:tcPr>
            <w:tcW w:w="58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r>
      <w:tr>
        <w:trPr>
          <w:trHeight w:val="20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2024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7"/>
                <w:szCs w:val="17"/>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840" w:type="dxa"/>
            <w:vAlign w:val="bottom"/>
          </w:tcPr>
          <w:p>
            <w:pPr>
              <w:spacing w:after="0"/>
              <w:rPr>
                <w:sz w:val="19"/>
                <w:szCs w:val="19"/>
                <w:color w:val="auto"/>
              </w:rPr>
            </w:pPr>
          </w:p>
        </w:tc>
        <w:tc>
          <w:tcPr>
            <w:tcW w:w="1440" w:type="dxa"/>
            <w:vAlign w:val="bottom"/>
          </w:tcPr>
          <w:p>
            <w:pPr>
              <w:jc w:val="right"/>
              <w:ind w:right="1005"/>
              <w:spacing w:after="0"/>
              <w:rPr>
                <w:sz w:val="20"/>
                <w:szCs w:val="20"/>
                <w:color w:val="auto"/>
              </w:rPr>
            </w:pPr>
            <w:r>
              <w:rPr>
                <w:rFonts w:ascii="Arial" w:cs="Arial" w:eastAsia="Arial" w:hAnsi="Arial"/>
                <w:sz w:val="16"/>
                <w:szCs w:val="16"/>
                <w:b w:val="1"/>
                <w:bCs w:val="1"/>
                <w:color w:val="auto"/>
              </w:rPr>
              <w:t>16</w:t>
            </w:r>
          </w:p>
        </w:tc>
        <w:tc>
          <w:tcPr>
            <w:tcW w:w="1300" w:type="dxa"/>
            <w:vAlign w:val="bottom"/>
          </w:tcPr>
          <w:p>
            <w:pPr>
              <w:jc w:val="right"/>
              <w:ind w:right="925"/>
              <w:spacing w:after="0"/>
              <w:rPr>
                <w:sz w:val="20"/>
                <w:szCs w:val="20"/>
                <w:color w:val="auto"/>
              </w:rPr>
            </w:pPr>
            <w:r>
              <w:rPr>
                <w:rFonts w:ascii="Arial" w:cs="Arial" w:eastAsia="Arial" w:hAnsi="Arial"/>
                <w:sz w:val="16"/>
                <w:szCs w:val="16"/>
                <w:color w:val="auto"/>
              </w:rPr>
              <w:t>21</w:t>
            </w:r>
          </w:p>
        </w:tc>
        <w:tc>
          <w:tcPr>
            <w:tcW w:w="1460" w:type="dxa"/>
            <w:vAlign w:val="bottom"/>
          </w:tcPr>
          <w:p>
            <w:pPr>
              <w:jc w:val="right"/>
              <w:ind w:right="1005"/>
              <w:spacing w:after="0"/>
              <w:rPr>
                <w:sz w:val="20"/>
                <w:szCs w:val="20"/>
                <w:color w:val="auto"/>
              </w:rPr>
            </w:pPr>
            <w:r>
              <w:rPr>
                <w:rFonts w:ascii="Arial" w:cs="Arial" w:eastAsia="Arial" w:hAnsi="Arial"/>
                <w:sz w:val="16"/>
                <w:szCs w:val="16"/>
                <w:b w:val="1"/>
                <w:bCs w:val="1"/>
                <w:color w:val="auto"/>
              </w:rPr>
              <w:t>14</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3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diluted earnings per share amounts for the three and nine months ended September 30, 2025 excludes the effect of 1,000 contingently issuable shares outstanding as their inclusion would have been antidilutive due to a market condition. The diluted earnings per share</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amounts for the three and nine months ended September 30, 2024 exclude the effect of 27,742 stock options and contingently issuable shares outstanding as their inclusion would have been antidilutive due to a market condition.</w:t>
      </w:r>
    </w:p>
    <w:p>
      <w:pPr>
        <w:spacing w:after="0" w:line="104"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In the three and nine months ended September 30, 2025, the Company declared regular dividends totaling $ 1.80 and $ 7.20 per common share, respectively. In the three and nine months ended September 30, 2024, the Company declared regular dividends totaling $1.72 and $6.88 per common share,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11,772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14,761</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35,663</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42,866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8,012</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11,220</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21,389</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33,660</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(41,915)</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(41,487)</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(125,767)</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(124,416)</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(520)</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(487)</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(1,560)</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(1,463)</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(35,672)</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(22,651)</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(27,884)</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(70,275)</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(85,025)</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2,546</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9,185</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20,493</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(20,105)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(61,090)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the Company recorded $2.5 million in expenses related to Separation Incentive Programs (SIPs) for certain</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Kaplan, Graham Media Group (GMG), Joyce, Society6, Saatchi Art, Code3 and Corporate employees. In the second quarter of 2025, the Company recorded $6.0 million in expenses related to SIPs for certain Kaplan, GMG, WGB, Saatchi Art, Society6, Code3 and Decile</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employees. In the first quarter of 2025, the Company recorded $0.6 million in expenses related to a SIP for certain WGB employees. These SIPs were funded from the assets of the Company’s pension plans.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the third quarter of 2024, the Company recorded $ 3.7 million in expenses related to SIPs for certain Kaplan, Dekko, WGB, Saatchi Art, Society6, Slate and Decile employees. In the second quarter of 2024, the Company recorded $14.8 million in expenses related to a Voluntary</w:t>
      </w:r>
    </w:p>
    <w:p>
      <w:pPr>
        <w:ind w:right="40"/>
        <w:spacing w:after="0"/>
        <w:rPr>
          <w:sz w:val="20"/>
          <w:szCs w:val="20"/>
          <w:color w:val="auto"/>
        </w:rPr>
      </w:pPr>
      <w:r>
        <w:rPr>
          <w:rFonts w:ascii="Arial" w:cs="Arial" w:eastAsia="Arial" w:hAnsi="Arial"/>
          <w:sz w:val="17"/>
          <w:szCs w:val="17"/>
          <w:color w:val="auto"/>
        </w:rPr>
        <w:t>Retirement Incentive Program (VRIP) for certain GMG and Corporate employees. Also in the second quarter of 2024, the Company recorded $1.6 million in expenses related to SIPs for certain Framebridge and Code3 employees. In the first quarter of 2024, the Company recorded</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$0.4 million in expenses related to a SIP for certain Framebridge employees. These VRIPs and SIPs were funded from the assets of the Company’s pension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239</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287</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716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862</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1,198</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3,592</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3,385</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1,437</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4,308</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4,247</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a relatively small number of stocks and high-quality fixed-income securities that are held by a third-party trustee.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were allocated as follows:</w:t>
      </w:r>
    </w:p>
    <w:p>
      <w:pPr>
        <w:spacing w:after="0" w:line="190" w:lineRule="exact"/>
        <w:rPr>
          <w:sz w:val="20"/>
          <w:szCs w:val="20"/>
          <w:color w:val="auto"/>
        </w:rPr>
      </w:pPr>
    </w:p>
    <w:tbl>
      <w:tblPr>
        <w:tblLayout w:type="fixed"/>
        <w:tblInd w:w="8240" w:type="dxa"/>
        <w:tblCellMar>
          <w:top w:w="0" w:type="dxa"/>
          <w:left w:w="0" w:type="dxa"/>
          <w:bottom w:w="0" w:type="dxa"/>
          <w:right w:w="0" w:type="dxa"/>
        </w:tblCellMar>
      </w:tblPr>
      <w:tr>
        <w:trPr>
          <w:trHeight w:val="205"/>
        </w:trPr>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220"/>
        </w:trPr>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196"/>
        </w:trPr>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60 %</w:t>
      </w:r>
      <w:r>
        <w:rPr>
          <w:sz w:val="20"/>
          <w:szCs w:val="20"/>
          <w:color w:val="auto"/>
        </w:rPr>
        <w:tab/>
      </w:r>
      <w:r>
        <w:rPr>
          <w:rFonts w:ascii="Arial" w:cs="Arial" w:eastAsia="Arial" w:hAnsi="Arial"/>
          <w:sz w:val="15"/>
          <w:szCs w:val="15"/>
          <w:color w:val="auto"/>
        </w:rPr>
        <w:t>64 %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5"/>
          <w:szCs w:val="15"/>
          <w:color w:val="auto"/>
        </w:rPr>
        <w:t>19 %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12 %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55245</wp:posOffset>
            </wp:positionV>
            <wp:extent cx="1903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manages approximately 42% of the pension assets internally, of which the majority is invested in Berkshire Hathaway stock,</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with the remaining investments in private investment funds, Markel stock, and short-term fixed-income securities. The remaining 58% of plan assets are managed by two investment companies. The goal of the investment managers is to produce moderate long-term growth in the</w:t>
      </w:r>
    </w:p>
    <w:p>
      <w:pPr>
        <w:spacing w:after="0" w:line="23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equity and fixed-income securities and cash. The managers are not permitted to invest in securities of the Company or in alternative investments. One investment manager cannot invest more than 15% of the assets at the time of purchase in each of the stocks of Alphabet</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and Berkshire Hathaway, and no more than 50% of the assets it manages in specified international exchanges at the time the investment is made. The other investment manager cannot invest more than</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20% of the assets at the time of purchase in the stock of Berkshire Hathaway and no more than 15% of the assets it manages in specified</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international exchanges at the time the investment is made. Excluding the exceptions noted above, the investment managers cannot invest more than 10% of the assets in the securities of any other single issuer, except for obligations of the U.S. Government, without receiving prior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approval from the Plan administrator.</w:t>
      </w:r>
    </w:p>
    <w:p>
      <w:pPr>
        <w:spacing w:after="0" w:line="140"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may consult with and consider the input of financial and other professionals in developing appropriate return benchmarks.</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2025. Types of concentrations that were evaluated include, but are not limited to,</w:t>
      </w:r>
    </w:p>
    <w:p>
      <w:pPr>
        <w:spacing w:after="0" w:line="235"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September 30, 2025, the pension plan</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held investments in one common stock and one private investment fund that exceeded 10% of total plan assets, valued at $1,283.9 million, or approximately 38% of total plan assets. At December 31, 2024, the pension plan held investments in one common stock and one private</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investment fund that exceeded 10% of total plan assets, valued at $1,178.5 million, or approximately 40% of total plan assets. Assets also included $110.9 million and $100.1 million of Markel shares at September 30, 2025 and December 31, 2024,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92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32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42</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(378)</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(1,137)</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(368)</w:t>
            </w:r>
          </w:p>
        </w:tc>
        <w:tc>
          <w:tcPr>
            <w:tcW w:w="9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(1,105)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rPr>
          <w:sz w:val="20"/>
          <w:szCs w:val="20"/>
          <w:color w:val="auto"/>
        </w:rPr>
      </w:pPr>
      <w:r>
        <w:rPr>
          <w:rFonts w:ascii="Arial" w:cs="Arial" w:eastAsia="Arial" w:hAnsi="Arial"/>
          <w:sz w:val="18"/>
          <w:szCs w:val="18"/>
          <w:b w:val="1"/>
          <w:bCs w:val="1"/>
          <w:color w:val="auto"/>
        </w:rPr>
        <w:t>12. OTHER NON-OPERATING INCOME (EXPENSE)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income (expense) is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8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2024</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9525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Impairment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gain (loss),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investment in affiliate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(1,486)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(14,165)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1,147</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(7,707)</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(5,642)</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3,763</w:t>
            </w:r>
          </w:p>
        </w:tc>
        <w:tc>
          <w:tcPr>
            <w:tcW w:w="4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371</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8,121</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4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29"/>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346</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987</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r>
      <w:tr>
        <w:trPr>
          <w:trHeight w:val="223"/>
        </w:trPr>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(20,514)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w:t>
            </w:r>
          </w:p>
        </w:tc>
      </w:tr>
      <w:tr>
        <w:trPr>
          <w:trHeight w:val="24"/>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1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gain on cost method investments results from observable price changes in the fair value of the underlying equity securities accounted for under the cost method (see Notes 3 and 8).</w:t>
      </w:r>
    </w:p>
    <w:p>
      <w:pPr>
        <w:spacing w:after="0" w:line="10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During the nine months ended September 30, 2024, the Company recorded contingent consideration gains of $0.9 million related to the disposition of Kaplan University (KU)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2024, the Company recorded a $3.7 million gain related to Kaplan’s sale of a small business (see Note 2).</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second quarter of 2024, the Company recorded a $3.5 million gain related to the sale of a small business by WGB, which included five websites (see Note 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8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0"/>
        </w:trPr>
        <w:tc>
          <w:tcPr>
            <w:tcW w:w="4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2024</w:t>
            </w:r>
          </w:p>
        </w:tc>
        <w:tc>
          <w:tcPr>
            <w:tcW w:w="1080" w:type="dxa"/>
            <w:vAlign w:val="bottom"/>
            <w:tcBorders>
              <w:bottom w:val="single" w:sz="8" w:color="auto"/>
            </w:tcBorders>
          </w:tcPr>
          <w:p>
            <w:pPr>
              <w:spacing w:after="0"/>
              <w:rPr>
                <w:sz w:val="18"/>
                <w:szCs w:val="18"/>
                <w:color w:val="auto"/>
              </w:rPr>
            </w:pPr>
          </w:p>
        </w:tc>
      </w:tr>
      <w:tr>
        <w:trPr>
          <w:trHeight w:val="200"/>
        </w:trPr>
        <w:tc>
          <w:tcPr>
            <w:tcW w:w="468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Before-Tax</w:t>
            </w:r>
          </w:p>
        </w:tc>
        <w:tc>
          <w:tcPr>
            <w:tcW w:w="860" w:type="dxa"/>
            <w:vAlign w:val="bottom"/>
          </w:tcPr>
          <w:p>
            <w:pPr>
              <w:jc w:val="center"/>
              <w:ind w:left="88"/>
              <w:spacing w:after="0"/>
              <w:rPr>
                <w:sz w:val="20"/>
                <w:szCs w:val="20"/>
                <w:color w:val="auto"/>
              </w:rPr>
            </w:pPr>
            <w:r>
              <w:rPr>
                <w:rFonts w:ascii="Arial" w:cs="Arial" w:eastAsia="Arial" w:hAnsi="Arial"/>
                <w:sz w:val="14"/>
                <w:szCs w:val="14"/>
                <w:b w:val="1"/>
                <w:bCs w:val="1"/>
                <w:color w:val="auto"/>
              </w:rPr>
              <w:t>Income</w:t>
            </w: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rPr>
              <w:t>After-Tax</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rPr>
              <w:t>Before-Tax</w:t>
            </w:r>
          </w:p>
        </w:tc>
        <w:tc>
          <w:tcPr>
            <w:tcW w:w="860" w:type="dxa"/>
            <w:vAlign w:val="bottom"/>
          </w:tcPr>
          <w:p>
            <w:pPr>
              <w:jc w:val="center"/>
              <w:ind w:right="8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7"/>
              </w:rPr>
              <w:t>After-Tax</w:t>
            </w:r>
          </w:p>
        </w:tc>
      </w:tr>
      <w:tr>
        <w:trPr>
          <w:trHeight w:val="216"/>
        </w:trPr>
        <w:tc>
          <w:tcPr>
            <w:tcW w:w="468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Tax</w:t>
            </w: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rPr>
              <w:t>Amount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rPr>
              <w:t>Amount</w:t>
            </w:r>
          </w:p>
        </w:tc>
        <w:tc>
          <w:tcPr>
            <w:tcW w:w="860" w:type="dxa"/>
            <w:vAlign w:val="bottom"/>
          </w:tcPr>
          <w:p>
            <w:pPr>
              <w:jc w:val="center"/>
              <w:ind w:right="8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line="339" w:lineRule="auto"/>
        <w:rPr>
          <w:sz w:val="20"/>
          <w:szCs w:val="20"/>
          <w:color w:val="auto"/>
        </w:rPr>
      </w:pPr>
      <w:r>
        <w:rPr>
          <w:rFonts w:ascii="Arial" w:cs="Arial" w:eastAsia="Arial" w:hAnsi="Arial"/>
          <w:sz w:val="16"/>
          <w:szCs w:val="16"/>
          <w:color w:val="auto"/>
        </w:rPr>
        <w:t>Amortization of net prior service credit included in net income Amortization of net actuarial gain included in net income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(loss) for the period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(8,227)</w:t>
            </w:r>
          </w:p>
        </w:tc>
        <w:tc>
          <w:tcPr>
            <w:tcW w:w="4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(8,227)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31,469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31,469</w:t>
            </w:r>
          </w:p>
        </w:tc>
      </w:tr>
      <w:tr>
        <w:trPr>
          <w:trHeight w:val="233"/>
        </w:trPr>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23"/>
        </w:trPr>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(8,227)</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(8,227)</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30,704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30,704</w:t>
            </w:r>
          </w:p>
        </w:tc>
      </w:tr>
      <w:tr>
        <w:trPr>
          <w:trHeight w:val="448"/>
        </w:trPr>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42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b w:val="1"/>
                <w:bCs w:val="1"/>
                <w:color w:val="auto"/>
              </w:rPr>
              <w:t>133</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(387)</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(487)</w:t>
            </w:r>
          </w:p>
        </w:tc>
        <w:tc>
          <w:tcPr>
            <w:tcW w:w="36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33"/>
        </w:trPr>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(12,360)</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3,164</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(9,196)</w:t>
            </w:r>
          </w:p>
        </w:tc>
      </w:tr>
      <w:tr>
        <w:trPr>
          <w:trHeight w:val="223"/>
        </w:trPr>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(898)</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(12,847)</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3,288</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(9,559)</w:t>
            </w:r>
          </w:p>
        </w:tc>
      </w:tr>
      <w:tr>
        <w:trPr>
          <w:trHeight w:val="452"/>
        </w:trPr>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515</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r>
      <w:tr>
        <w:trPr>
          <w:trHeight w:val="223"/>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(9,061)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15,882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19,685</w:t>
            </w:r>
          </w:p>
        </w:tc>
      </w:tr>
      <w:tr>
        <w:trPr>
          <w:trHeight w:val="24"/>
        </w:trPr>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520" w:space="180"/>
            <w:col w:w="6540"/>
          </w:cols>
          <w:pgMar w:left="320" w:top="1039" w:right="339" w:bottom="1440" w:gutter="0" w:footer="0" w:header="0"/>
          <w:type w:val="continuous"/>
        </w:sectPr>
      </w:pP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46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2024</w:t>
            </w:r>
          </w:p>
        </w:tc>
        <w:tc>
          <w:tcPr>
            <w:tcW w:w="1100" w:type="dxa"/>
            <w:vAlign w:val="bottom"/>
            <w:tcBorders>
              <w:bottom w:val="single" w:sz="8" w:color="auto"/>
            </w:tcBorders>
          </w:tcPr>
          <w:p>
            <w:pPr>
              <w:spacing w:after="0"/>
              <w:rPr>
                <w:sz w:val="18"/>
                <w:szCs w:val="18"/>
                <w:color w:val="auto"/>
              </w:rPr>
            </w:pPr>
          </w:p>
        </w:tc>
      </w:tr>
      <w:tr>
        <w:trPr>
          <w:trHeight w:val="200"/>
        </w:trPr>
        <w:tc>
          <w:tcPr>
            <w:tcW w:w="464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Before-Tax</w:t>
            </w:r>
          </w:p>
        </w:tc>
        <w:tc>
          <w:tcPr>
            <w:tcW w:w="880" w:type="dxa"/>
            <w:vAlign w:val="bottom"/>
          </w:tcPr>
          <w:p>
            <w:pPr>
              <w:jc w:val="center"/>
              <w:ind w:left="28"/>
              <w:spacing w:after="0"/>
              <w:rPr>
                <w:sz w:val="20"/>
                <w:szCs w:val="20"/>
                <w:color w:val="auto"/>
              </w:rPr>
            </w:pPr>
            <w:r>
              <w:rPr>
                <w:rFonts w:ascii="Arial" w:cs="Arial" w:eastAsia="Arial" w:hAnsi="Arial"/>
                <w:sz w:val="14"/>
                <w:szCs w:val="14"/>
                <w:b w:val="1"/>
                <w:bCs w:val="1"/>
                <w:color w:val="auto"/>
              </w:rPr>
              <w:t>Income</w:t>
            </w:r>
          </w:p>
        </w:tc>
        <w:tc>
          <w:tcPr>
            <w:tcW w:w="1260" w:type="dxa"/>
            <w:vAlign w:val="bottom"/>
          </w:tcPr>
          <w:p>
            <w:pPr>
              <w:jc w:val="center"/>
              <w:ind w:left="88"/>
              <w:spacing w:after="0"/>
              <w:rPr>
                <w:sz w:val="20"/>
                <w:szCs w:val="20"/>
                <w:color w:val="auto"/>
              </w:rPr>
            </w:pPr>
            <w:r>
              <w:rPr>
                <w:rFonts w:ascii="Arial" w:cs="Arial" w:eastAsia="Arial" w:hAnsi="Arial"/>
                <w:sz w:val="14"/>
                <w:szCs w:val="14"/>
                <w:b w:val="1"/>
                <w:bCs w:val="1"/>
                <w:color w:val="auto"/>
              </w:rPr>
              <w:t>After-Tax</w:t>
            </w:r>
          </w:p>
        </w:tc>
        <w:tc>
          <w:tcPr>
            <w:tcW w:w="1320" w:type="dxa"/>
            <w:vAlign w:val="bottom"/>
          </w:tcPr>
          <w:p>
            <w:pPr>
              <w:jc w:val="center"/>
              <w:ind w:right="48"/>
              <w:spacing w:after="0"/>
              <w:rPr>
                <w:sz w:val="20"/>
                <w:szCs w:val="20"/>
                <w:color w:val="auto"/>
              </w:rPr>
            </w:pPr>
            <w:r>
              <w:rPr>
                <w:rFonts w:ascii="Arial" w:cs="Arial" w:eastAsia="Arial" w:hAnsi="Arial"/>
                <w:sz w:val="14"/>
                <w:szCs w:val="14"/>
                <w:color w:val="auto"/>
                <w:w w:val="98"/>
              </w:rPr>
              <w:t>Before-Tax</w:t>
            </w:r>
          </w:p>
        </w:tc>
        <w:tc>
          <w:tcPr>
            <w:tcW w:w="900" w:type="dxa"/>
            <w:vAlign w:val="bottom"/>
          </w:tcPr>
          <w:p>
            <w:pPr>
              <w:jc w:val="center"/>
              <w:ind w:right="88"/>
              <w:spacing w:after="0"/>
              <w:rPr>
                <w:sz w:val="20"/>
                <w:szCs w:val="20"/>
                <w:color w:val="auto"/>
              </w:rPr>
            </w:pPr>
            <w:r>
              <w:rPr>
                <w:rFonts w:ascii="Arial" w:cs="Arial" w:eastAsia="Arial" w:hAnsi="Arial"/>
                <w:sz w:val="14"/>
                <w:szCs w:val="14"/>
                <w:color w:val="auto"/>
              </w:rPr>
              <w:t>Income</w:t>
            </w:r>
          </w:p>
        </w:tc>
        <w:tc>
          <w:tcPr>
            <w:tcW w:w="1100" w:type="dxa"/>
            <w:vAlign w:val="bottom"/>
          </w:tcPr>
          <w:p>
            <w:pPr>
              <w:jc w:val="center"/>
              <w:spacing w:after="0"/>
              <w:rPr>
                <w:sz w:val="20"/>
                <w:szCs w:val="20"/>
                <w:color w:val="auto"/>
              </w:rPr>
            </w:pPr>
            <w:r>
              <w:rPr>
                <w:rFonts w:ascii="Arial" w:cs="Arial" w:eastAsia="Arial" w:hAnsi="Arial"/>
                <w:sz w:val="14"/>
                <w:szCs w:val="14"/>
                <w:color w:val="auto"/>
              </w:rPr>
              <w:t>After-Tax</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Tax</w:t>
            </w:r>
          </w:p>
        </w:tc>
        <w:tc>
          <w:tcPr>
            <w:tcW w:w="1260" w:type="dxa"/>
            <w:vAlign w:val="bottom"/>
          </w:tcPr>
          <w:p>
            <w:pPr>
              <w:jc w:val="center"/>
              <w:ind w:left="88"/>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4"/>
              </w:rPr>
              <w:t>Tax</w:t>
            </w:r>
          </w:p>
        </w:tc>
        <w:tc>
          <w:tcPr>
            <w:tcW w:w="1100" w:type="dxa"/>
            <w:vAlign w:val="bottom"/>
          </w:tcPr>
          <w:p>
            <w:pPr>
              <w:jc w:val="center"/>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line="339" w:lineRule="auto"/>
        <w:rPr>
          <w:sz w:val="20"/>
          <w:szCs w:val="20"/>
          <w:color w:val="auto"/>
        </w:rPr>
      </w:pPr>
      <w:r>
        <w:rPr>
          <w:rFonts w:ascii="Arial" w:cs="Arial" w:eastAsia="Arial" w:hAnsi="Arial"/>
          <w:sz w:val="16"/>
          <w:szCs w:val="16"/>
          <w:color w:val="auto"/>
        </w:rPr>
        <w:t>Amortization of net prior service credit included in net income Amortization of net actuarial gain included in net income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for the period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38,323</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38,323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21,702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21,702</w:t>
            </w:r>
          </w:p>
        </w:tc>
      </w:tr>
      <w:tr>
        <w:trPr>
          <w:trHeight w:val="233"/>
        </w:trPr>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23"/>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38,969</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38,969</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20,937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20,937</w:t>
            </w:r>
          </w:p>
        </w:tc>
      </w:tr>
      <w:tr>
        <w:trPr>
          <w:trHeight w:val="448"/>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(1,560)</w:t>
            </w:r>
          </w:p>
        </w:tc>
        <w:tc>
          <w:tcPr>
            <w:tcW w:w="40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399</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(1,161)</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(1,463)</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33"/>
        </w:trPr>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(37,080)</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9,493</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(27,587)</w:t>
            </w:r>
          </w:p>
        </w:tc>
      </w:tr>
      <w:tr>
        <w:trPr>
          <w:trHeight w:val="223"/>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(2,697)</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690</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9,867</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(28,676)</w:t>
            </w:r>
          </w:p>
        </w:tc>
      </w:tr>
      <w:tr>
        <w:trPr>
          <w:trHeight w:val="452"/>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(979)</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254</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223"/>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35,293</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36,237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w:t>
            </w:r>
          </w:p>
        </w:tc>
      </w:tr>
      <w:tr>
        <w:trPr>
          <w:trHeight w:val="24"/>
        </w:trPr>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520" w:space="140"/>
            <w:col w:w="6580"/>
          </w:cols>
          <w:pgMar w:left="320" w:top="103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(58,044)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393,949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334,797</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b w:val="1"/>
                <w:bCs w:val="1"/>
                <w:color w:val="auto"/>
              </w:rPr>
              <w:t>38,323</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(907)</w:t>
            </w:r>
          </w:p>
        </w:tc>
        <w:tc>
          <w:tcPr>
            <w:tcW w:w="20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37,416</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646</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(2,007)</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182</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(1,179)</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38,969</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(2,007)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(725)</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36,237</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(19,075)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391,942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371,034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Nine Months Ended</w:t>
            </w:r>
          </w:p>
        </w:tc>
        <w:tc>
          <w:tcPr>
            <w:tcW w:w="26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216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5"/>
                <w:szCs w:val="5"/>
                <w:color w:val="auto"/>
              </w:rPr>
            </w:pPr>
          </w:p>
        </w:tc>
        <w:tc>
          <w:tcPr>
            <w:tcW w:w="162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2160" w:type="dxa"/>
            <w:vAlign w:val="bottom"/>
            <w:tcBorders>
              <w:bottom w:val="single" w:sz="8" w:color="auto"/>
            </w:tcBorders>
            <w:gridSpan w:val="2"/>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2680" w:type="dxa"/>
            <w:vAlign w:val="bottom"/>
          </w:tcPr>
          <w:p>
            <w:pPr>
              <w:jc w:val="center"/>
              <w:ind w:left="108"/>
              <w:spacing w:after="0" w:line="12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94"/>
        </w:trPr>
        <w:tc>
          <w:tcPr>
            <w:tcW w:w="3940" w:type="dxa"/>
            <w:vAlign w:val="bottom"/>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120" w:type="dxa"/>
            <w:vAlign w:val="bottom"/>
          </w:tcPr>
          <w:p>
            <w:pPr>
              <w:jc w:val="right"/>
              <w:ind w:right="348"/>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620" w:type="dxa"/>
            <w:vAlign w:val="bottom"/>
          </w:tcPr>
          <w:p>
            <w:pPr>
              <w:jc w:val="right"/>
              <w:ind w:right="328"/>
              <w:spacing w:after="0"/>
              <w:rPr>
                <w:sz w:val="20"/>
                <w:szCs w:val="20"/>
                <w:color w:val="auto"/>
              </w:rPr>
            </w:pPr>
            <w:r>
              <w:rPr>
                <w:rFonts w:ascii="Arial" w:cs="Arial" w:eastAsia="Arial" w:hAnsi="Arial"/>
                <w:sz w:val="14"/>
                <w:szCs w:val="14"/>
                <w:color w:val="auto"/>
              </w:rPr>
              <w:t>2024</w:t>
            </w:r>
          </w:p>
        </w:tc>
        <w:tc>
          <w:tcPr>
            <w:tcW w:w="2680" w:type="dxa"/>
            <w:vAlign w:val="bottom"/>
          </w:tcPr>
          <w:p>
            <w:pPr>
              <w:jc w:val="center"/>
              <w:ind w:left="12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sales of businesses with foreign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(765)</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(765)</w:t>
            </w:r>
          </w:p>
        </w:tc>
        <w:tc>
          <w:tcPr>
            <w:tcW w:w="194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443"/>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(1,560)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(1,463)</w:t>
            </w:r>
          </w:p>
        </w:tc>
        <w:tc>
          <w:tcPr>
            <w:tcW w:w="19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396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(12,360)</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(37,080)</w:t>
            </w:r>
          </w:p>
        </w:tc>
        <w:tc>
          <w:tcPr>
            <w:tcW w:w="19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(898)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(12,847)</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(2,697)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(38,543)</w:t>
            </w:r>
          </w:p>
        </w:tc>
        <w:tc>
          <w:tcPr>
            <w:tcW w:w="194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3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3,288</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9,867</w:t>
            </w:r>
          </w:p>
        </w:tc>
        <w:tc>
          <w:tcPr>
            <w:tcW w:w="194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(9,559)</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(28,676)</w:t>
            </w:r>
          </w:p>
        </w:tc>
        <w:tc>
          <w:tcPr>
            <w:tcW w:w="19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94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(29,802)</w:t>
            </w:r>
          </w:p>
        </w:tc>
        <w:tc>
          <w:tcPr>
            <w:tcW w:w="19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39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260" w:hanging="412"/>
        <w:spacing w:after="0" w:line="264"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real estate lease and sublease disputes;</w:t>
      </w:r>
    </w:p>
    <w:p>
      <w:pPr>
        <w:spacing w:after="0" w:line="23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employees. Although the outcomes of the legal claims and proceedings against the Company cannot be predicted with certainty, based on currently available information, management believes that there are no existing claims or proceedings that are likely to have a material</w:t>
      </w:r>
    </w:p>
    <w:p>
      <w:pPr>
        <w:spacing w:after="0" w:line="235" w:lineRule="auto"/>
        <w:rPr>
          <w:sz w:val="20"/>
          <w:szCs w:val="20"/>
          <w:color w:val="auto"/>
        </w:rPr>
      </w:pPr>
      <w:r>
        <w:rPr>
          <w:rFonts w:ascii="Arial" w:cs="Arial" w:eastAsia="Arial" w:hAnsi="Arial"/>
          <w:sz w:val="18"/>
          <w:szCs w:val="18"/>
          <w:color w:val="auto"/>
        </w:rPr>
        <w:t>effect on the Company’s business, financial condition, results of operations or cash flows. However, based on currently available information,</w:t>
      </w:r>
    </w:p>
    <w:p>
      <w:pPr>
        <w:ind w:right="400"/>
        <w:spacing w:after="0" w:line="237"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Kaplan had a total outstanding accounts receivable balance of $75.7 million from Purdue Global related to</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amounts due for reimbursements for services, fees earned and a deferred fee. Included in this total, Kaplan has a $15.1 million long-term receivable balance and a $4.7 million short-term receivable balance due from Purdue Global at September 30, 2025, related to the advance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$20.0 million during the initial KU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Three Months Ended September 30, 2025</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472,662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105,087</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124,257</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208,415</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285,228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1,195,649</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40" w:right="24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Intangible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Intangible and Other Long-Lived Assets Income from Operations</w:t>
      </w:r>
    </w:p>
    <w:p>
      <w:pPr>
        <w:ind w:left="20" w:right="1160"/>
        <w:spacing w:after="0" w:line="303" w:lineRule="auto"/>
        <w:rPr>
          <w:sz w:val="20"/>
          <w:szCs w:val="20"/>
          <w:color w:val="auto"/>
        </w:rPr>
      </w:pPr>
      <w:r>
        <w:rPr>
          <w:rFonts w:ascii="Arial" w:cs="Arial" w:eastAsia="Arial" w:hAnsi="Arial"/>
          <w:sz w:val="13"/>
          <w:szCs w:val="13"/>
          <w:b w:val="1"/>
          <w:bCs w:val="1"/>
          <w:color w:val="auto"/>
        </w:rPr>
        <w:t>Equity in Earnings of Affiliates, Net Interest Expense, Net</w:t>
      </w:r>
    </w:p>
    <w:p>
      <w:pPr>
        <w:spacing w:after="0" w:line="1" w:lineRule="exact"/>
        <w:rPr>
          <w:sz w:val="20"/>
          <w:szCs w:val="20"/>
          <w:color w:val="auto"/>
        </w:rPr>
      </w:pP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60"/>
        <w:spacing w:after="0" w:line="335"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52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83,835</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1,278,859</w:t>
            </w:r>
          </w:p>
        </w:tc>
      </w:tr>
      <w:tr>
        <w:trPr>
          <w:trHeight w:val="408"/>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187,485</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88,082</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130,564</w:t>
            </w:r>
          </w:p>
        </w:tc>
        <w:tc>
          <w:tcPr>
            <w:tcW w:w="48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243,239</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649,370</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122,056</w:t>
            </w: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26,218</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20,233</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168,507</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26,486</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1,978</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28,464</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18,465</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18,465</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30,943</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30,943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2,075</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2,075</w:t>
            </w:r>
          </w:p>
        </w:tc>
      </w:tr>
      <w:tr>
        <w:trPr>
          <w:trHeight w:val="193"/>
        </w:trPr>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56,311</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15,720</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20,953</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51,431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9,118</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153,533</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61,859</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32,206</w:t>
            </w:r>
          </w:p>
        </w:tc>
        <w:tc>
          <w:tcPr>
            <w:tcW w:w="5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15,222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26,420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8,585</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144,292</w:t>
            </w:r>
          </w:p>
        </w:tc>
      </w:tr>
      <w:tr>
        <w:trPr>
          <w:trHeight w:val="21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4,318</w:t>
            </w:r>
          </w:p>
        </w:tc>
        <w:tc>
          <w:tcPr>
            <w:tcW w:w="5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1,475</w:t>
            </w:r>
          </w:p>
        </w:tc>
        <w:tc>
          <w:tcPr>
            <w:tcW w:w="5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866</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2,496</w:t>
            </w:r>
          </w:p>
        </w:tc>
        <w:tc>
          <w:tcPr>
            <w:tcW w:w="480" w:type="dxa"/>
            <w:vAlign w:val="bottom"/>
          </w:tcPr>
          <w:p>
            <w:pPr>
              <w:spacing w:after="0"/>
              <w:rPr>
                <w:sz w:val="19"/>
                <w:szCs w:val="19"/>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b w:val="1"/>
                <w:bCs w:val="1"/>
                <w:color w:val="auto"/>
              </w:rPr>
              <w:t>(1)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9,154</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7,085</w:t>
            </w: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2,597</w:t>
            </w:r>
          </w:p>
        </w:tc>
        <w:tc>
          <w:tcPr>
            <w:tcW w:w="520" w:type="dxa"/>
            <w:vAlign w:val="bottom"/>
          </w:tcPr>
          <w:p>
            <w:pPr>
              <w:spacing w:after="0"/>
              <w:rPr>
                <w:sz w:val="16"/>
                <w:szCs w:val="16"/>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3,219</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1,837</w:t>
            </w: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1,718</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16,456</w:t>
            </w:r>
          </w:p>
        </w:tc>
      </w:tr>
      <w:tr>
        <w:trPr>
          <w:trHeight w:val="62"/>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8"/>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50,456</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28,134</w:t>
            </w:r>
          </w:p>
        </w:tc>
        <w:tc>
          <w:tcPr>
            <w:tcW w:w="5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11,137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22,087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6,868</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118,682</w:t>
            </w:r>
          </w:p>
        </w:tc>
      </w:tr>
      <w:tr>
        <w:trPr>
          <w:trHeight w:val="21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(21,949)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(17,670)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(9,692)</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(2,235)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67,136</w:t>
            </w:r>
          </w:p>
        </w:tc>
      </w:tr>
      <w:tr>
        <w:trPr>
          <w:trHeight w:val="178"/>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15,780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(15,700)</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31,047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84,768</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183,038</w:t>
            </w:r>
          </w:p>
        </w:tc>
      </w:tr>
      <w:tr>
        <w:trPr>
          <w:trHeight w:val="25"/>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9"/>
        </w:trPr>
        <w:tc>
          <w:tcPr>
            <w:tcW w:w="400" w:type="dxa"/>
            <w:vAlign w:val="bottom"/>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3,624</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1,288</w:t>
            </w:r>
          </w:p>
        </w:tc>
        <w:tc>
          <w:tcPr>
            <w:tcW w:w="520" w:type="dxa"/>
            <w:vAlign w:val="bottom"/>
          </w:tcPr>
          <w:p>
            <w:pPr>
              <w:jc w:val="right"/>
              <w:ind w:right="29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1,591</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5,138</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2,179</w:t>
            </w: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13,820</w:t>
            </w:r>
          </w:p>
        </w:tc>
      </w:tr>
      <w:tr>
        <w:trPr>
          <w:trHeight w:val="5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6,356</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20,176</w:t>
            </w:r>
          </w:p>
        </w:tc>
      </w:tr>
    </w:tbl>
    <w:p>
      <w:pPr>
        <w:spacing w:after="0" w:line="200" w:lineRule="exact"/>
        <w:rPr>
          <w:sz w:val="20"/>
          <w:szCs w:val="20"/>
          <w:color w:val="auto"/>
        </w:rPr>
      </w:pPr>
    </w:p>
    <w:p>
      <w:pPr>
        <w:sectPr>
          <w:pgSz w:w="11900" w:h="16838" w:orient="portrait"/>
          <w:cols w:equalWidth="0" w:num="2">
            <w:col w:w="3280" w:space="40"/>
            <w:col w:w="7920"/>
          </w:cols>
          <w:pgMar w:left="320" w:top="931" w:right="339" w:bottom="1440" w:gutter="0" w:footer="0" w:header="0"/>
          <w:type w:val="continuous"/>
        </w:sectPr>
      </w:pPr>
    </w:p>
    <w:p>
      <w:pPr>
        <w:spacing w:after="0" w:line="57" w:lineRule="exact"/>
        <w:rPr>
          <w:sz w:val="20"/>
          <w:szCs w:val="20"/>
          <w:color w:val="auto"/>
        </w:rPr>
      </w:pPr>
    </w:p>
    <w:p>
      <w:pPr>
        <w:ind w:left="360" w:right="20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chief operating decision maker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260" w:hanging="310"/>
        <w:spacing w:after="0" w:line="259" w:lineRule="auto"/>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Three Months Ended September 30,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294,292</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92,162</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86,679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280</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(751)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472,662</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106,644</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67,237</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14,293</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(689)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187,485</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74,935</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5,881</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34,892</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6,390</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(42)</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122,056</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25,772</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183</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213</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328</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26,486</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7,933</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1,733</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8,729</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70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18,465</w:t>
            </w: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43,901</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282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10,952</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1,224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(48)</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56,311</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35,107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16,846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17,600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(7,732)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61,859</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142</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1,849</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1,929</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398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4,318</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6,072</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314</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692</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7,085</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28,893</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14,683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14,979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(8,137)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50,456</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2,470</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163</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975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3,624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Three Months Ended September 30, 2024</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438,090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145,422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95,385</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155,413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289,392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1,123,702</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84,040</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1,207,162</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167,492</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69,725</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87,103</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245,512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569,832</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120,144</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27,886</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20,542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168,572</w:t>
            </w:r>
          </w:p>
        </w:tc>
        <w:tc>
          <w:tcPr>
            <w:tcW w:w="0" w:type="dxa"/>
            <w:vAlign w:val="bottom"/>
          </w:tcPr>
          <w:p>
            <w:pPr>
              <w:spacing w:after="0"/>
              <w:rPr>
                <w:sz w:val="1"/>
                <w:szCs w:val="1"/>
                <w:color w:val="auto"/>
              </w:rPr>
            </w:pPr>
          </w:p>
        </w:tc>
      </w:tr>
      <w:tr>
        <w:trPr>
          <w:trHeight w:val="166"/>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27,775</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1,930</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29,705</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17,163</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17,163</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31,465</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31,465</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55,184</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18,513</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14,750</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47,333</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8,518</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144,298</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50,332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67,558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10,910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20,977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10,872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160,649</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4,445</w:t>
            </w:r>
          </w:p>
        </w:tc>
        <w:tc>
          <w:tcPr>
            <w:tcW w:w="2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1,528</w:t>
            </w:r>
          </w:p>
        </w:tc>
        <w:tc>
          <w:tcPr>
            <w:tcW w:w="2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978</w:t>
            </w:r>
          </w:p>
        </w:tc>
        <w:tc>
          <w:tcPr>
            <w:tcW w:w="2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4,804</w:t>
            </w:r>
          </w:p>
        </w:tc>
        <w:tc>
          <w:tcPr>
            <w:tcW w:w="26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11,784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8,576</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2,756</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2,818</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1,754</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1,774</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17,678</w:t>
            </w:r>
          </w:p>
        </w:tc>
        <w:tc>
          <w:tcPr>
            <w:tcW w:w="0" w:type="dxa"/>
            <w:vAlign w:val="bottom"/>
          </w:tcPr>
          <w:p>
            <w:pPr>
              <w:spacing w:after="0"/>
              <w:rPr>
                <w:sz w:val="1"/>
                <w:szCs w:val="1"/>
                <w:color w:val="auto"/>
              </w:rPr>
            </w:pPr>
          </w:p>
        </w:tc>
      </w:tr>
      <w:tr>
        <w:trPr>
          <w:trHeight w:val="68"/>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37,311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63,274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7,114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14,419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9,069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131,187</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(27,073)</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(14,081)</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(8,385)</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81,648</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Losses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(13,361)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(23,619)</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38,307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30,496</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(Expense) 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Loss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113,006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5,811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982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3,817</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4,016</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724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15,350</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8,421</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23,771</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Three Months Ended September 30, 2024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277,009</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85,655</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76,134</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158</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(866)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438,090</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90,426</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65,111</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12,821</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(866)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167,492</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75,544</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4,305</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31,399</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8,896</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120,144</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26,875</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155</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675</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27,775</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7,521</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2,065</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7,486</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17,163</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43,705</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9,828</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1,428</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55,184</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32,938</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13,925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(10,327)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50,332</w:t>
            </w:r>
          </w:p>
        </w:tc>
        <w:tc>
          <w:tcPr>
            <w:tcW w:w="0" w:type="dxa"/>
            <w:vAlign w:val="bottom"/>
          </w:tcPr>
          <w:p>
            <w:pPr>
              <w:spacing w:after="0"/>
              <w:rPr>
                <w:sz w:val="1"/>
                <w:szCs w:val="1"/>
                <w:color w:val="auto"/>
              </w:rPr>
            </w:pPr>
          </w:p>
        </w:tc>
      </w:tr>
      <w:tr>
        <w:trPr>
          <w:trHeight w:val="308"/>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198</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1,903</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1,962</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382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4,445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7,202</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589</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777</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8,576</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25,538</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11,385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11,186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(10,717)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37,311</w:t>
            </w:r>
          </w:p>
        </w:tc>
        <w:tc>
          <w:tcPr>
            <w:tcW w:w="0" w:type="dxa"/>
            <w:vAlign w:val="bottom"/>
          </w:tcPr>
          <w:p>
            <w:pPr>
              <w:spacing w:after="0"/>
              <w:rPr>
                <w:sz w:val="1"/>
                <w:szCs w:val="1"/>
                <w:color w:val="auto"/>
              </w:rPr>
            </w:pPr>
          </w:p>
        </w:tc>
      </w:tr>
      <w:tr>
        <w:trPr>
          <w:trHeight w:val="316"/>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4,734</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535</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542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5,811</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96"/>
              </w:rPr>
              <w:t>Nine Months Ended September 30, 2025</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1,334,206</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314,625</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318,480</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584,375</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851,791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3,403,477</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40" w:right="24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Intangible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Intangible and Other Long-Lived Assets Income from Operations</w:t>
      </w:r>
    </w:p>
    <w:p>
      <w:pPr>
        <w:ind w:left="20" w:right="1160"/>
        <w:spacing w:after="0" w:line="303" w:lineRule="auto"/>
        <w:rPr>
          <w:sz w:val="20"/>
          <w:szCs w:val="20"/>
          <w:color w:val="auto"/>
        </w:rPr>
      </w:pPr>
      <w:r>
        <w:rPr>
          <w:rFonts w:ascii="Arial" w:cs="Arial" w:eastAsia="Arial" w:hAnsi="Arial"/>
          <w:sz w:val="13"/>
          <w:szCs w:val="13"/>
          <w:b w:val="1"/>
          <w:bCs w:val="1"/>
          <w:color w:val="auto"/>
        </w:rPr>
        <w:t>Equity in Earnings of Affiliates, Net Interest Expense, Net</w:t>
      </w:r>
    </w:p>
    <w:p>
      <w:pPr>
        <w:spacing w:after="0" w:line="1" w:lineRule="exact"/>
        <w:rPr>
          <w:sz w:val="20"/>
          <w:szCs w:val="20"/>
          <w:color w:val="auto"/>
        </w:rPr>
      </w:pP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60"/>
        <w:spacing w:after="0" w:line="335" w:lineRule="auto"/>
        <w:rPr>
          <w:sz w:val="20"/>
          <w:szCs w:val="20"/>
          <w:color w:val="auto"/>
        </w:rPr>
      </w:pPr>
      <w:r>
        <w:rPr>
          <w:rFonts w:ascii="Arial" w:cs="Arial" w:eastAsia="Arial" w:hAnsi="Arial"/>
          <w:sz w:val="13"/>
          <w:szCs w:val="13"/>
          <w:b w:val="1"/>
          <w:bCs w:val="1"/>
          <w:color w:val="auto"/>
        </w:rPr>
        <w:t>Gain on Marketable Equity Securities, Net Other Expense,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52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258,943</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(1,874)</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3,660,546</w:t>
            </w:r>
          </w:p>
        </w:tc>
      </w:tr>
      <w:tr>
        <w:trPr>
          <w:trHeight w:val="408"/>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512,589</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223,187</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352,631</w:t>
            </w:r>
          </w:p>
        </w:tc>
        <w:tc>
          <w:tcPr>
            <w:tcW w:w="48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725,185</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1,813,592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356,003</w:t>
            </w: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80,800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59,289</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496,092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83,432</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5,706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89,138</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58,876</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58,876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93,507</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93,507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6,186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6,186</w:t>
            </w:r>
          </w:p>
        </w:tc>
      </w:tr>
      <w:tr>
        <w:trPr>
          <w:trHeight w:val="193"/>
        </w:trPr>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147,599</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44,850</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55,076</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153,174</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27,560</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428,259</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175,707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95,468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40,217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78,570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27,865</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417,827</w:t>
            </w:r>
          </w:p>
        </w:tc>
      </w:tr>
      <w:tr>
        <w:trPr>
          <w:trHeight w:val="21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12,954</w:t>
            </w:r>
          </w:p>
        </w:tc>
        <w:tc>
          <w:tcPr>
            <w:tcW w:w="5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4,426</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2,596</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7,488</w:t>
            </w:r>
          </w:p>
        </w:tc>
        <w:tc>
          <w:tcPr>
            <w:tcW w:w="48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47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27,511</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22,261</w:t>
            </w:r>
          </w:p>
        </w:tc>
        <w:tc>
          <w:tcPr>
            <w:tcW w:w="50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7,850</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8,576</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5,346</w:t>
            </w: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5,155</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49,188</w:t>
            </w:r>
          </w:p>
        </w:tc>
      </w:tr>
      <w:tr>
        <w:trPr>
          <w:trHeight w:val="62"/>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8"/>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140,492</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83,192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29,045</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65,736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22,663</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341,128</w:t>
            </w:r>
          </w:p>
        </w:tc>
      </w:tr>
      <w:tr>
        <w:trPr>
          <w:trHeight w:val="21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(77,062)</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(49,714)</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(24,757)</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(2,235)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187,360</w:t>
            </w:r>
          </w:p>
        </w:tc>
      </w:tr>
      <w:tr>
        <w:trPr>
          <w:trHeight w:val="179"/>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10,466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(111,322)</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94,266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117,026</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(20,514)</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277,282</w:t>
            </w:r>
          </w:p>
        </w:tc>
      </w:tr>
      <w:tr>
        <w:trPr>
          <w:trHeight w:val="25"/>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9"/>
        </w:trPr>
        <w:tc>
          <w:tcPr>
            <w:tcW w:w="400" w:type="dxa"/>
            <w:vAlign w:val="bottom"/>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13,741</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2,770</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7,650</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10,204</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4,151</w:t>
            </w: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38,516</w:t>
            </w:r>
          </w:p>
        </w:tc>
      </w:tr>
      <w:tr>
        <w:trPr>
          <w:trHeight w:val="5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15,583</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54,099</w:t>
            </w:r>
          </w:p>
        </w:tc>
      </w:tr>
    </w:tbl>
    <w:p>
      <w:pPr>
        <w:spacing w:after="0" w:line="200" w:lineRule="exact"/>
        <w:rPr>
          <w:sz w:val="20"/>
          <w:szCs w:val="20"/>
          <w:color w:val="auto"/>
        </w:rPr>
      </w:pPr>
    </w:p>
    <w:p>
      <w:pPr>
        <w:sectPr>
          <w:pgSz w:w="11900" w:h="16838" w:orient="portrait"/>
          <w:cols w:equalWidth="0" w:num="2">
            <w:col w:w="3280" w:space="40"/>
            <w:col w:w="7920"/>
          </w:cols>
          <w:pgMar w:left="320" w:top="931" w:right="339" w:bottom="1440" w:gutter="0" w:footer="0" w:header="0"/>
          <w:type w:val="continuous"/>
        </w:sectPr>
      </w:pPr>
    </w:p>
    <w:p>
      <w:pPr>
        <w:spacing w:after="0" w:line="111" w:lineRule="exact"/>
        <w:rPr>
          <w:sz w:val="20"/>
          <w:szCs w:val="20"/>
          <w:color w:val="auto"/>
        </w:rPr>
      </w:pPr>
    </w:p>
    <w:p>
      <w:pPr>
        <w:ind w:left="360" w:right="20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96"/>
              </w:rPr>
              <w:t>Nine Months Ended September 30,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827,719</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265,387</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242,243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315</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(1,458)</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1,334,206</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284,162</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190,620</w:t>
            </w:r>
          </w:p>
        </w:tc>
        <w:tc>
          <w:tcPr>
            <w:tcW w:w="18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39,165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(1,358)</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512,589</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222,257</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15,600</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101,404</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16,806</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(64)</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356,003</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80,337</w:t>
            </w:r>
          </w:p>
        </w:tc>
        <w:tc>
          <w:tcPr>
            <w:tcW w:w="4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543</w:t>
            </w:r>
          </w:p>
        </w:tc>
        <w:tc>
          <w:tcPr>
            <w:tcW w:w="18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2,099</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463</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83,432</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24,876</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5,741</w:t>
            </w:r>
          </w:p>
        </w:tc>
        <w:tc>
          <w:tcPr>
            <w:tcW w:w="18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27,939</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320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58,876</w:t>
            </w: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107,753</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722</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35,419</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3,717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147,599</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108,334</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52,161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36,217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(20,991)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175,707</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428</w:t>
            </w:r>
          </w:p>
        </w:tc>
        <w:tc>
          <w:tcPr>
            <w:tcW w:w="4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5,546</w:t>
            </w:r>
          </w:p>
        </w:tc>
        <w:tc>
          <w:tcPr>
            <w:tcW w:w="18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5,788</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1,192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12,954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19,014</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1,153</w:t>
            </w:r>
          </w:p>
        </w:tc>
        <w:tc>
          <w:tcPr>
            <w:tcW w:w="18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2,076</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18</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22,261</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88,892</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45,462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28,353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(22,201)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140,492</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8,970</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828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3,920</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13,741</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96"/>
              </w:rPr>
              <w:t>Nine Months Ended September 30, 2024</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1,283,587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373,958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300,914</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431,142</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902,046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3,291,647</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40" w:right="10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4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Other Intangible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Other Intangible Assets Income from Operations</w:t>
      </w:r>
    </w:p>
    <w:p>
      <w:pPr>
        <w:ind w:left="20" w:right="1120"/>
        <w:spacing w:after="0" w:line="303" w:lineRule="auto"/>
        <w:rPr>
          <w:sz w:val="20"/>
          <w:szCs w:val="20"/>
          <w:color w:val="auto"/>
        </w:rPr>
      </w:pPr>
      <w:r>
        <w:rPr>
          <w:rFonts w:ascii="Arial" w:cs="Arial" w:eastAsia="Arial" w:hAnsi="Arial"/>
          <w:sz w:val="13"/>
          <w:szCs w:val="13"/>
          <w:b w:val="1"/>
          <w:bCs w:val="1"/>
          <w:color w:val="auto"/>
        </w:rPr>
        <w:t>Equity in Losses of Affiliates, Net Interest Expense, Net</w:t>
      </w:r>
    </w:p>
    <w:p>
      <w:pPr>
        <w:spacing w:after="0" w:line="1" w:lineRule="exact"/>
        <w:rPr>
          <w:sz w:val="20"/>
          <w:szCs w:val="20"/>
          <w:color w:val="auto"/>
        </w:rPr>
      </w:pPr>
    </w:p>
    <w:p>
      <w:pPr>
        <w:ind w:left="100" w:right="6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620"/>
        <w:spacing w:after="0" w:line="335"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38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255,480</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(2,023)</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3,545,104</w:t>
            </w:r>
          </w:p>
        </w:tc>
      </w:tr>
      <w:tr>
        <w:trPr>
          <w:trHeight w:val="405"/>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496,432</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223,316</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239,768</w:t>
            </w:r>
          </w:p>
        </w:tc>
        <w:tc>
          <w:tcPr>
            <w:tcW w:w="48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767,261</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1,726,777</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352,066</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86,282</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63,644</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501,992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88,733</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5,704</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94,437</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52,709</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52,709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94,991</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94,991</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6,027</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6,027</w:t>
            </w:r>
          </w:p>
        </w:tc>
      </w:tr>
      <w:tr>
        <w:trPr>
          <w:trHeight w:val="196"/>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144,623</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52,863</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47,258</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137,449</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25,192</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407,385</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149,024</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139,822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30,340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53,925</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34,218</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407,329</w:t>
            </w:r>
          </w:p>
        </w:tc>
      </w:tr>
      <w:tr>
        <w:trPr>
          <w:trHeight w:val="216"/>
        </w:trPr>
        <w:tc>
          <w:tcPr>
            <w:tcW w:w="40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13,267</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4,583</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1,897</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14,413</w:t>
            </w:r>
          </w:p>
        </w:tc>
        <w:tc>
          <w:tcPr>
            <w:tcW w:w="4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86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34,246</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26,736</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8,494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8,227</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5,031</w:t>
            </w: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5,203</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53,691</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109,021</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126,745</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20,216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34,481</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28,929</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319,392</w:t>
            </w:r>
          </w:p>
        </w:tc>
      </w:tr>
      <w:tr>
        <w:trPr>
          <w:trHeight w:val="215"/>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(77,456)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(43,454)</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(29,194)</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(26,287)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143,001</w:t>
            </w:r>
          </w:p>
        </w:tc>
      </w:tr>
      <w:tr>
        <w:trPr>
          <w:trHeight w:val="175"/>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(8,470)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(130,041)</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105,379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154,276</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2,973</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267,118</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4"/>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18,468</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4,319</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12,085</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8,842</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3,093</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46,807</w:t>
            </w:r>
          </w:p>
        </w:tc>
      </w:tr>
      <w:tr>
        <w:trPr>
          <w:trHeight w:val="534"/>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19,201</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66,008</w:t>
            </w:r>
          </w:p>
        </w:tc>
      </w:tr>
    </w:tbl>
    <w:p>
      <w:pPr>
        <w:spacing w:after="0" w:line="200" w:lineRule="exact"/>
        <w:rPr>
          <w:sz w:val="20"/>
          <w:szCs w:val="20"/>
          <w:color w:val="auto"/>
        </w:rPr>
      </w:pPr>
    </w:p>
    <w:p>
      <w:pPr>
        <w:sectPr>
          <w:pgSz w:w="11900" w:h="16838" w:orient="portrait"/>
          <w:cols w:equalWidth="0" w:num="2">
            <w:col w:w="3140" w:space="180"/>
            <w:col w:w="7920"/>
          </w:cols>
          <w:pgMar w:left="320" w:top="931" w:right="339" w:bottom="1440" w:gutter="0" w:footer="0" w:header="0"/>
          <w:type w:val="continuous"/>
        </w:sectPr>
      </w:pPr>
    </w:p>
    <w:p>
      <w:pPr>
        <w:spacing w:after="0" w:line="57" w:lineRule="exact"/>
        <w:rPr>
          <w:sz w:val="20"/>
          <w:szCs w:val="20"/>
          <w:color w:val="auto"/>
        </w:rPr>
      </w:pPr>
    </w:p>
    <w:p>
      <w:pPr>
        <w:ind w:left="360" w:right="20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96"/>
              </w:rPr>
              <w:t>Nine Months Ended September 30, 2024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813,833</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246,818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221,389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5,739</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(4,192)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1,283,587</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271,766</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188,417</w:t>
            </w:r>
          </w:p>
        </w:tc>
        <w:tc>
          <w:tcPr>
            <w:tcW w:w="18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40,602</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(4,353)</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496,432</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225,767</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12,300</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93,173</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20,826</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352,066</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80,630</w:t>
            </w:r>
          </w:p>
        </w:tc>
        <w:tc>
          <w:tcPr>
            <w:tcW w:w="4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517</w:t>
            </w:r>
          </w:p>
        </w:tc>
        <w:tc>
          <w:tcPr>
            <w:tcW w:w="18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2,018</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5,568</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88,733</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23,909</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5,084</w:t>
            </w:r>
          </w:p>
        </w:tc>
        <w:tc>
          <w:tcPr>
            <w:tcW w:w="18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23,330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386</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52,709</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106,825</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1,222</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32,301</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144,623</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104,936</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39,278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29,965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(25,163)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149,024</w:t>
            </w:r>
          </w:p>
        </w:tc>
        <w:tc>
          <w:tcPr>
            <w:tcW w:w="0" w:type="dxa"/>
            <w:vAlign w:val="bottom"/>
          </w:tcPr>
          <w:p>
            <w:pPr>
              <w:spacing w:after="0"/>
              <w:rPr>
                <w:sz w:val="1"/>
                <w:szCs w:val="1"/>
                <w:color w:val="auto"/>
              </w:rPr>
            </w:pPr>
          </w:p>
        </w:tc>
      </w:tr>
      <w:tr>
        <w:trPr>
          <w:trHeight w:val="308"/>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527</w:t>
            </w:r>
          </w:p>
        </w:tc>
        <w:tc>
          <w:tcPr>
            <w:tcW w:w="4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5,729</w:t>
            </w:r>
          </w:p>
        </w:tc>
        <w:tc>
          <w:tcPr>
            <w:tcW w:w="18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5,874</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1,137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13,267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21,735</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2,291</w:t>
            </w:r>
          </w:p>
        </w:tc>
        <w:tc>
          <w:tcPr>
            <w:tcW w:w="18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2,653</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26,736</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82,674</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31,258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21,438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(26,357)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109,021</w:t>
            </w:r>
          </w:p>
        </w:tc>
        <w:tc>
          <w:tcPr>
            <w:tcW w:w="0" w:type="dxa"/>
            <w:vAlign w:val="bottom"/>
          </w:tcPr>
          <w:p>
            <w:pPr>
              <w:spacing w:after="0"/>
              <w:rPr>
                <w:sz w:val="1"/>
                <w:szCs w:val="1"/>
                <w:color w:val="auto"/>
              </w:rPr>
            </w:pPr>
          </w:p>
        </w:tc>
      </w:tr>
      <w:tr>
        <w:trPr>
          <w:trHeight w:val="316"/>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16,254</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768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1,446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18,468</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and education division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r>
      <w:tr>
        <w:trPr>
          <w:trHeight w:val="18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September 30, 2025</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December 31, 2024</w:t>
            </w:r>
          </w:p>
        </w:tc>
      </w:tr>
      <w:tr>
        <w:trPr>
          <w:trHeight w:val="178"/>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Kaplan international</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1,477,830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1,500,846</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Higher education</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166,186</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182,442</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Supplemental education</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235,712</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238,836</w:t>
            </w:r>
          </w:p>
        </w:tc>
      </w:tr>
      <w:tr>
        <w:trPr>
          <w:trHeight w:val="191"/>
        </w:trPr>
        <w:tc>
          <w:tcPr>
            <w:tcW w:w="7920" w:type="dxa"/>
            <w:vAlign w:val="bottom"/>
          </w:tcPr>
          <w:p>
            <w:pPr>
              <w:ind w:left="220"/>
              <w:spacing w:after="0"/>
              <w:rPr>
                <w:sz w:val="20"/>
                <w:szCs w:val="20"/>
                <w:color w:val="auto"/>
              </w:rPr>
            </w:pPr>
            <w:r>
              <w:rPr>
                <w:rFonts w:ascii="Arial" w:cs="Arial" w:eastAsia="Arial" w:hAnsi="Arial"/>
                <w:sz w:val="13"/>
                <w:szCs w:val="13"/>
                <w:color w:val="auto"/>
              </w:rPr>
              <w:t>Kaplan corporate and other</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36,668</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41,754</w:t>
            </w:r>
          </w:p>
        </w:tc>
      </w:tr>
      <w:tr>
        <w:trPr>
          <w:trHeight w:val="181"/>
        </w:trPr>
        <w:tc>
          <w:tcPr>
            <w:tcW w:w="7920" w:type="dxa"/>
            <w:vAlign w:val="bottom"/>
          </w:tcPr>
          <w:p>
            <w:pPr>
              <w:ind w:left="440"/>
              <w:spacing w:after="0"/>
              <w:rPr>
                <w:sz w:val="20"/>
                <w:szCs w:val="20"/>
                <w:color w:val="auto"/>
              </w:rPr>
            </w:pPr>
            <w:r>
              <w:rPr>
                <w:rFonts w:ascii="Arial" w:cs="Arial" w:eastAsia="Arial" w:hAnsi="Arial"/>
                <w:sz w:val="13"/>
                <w:szCs w:val="13"/>
                <w:color w:val="auto"/>
              </w:rPr>
              <w:t>Education</w:t>
            </w:r>
          </w:p>
        </w:tc>
        <w:tc>
          <w:tcPr>
            <w:tcW w:w="140" w:type="dxa"/>
            <w:vAlign w:val="bottom"/>
          </w:tcPr>
          <w:p>
            <w:pPr>
              <w:spacing w:after="0"/>
              <w:rPr>
                <w:sz w:val="15"/>
                <w:szCs w:val="15"/>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1,916,396</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1,963,878</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Television broadcasting</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390,131</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402,200</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551,370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411,137</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Healthcare</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354,387</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308,591</w:t>
            </w:r>
          </w:p>
        </w:tc>
      </w:tr>
      <w:tr>
        <w:trPr>
          <w:trHeight w:val="191"/>
        </w:trPr>
        <w:tc>
          <w:tcPr>
            <w:tcW w:w="7920" w:type="dxa"/>
            <w:vAlign w:val="bottom"/>
          </w:tcPr>
          <w:p>
            <w:pPr>
              <w:ind w:left="220"/>
              <w:spacing w:after="0"/>
              <w:rPr>
                <w:sz w:val="20"/>
                <w:szCs w:val="20"/>
                <w:color w:val="auto"/>
              </w:rPr>
            </w:pPr>
            <w:r>
              <w:rPr>
                <w:rFonts w:ascii="Arial" w:cs="Arial" w:eastAsia="Arial" w:hAnsi="Arial"/>
                <w:sz w:val="13"/>
                <w:szCs w:val="13"/>
                <w:color w:val="auto"/>
              </w:rPr>
              <w:t>Automotive</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545,808</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582,105</w:t>
            </w:r>
          </w:p>
        </w:tc>
      </w:tr>
      <w:tr>
        <w:trPr>
          <w:trHeight w:val="18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Segments</w:t>
            </w:r>
          </w:p>
        </w:tc>
        <w:tc>
          <w:tcPr>
            <w:tcW w:w="140" w:type="dxa"/>
            <w:vAlign w:val="bottom"/>
          </w:tcPr>
          <w:p>
            <w:pPr>
              <w:spacing w:after="0"/>
              <w:rPr>
                <w:sz w:val="15"/>
                <w:szCs w:val="15"/>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3,758,092</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3,667,911</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Other businesses</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339,484</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338,089</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Corporate office</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91,771</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139,126</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Marketable Equity Securities</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998,793</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852,434</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Affiliates</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201,144</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169,125</w:t>
            </w:r>
          </w:p>
        </w:tc>
      </w:tr>
      <w:tr>
        <w:trPr>
          <w:trHeight w:val="19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Prepaid Pension Cost</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2,462,685</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2,510,520</w:t>
            </w:r>
          </w:p>
        </w:tc>
      </w:tr>
      <w:tr>
        <w:trPr>
          <w:trHeight w:val="185"/>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7,851,969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7,677,205</w:t>
            </w:r>
          </w:p>
        </w:tc>
      </w:tr>
      <w:tr>
        <w:trPr>
          <w:trHeight w:val="25"/>
        </w:trPr>
        <w:tc>
          <w:tcPr>
            <w:tcW w:w="7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The Company reported net income attributable to common shares of $122.9 million ($27.91 per share) for the third quarter of 2025, compared to $72.5 million ($16.42 per share) for the third quarter of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2025:</w:t>
      </w:r>
    </w:p>
    <w:p>
      <w:pPr>
        <w:spacing w:after="0" w:line="158" w:lineRule="exact"/>
        <w:rPr>
          <w:sz w:val="20"/>
          <w:szCs w:val="20"/>
          <w:color w:val="auto"/>
        </w:rPr>
      </w:pPr>
    </w:p>
    <w:p>
      <w:pPr>
        <w:ind w:left="180" w:right="2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$2.2 million in intangible and other long-lived asset impairment charges at healthcare, automotive and other businesses (after tax impact of $1.7 million, or $0.39 per share);</w:t>
      </w:r>
    </w:p>
    <w:p>
      <w:pPr>
        <w:spacing w:after="0" w:line="86" w:lineRule="exact"/>
        <w:rPr>
          <w:rFonts w:ascii="Arial" w:cs="Arial" w:eastAsia="Arial" w:hAnsi="Arial"/>
          <w:sz w:val="18"/>
          <w:szCs w:val="18"/>
          <w:color w:val="auto"/>
        </w:rPr>
      </w:pPr>
    </w:p>
    <w:p>
      <w:pPr>
        <w:ind w:left="180" w:right="46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 million in non-operating expenses related to Separation Incentive Programs (SIPs) at other businesses, the education, television broadcasting and manufacturing divisions and the corporate office (after tax-impact of $1.9 million, or $0.43 per share);</w:t>
      </w:r>
    </w:p>
    <w:p>
      <w:pPr>
        <w:spacing w:after="0" w:line="99" w:lineRule="exact"/>
        <w:rPr>
          <w:rFonts w:ascii="Arial" w:cs="Arial" w:eastAsia="Arial" w:hAnsi="Arial"/>
          <w:sz w:val="18"/>
          <w:szCs w:val="18"/>
          <w:color w:val="auto"/>
        </w:rPr>
      </w:pPr>
    </w:p>
    <w:p>
      <w:pPr>
        <w:ind w:left="180" w:right="540" w:hanging="172"/>
        <w:spacing w:after="0" w:line="256"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$0.7 million in interest expense to adjust the fair value of the mandatorily redeemable noncontrolling interest (after-tax impact of $6.9 million, or $1.57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$84.8 million in net gains on marketable equity securities (after-tax impact of $63.0 million, or $14.31 per share);</w:t>
      </w:r>
    </w:p>
    <w:p>
      <w:pPr>
        <w:spacing w:after="0" w:line="157" w:lineRule="exact"/>
        <w:rPr>
          <w:rFonts w:ascii="Arial" w:cs="Arial" w:eastAsia="Arial" w:hAnsi="Arial"/>
          <w:sz w:val="18"/>
          <w:szCs w:val="18"/>
          <w:color w:val="auto"/>
        </w:rPr>
      </w:pPr>
    </w:p>
    <w:p>
      <w:pPr>
        <w:ind w:left="180" w:right="380" w:hanging="172"/>
        <w:spacing w:after="0" w:line="256"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$5.8 million in net losses of affiliates whose operations are not managed by the Company (after-tax impact of $4.3 million, or $0.98 per share); and</w:t>
      </w:r>
    </w:p>
    <w:p>
      <w:pPr>
        <w:spacing w:after="0" w:line="111" w:lineRule="exact"/>
        <w:rPr>
          <w:rFonts w:ascii="Arial" w:cs="Arial" w:eastAsia="Arial" w:hAnsi="Arial"/>
          <w:sz w:val="18"/>
          <w:szCs w:val="18"/>
          <w:color w:val="auto"/>
        </w:rPr>
      </w:pPr>
    </w:p>
    <w:p>
      <w:pPr>
        <w:ind w:left="180" w:right="24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non-operating gain of $17.1 million from earnings and impairment of equity and cost method investments (after-tax impact of $12.7 million, or $2.89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2024:</w:t>
      </w:r>
    </w:p>
    <w:p>
      <w:pPr>
        <w:spacing w:after="0" w:line="158" w:lineRule="exact"/>
        <w:rPr>
          <w:sz w:val="20"/>
          <w:szCs w:val="20"/>
          <w:color w:val="auto"/>
        </w:rPr>
      </w:pPr>
    </w:p>
    <w:p>
      <w:pPr>
        <w:ind w:left="180" w:right="160" w:hanging="172"/>
        <w:spacing w:after="0" w:line="256"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$3.7 million in non-operating expenses related to SIPs at Kaplan, manufacturing and other businesses (after tax-impact of $2.7 million, or $0.62 per share);</w:t>
      </w:r>
    </w:p>
    <w:p>
      <w:pPr>
        <w:spacing w:after="0" w:line="111" w:lineRule="exact"/>
        <w:rPr>
          <w:rFonts w:ascii="Arial" w:cs="Arial" w:eastAsia="Arial" w:hAnsi="Arial"/>
          <w:sz w:val="18"/>
          <w:szCs w:val="18"/>
          <w:color w:val="auto"/>
        </w:rPr>
      </w:pPr>
    </w:p>
    <w:p>
      <w:pPr>
        <w:ind w:left="180" w:right="44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$9.7 million in interest expense to adjust the fair value of the mandatorily redeemable noncontrolling interest (after-tax impact of $13.2 million, or $3.00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$30.5 million in net gains on marketable equity securities (after-tax impact of $22.7 million, or $5.14 per share);</w:t>
      </w:r>
    </w:p>
    <w:p>
      <w:pPr>
        <w:spacing w:after="0" w:line="157"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 million in net losses of affiliates whose operations are not managed by the Company (after-tax impact of $1.7 million, or $0.39 per share);</w:t>
      </w:r>
    </w:p>
    <w:p>
      <w:pPr>
        <w:spacing w:after="0" w:line="86" w:lineRule="exact"/>
        <w:rPr>
          <w:rFonts w:ascii="Arial" w:cs="Arial" w:eastAsia="Arial" w:hAnsi="Arial"/>
          <w:sz w:val="18"/>
          <w:szCs w:val="18"/>
          <w:color w:val="auto"/>
        </w:rPr>
      </w:pPr>
    </w:p>
    <w:p>
      <w:pPr>
        <w:ind w:left="180" w:right="12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non-operating gain of $3.8 million from the sale of certain businesses and websites (after-tax impact of $2.6 million, or $0.58 per share); and</w:t>
      </w:r>
    </w:p>
    <w:p>
      <w:pPr>
        <w:spacing w:after="0" w:line="99" w:lineRule="exact"/>
        <w:rPr>
          <w:rFonts w:ascii="Arial" w:cs="Arial" w:eastAsia="Arial" w:hAnsi="Arial"/>
          <w:sz w:val="18"/>
          <w:szCs w:val="18"/>
          <w:color w:val="auto"/>
        </w:rPr>
      </w:pPr>
    </w:p>
    <w:p>
      <w:pPr>
        <w:ind w:left="180" w:hanging="172"/>
        <w:spacing w:after="0" w:line="256"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non-operating loss of $14.2 million from the impairment and write-up of equity and cost method investments (after-tax impact of $10.6 million, or $2.40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third quarter of 2025 was $1,278.9 million, up 6% from $1,207.2 million in the third quarter of 2024. Revenues increased at</w:t>
      </w:r>
    </w:p>
    <w:p>
      <w:pPr>
        <w:spacing w:after="0" w:line="14"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education, manufacturing and healthcare, partially offset by declines at television broadcasting and automotive. The Company reported operating income of $67.1 million for the third quarter of 2025, compared to $81.6 million for the third quarter of 2024. The decrease in</w:t>
      </w:r>
    </w:p>
    <w:p>
      <w:pPr>
        <w:spacing w:after="0" w:line="2" w:lineRule="exact"/>
        <w:rPr>
          <w:sz w:val="20"/>
          <w:szCs w:val="20"/>
          <w:color w:val="auto"/>
        </w:rPr>
      </w:pPr>
    </w:p>
    <w:p>
      <w:pPr>
        <w:ind w:right="1180"/>
        <w:spacing w:after="0" w:line="250" w:lineRule="auto"/>
        <w:rPr>
          <w:sz w:val="20"/>
          <w:szCs w:val="20"/>
          <w:color w:val="auto"/>
        </w:rPr>
      </w:pPr>
      <w:r>
        <w:rPr>
          <w:rFonts w:ascii="Arial" w:cs="Arial" w:eastAsia="Arial" w:hAnsi="Arial"/>
          <w:sz w:val="18"/>
          <w:szCs w:val="18"/>
          <w:color w:val="auto"/>
        </w:rPr>
        <w:t>operating results is due to declines at television broadcasting and automotive, partially offset by improved results at education, manufacturing, healthcare and other businesses.</w:t>
      </w:r>
    </w:p>
    <w:p>
      <w:pPr>
        <w:spacing w:after="0" w:line="10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For the first nine months of 2025, the Company reported net income attributable to common shares of $183.6 million ($41.75 per share), compared to $175.8 million ($39.49 per share) for the first nine months of 2024.</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Items included in the Company’s net income for the first nine months of 2025:</w:t>
      </w:r>
    </w:p>
    <w:p>
      <w:pPr>
        <w:spacing w:after="0" w:line="158"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 million in intangible and other long-lived asset impairment charges (after tax impact of $1.7 million, or $0.39 per share);</w:t>
      </w:r>
    </w:p>
    <w:p>
      <w:pPr>
        <w:spacing w:after="0" w:line="144" w:lineRule="exact"/>
        <w:rPr>
          <w:rFonts w:ascii="Arial" w:cs="Arial" w:eastAsia="Arial" w:hAnsi="Arial"/>
          <w:sz w:val="18"/>
          <w:szCs w:val="18"/>
          <w:color w:val="auto"/>
        </w:rPr>
      </w:pPr>
    </w:p>
    <w:p>
      <w:pPr>
        <w:ind w:left="180" w:right="500" w:hanging="172"/>
        <w:spacing w:after="0" w:line="271"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$9.2 million in non-operating expenses related to SIPs at other businesses, the education, television broadcasting and manufacturing divisions and the corporate office (after tax-impact of $6.8 million, or $1.55 per share);</w:t>
      </w:r>
    </w:p>
    <w:p>
      <w:pPr>
        <w:spacing w:after="0" w:line="99" w:lineRule="exact"/>
        <w:rPr>
          <w:rFonts w:ascii="Arial" w:cs="Arial" w:eastAsia="Arial" w:hAnsi="Arial"/>
          <w:sz w:val="18"/>
          <w:szCs w:val="18"/>
          <w:color w:val="auto"/>
        </w:rPr>
      </w:pPr>
    </w:p>
    <w:p>
      <w:pPr>
        <w:ind w:left="180" w:right="360" w:hanging="172"/>
        <w:spacing w:after="0" w:line="256"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$68.3 million in interest expense to adjust the fair value of the mandatorily redeemable noncontrolling interest (after-tax impact of $60.8 million, or $13.83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$117.0 million in net gains on marketable equity securities (after-tax impact of $87.0 million, or $19.79 per share);</w:t>
      </w:r>
    </w:p>
    <w:p>
      <w:pPr>
        <w:spacing w:after="0" w:line="157"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$18.1 million in net losses of affiliates whose operations are not managed by the Company (after-tax impact of $13.5 million, or $3.06 per share); and</w:t>
      </w:r>
    </w:p>
    <w:p>
      <w:pPr>
        <w:spacing w:after="0" w:line="111" w:lineRule="exact"/>
        <w:rPr>
          <w:rFonts w:ascii="Arial" w:cs="Arial" w:eastAsia="Arial" w:hAnsi="Arial"/>
          <w:sz w:val="18"/>
          <w:szCs w:val="18"/>
          <w:color w:val="auto"/>
        </w:rPr>
      </w:pPr>
    </w:p>
    <w:p>
      <w:pPr>
        <w:ind w:left="180" w:right="520" w:hanging="172"/>
        <w:spacing w:after="0" w:line="271"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non-operating gains of $4.4 million from earnings and impairment of equity and cost method investments (after-tax impact of $3.3 million, or $0.74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2024:</w:t>
      </w:r>
    </w:p>
    <w:p>
      <w:pPr>
        <w:spacing w:after="0" w:line="158" w:lineRule="exact"/>
        <w:rPr>
          <w:sz w:val="20"/>
          <w:szCs w:val="20"/>
          <w:color w:val="auto"/>
        </w:rPr>
      </w:pPr>
    </w:p>
    <w:p>
      <w:pPr>
        <w:ind w:left="180" w:right="40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$26.3 million in goodwill and intangible asset impairment charges at World of Good Brands (WGB) (after tax impact of $21.2 million, or $4.77 per share);</w:t>
      </w:r>
    </w:p>
    <w:p>
      <w:pPr>
        <w:spacing w:after="0" w:line="86" w:lineRule="exact"/>
        <w:rPr>
          <w:rFonts w:ascii="Arial" w:cs="Arial" w:eastAsia="Arial" w:hAnsi="Arial"/>
          <w:sz w:val="18"/>
          <w:szCs w:val="18"/>
          <w:color w:val="auto"/>
        </w:rPr>
      </w:pPr>
    </w:p>
    <w:p>
      <w:pPr>
        <w:ind w:left="180" w:right="80" w:hanging="172"/>
        <w:spacing w:after="0" w:line="301" w:lineRule="auto"/>
        <w:tabs>
          <w:tab w:leader="none" w:pos="1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$20.5 million in non-operating expenses related to a Voluntary Retirement Incentive Program (VRIP) at the television broadcasting division and the corporate office, and SIPs at Kaplan, manufacturing and other businesses (after tax-impact of $15.2 million, or $3.42 per share);</w:t>
      </w:r>
    </w:p>
    <w:p>
      <w:pPr>
        <w:spacing w:after="0" w:line="76" w:lineRule="exact"/>
        <w:rPr>
          <w:rFonts w:ascii="Arial" w:cs="Arial" w:eastAsia="Arial" w:hAnsi="Arial"/>
          <w:sz w:val="17"/>
          <w:szCs w:val="17"/>
          <w:color w:val="auto"/>
        </w:rPr>
      </w:pPr>
    </w:p>
    <w:p>
      <w:pPr>
        <w:ind w:left="180" w:right="360" w:hanging="172"/>
        <w:spacing w:after="0" w:line="256"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$85.1 million in interest expense to adjust the fair value of the mandatorily redeemable noncontrolling interest (after-tax impact of $76.4 million, or $17.16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$154.3 million in net gains on marketable equity securities (after-tax impact of $114.8 million, or $25.77 per share);</w:t>
      </w:r>
    </w:p>
    <w:p>
      <w:pPr>
        <w:spacing w:after="0" w:line="144" w:lineRule="exact"/>
        <w:rPr>
          <w:rFonts w:ascii="Arial" w:cs="Arial" w:eastAsia="Arial" w:hAnsi="Arial"/>
          <w:sz w:val="18"/>
          <w:szCs w:val="18"/>
          <w:color w:val="auto"/>
        </w:rPr>
      </w:pPr>
    </w:p>
    <w:p>
      <w:pPr>
        <w:ind w:left="180" w:right="40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$4.9 million in net losses of affiliates whose operations are not managed by the Company (after-tax impact of $3.7 million, or $0.82 per share);</w:t>
      </w:r>
    </w:p>
    <w:p>
      <w:pPr>
        <w:spacing w:after="0" w:line="99" w:lineRule="exact"/>
        <w:rPr>
          <w:rFonts w:ascii="Arial" w:cs="Arial" w:eastAsia="Arial" w:hAnsi="Arial"/>
          <w:sz w:val="18"/>
          <w:szCs w:val="18"/>
          <w:color w:val="auto"/>
        </w:rPr>
      </w:pPr>
    </w:p>
    <w:p>
      <w:pPr>
        <w:ind w:left="180" w:right="140" w:hanging="172"/>
        <w:spacing w:after="0" w:line="256"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non-operating gain of $7.2 million from the sale of certain businesses and websites (after-tax impact of $5.3 million, or $1.19 per share); and</w:t>
      </w:r>
    </w:p>
    <w:p>
      <w:pPr>
        <w:spacing w:after="0" w:line="111"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non-operating loss of $15.0 million from the impairment and write-up of equity and cost method investments (after-tax impact of $11.1 million, or $2.50 per share).</w:t>
      </w:r>
    </w:p>
    <w:p>
      <w:pPr>
        <w:spacing w:after="0" w:line="86"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Revenue for the first nine months of 2025 was $3,660.5 million, up 3% from $3,545.1 million in the first nine months of 2024. Revenues increased at education, manufacturing, healthcare and other businesses, partially offset by declines at television broadcasting and</w:t>
      </w:r>
    </w:p>
    <w:p>
      <w:pPr>
        <w:ind w:right="200"/>
        <w:spacing w:after="0" w:line="226" w:lineRule="auto"/>
        <w:rPr>
          <w:sz w:val="20"/>
          <w:szCs w:val="20"/>
          <w:color w:val="auto"/>
        </w:rPr>
      </w:pPr>
      <w:r>
        <w:rPr>
          <w:rFonts w:ascii="Arial" w:cs="Arial" w:eastAsia="Arial" w:hAnsi="Arial"/>
          <w:sz w:val="18"/>
          <w:szCs w:val="18"/>
          <w:color w:val="auto"/>
        </w:rPr>
        <w:t>automotive. The Company reported operating income of $187.4 million for the first nine months of 2025, compared to $143.0 million for the first nine months of 2024. Excluding goodwill and other long-lived asset impairment charges, the improvement in operating results is due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increases at education, manufacturing and healthcare, partially offset by declines at television broadcasting and automotive.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Education division revenue totaled $472.7 million for the third quarter of 2025, up 8% from $438.1 million for the same period of 2024. Kaplan reported operating income of $49.1 million for the third quarter of 2025, compared to $34.9 million for the third quarter of 2024.</w:t>
      </w:r>
    </w:p>
    <w:p>
      <w:pPr>
        <w:spacing w:after="0" w:line="8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For the first nine months of 2025, education division revenue totaled $1,334.2 million, up 4% from $1,283.6 million for the same period of 2024. Kaplan reported operating income of $135.3 million for the first nine months of 2025, compared to $100.8 million for the first nine months of 2024.</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294,292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277,009</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827,719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813,833</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92,162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85,655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265,387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246,818</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86,679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76,134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242,243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221,389</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280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5,739</w:t>
            </w:r>
          </w:p>
        </w:tc>
        <w:tc>
          <w:tcPr>
            <w:tcW w:w="12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3"/>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(751)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472,662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438,090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1,334,206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1,283,587</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28,893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25,538</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88,892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82,674</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14,683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45,462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31,258</w:t>
            </w: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14,979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11,186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28,353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21,438</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(8,137)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(10,717)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(22,201)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(26,357)</w:t>
            </w: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(1,404)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(2,421)</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(5,222)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(8,267)</w:t>
            </w: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3"/>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49,052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135,270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100,754</w:t>
            </w: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States (U.S.). Kaplan International revenue increased 6% and 2% for the third quarter and first nine months of 2025, respectively (4% increase and flat, respectively, on a constant currency basis) due to increases at UK Pathways, UK Professional and Singapore, partially offset by lower student enrollments at US Pathways, Languages and Australia. Kaplan International reported operating income of $28.9 million in the third quarter of 2025, compared to $25.5 million in the third quarter of 2024. The increase is due to improved results at UK</w:t>
      </w:r>
    </w:p>
    <w:p>
      <w:pPr>
        <w:spacing w:after="0" w:line="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Pathways and Singapore, partially offset by declines at US Pathways and Languages. UK Pathways revenues and operating results benefited significantly from favorable timing differences for certain programs in the third quarter of 2025, previously recorded in fourth quarter of 2024; consequently, revenue and operating results at UK Pathways are expected to be down in the fourth quarter of 2025, compared with the fourth quarter of 2024. US Pathways revenues and operating results were down significantly in the third quarter of 2025, due to changes</w:t>
      </w:r>
    </w:p>
    <w:p>
      <w:pPr>
        <w:ind w:right="300"/>
        <w:spacing w:after="0" w:line="231" w:lineRule="auto"/>
        <w:rPr>
          <w:sz w:val="20"/>
          <w:szCs w:val="20"/>
          <w:color w:val="auto"/>
        </w:rPr>
      </w:pPr>
      <w:r>
        <w:rPr>
          <w:rFonts w:ascii="Arial" w:cs="Arial" w:eastAsia="Arial" w:hAnsi="Arial"/>
          <w:sz w:val="18"/>
          <w:szCs w:val="18"/>
          <w:color w:val="auto"/>
        </w:rPr>
        <w:t>in US visa policies and practices for international students recruited by Kaplan to study in the U.S. Operating income increased to $88.9 million in the first nine months of 2025, compared to $82.7 million in the first nine months of 2024. The increase is due largely to improved results at UK Pathways, Singapore and Australia, partially offset by declines at US Pathways, Languages and MPW.</w:t>
      </w:r>
    </w:p>
    <w:p>
      <w:pPr>
        <w:spacing w:after="0" w:line="1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 8% for both the third quarter and first nine months of 2025, due primarily to an increase in the Purdue Global fee recorded. Enrollments at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Purdue Global, the largest institutional client, increased 3% for the first nine months of 2025 compared to the first nine months of 2024. For the third quarter and first nine months of 2025, Kaplan recorded the full fee from Purdue Global. For the third quarter and first nine months of</w:t>
      </w:r>
    </w:p>
    <w:p>
      <w:pPr>
        <w:spacing w:after="0" w:line="236" w:lineRule="auto"/>
        <w:rPr>
          <w:sz w:val="20"/>
          <w:szCs w:val="20"/>
          <w:color w:val="auto"/>
        </w:rPr>
      </w:pPr>
      <w:r>
        <w:rPr>
          <w:rFonts w:ascii="Arial" w:cs="Arial" w:eastAsia="Arial" w:hAnsi="Arial"/>
          <w:sz w:val="18"/>
          <w:szCs w:val="18"/>
          <w:color w:val="auto"/>
        </w:rPr>
        <w:t>2024, Kaplan recorded a portion of the fee from Purdue Global. The Company will continue to assess the fee it records from Purdue Global</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on a quarterly basis to make a determination as to whether to record all or part of the fee in the future and whether to adjust fee amounts recognized in earlier periods. Higher Education operating results improved in the third quarter and first nine months of 2025 due to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 in the Purdue Global fee recorded, and a decline in higher education development costs.</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Supplemental Education includes Kaplan’s standardized test preparation programs and domestic professional and other continuing education businesses. Most of the program offerings in Supplemental Education experienced growth in the first nine months leading to a 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 Operating results improved in the third quarter and first nine months of 2025 due largely to revenue growth.</w:t>
      </w:r>
    </w:p>
    <w:p>
      <w:pPr>
        <w:spacing w:after="0" w:line="14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Kaplan corporate and other represents unallocated expenses of Kaplan’s corporate office, other minor businesses and certain shared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the Company offered a SIP to certain employees at Higher Education and Supplemental Education; $1.3 million</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 related non-operating pension expense was recorded in the third quarter of 2025. In the second quarter of 2025, the Company offered a SIP to certain employees at Higher Education and Supplemental Education; $0.7 million in related non-operating pension expense was</w:t>
      </w:r>
    </w:p>
    <w:p>
      <w:pPr>
        <w:spacing w:after="0" w:line="236" w:lineRule="auto"/>
        <w:rPr>
          <w:sz w:val="20"/>
          <w:szCs w:val="20"/>
          <w:color w:val="auto"/>
        </w:rPr>
      </w:pPr>
      <w:r>
        <w:rPr>
          <w:rFonts w:ascii="Arial" w:cs="Arial" w:eastAsia="Arial" w:hAnsi="Arial"/>
          <w:sz w:val="18"/>
          <w:szCs w:val="18"/>
          <w:color w:val="auto"/>
        </w:rPr>
        <w:t>recorded in the second quarter of 2025. In the third quarter of 2024, the Company offered a SIP to certain employees at Supplemental</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Education; $2.7 million in related non-operating pension expense was recorded in the third quarter of 2024. These programs were funded from the assets of the Company’s pension plan.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105,087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145,422</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(28)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314,625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373,958</w:t>
            </w: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26,774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61,914</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79,112</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122,675</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(GMG) owns seven television stations located in Houston, TX; Detroit, MI; Orlando, FL; San Antonio, TX; Jacksonville,</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decreased 28% to $105.1 million in the third quarter of 2025, from $145.4 million in the</w:t>
      </w:r>
    </w:p>
    <w:p>
      <w:pPr>
        <w:spacing w:after="0" w:line="235" w:lineRule="auto"/>
        <w:rPr>
          <w:sz w:val="20"/>
          <w:szCs w:val="20"/>
          <w:color w:val="auto"/>
        </w:rPr>
      </w:pPr>
      <w:r>
        <w:rPr>
          <w:rFonts w:ascii="Arial" w:cs="Arial" w:eastAsia="Arial" w:hAnsi="Arial"/>
          <w:sz w:val="18"/>
          <w:szCs w:val="18"/>
          <w:color w:val="auto"/>
        </w:rPr>
        <w:t>same period of 2024. The revenue decline is due to a $33.4 million decrease in political advertising revenue, a $2.3 million decrease in</w:t>
      </w:r>
    </w:p>
    <w:p>
      <w:pPr>
        <w:ind w:right="180"/>
        <w:spacing w:after="0" w:line="237" w:lineRule="auto"/>
        <w:rPr>
          <w:sz w:val="20"/>
          <w:szCs w:val="20"/>
          <w:color w:val="auto"/>
        </w:rPr>
      </w:pPr>
      <w:r>
        <w:rPr>
          <w:rFonts w:ascii="Arial" w:cs="Arial" w:eastAsia="Arial" w:hAnsi="Arial"/>
          <w:sz w:val="18"/>
          <w:szCs w:val="18"/>
          <w:color w:val="auto"/>
        </w:rPr>
        <w:t>retransmission revenue and declines in local and digital advertising revenue. Operating income for the third quarter of 2025 was down 57% to $26.8 million, from $61.9 million in the same period of 2024, due to lower revenues, partially offset by lower overall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at the television broadcasting division was down 16% to $314.6 million in the first nine months of 2025, from $374.0 million in the</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same period of 2024. The revenue decline is due to a $39.5 million decrease in political advertising revenue, a $6.4 million decrease in retransmission revenue and declines in local and digital advertising revenue. Operating income for the first nine months of 2025 was down</w:t>
      </w:r>
    </w:p>
    <w:p>
      <w:pPr>
        <w:spacing w:after="0" w:line="235" w:lineRule="auto"/>
        <w:rPr>
          <w:sz w:val="20"/>
          <w:szCs w:val="20"/>
          <w:color w:val="auto"/>
        </w:rPr>
      </w:pPr>
      <w:r>
        <w:rPr>
          <w:rFonts w:ascii="Arial" w:cs="Arial" w:eastAsia="Arial" w:hAnsi="Arial"/>
          <w:sz w:val="18"/>
          <w:szCs w:val="18"/>
          <w:color w:val="auto"/>
        </w:rPr>
        <w:t>36% to $79.1 million, from $122.7 million in the same period of 2024, due to lower revenues, partially offset by lower overall costs. While per</w:t>
      </w:r>
    </w:p>
    <w:p>
      <w:pPr>
        <w:ind w:right="360"/>
        <w:spacing w:after="0" w:line="226" w:lineRule="auto"/>
        <w:rPr>
          <w:sz w:val="20"/>
          <w:szCs w:val="20"/>
          <w:color w:val="auto"/>
        </w:rPr>
      </w:pPr>
      <w:r>
        <w:rPr>
          <w:rFonts w:ascii="Arial" w:cs="Arial" w:eastAsia="Arial" w:hAnsi="Arial"/>
          <w:sz w:val="18"/>
          <w:szCs w:val="18"/>
          <w:color w:val="auto"/>
        </w:rPr>
        <w:t>subscriber rates from cable, satellite and OTT providers have grown, overall cable and satellite subscribers are down due to cord cutting, resulting in retransmission revenue net of network fees in 2025 expected to decline compared with 2024, and this trend is expected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continue.</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the second and third quarters of 2025, the Company offered SIPs to certain employees at the television broadcasting division; $0.1 million in related non-operating pension expense was recorded. In the second quarter of 2024, the Company offered a VRIP to certain employees at</w:t>
      </w:r>
    </w:p>
    <w:p>
      <w:pPr>
        <w:spacing w:after="0" w:line="219" w:lineRule="auto"/>
        <w:rPr>
          <w:sz w:val="20"/>
          <w:szCs w:val="20"/>
          <w:color w:val="auto"/>
        </w:rPr>
      </w:pPr>
      <w:r>
        <w:rPr>
          <w:rFonts w:ascii="Arial" w:cs="Arial" w:eastAsia="Arial" w:hAnsi="Arial"/>
          <w:sz w:val="18"/>
          <w:szCs w:val="18"/>
          <w:color w:val="auto"/>
        </w:rPr>
        <w:t>the television broadcasting division; $14.3 million in related non-operating pension expense was recorded in the second quarter of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programs were funded from the assets of the Company’s pension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124,257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95,385</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318,480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300,914</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6,695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4,495</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19,741</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11,829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67</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36" w:lineRule="auto"/>
        <w:rPr>
          <w:sz w:val="20"/>
          <w:szCs w:val="20"/>
          <w:color w:val="auto"/>
        </w:rPr>
      </w:pPr>
      <w:r>
        <w:rPr>
          <w:rFonts w:ascii="Arial" w:cs="Arial" w:eastAsia="Arial" w:hAnsi="Arial"/>
          <w:sz w:val="18"/>
          <w:szCs w:val="18"/>
          <w:color w:val="auto"/>
        </w:rPr>
        <w:t>systems that control and monitor combustion processes in electric utility and industrial applications. On July 15, 2025, Hoover acquired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Arconic Architectural Products, LLC, a wholly-owned subsidiary of Arconic Corporation (operating as Hoover Architectural Solutions), which manufactures aluminum cladding products and operates within the broader non-residential materials space from its facility in Eastman, GA.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 portion of the purchase price was funded by the Company’s assumption of $107.4 million in net pension obligations.</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Manufacturing revenues increased 30% and 6% in the third quarter and first nine months of 2025, respectively. The revenue increases in the third quarter and the first nine months of 2025 are due to increased revenues at Hoover, Dekko and Joyce, partially offset by lower revenues</w:t>
      </w:r>
    </w:p>
    <w:p>
      <w:pPr>
        <w:spacing w:after="0" w:line="235" w:lineRule="auto"/>
        <w:rPr>
          <w:sz w:val="20"/>
          <w:szCs w:val="20"/>
          <w:color w:val="auto"/>
        </w:rPr>
      </w:pPr>
      <w:r>
        <w:rPr>
          <w:rFonts w:ascii="Arial" w:cs="Arial" w:eastAsia="Arial" w:hAnsi="Arial"/>
          <w:sz w:val="18"/>
          <w:szCs w:val="18"/>
          <w:color w:val="auto"/>
        </w:rPr>
        <w:t>at Forney. The revenue increase at Hoover is due largely to the Hoover Architectural Solutions business acquisition, partially offset by lower</w:t>
      </w:r>
    </w:p>
    <w:p>
      <w:pPr>
        <w:spacing w:after="0"/>
        <w:rPr>
          <w:sz w:val="20"/>
          <w:szCs w:val="20"/>
          <w:color w:val="auto"/>
        </w:rPr>
      </w:pPr>
      <w:r>
        <w:rPr>
          <w:rFonts w:ascii="Arial" w:cs="Arial" w:eastAsia="Arial" w:hAnsi="Arial"/>
          <w:sz w:val="17"/>
          <w:szCs w:val="17"/>
          <w:color w:val="auto"/>
        </w:rPr>
        <w:t>overall product demand at Hoover, particularly for multi-family housing. Hoover results included wood gains on inventory sales in the first nine months of 2025 and 2024, with gains in the first nine months 2025 significantly higher than the prior year. Manufacturing operating results</w:t>
      </w:r>
    </w:p>
    <w:p>
      <w:pPr>
        <w:spacing w:after="0" w:line="235" w:lineRule="auto"/>
        <w:rPr>
          <w:sz w:val="20"/>
          <w:szCs w:val="20"/>
          <w:color w:val="auto"/>
        </w:rPr>
      </w:pPr>
      <w:r>
        <w:rPr>
          <w:rFonts w:ascii="Arial" w:cs="Arial" w:eastAsia="Arial" w:hAnsi="Arial"/>
          <w:sz w:val="18"/>
          <w:szCs w:val="18"/>
          <w:color w:val="auto"/>
        </w:rPr>
        <w:t>improved in the third quarter of 2025 due to significant increases at Dekko and Joyce, partially offset by declines at Hoover and Forney.</w:t>
      </w:r>
    </w:p>
    <w:p>
      <w:pPr>
        <w:ind w:right="60"/>
        <w:spacing w:after="0" w:line="226" w:lineRule="auto"/>
        <w:rPr>
          <w:sz w:val="20"/>
          <w:szCs w:val="20"/>
          <w:color w:val="auto"/>
        </w:rPr>
      </w:pPr>
      <w:r>
        <w:rPr>
          <w:rFonts w:ascii="Arial" w:cs="Arial" w:eastAsia="Arial" w:hAnsi="Arial"/>
          <w:sz w:val="18"/>
          <w:szCs w:val="18"/>
          <w:color w:val="auto"/>
        </w:rPr>
        <w:t>Manufacturing operating results improved in the first nine months of 2025 due largely to a significant increase at Dekko, along with increases at Joyce and Forney, partially offset by a decline at Hoover. Hoover results in the third quarter and first nine months of 2025 were adversely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impacted by transaction, transition and intangible asset amortization costs related to the acquisition.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In the third quarter of 2025, the Company offered a SIP to certain employees at Joyce; $0.1 million in related non-operating pension expense</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was recorded. In the third quarter of 2024, the Company offered a SIP to certain employees at Dekko; $0.1 million in related non-operating pension expense was recorded. These programs were funded from the assets of the Company’s pension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208,415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155,413</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584,375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431,142</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20,992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14,260</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64,406</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33,088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seven states. GHG also provides nursing care and</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prescription services for patients receiving in-home infusion treatments through its 87.5% interest in CSI Pharmacy Holding Company, LLC (CSI), and other healthcare services through Clarus (provides call management SaaS-based solution for physician groups and hospitals),</w:t>
      </w:r>
    </w:p>
    <w:p>
      <w:pPr>
        <w:spacing w:after="0" w:line="235" w:lineRule="auto"/>
        <w:rPr>
          <w:sz w:val="20"/>
          <w:szCs w:val="20"/>
          <w:color w:val="auto"/>
        </w:rPr>
      </w:pPr>
      <w:r>
        <w:rPr>
          <w:rFonts w:ascii="Arial" w:cs="Arial" w:eastAsia="Arial" w:hAnsi="Arial"/>
          <w:sz w:val="18"/>
          <w:szCs w:val="18"/>
          <w:color w:val="auto"/>
        </w:rPr>
        <w:t>Impact Medical (an Allergy, Asthma and Immunology physician practice), Skin Clique (a concierge provider of aesthetics products and</w:t>
      </w:r>
    </w:p>
    <w:p>
      <w:pPr>
        <w:ind w:right="60"/>
        <w:spacing w:after="0"/>
        <w:rPr>
          <w:sz w:val="20"/>
          <w:szCs w:val="20"/>
          <w:color w:val="auto"/>
        </w:rPr>
      </w:pPr>
      <w:r>
        <w:rPr>
          <w:rFonts w:ascii="Arial" w:cs="Arial" w:eastAsia="Arial" w:hAnsi="Arial"/>
          <w:sz w:val="17"/>
          <w:szCs w:val="17"/>
          <w:color w:val="auto"/>
        </w:rPr>
        <w:t>services) and Surpass Behavioral Health (provides therapy for autism patients). Healthcare revenues increased 34% and 36% and operating results were up substantially in the third quarter and first nine months of 2025, respectively, largely due to significant growth at CSI from an</w:t>
      </w:r>
    </w:p>
    <w:p>
      <w:pPr>
        <w:spacing w:after="0" w:line="235" w:lineRule="auto"/>
        <w:rPr>
          <w:sz w:val="20"/>
          <w:szCs w:val="20"/>
          <w:color w:val="auto"/>
        </w:rPr>
      </w:pPr>
      <w:r>
        <w:rPr>
          <w:rFonts w:ascii="Arial" w:cs="Arial" w:eastAsia="Arial" w:hAnsi="Arial"/>
          <w:sz w:val="18"/>
          <w:szCs w:val="18"/>
          <w:color w:val="auto"/>
        </w:rPr>
        <w:t>expansion of infusion treatment offerings and patient service areas, and growth in home health and hospice services and at the other</w:t>
      </w:r>
    </w:p>
    <w:p>
      <w:pPr>
        <w:ind w:right="80"/>
        <w:spacing w:after="0" w:line="226" w:lineRule="auto"/>
        <w:rPr>
          <w:sz w:val="20"/>
          <w:szCs w:val="20"/>
          <w:color w:val="auto"/>
        </w:rPr>
      </w:pPr>
      <w:r>
        <w:rPr>
          <w:rFonts w:ascii="Arial" w:cs="Arial" w:eastAsia="Arial" w:hAnsi="Arial"/>
          <w:sz w:val="18"/>
          <w:szCs w:val="18"/>
          <w:color w:val="auto"/>
        </w:rPr>
        <w:t>healthcare businesses; operating results also benefited from a reduction in pension expense. In January 2022, GHG implemented a pension credit retention program offering a pension credit up to $50,000 per employee, cliff vested after three years of continuous employment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certain existing employees and new employees. Effective April 1, 2024, this program is no longer being offered to new employees.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August 2025, CSI purchased Pine Drug Holdings, LLC and was issued a California pharmacy license, with dispensing operations expected to commence later in the fourth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home health and hospice recorded $1.0 million of lease impairment charges.</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ind w:right="80"/>
        <w:spacing w:after="0" w:line="237" w:lineRule="auto"/>
        <w:rPr>
          <w:sz w:val="20"/>
          <w:szCs w:val="20"/>
          <w:color w:val="auto"/>
        </w:rPr>
      </w:pPr>
      <w:r>
        <w:rPr>
          <w:rFonts w:ascii="Arial" w:cs="Arial" w:eastAsia="Arial" w:hAnsi="Arial"/>
          <w:sz w:val="18"/>
          <w:szCs w:val="18"/>
          <w:color w:val="auto"/>
        </w:rPr>
        <w:t>$2.9 million and $3.4 million for the third quarters of 2025 and 2024, respectively, from these joint ventures. The Company recorded equity in earnings of $9.6 million and $10.2 million for the first nine months of 2025 and 2024,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285,228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289,392</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851,791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902,046</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6,308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9,064</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22,093</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28,919</w:t>
            </w: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seven automotive dealerships in the Washington, DC metropolitan area and Richmond, VA: Ourisman Lexus of</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7"/>
          <w:szCs w:val="17"/>
          <w:color w:val="auto"/>
        </w:rPr>
        <w:t>Rockville, Ourisman Honda of Tysons Corner, Ourisman Ford of Manassas, Toyota of Woodbridge, Ourisman Chrysler-Dodge-Jeep-Ram of Woodbridge, Ourisman Toyota of Richmond and Ourisman Kia of Bethesda. Christopher J. Ourisman, a member of the Ourisman Automotive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Group family of dealerships, and his team of industry professionals operate and manage the dealerships; the Company holds a 90% stake.</w:t>
      </w:r>
    </w:p>
    <w:p>
      <w:pPr>
        <w:spacing w:after="0" w:line="14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recently decided to cease operations of the Ourisman Jeep of Bethesda dealership, which was closed in early September 2025. As a result, the Company recorded a $0.6 million intangible asset impairment charge on the related franchise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third quarter of 2025 decreased 1%, due to declines in new and used vehicle sales, partially offset by sales growth for</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services and parts and an increase in sales of finance and insurance product offerings. Operating results decreased for the third quarter of 2025 due largely to lower overall sales and gross margins on new and used vehicles, partially offset by an increase in sales and gross profits</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on services and parts and finance and insurance product offerings. Revenues for the first nine months of 2025 decreased 6%, due largely to declines in new and used vehicle sales and a decline in sales of finance and insurance product offerings, partially offset by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sales growth for services and parts. Operating results declined for the first nine months of 2025 due largely to lower overall sales and gross</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margins on new vehicles, lower overall sales and gross profits on used vehicles, and a decline in finance and insurance product sales; partially offset by higher overall gross profit on services and parts.</w:t>
      </w:r>
    </w:p>
    <w:p>
      <w:pPr>
        <w:spacing w:after="0" w:line="127"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On October 21, 2025, the Company acquired a Honda automotive dealership in Woodbridge, VA, including the real property for the dealership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the first half of 2025, the Company completed the sale of various websites and related businesses that made WGB. All remaining WGB</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operations were substantially shut down by the end of the third quarter of 2025. WGB recorded various asset write-offs and incurred other costs in the second and third quarters of 2025 related to these 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right"/>
              <w:ind w:right="52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19"/>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36,517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35,163</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118,030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106,798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w:t>
            </w:r>
          </w:p>
        </w:tc>
      </w:tr>
      <w:tr>
        <w:trPr>
          <w:trHeight w:val="230"/>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27,539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24,678</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80,918</w:t>
            </w:r>
          </w:p>
        </w:tc>
        <w:tc>
          <w:tcPr>
            <w:tcW w:w="3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77,288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w:t>
            </w:r>
          </w:p>
        </w:tc>
      </w:tr>
      <w:tr>
        <w:trPr>
          <w:trHeight w:val="240"/>
        </w:trPr>
        <w:tc>
          <w:tcPr>
            <w:tcW w:w="4020" w:type="dxa"/>
            <w:vAlign w:val="bottom"/>
          </w:tcPr>
          <w:p>
            <w:pPr>
              <w:ind w:left="140"/>
              <w:spacing w:after="0" w:line="24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19,159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23,623</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58,134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69,667</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0"/>
        </w:trPr>
        <w:tc>
          <w:tcPr>
            <w:tcW w:w="40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83,215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83,464</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257,082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253,753</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Slate, Foreign Policy, Code3, World of Good Brands and City Cast</w:t>
      </w:r>
    </w:p>
    <w:p>
      <w:pPr>
        <w:spacing w:after="0" w:line="22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Overall, revenue from other businesses was flat and increased 1% in the third quarter and first nine months of 2025, respectively. For the first nine months of 2025, specialty revenue increased due to revenue growth at Clyde’s Restaurant Group (CRG) and Supporting Cast. Retail</w:t>
      </w:r>
    </w:p>
    <w:p>
      <w:pPr>
        <w:spacing w:after="0" w:line="235" w:lineRule="auto"/>
        <w:rPr>
          <w:sz w:val="20"/>
          <w:szCs w:val="20"/>
          <w:color w:val="auto"/>
        </w:rPr>
      </w:pPr>
      <w:r>
        <w:rPr>
          <w:rFonts w:ascii="Arial" w:cs="Arial" w:eastAsia="Arial" w:hAnsi="Arial"/>
          <w:sz w:val="18"/>
          <w:szCs w:val="18"/>
          <w:color w:val="auto"/>
        </w:rPr>
        <w:t>revenue increased in the third quarter due to revenue growth at Framebridge and Saatchi Art, offset by lower revenue at Society6. Retail</w:t>
      </w:r>
    </w:p>
    <w:p>
      <w:pPr>
        <w:ind w:right="20"/>
        <w:spacing w:after="0"/>
        <w:rPr>
          <w:sz w:val="20"/>
          <w:szCs w:val="20"/>
          <w:color w:val="auto"/>
        </w:rPr>
      </w:pPr>
      <w:r>
        <w:rPr>
          <w:rFonts w:ascii="Arial" w:cs="Arial" w:eastAsia="Arial" w:hAnsi="Arial"/>
          <w:sz w:val="17"/>
          <w:szCs w:val="17"/>
          <w:color w:val="auto"/>
        </w:rPr>
        <w:t>revenue increased for the first nine months of 2025 due to revenue growth at Framebridge, offset by lower revenue at Society6 and Saatchi Art. Media revenue declined for the third quarter due to lower revenue at WGB and Slate, partially offset by revenue growth at Foreign Policy,</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Code3 and City Cast. Media revenue declined for the first nine months due to lower revenue at WGB, Slate and Code3, partially offset by revenue growth at Foreign Policy and City Cast.</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Overall, operating losses at other businesses were down in the third quarter of 2025, due to improved results at Society6, WGB, Saatchi Art, Decile, Code3, Supporting Cast and Foreign Policy, partially offset by declines at Framebridge, City Cast and CRG. Operating losses at other</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businesses were down slightly in the first nine months of 2025, excluding goodwill and intangible asset impairment charges at WGB in the second quarter of 2024. The improvements were due to improved results at WGB, Saatchi Art, Foreign Policy, Decile, Code3, CRG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Supporting Cast and, partially offset by declines at Framebridge, Society6, Slate and City Cast.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CRG owns and operates 14 restaurants and entertainment venues in the Washington, DC metropolitan area, including Old Ebbitt Grill and</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Hamilton. In July 2024, CRG opened Rye Street Tavern, a new restaurant in Baltimore, MD. In November 2024, CRG opened Cordelia Fishbar, a new restaurant in Washington, D.C. Revenue increased in the third quarter and first nine months of 2025 due to the new</w:t>
      </w:r>
    </w:p>
    <w:p>
      <w:pPr>
        <w:spacing w:after="0" w:line="235" w:lineRule="auto"/>
        <w:rPr>
          <w:sz w:val="20"/>
          <w:szCs w:val="20"/>
          <w:color w:val="auto"/>
        </w:rPr>
      </w:pPr>
      <w:r>
        <w:rPr>
          <w:rFonts w:ascii="Arial" w:cs="Arial" w:eastAsia="Arial" w:hAnsi="Arial"/>
          <w:sz w:val="18"/>
          <w:szCs w:val="18"/>
          <w:color w:val="auto"/>
        </w:rPr>
        <w:t>restaurant openings and modest price increases, partially offset by softer demand and lower guest traffic at the DC restaurants in the third</w:t>
      </w:r>
    </w:p>
    <w:p>
      <w:pPr>
        <w:ind w:right="420"/>
        <w:spacing w:after="0" w:line="226" w:lineRule="auto"/>
        <w:rPr>
          <w:sz w:val="20"/>
          <w:szCs w:val="20"/>
          <w:color w:val="auto"/>
        </w:rPr>
      </w:pPr>
      <w:r>
        <w:rPr>
          <w:rFonts w:ascii="Arial" w:cs="Arial" w:eastAsia="Arial" w:hAnsi="Arial"/>
          <w:sz w:val="18"/>
          <w:szCs w:val="18"/>
          <w:color w:val="auto"/>
        </w:rPr>
        <w:t>quarter of 2025. CRG reported an operating loss in the third quarter of 2025 and 2024, while reporting an operating profit in the first nine months of 2025 and 2024. Overall, excluding pre-opening expenses incurred for new restaurants, operating results declined in the third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nine months of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CRG plans to open a new restaurant in Reston, VA in the second quarter of 2026.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39 retail locations, and three manufacturing</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facilities in Kentucky, Virginia and Nevada (opened in the third quarter of 2025). In the first nine months of 2025, Framebridge opened eight new retail stores, including two new stores in California. Framebridge plans to open additional stores in the fourth quarter 2025 and continues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actively explore other opportunities for further store expansion.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Revenues grew in the third quarter and first nine months of 2025 due to an increase in retail revenue from same-store sales growth and</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operating additional retail stores compared to the same periods in 2024, as well as higher online revenues. Framebridge is an investment stage business and reported significant operating losses in the first nine months of 2025 and 2024. Excluding revenues and expansion costs</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incurred in the third quarter of 2025 from new retail store openings and the new manufacturing facility in Nevada, operating losses declined in the third quarter of 2025 compared to the third quarter of 2024.</w:t>
      </w:r>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In the first and second quarters of 2024, Framebridge implemented a SIP, which was funded from the assets of the Company’s pension plan; $0.4 million and $1.0 million in related non-operating pension expense was recorded in the first and second quarters of 2024,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ind w:right="640"/>
        <w:spacing w:after="0" w:line="259"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websites; Saatchi Art and Society6, which offer art and designs of various consumer products; and three investment stage businesses, Decile, City Cast and Supporting Cast. Foreign Policy, Supporting Cast and City Cast reported revenue growth in the first nine months of</w:t>
      </w:r>
    </w:p>
    <w:p>
      <w:pPr>
        <w:spacing w:after="0" w:line="235" w:lineRule="auto"/>
        <w:rPr>
          <w:sz w:val="20"/>
          <w:szCs w:val="20"/>
          <w:color w:val="auto"/>
        </w:rPr>
      </w:pPr>
      <w:r>
        <w:rPr>
          <w:rFonts w:ascii="Arial" w:cs="Arial" w:eastAsia="Arial" w:hAnsi="Arial"/>
          <w:sz w:val="18"/>
          <w:szCs w:val="18"/>
          <w:color w:val="auto"/>
        </w:rPr>
        <w:t>2025, while Society6, Slate, Saatchi Art and Code3 reported revenue declines. Losses from WGB, Society6, City Cast, Saatchi Art, Decile,</w:t>
      </w:r>
    </w:p>
    <w:p>
      <w:pPr>
        <w:ind w:right="440"/>
        <w:spacing w:after="0" w:line="237" w:lineRule="auto"/>
        <w:rPr>
          <w:sz w:val="20"/>
          <w:szCs w:val="20"/>
          <w:color w:val="auto"/>
        </w:rPr>
      </w:pPr>
      <w:r>
        <w:rPr>
          <w:rFonts w:ascii="Arial" w:cs="Arial" w:eastAsia="Arial" w:hAnsi="Arial"/>
          <w:sz w:val="18"/>
          <w:szCs w:val="18"/>
          <w:color w:val="auto"/>
        </w:rPr>
        <w:t>Slate, Code3 and Supporting Cast in the first nine months of 2025 adversely affected operating results, while Foreign Policy reported an operating profit during this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the Company offered SIPs to certain employees at Code3, Saatchi Art, and Society6; $1.1 million in related non-</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operating pension expense was recorded. In the second quarter of 2025, the Company offered SIPs to certain employees at Code3, Saatchi Art, Society6, WGB and Decile; $5.2 million in related non-operating pension expense was recorded. In the first quarter of 2025, WGB</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offered a SIP; $0.6 million in related non-operating pension expense was recorded. In the third quarter of 2024, the Company offered SIPs to certain employees at Society6, Saatchi Art, WGB, Decile and Slate; $0.8 million in related non-operating pension expense was recorded. In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the second quarter of 2024, Code3 implemented a SIP to reduce the number of employees; $0.6 million in related non-operating pension expense was recorded. These programs were funded from the assets of the Company’s pension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w:t>
      </w:r>
      <w:r>
        <w:rPr>
          <w:rFonts w:ascii="Arial" w:cs="Arial" w:eastAsia="Arial" w:hAnsi="Arial"/>
          <w:sz w:val="18"/>
          <w:szCs w:val="18"/>
          <w:b w:val="1"/>
          <w:bCs w:val="1"/>
          <w:color w:val="auto"/>
          <w:highlight w:val="white"/>
        </w:rPr>
        <w:t>y in Earnin</w:t>
      </w:r>
      <w:r>
        <w:rPr>
          <w:rFonts w:ascii="Arial" w:cs="Arial" w:eastAsia="Arial" w:hAnsi="Arial"/>
          <w:sz w:val="18"/>
          <w:szCs w:val="18"/>
          <w:b w:val="1"/>
          <w:bCs w:val="1"/>
          <w:color w:val="auto"/>
        </w:rPr>
        <w:t>gs (Losses) of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wp:posOffset>
            </wp:positionV>
            <wp:extent cx="1872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the Company held an approximate 23% interest in Intersection Holdings, LLC (Intersection), a company that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provides digital marketing and advertising services and products for cities, transit systems, airports, and other public and private spaces; and a 41.4% interest on a fully diluted basis in Realm. The Company also holds interests in several other affiliates, including a number of home</w:t>
      </w:r>
    </w:p>
    <w:p>
      <w:pPr>
        <w:spacing w:after="0" w:line="236" w:lineRule="auto"/>
        <w:rPr>
          <w:sz w:val="20"/>
          <w:szCs w:val="20"/>
          <w:color w:val="auto"/>
        </w:rPr>
      </w:pPr>
      <w:r>
        <w:rPr>
          <w:rFonts w:ascii="Arial" w:cs="Arial" w:eastAsia="Arial" w:hAnsi="Arial"/>
          <w:sz w:val="18"/>
          <w:szCs w:val="18"/>
          <w:color w:val="auto"/>
        </w:rPr>
        <w:t>health and hospice joint ventures managed by GHG and two joint ventures managed by Kaplan. Overall, the Company recorded equity in</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earnings of affiliates of $15.8 million for the third quarter of 2025, compared to losses of $13.4 million for the third quarter of 2024. These amounts include $5.8 million and $2.3 million in net losses for the third quarter of 2025 and 2024, respectively, from affiliates whose</w:t>
      </w:r>
    </w:p>
    <w:p>
      <w:pPr>
        <w:spacing w:after="0" w:line="235" w:lineRule="auto"/>
        <w:rPr>
          <w:sz w:val="20"/>
          <w:szCs w:val="20"/>
          <w:color w:val="auto"/>
        </w:rPr>
      </w:pPr>
      <w:r>
        <w:rPr>
          <w:rFonts w:ascii="Arial" w:cs="Arial" w:eastAsia="Arial" w:hAnsi="Arial"/>
          <w:sz w:val="18"/>
          <w:szCs w:val="18"/>
          <w:color w:val="auto"/>
        </w:rPr>
        <w:t>operations are not managed by the Company. The 2025 amount also includes a gain of $18.6 million in equity earnings related to the</w:t>
      </w:r>
    </w:p>
    <w:p>
      <w:pPr>
        <w:ind w:right="120"/>
        <w:spacing w:after="0" w:line="237" w:lineRule="auto"/>
        <w:rPr>
          <w:sz w:val="20"/>
          <w:szCs w:val="20"/>
          <w:color w:val="auto"/>
        </w:rPr>
      </w:pPr>
      <w:r>
        <w:rPr>
          <w:rFonts w:ascii="Arial" w:cs="Arial" w:eastAsia="Arial" w:hAnsi="Arial"/>
          <w:sz w:val="18"/>
          <w:szCs w:val="18"/>
          <w:color w:val="auto"/>
        </w:rPr>
        <w:t>Company’s investment in Intersection. The 2024 amount also includes a $14.4 million impairment loss on the Company’s investment in N2K Networks.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equity in earnings of affiliates of $10.5 million for the first nine months of 2025, compared to losses of $8.5 million for</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the first nine months of 2024. These amounts include $18.1 million and $4.9 million in net losses for the first nine months of 2025 and 2024, respectively, from affiliates whose operations are not managed by the Company. The 2025 amount also includes a gain of $18.6 million in</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equity earnings related to the Company’s investment in Intersection. The 2024 amount also includes a $14.4 million impairment loss on the Company’s investment in N2K Networks.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incurred net interest expense of $15.7 million and $111.3 million for the third quarter and first nine months of 2025, respectively, compared to $23.6 million and $130.0 million for the third quarter and first nine months of 2024.</w:t>
      </w:r>
    </w:p>
    <w:p>
      <w:pPr>
        <w:spacing w:after="0" w:line="8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Company recorded interest expense of $ 0.7 million and $ 68.3 million in the third quarter and first nine months of 2025, respectively; compared to $9.7 million and $85.1 million in the third quarter and first nine months of 2024, respectively, to adjust the fair value of the mandatorily redeemable noncontrolling interest at GHG. The significant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adjustments recorded in the first quarter of 2025 and the first nine months of 2024 are largely related to a substantial increase in the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estimated fair value of CSI. On February 25, 2025, the Company and a group of minority shareholders entered into an agreement to settle a significant portion of the mandatorily redeemable noncontrolling interest for a total of $205 million, which consisted of approximately $186.25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in cash and $18.75 million in Graham Holdings Company Class B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adjustments, the decrease in net interest expense relates primarily to lower interest rates on the Company’s variable debt.</w:t>
      </w:r>
    </w:p>
    <w:p>
      <w:pPr>
        <w:spacing w:after="0" w:line="14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At September 30, 2025, the Company had $731.9 million in borrowings outstanding at an average interest rate of 5.9%, and cash, marketable equity securities and other investments of $1,242.9 million. At September 30, 2025, the Company had $67.2 million outstanding on its $300 million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net non-operating pension and postretirement benefit income of $31.0 million and $94.3 million for the third quarter</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and first nine months of 2025, respectively, compared to $38.3 million and $105.4 million for the third quarter and first nine months of 2024,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the Company recorded $2.5 million in expenses related to non-operating SIPs at Kaplan, the television</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broadcasting division, manufacturing and other businesses. In the second quarter of 2025, the Company recorded $6.0 million in expenses related to non-operating SIPs at the education and television broadcasting divisions and other businesses. In the first quarter of 2025,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recorded $0.6 million in expenses related to non-operating SIPs at other businesses.</w:t>
      </w:r>
    </w:p>
    <w:p>
      <w:pPr>
        <w:spacing w:after="0" w:line="140"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In the third quarter of 2024, the Company recorded $ 3.7 million in expenses related to non-operating SIPs at Kaplan, manufacturing and other businesses. In the second quarter of 2024, the Company recorded $14.8 million in expenses related to a VRIP at the television</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broadcasting division and the corporate office and $ 1.6 million in expenses related to non-operating SIPs at other businesses. In the first quarter of 2024, the Company recorded $0.4 million in expenses related to a non-operating SIP at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58"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Overall, the Company recognized $84.8 million and $117.0 million in net gains on marketable equity securities in the third quarter and first nine months of 2025, respectively, compared to $30.5 million and $154.3 million in net gains on marketable equity securities in the third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nine months of 2024,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Income (Expense)</w:t>
      </w:r>
    </w:p>
    <w:p>
      <w:pPr>
        <w:spacing w:after="0" w:line="144"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Company recorded a nominal net other non-operating income amount for the third quarter of 2025, compared to other non-operating expense of $0.5 million for the third quarter of 2024. The 2025 amounts included $1.1 million in foreign currency gains and other items;</w:t>
      </w:r>
    </w:p>
    <w:p>
      <w:pPr>
        <w:ind w:right="600"/>
        <w:spacing w:after="0" w:line="237" w:lineRule="auto"/>
        <w:rPr>
          <w:sz w:val="20"/>
          <w:szCs w:val="20"/>
          <w:color w:val="auto"/>
        </w:rPr>
      </w:pPr>
      <w:r>
        <w:rPr>
          <w:rFonts w:ascii="Arial" w:cs="Arial" w:eastAsia="Arial" w:hAnsi="Arial"/>
          <w:sz w:val="18"/>
          <w:szCs w:val="18"/>
          <w:color w:val="auto"/>
        </w:rPr>
        <w:t>partially offset by $1.5 million in impairments on cost method investments. The 2024 amounts included $4.6 million in foreign currency losses; partially offset by a gain of $3.8 million on the sale of certain businesses and websites,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expense, net, of $20.5 million for the first nine months of 2025, compared to income of $3.0</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million for the first nine months of 2024. The 2025 amounts included $14.2 million in impairments on cost method investments and $7.7 million in foreign currency losses; partially offset by $0.4 million gain on sale of businesses and other items. The 2024 amounts included a</w:t>
      </w:r>
    </w:p>
    <w:p>
      <w:pPr>
        <w:spacing w:after="0" w:line="235" w:lineRule="auto"/>
        <w:rPr>
          <w:sz w:val="20"/>
          <w:szCs w:val="20"/>
          <w:color w:val="auto"/>
        </w:rPr>
      </w:pPr>
      <w:r>
        <w:rPr>
          <w:rFonts w:ascii="Arial" w:cs="Arial" w:eastAsia="Arial" w:hAnsi="Arial"/>
          <w:sz w:val="18"/>
          <w:szCs w:val="18"/>
          <w:color w:val="auto"/>
        </w:rPr>
        <w:t>gain of $7.2 million on the sale of certain businesses and websites; $0.9 million in gains related to the sale of businesses and contingent</w:t>
      </w:r>
    </w:p>
    <w:p>
      <w:pPr>
        <w:ind w:right="640"/>
        <w:spacing w:after="0" w:line="237" w:lineRule="auto"/>
        <w:rPr>
          <w:sz w:val="20"/>
          <w:szCs w:val="20"/>
          <w:color w:val="auto"/>
        </w:rPr>
      </w:pPr>
      <w:r>
        <w:rPr>
          <w:rFonts w:ascii="Arial" w:cs="Arial" w:eastAsia="Arial" w:hAnsi="Arial"/>
          <w:sz w:val="18"/>
          <w:szCs w:val="18"/>
          <w:color w:val="auto"/>
        </w:rPr>
        <w:t>consideration, and other items; partially offset by $5.6 million in foreign currency losses and a $0.7 million impairment on cost method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Company’s effective tax rate for the first nine months of 2025 and 2024 was 30.6% and 32.2%, respectively. The Company’s effective tax rate for the first nine months of 2025 is based on the estimated full year 2025 effective tax rate, which includes the adverse impact of the</w:t>
      </w:r>
    </w:p>
    <w:p>
      <w:pPr>
        <w:spacing w:after="0" w:line="235" w:lineRule="auto"/>
        <w:rPr>
          <w:sz w:val="20"/>
          <w:szCs w:val="20"/>
          <w:color w:val="auto"/>
        </w:rPr>
      </w:pPr>
      <w:r>
        <w:rPr>
          <w:rFonts w:ascii="Arial" w:cs="Arial" w:eastAsia="Arial" w:hAnsi="Arial"/>
          <w:sz w:val="18"/>
          <w:szCs w:val="18"/>
          <w:color w:val="auto"/>
        </w:rPr>
        <w:t>permanent difference related to the interest expense recorded to adjust the fair value of the mandatorily redeemable noncontrolling interest at</w:t>
      </w:r>
    </w:p>
    <w:p>
      <w:pPr>
        <w:ind w:right="120"/>
        <w:spacing w:after="0"/>
        <w:rPr>
          <w:sz w:val="20"/>
          <w:szCs w:val="20"/>
          <w:color w:val="auto"/>
        </w:rPr>
      </w:pPr>
      <w:r>
        <w:rPr>
          <w:rFonts w:ascii="Arial" w:cs="Arial" w:eastAsia="Arial" w:hAnsi="Arial"/>
          <w:sz w:val="17"/>
          <w:szCs w:val="17"/>
          <w:color w:val="auto"/>
        </w:rPr>
        <w:t>GHG. For the first nine months of 2024, the Company’s effective tax rate was based on the estimated full year 2024 effective tax rate, which includes the adverse impact of the permanent differences related to the interest expense recorded to adjust the fair value of the mandatorily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redeemable noncontrolling interest at GHG and goodwill and intangible asset impairment charges.</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On July 4, 2025, legislation known as "An Act to Provide for Reconciliation Pursuant to Title II of H. Con. Res. 14" (the Act) was enacted in the U.S., which includes, among other things, many corporate income tax provisions that will impact the Company. The Company has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considered the Act in its estimated full year 2025 effective tax rate,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and continues to analyze its various provisions. At this stage, the Company expects the Act will result in a significant decline in federal</w:t>
      </w:r>
    </w:p>
    <w:p>
      <w:pPr>
        <w:spacing w:after="0" w:line="14"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taxable income for 2025 and a related reduction in federal income tax payments for the remainder of 2025 as a result of changes to the income tax treatment of certain research and development costs and accelerated income tax deductions for certain capital expenditures.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calculation of diluted earnings per share for the third quarter and first nine months of 2025 was based on 4,377,884 and 4,369,922 weighted average shares outstanding, respectively, compared to 4,384,123 and 4,422,816 for the third quarter and first nine months of 2024.</w:t>
      </w:r>
    </w:p>
    <w:p>
      <w:pPr>
        <w:spacing w:after="0" w:line="235" w:lineRule="auto"/>
        <w:rPr>
          <w:sz w:val="20"/>
          <w:szCs w:val="20"/>
          <w:color w:val="auto"/>
        </w:rPr>
      </w:pPr>
      <w:r>
        <w:rPr>
          <w:rFonts w:ascii="Arial" w:cs="Arial" w:eastAsia="Arial" w:hAnsi="Arial"/>
          <w:sz w:val="18"/>
          <w:szCs w:val="18"/>
          <w:color w:val="auto"/>
        </w:rPr>
        <w:t>At September 30, 2025, there were 4,361,833 shares outstanding. On September 12, 2024, the Board of Directors authorized the Company</w:t>
      </w:r>
    </w:p>
    <w:p>
      <w:pPr>
        <w:ind w:right="960"/>
        <w:spacing w:after="0" w:line="237" w:lineRule="auto"/>
        <w:rPr>
          <w:sz w:val="20"/>
          <w:szCs w:val="20"/>
          <w:color w:val="auto"/>
        </w:rPr>
      </w:pPr>
      <w:r>
        <w:rPr>
          <w:rFonts w:ascii="Arial" w:cs="Arial" w:eastAsia="Arial" w:hAnsi="Arial"/>
          <w:sz w:val="18"/>
          <w:szCs w:val="18"/>
          <w:color w:val="auto"/>
        </w:rPr>
        <w:t>to acquire up to 500,000 shares of its Class B common stock; the Company has remaining authorization for 462,482 shares as of September 30,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Graham Healthcare Group Leadership Changes</w:t>
      </w:r>
    </w:p>
    <w:p>
      <w:pPr>
        <w:spacing w:after="0" w:line="14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David Curtis and Justin DeWitte, co-CEOs of GHG, recently made the decision to step down from their respective leadership roles at GHG. Both will remain with GHG for a transition period and to support the search and onboarding of a new leader for the home health and hospice businesses. The other healthcare businesses are now reporting into Graham Holdings leadership directly.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Tariffs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Historically, tariffs have had a limited impact on the Company’s financial operations and business strategy. The Company’s holding company</w:t>
      </w:r>
    </w:p>
    <w:p>
      <w:pPr>
        <w:spacing w:after="0" w:line="14" w:lineRule="exact"/>
        <w:rPr>
          <w:sz w:val="20"/>
          <w:szCs w:val="20"/>
          <w:color w:val="auto"/>
        </w:rPr>
      </w:pPr>
    </w:p>
    <w:p>
      <w:pPr>
        <w:jc w:val="both"/>
        <w:ind w:right="80"/>
        <w:spacing w:after="0" w:line="226" w:lineRule="auto"/>
        <w:rPr>
          <w:sz w:val="20"/>
          <w:szCs w:val="20"/>
          <w:color w:val="auto"/>
        </w:rPr>
      </w:pPr>
      <w:r>
        <w:rPr>
          <w:rFonts w:ascii="Arial" w:cs="Arial" w:eastAsia="Arial" w:hAnsi="Arial"/>
          <w:sz w:val="18"/>
          <w:szCs w:val="18"/>
          <w:color w:val="auto"/>
        </w:rPr>
        <w:t>structure, with a diverse portfolio of U.S. businesses and international operations, serves to limit its overall risk. While the Company believes it is reasonably well insulated from tariffs currently, there is significant uncertainty as to future policies regarding U.S. and worldwide tariffs.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Therefore, it is possible that the Company could be significantly impacted. At this time, however, we believe that macroeconomic risks related to tariff policies and a potential economic slowdown pose the most meaningful risk to the Company’s financial results. In considering our</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approach and strategy related to tariff policies and changing conditions, the Company will continue to track developments and develop plans as needed.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tcPr>
          <w:p>
            <w:pPr>
              <w:jc w:val="right"/>
              <w:ind w:right="123"/>
              <w:spacing w:after="0" w:line="153"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05"/>
        </w:trPr>
        <w:tc>
          <w:tcPr>
            <w:tcW w:w="8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2025</w:t>
            </w: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190,822</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260,852</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46,281</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37,001</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1,005,792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858,743</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731,896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748,192</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undrawn portion of the Company’s $300 million revolving credit facility, amounting to $232.8 million at September 30, 2025 and the undrawn $50.0 million delayed draw term loan at the automotive subsidiary; the delayed draw term loan was subsequently utilized to finance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a Honda automotive dealership in October 2025.</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During the first nine months of 2025, the Company’s cash and cash equivalents decreased by $70.0 million, due to the settlement of a significant portion of the mandatorily redeemable noncontrolling interest, capital expenditures, purchase of marketable equity securities,</w:t>
      </w:r>
    </w:p>
    <w:p>
      <w:pPr>
        <w:spacing w:after="0" w:line="235" w:lineRule="auto"/>
        <w:rPr>
          <w:sz w:val="20"/>
          <w:szCs w:val="20"/>
          <w:color w:val="auto"/>
        </w:rPr>
      </w:pPr>
      <w:r>
        <w:rPr>
          <w:rFonts w:ascii="Arial" w:cs="Arial" w:eastAsia="Arial" w:hAnsi="Arial"/>
          <w:sz w:val="18"/>
          <w:szCs w:val="18"/>
          <w:color w:val="auto"/>
        </w:rPr>
        <w:t>business acquisitions, investments in equity affiliates, dividend payments, and net repayments of the vehicle floor plan payable and other</w:t>
      </w:r>
    </w:p>
    <w:p>
      <w:pPr>
        <w:ind w:right="160"/>
        <w:spacing w:after="0" w:line="237" w:lineRule="auto"/>
        <w:rPr>
          <w:sz w:val="20"/>
          <w:szCs w:val="20"/>
          <w:color w:val="auto"/>
        </w:rPr>
      </w:pPr>
      <w:r>
        <w:rPr>
          <w:rFonts w:ascii="Arial" w:cs="Arial" w:eastAsia="Arial" w:hAnsi="Arial"/>
          <w:sz w:val="18"/>
          <w:szCs w:val="18"/>
          <w:color w:val="auto"/>
        </w:rPr>
        <w:t>borrowings, which was offset by cash generated from operations. In the first nine months of 2025, the Company’s borrowings decreased by $16.3 million, primarily due to repayments under the term loan, commercial notes at the automotive subsidiary and other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and December 31, 2024, the Company had money market investments of $5.6 million and $3.9 million, that are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included in cash and cash equivalents. At September 30, 2025, the Company held approximately $108 million in cash and cash equivalents in businesses domiciled outside the U.S., of which approximately $6 million is not available for immediate use in operations or for distribution.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Additionally, Kaplan’s business operations outside the U.S. retain cash balances to support ongoing working capital requirements, capital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1" w:name="page42"/>
    <w:bookmarkEnd w:id="41"/>
    <w:p>
      <w:pPr>
        <w:ind w:right="640"/>
        <w:spacing w:after="0" w:line="271"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86"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At September 30, 2025, the fair value of the Company’s investments in marketable equity securities was $998.8 million, which includes investments in the common stock of five publicly traded companies. During the first nine months of 2025, the Company purchased $29.8</w:t>
      </w:r>
    </w:p>
    <w:p>
      <w:pPr>
        <w:ind w:right="900"/>
        <w:spacing w:after="0" w:line="237" w:lineRule="auto"/>
        <w:rPr>
          <w:sz w:val="20"/>
          <w:szCs w:val="20"/>
          <w:color w:val="auto"/>
        </w:rPr>
      </w:pPr>
      <w:r>
        <w:rPr>
          <w:rFonts w:ascii="Arial" w:cs="Arial" w:eastAsia="Arial" w:hAnsi="Arial"/>
          <w:sz w:val="18"/>
          <w:szCs w:val="18"/>
          <w:color w:val="auto"/>
        </w:rPr>
        <w:t>million of marketable equity securities. There were no sales of marketable equity securities during the first nine months of 2025. At September 30, 2025, the net unrealized gain related to the Company’s investments totaled $741.9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$549.3 million and $898.8 million at September 30, 2025 and December 31, 2024, respectively. The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working capital at September 30, 2025 includes the Company’s $400 million senior unsecured fixed rate notes that are due on June 1, 2026, which the Company intends to refinance on or before the due date. The Company maintains working capital levels consistent with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underlying business requirements and consistently generates cash from operations in excess of required interest or principal payments.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September 30, 2025 and December 31, 2024, the Company had borrowings outstanding of $731.9 million and $748.2 million, respectively. The Company’s borrowings at September 30, 2025 were mostly from $400.0 million of 5.75% unsecured notes due June 1, 2026, a term loan</w:t>
      </w:r>
    </w:p>
    <w:p>
      <w:pPr>
        <w:spacing w:after="0" w:line="235" w:lineRule="auto"/>
        <w:rPr>
          <w:sz w:val="20"/>
          <w:szCs w:val="20"/>
          <w:color w:val="auto"/>
        </w:rPr>
      </w:pPr>
      <w:r>
        <w:rPr>
          <w:rFonts w:ascii="Arial" w:cs="Arial" w:eastAsia="Arial" w:hAnsi="Arial"/>
          <w:sz w:val="18"/>
          <w:szCs w:val="18"/>
          <w:color w:val="auto"/>
        </w:rPr>
        <w:t>of $134.6 million, $67.2 million in outstanding borrowings under the Company’s revolving credit facility, and real estate and capital term loans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of $120.0 million at the automotive subsidiary. The Company’s borrowings at December 31, 2024 were mostly from $400.0 million of 5.75% unsecured notes due June 1, 2026, $62.8 million in outstanding borrowings under the Company’s revolving credit facility, a term loan of</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$140.1 million, and real estate and capital term loans of $ 127.6 million at the automotive subsidiary. The interest on the $400.0 million of 5.75% unsecured notes is payable semiannually on June 1 and December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2025 and 2024, the Company had average borrowings outstanding of approximately $835.2</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million and $819.6 million, respectively, at average annual interest rates of approximately 6.0% and 6.4%, respectively. During the nine months ended September 30, 2025 and 2024, the Company incurred net interest expense of $111.3 million and $130.0 million, respectively.</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Included in the interest expense for the nine months ended September 30, 2025 and 2024 is $68.3 million and $85.1 million, respectively, to adjust the fair value of the mandatorily redeemable noncontrolling interest (see Notes 7 and 8).</w:t>
      </w:r>
    </w:p>
    <w:p>
      <w:pPr>
        <w:spacing w:after="0" w:line="10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related to GHC One, including CSI, for a total of $205 million, which consisted of approximately $186.25 million in cash and $18.75 million in Graham Holdings Company Class B common stock.</w:t>
      </w:r>
    </w:p>
    <w:p>
      <w:pPr>
        <w:spacing w:after="0" w:line="1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 related to GHC One and GHC Two was $22.2 million at September 30, 2025.</w:t>
      </w:r>
    </w:p>
    <w:p>
      <w:pPr>
        <w:spacing w:after="0" w:line="10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June 12, 2025, Standard &amp; Poor’s affirmed the Company’s credit rating and maintained the outlook as Stable. On December 20, 2024, Moody’s affirmed the Company’s credit rating and maintained the outlook as Stable.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needed, from borrowings under its revolving credit facility. As of September 30, 2025, the Company had $67.2 million outstanding under the $300 million revolving credit facility. In management’s opinion, the Company will have sufficient financial resources to meet its business</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318,896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290,676</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(98,362)</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(35,680)</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(290,817)</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(176,315)</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9,533</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(60,750)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80,333</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1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3"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192,382</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181,018</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86,496</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121,513</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44,229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47,746</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early retirement program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(61,090)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(64,532)</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(59,958)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(113,560)</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116,837</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118,491</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318,896</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290,676</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0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For the first nine months of 2025 compared to the first nine months of 2024, the increase in net cash provided by operating activities is primarily driven by higher net income, net of non-cash adjustments.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(48,618)</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(57,680)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(purchases of) proceeds from sales of marketable equity securities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(29,823)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18,524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(19,486)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and cost method investments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(10,512)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(2,188)</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7,747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8,342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Loan to related party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2,330</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(98,362)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(35,680)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nine months of 2025 and 2024</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disclosed in Note 15 to the Condensed Consolidated Financial Statements include assets acquired during the period. The Company estimates that its capital expenditures will be in the range of $80 million to $90 million in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(purchases of) proceeds from sales of marketable equity securities. </w:t>
      </w:r>
      <w:r>
        <w:rPr>
          <w:rFonts w:ascii="Arial" w:cs="Arial" w:eastAsia="Arial" w:hAnsi="Arial"/>
          <w:sz w:val="18"/>
          <w:szCs w:val="18"/>
          <w:color w:val="auto"/>
        </w:rPr>
        <w:t>The Company purchased $29.8 million and $5.0 million of</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marketable equity securities during the first nine months of 2025 and 2024, respectively. There were no sales of marketable equity securities during the first nine months of 2025. During the first nine months of 2024, the Company sold marketable equity securities that generated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of $23.5 million.</w:t>
      </w:r>
    </w:p>
    <w:p>
      <w:pPr>
        <w:spacing w:after="0" w:line="126"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In July 2025, Hoover acquired 100% of Arconic Architectural Products, LLC, a wholly-owned subsidiary of Arconic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manufactures aluminum cladding products and operates within the broader non-residential materials space from its facility in Eastman,</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GA. A significant portion of the purchase price was funded by the Company’s assumption of $107.4 million in net pension obligations. In June 2025, Kaplan acquired one small business which is included in its supplemental education division. During 2024, the Company acquired</w:t>
      </w:r>
    </w:p>
    <w:p>
      <w:pPr>
        <w:sectPr>
          <w:pgSz w:w="11900" w:h="16838" w:orient="portrait"/>
          <w:cols w:equalWidth="0" w:num="1">
            <w:col w:w="11220"/>
          </w:cols>
          <w:pgMar w:left="320" w:top="931" w:right="35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43" w:name="page44"/>
    <w:bookmarkEnd w:id="43"/>
    <w:p>
      <w:pPr>
        <w:ind w:right="480"/>
        <w:spacing w:after="0" w:line="271" w:lineRule="auto"/>
        <w:rPr>
          <w:sz w:val="20"/>
          <w:szCs w:val="20"/>
          <w:color w:val="auto"/>
        </w:rPr>
      </w:pPr>
      <w:r>
        <w:rPr>
          <w:rFonts w:ascii="Arial" w:cs="Arial" w:eastAsia="Arial" w:hAnsi="Arial"/>
          <w:sz w:val="18"/>
          <w:szCs w:val="18"/>
          <w:color w:val="auto"/>
        </w:rPr>
        <w:t>two small businesses. In January 2024, the Company acquired one small business which is included in other businesses. In May 2024, Kaplan acquired one small business which is included in its international division.</w:t>
      </w:r>
    </w:p>
    <w:p>
      <w:pPr>
        <w:spacing w:after="0" w:line="86"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On October 21, 2025, the Company’s automotive subsidiary acquired a Honda automotive dealership, including the real property for the dealership operations. In addition to a cash payment and the assumption of $4.9 million in floor plan payables, the automotive subsidiary</w:t>
      </w:r>
    </w:p>
    <w:p>
      <w:pPr>
        <w:ind w:right="280"/>
        <w:spacing w:after="0" w:line="237" w:lineRule="auto"/>
        <w:rPr>
          <w:sz w:val="20"/>
          <w:szCs w:val="20"/>
          <w:color w:val="auto"/>
        </w:rPr>
      </w:pPr>
      <w:r>
        <w:rPr>
          <w:rFonts w:ascii="Arial" w:cs="Arial" w:eastAsia="Arial" w:hAnsi="Arial"/>
          <w:sz w:val="18"/>
          <w:szCs w:val="18"/>
          <w:color w:val="auto"/>
        </w:rPr>
        <w:t>borrowed $38.7 million under the delayed draw term loan to finance the acquisition. The dealership is operated and managed by an entity affiliated with Christopher J. Ourisman, a member of the Ourisman Automotive Group family of dealerships.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parties</w:t>
      </w:r>
      <w:r>
        <w:rPr>
          <w:rFonts w:ascii="Arial" w:cs="Arial" w:eastAsia="Arial" w:hAnsi="Arial"/>
          <w:sz w:val="18"/>
          <w:szCs w:val="18"/>
          <w:color w:val="auto"/>
        </w:rPr>
        <w:t>. In September 2025, the Company invested an additional $29.3 million in its equity affiliate Intersection.</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Intersection used a portion of the additional investment to settle, in a non-cash exchange, $19.3 million of the outstanding amount owed to the Company on the $30 million term loan extended in April 2023. In May 2024, the Company entered into a convertible promissory note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agreement to loan N2K Networks $2.0 million. The convertible promissory note bears interest at a rate of 12% per annum and, subject to conversion provisions, all unpaid interest and principal are due by May 2027.</w:t>
      </w:r>
    </w:p>
    <w:p>
      <w:pPr>
        <w:spacing w:after="0" w:line="104"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i w:val="1"/>
          <w:iCs w:val="1"/>
          <w:color w:val="auto"/>
        </w:rPr>
        <w:t xml:space="preserve">Disposition of Businesses. </w:t>
      </w:r>
      <w:r>
        <w:rPr>
          <w:rFonts w:ascii="Arial" w:cs="Arial" w:eastAsia="Arial" w:hAnsi="Arial"/>
          <w:sz w:val="18"/>
          <w:szCs w:val="18"/>
          <w:color w:val="auto"/>
        </w:rPr>
        <w:t>In April 2025, Kaplan completed the sale of a small business, BridgeU Limited, which was included in Kaplan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In the first half of 2025, WGB completed the sale of various websites and related businesses that made up the WGB</w:t>
      </w:r>
    </w:p>
    <w:p>
      <w:pPr>
        <w:ind w:right="180"/>
        <w:spacing w:after="0"/>
        <w:rPr>
          <w:sz w:val="20"/>
          <w:szCs w:val="20"/>
          <w:color w:val="auto"/>
        </w:rPr>
      </w:pPr>
      <w:r>
        <w:rPr>
          <w:rFonts w:ascii="Arial" w:cs="Arial" w:eastAsia="Arial" w:hAnsi="Arial"/>
          <w:sz w:val="17"/>
          <w:szCs w:val="17"/>
          <w:color w:val="auto"/>
        </w:rPr>
        <w:t>operations. All remaining WGB operations were substantially shut down by the end of the third quarter of 2025. In June and September 2024, WGB completed the sales of small businesses. In July 2024, Kaplan completed the sale of a small business, Red Marker, which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included in Kaplan International.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(191,609)</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(4,010)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(27,897)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(23,508)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(22,926)</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(22,089)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(16,053)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(3,468)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(98,170)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(34,216)</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(22,846)</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(9,383)</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(290,817)</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(176,315)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i w:val="1"/>
          <w:iCs w:val="1"/>
          <w:color w:val="auto"/>
        </w:rPr>
        <w:t xml:space="preserve">Distributions paid to noncontrolling interests. </w:t>
      </w:r>
      <w:r>
        <w:rPr>
          <w:rFonts w:ascii="Arial" w:cs="Arial" w:eastAsia="Arial" w:hAnsi="Arial"/>
          <w:sz w:val="17"/>
          <w:szCs w:val="17"/>
          <w:color w:val="auto"/>
        </w:rPr>
        <w:t>On February 25, 2025, the Company and a group of minority shareholders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settle a significant portion of the mandatorily redeemable noncontrolling interest related to GHC One, including CSI, for a total</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of $205 million, which consisted of approximately $186.25 million in cash and $18.75 million in Graham Holdings Company Class B common stock.</w:t>
      </w:r>
    </w:p>
    <w:p>
      <w:pPr>
        <w:spacing w:after="0" w:line="10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nine months of 2025, the Company repaid amounts borrowed under the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notes at the automotive subsidiary and other debt. In the first nine months of 2024, the Company repaid amounts borrowed</w:t>
      </w:r>
    </w:p>
    <w:p>
      <w:pPr>
        <w:ind w:right="60"/>
        <w:spacing w:after="0"/>
        <w:rPr>
          <w:sz w:val="20"/>
          <w:szCs w:val="20"/>
          <w:color w:val="auto"/>
        </w:rPr>
      </w:pPr>
      <w:r>
        <w:rPr>
          <w:rFonts w:ascii="Arial" w:cs="Arial" w:eastAsia="Arial" w:hAnsi="Arial"/>
          <w:sz w:val="17"/>
          <w:szCs w:val="17"/>
          <w:color w:val="auto"/>
        </w:rPr>
        <w:t>under the $300 million revolving credit facility. In the first nine months of 2025 and 2024, the Company used vehicle floor plan financing to fund the purchase of new, used and service loaner vehicles at its automotive subsidiary. The (repayments of) proceeds from the vehicle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payable fluctuates with changes in the amount of vehicle inventory held by the automotive dealerships.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$1.80 and $1.72 for the first nine months of 2025 and 2024,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$7.20 per share in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nine months of 2025, the Company purchased a total of 3,978 shares of its Class B common</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stock at a cost of approximately $ 3.5 million resulting from the net settlement of stock awards upon vesting. On September 12, 2024, the Board of Directors authorized the Company to acquire up to 500,000 shares of its Class B common stock. The Company did not announce a</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ceiling price or time limit for the purchases. At September 30, 2025, the Company had remaining authorization from the Board of Directors to purchase up to 462,482 shares of Class B common stock.</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nine months of 2025 and 2024, the Company paid $7.0 million and $5.4 million, respectively, related to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from prior acquisitions.</w:t>
      </w:r>
    </w:p>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2024.</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for the fiscal year ended December 31, 2024 and in the Company’s 2024 Annual</w:t>
      </w:r>
    </w:p>
    <w:p>
      <w:pPr>
        <w:spacing w:after="0" w:line="235" w:lineRule="auto"/>
        <w:rPr>
          <w:sz w:val="20"/>
          <w:szCs w:val="20"/>
          <w:color w:val="auto"/>
        </w:rPr>
      </w:pPr>
      <w:r>
        <w:rPr>
          <w:rFonts w:ascii="Arial" w:cs="Arial" w:eastAsia="Arial" w:hAnsi="Arial"/>
          <w:sz w:val="18"/>
          <w:szCs w:val="18"/>
          <w:color w:val="auto"/>
        </w:rPr>
        <w:t>Report to Stockholders, are “forward-looking statements” within the meaning of the Private Securities Litigation Reform Act of 1995. Forward-</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looking statements are based on expectations, forecasts, and assumptions by the Company’s management and involve a number of risks, uncertainties, and other factors that could cause actual results to differ from those stated, including, without limitation, comments about</w:t>
      </w:r>
    </w:p>
    <w:p>
      <w:pPr>
        <w:spacing w:after="0" w:line="235" w:lineRule="auto"/>
        <w:rPr>
          <w:sz w:val="20"/>
          <w:szCs w:val="20"/>
          <w:color w:val="auto"/>
        </w:rPr>
      </w:pPr>
      <w:r>
        <w:rPr>
          <w:rFonts w:ascii="Arial" w:cs="Arial" w:eastAsia="Arial" w:hAnsi="Arial"/>
          <w:sz w:val="18"/>
          <w:szCs w:val="18"/>
          <w:color w:val="auto"/>
        </w:rPr>
        <w:t>expectations related to acquisitions or dispositions or related business activities, the Company’s business strategies and objectives, the</w:t>
      </w:r>
    </w:p>
    <w:p>
      <w:pPr>
        <w:ind w:right="360"/>
        <w:spacing w:after="0"/>
        <w:rPr>
          <w:sz w:val="20"/>
          <w:szCs w:val="20"/>
          <w:color w:val="auto"/>
        </w:rPr>
      </w:pPr>
      <w:r>
        <w:rPr>
          <w:rFonts w:ascii="Arial" w:cs="Arial" w:eastAsia="Arial" w:hAnsi="Arial"/>
          <w:sz w:val="17"/>
          <w:szCs w:val="17"/>
          <w:color w:val="auto"/>
        </w:rPr>
        <w:t>prospects for growth in the Company’s various business operations, the Company’s future financial performance, and the risks and uncertainties described in Item 1A of this report and the Company’s Annual Report on Form 10-K for the fiscal year ended December 31,</w:t>
      </w:r>
    </w:p>
    <w:p>
      <w:pPr>
        <w:spacing w:after="0" w:line="235" w:lineRule="auto"/>
        <w:rPr>
          <w:sz w:val="20"/>
          <w:szCs w:val="20"/>
          <w:color w:val="auto"/>
        </w:rPr>
      </w:pPr>
      <w:r>
        <w:rPr>
          <w:rFonts w:ascii="Arial" w:cs="Arial" w:eastAsia="Arial" w:hAnsi="Arial"/>
          <w:sz w:val="18"/>
          <w:szCs w:val="18"/>
          <w:color w:val="auto"/>
        </w:rPr>
        <w:t>2024. Accordingly, undue reliance should not be placed on any forward-looking statement made by or on behalf of the Company. The</w:t>
      </w:r>
    </w:p>
    <w:p>
      <w:pPr>
        <w:ind w:right="520"/>
        <w:spacing w:after="0" w:line="237" w:lineRule="auto"/>
        <w:rPr>
          <w:sz w:val="20"/>
          <w:szCs w:val="20"/>
          <w:color w:val="auto"/>
        </w:rPr>
      </w:pPr>
      <w:r>
        <w:rPr>
          <w:rFonts w:ascii="Arial" w:cs="Arial" w:eastAsia="Arial" w:hAnsi="Arial"/>
          <w:sz w:val="18"/>
          <w:szCs w:val="18"/>
          <w:color w:val="auto"/>
        </w:rPr>
        <w:t>Company assumes no obligation to update any forward-looking statement after the date on which such statement is made, even if new information subsequently becomes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2024 Annual Report filed on Form 10-K have not otherwise changed significantly.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235" w:lineRule="auto"/>
        <w:rPr>
          <w:sz w:val="20"/>
          <w:szCs w:val="20"/>
          <w:color w:val="auto"/>
        </w:rPr>
      </w:pPr>
      <w:r>
        <w:rPr>
          <w:rFonts w:ascii="Arial" w:cs="Arial" w:eastAsia="Arial" w:hAnsi="Arial"/>
          <w:sz w:val="18"/>
          <w:szCs w:val="18"/>
          <w:color w:val="auto"/>
        </w:rPr>
        <w:t>controls and procedures (as defined in Exchange Act Rules 13a-15(e) and 15d-15(e)), as of September 30, 2025. Based on that evaluation,</w:t>
      </w:r>
    </w:p>
    <w:p>
      <w:pPr>
        <w:ind w:right="20"/>
        <w:spacing w:after="0" w:line="226"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 as designed and implemented, are effective in ensuring that information required to be disclosed by the Company in the reports that it files or</w:t>
      </w:r>
    </w:p>
    <w:p>
      <w:pPr>
        <w:spacing w:after="0" w:line="23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2025</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w:t>
      </w:r>
    </w:p>
    <w:p>
      <w:pPr>
        <w:ind w:right="60"/>
        <w:spacing w:after="0" w:line="226" w:lineRule="auto"/>
        <w:rPr>
          <w:sz w:val="20"/>
          <w:szCs w:val="20"/>
          <w:color w:val="auto"/>
        </w:rPr>
      </w:pPr>
      <w:r>
        <w:rPr>
          <w:rFonts w:ascii="Arial" w:cs="Arial" w:eastAsia="Arial" w:hAnsi="Arial"/>
          <w:sz w:val="18"/>
          <w:szCs w:val="18"/>
          <w:color w:val="auto"/>
        </w:rPr>
        <w:t>presently known, or currently deemed immaterial, may adversely affect the Company in the future. In addition to the other information included in the Annual Report on Form 10-K for the fiscal year ended December 31, 2024 and the subsequently filed information included on</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Forms 10-Q, investors should carefully consider the following risk factors. If any of the events or developments described below occurs, it could have a material adverse effect on the Company’s business, financial condition or results of operations.</w:t>
      </w:r>
    </w:p>
    <w:p>
      <w:pPr>
        <w:spacing w:after="0" w:line="104" w:lineRule="exact"/>
        <w:rPr>
          <w:sz w:val="20"/>
          <w:szCs w:val="20"/>
          <w:color w:val="auto"/>
        </w:rPr>
      </w:pPr>
    </w:p>
    <w:p>
      <w:pPr>
        <w:ind w:left="260" w:right="540" w:hanging="252"/>
        <w:spacing w:after="0" w:line="257" w:lineRule="auto"/>
        <w:tabs>
          <w:tab w:leader="none" w:pos="2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Laws and Regulations, Travel Restrictions and Related Policy Announcements, Have Materially Adversely Affected, and Together with Changes in Immigration Laws or Sanctions, Could Continue to Materially Adversely Affect International Student Enrollments and Kaplan’s Business.</w:t>
      </w:r>
    </w:p>
    <w:p>
      <w:pPr>
        <w:spacing w:after="0" w:line="91"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Kaplan is subject to a wide range of laws and regulations relating to its international operations. These include domestic laws with extraterritorial reach, such as the U.S. Foreign Corrupt Practices Act, international laws such as the U.K. Bribery Act, as well as the local</w:t>
      </w:r>
    </w:p>
    <w:p>
      <w:pPr>
        <w:ind w:right="140"/>
        <w:spacing w:after="0" w:line="226" w:lineRule="auto"/>
        <w:rPr>
          <w:sz w:val="20"/>
          <w:szCs w:val="20"/>
          <w:color w:val="auto"/>
        </w:rPr>
      </w:pPr>
      <w:r>
        <w:rPr>
          <w:rFonts w:ascii="Arial" w:cs="Arial" w:eastAsia="Arial" w:hAnsi="Arial"/>
          <w:sz w:val="18"/>
          <w:szCs w:val="18"/>
          <w:color w:val="auto"/>
        </w:rPr>
        <w:t>regulatory regimes of the countries in which Kaplan operates. These laws and regulations change frequently. Failure to comply with these laws and regulations could result in significant penalties or the revocation of Kaplan’s authority to operate in the applicable jurisdiction,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which could have a material adverse effect on Kaplan’s operating results.</w:t>
      </w:r>
    </w:p>
    <w:p>
      <w:pPr>
        <w:spacing w:after="0" w:line="140" w:lineRule="exact"/>
        <w:rPr>
          <w:sz w:val="20"/>
          <w:szCs w:val="20"/>
          <w:color w:val="auto"/>
        </w:rPr>
      </w:pPr>
    </w:p>
    <w:p>
      <w:pPr>
        <w:ind w:right="820"/>
        <w:spacing w:after="0" w:line="251" w:lineRule="auto"/>
        <w:rPr>
          <w:sz w:val="20"/>
          <w:szCs w:val="20"/>
          <w:color w:val="auto"/>
        </w:rPr>
      </w:pPr>
      <w:r>
        <w:rPr>
          <w:rFonts w:ascii="Arial" w:cs="Arial" w:eastAsia="Arial" w:hAnsi="Arial"/>
          <w:sz w:val="17"/>
          <w:szCs w:val="17"/>
          <w:color w:val="auto"/>
        </w:rPr>
        <w:t>In response to the COVID-19 pandemic, many governments imposed student travel restrictions (applicable to exit and entry), made recommendations for their students to return home and closed physical campus locations, and many state and professional bodies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postponed or canceled examination dates related to state examinations and professional education programs, all of which have materially adversely affected Kaplan International’s operations and resulted in significant losses at Kaplan Languages Group during the pandemic. The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emergence of new pandemics and consequential changes to travel and study arrangements in one or more countries could negatively affect Kaplan International and its operating results.</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Further changes to the regulatory environment, including changes to government policy or practice in oversight and enforcement, or other factors, including war, civil unrest, geopolitical instability, imposition or extension of international sanctions, a natural disaster or a pandemic</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 either the students’ countries of origin or countries in which they desire to study, could continue to negatively affect Kaplan’s ability to attract and retain students and negatively affect Kaplan’s operating results. Increasingly, governments have begun imposing sales taxes on</w:t>
      </w:r>
    </w:p>
    <w:p>
      <w:pPr>
        <w:spacing w:after="0" w:line="235" w:lineRule="auto"/>
        <w:rPr>
          <w:sz w:val="20"/>
          <w:szCs w:val="20"/>
          <w:color w:val="auto"/>
        </w:rPr>
      </w:pPr>
      <w:r>
        <w:rPr>
          <w:rFonts w:ascii="Arial" w:cs="Arial" w:eastAsia="Arial" w:hAnsi="Arial"/>
          <w:sz w:val="18"/>
          <w:szCs w:val="18"/>
          <w:color w:val="auto"/>
        </w:rPr>
        <w:t>digital services, such as education, offered in their jurisdictions by foreign providers. Any significant changes to the availability of government</w:t>
      </w:r>
    </w:p>
    <w:p>
      <w:pPr>
        <w:ind w:right="100"/>
        <w:spacing w:after="0"/>
        <w:rPr>
          <w:sz w:val="20"/>
          <w:szCs w:val="20"/>
          <w:color w:val="auto"/>
        </w:rPr>
      </w:pPr>
      <w:r>
        <w:rPr>
          <w:rFonts w:ascii="Arial" w:cs="Arial" w:eastAsia="Arial" w:hAnsi="Arial"/>
          <w:sz w:val="17"/>
          <w:szCs w:val="17"/>
          <w:color w:val="auto"/>
        </w:rPr>
        <w:t>funding for education or training, visa policies for students and their dependents, or other administrative immigration requirements, or the tax environment, including changes to tax laws, policies and practices, in any one or more countries in which KI operates or makes its services</w:t>
      </w:r>
    </w:p>
    <w:p>
      <w:pPr>
        <w:spacing w:after="0" w:line="235" w:lineRule="auto"/>
        <w:rPr>
          <w:sz w:val="20"/>
          <w:szCs w:val="20"/>
          <w:color w:val="auto"/>
        </w:rPr>
      </w:pPr>
      <w:r>
        <w:rPr>
          <w:rFonts w:ascii="Arial" w:cs="Arial" w:eastAsia="Arial" w:hAnsi="Arial"/>
          <w:sz w:val="18"/>
          <w:szCs w:val="18"/>
          <w:color w:val="auto"/>
        </w:rPr>
        <w:t>available could negatively affect its operating results. KI’s operations, institutions and programs in the U.S. may be subject to state-level</w:t>
      </w:r>
    </w:p>
    <w:p>
      <w:pPr>
        <w:ind w:right="20"/>
        <w:spacing w:after="0"/>
        <w:rPr>
          <w:sz w:val="20"/>
          <w:szCs w:val="20"/>
          <w:color w:val="auto"/>
        </w:rPr>
      </w:pPr>
      <w:r>
        <w:rPr>
          <w:rFonts w:ascii="Arial" w:cs="Arial" w:eastAsia="Arial" w:hAnsi="Arial"/>
          <w:sz w:val="17"/>
          <w:szCs w:val="17"/>
          <w:color w:val="auto"/>
        </w:rPr>
        <w:t>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w:t>
      </w:r>
    </w:p>
    <w:p>
      <w:pPr>
        <w:spacing w:after="0" w:line="235" w:lineRule="auto"/>
        <w:rPr>
          <w:sz w:val="20"/>
          <w:szCs w:val="20"/>
          <w:color w:val="auto"/>
        </w:rPr>
      </w:pPr>
      <w:r>
        <w:rPr>
          <w:rFonts w:ascii="Arial" w:cs="Arial" w:eastAsia="Arial" w:hAnsi="Arial"/>
          <w:sz w:val="18"/>
          <w:szCs w:val="18"/>
          <w:color w:val="auto"/>
        </w:rPr>
        <w:t>policies and responsibilities and other operational matters. Institutions that seek to admit international students are required to be federally</w:t>
      </w:r>
    </w:p>
    <w:p>
      <w:pPr>
        <w:ind w:right="40"/>
        <w:spacing w:after="0" w:line="226" w:lineRule="auto"/>
        <w:rPr>
          <w:sz w:val="20"/>
          <w:szCs w:val="20"/>
          <w:color w:val="auto"/>
        </w:rPr>
      </w:pPr>
      <w:r>
        <w:rPr>
          <w:rFonts w:ascii="Arial" w:cs="Arial" w:eastAsia="Arial" w:hAnsi="Arial"/>
          <w:sz w:val="18"/>
          <w:szCs w:val="18"/>
          <w:color w:val="auto"/>
        </w:rPr>
        <w:t>certified and legally authorized to operate in the state in which the institution is physically located in order to be allowed to issue the relevant documentation to permit international students to obtain a visa. Agencies at both local and national levels in other countries may also impose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similar requirements on Kaplan International’s operations outside the U.S.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A substantial portion of KI’s revenue comes from programs that prepare international students to study and travel in English-speaking countries. In 2024, university preparation programs were principally delivered in Australia, New Zealand, Singapore and the U.K. KI’s 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enroll students in these programs is directly dependent on its ability to comply with complex regulatory environments.</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KI’s ability to enroll international students in programs in the U.K., U.S., Singapore, Australia, New Zealand, Canada and other countries and to recruit students for study with KI’s partners is directly dependent on the laws and regulations governing student immigration. Changes to</w:t>
      </w:r>
    </w:p>
    <w:p>
      <w:pPr>
        <w:spacing w:after="0" w:line="235" w:lineRule="auto"/>
        <w:rPr>
          <w:sz w:val="20"/>
          <w:szCs w:val="20"/>
          <w:color w:val="auto"/>
        </w:rPr>
      </w:pPr>
      <w:r>
        <w:rPr>
          <w:rFonts w:ascii="Arial" w:cs="Arial" w:eastAsia="Arial" w:hAnsi="Arial"/>
          <w:sz w:val="18"/>
          <w:szCs w:val="18"/>
          <w:color w:val="auto"/>
        </w:rPr>
        <w:t>student immigration rules in a number of countries have impacted, and will continue to impact, KI’s ability to recruit students for study at its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 colleges and its partner universities. Overall, there is a trend of tightening of student immigration regulations and access to student visas worldwide. Since entering office in January 2025, the new U.S. presidential administration has issued executive orders and announced policy</w:t>
      </w:r>
    </w:p>
    <w:p>
      <w:pPr>
        <w:spacing w:after="0" w:line="236" w:lineRule="auto"/>
        <w:rPr>
          <w:sz w:val="20"/>
          <w:szCs w:val="20"/>
          <w:color w:val="auto"/>
        </w:rPr>
      </w:pPr>
      <w:r>
        <w:rPr>
          <w:rFonts w:ascii="Arial" w:cs="Arial" w:eastAsia="Arial" w:hAnsi="Arial"/>
          <w:sz w:val="18"/>
          <w:szCs w:val="18"/>
          <w:color w:val="auto"/>
        </w:rPr>
        <w:t>changes that may affect international student entry to, or ability to study in, the U.S., including increased visa vetting for individuals seeking to</w:t>
      </w:r>
    </w:p>
    <w:p>
      <w:pPr>
        <w:spacing w:after="0" w:line="1" w:lineRule="exact"/>
        <w:rPr>
          <w:sz w:val="20"/>
          <w:szCs w:val="20"/>
          <w:color w:val="auto"/>
        </w:rPr>
      </w:pPr>
    </w:p>
    <w:p>
      <w:pPr>
        <w:ind w:right="660"/>
        <w:spacing w:after="0" w:line="226" w:lineRule="auto"/>
        <w:rPr>
          <w:sz w:val="20"/>
          <w:szCs w:val="20"/>
          <w:color w:val="auto"/>
        </w:rPr>
      </w:pPr>
      <w:r>
        <w:rPr>
          <w:rFonts w:ascii="Arial" w:cs="Arial" w:eastAsia="Arial" w:hAnsi="Arial"/>
          <w:sz w:val="18"/>
          <w:szCs w:val="18"/>
          <w:color w:val="auto"/>
        </w:rPr>
        <w:t>enter the U.S. and restrictions on conduct while in the U.S. Negative perceptions regarding travel to the U.S., as well as the legal and regulatory environment’s susceptibility to change by the new administration, could have a negative impact on KI’s ability to recruit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students, which could materially adversely affect Kaplan’s U.S. Pathways business as well as the U.S.-based Kaplan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right="120"/>
        <w:spacing w:after="0" w:line="271" w:lineRule="auto"/>
        <w:rPr>
          <w:sz w:val="20"/>
          <w:szCs w:val="20"/>
          <w:color w:val="auto"/>
        </w:rPr>
      </w:pPr>
      <w:r>
        <w:rPr>
          <w:rFonts w:ascii="Arial" w:cs="Arial" w:eastAsia="Arial" w:hAnsi="Arial"/>
          <w:sz w:val="18"/>
          <w:szCs w:val="18"/>
          <w:color w:val="auto"/>
        </w:rPr>
        <w:t>Languages Group. Changes to visa policies and practices have had a negative impact on students’ ability to travel to the U.S. to begin their courses, and this has significantly adversely affected those Kaplan International businesses.</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to receive the benefit of this funding, Kaplan’s operating results could be materially adversely affected. The U.K. government has announced that it will reduce funding for the Level 7 apprenticeship (“L7”) effective in 2026. Presently, these apprenticeships, equivalent to masters</w:t>
      </w:r>
    </w:p>
    <w:p>
      <w:pPr>
        <w:spacing w:after="0" w:line="235" w:lineRule="auto"/>
        <w:rPr>
          <w:sz w:val="20"/>
          <w:szCs w:val="20"/>
          <w:color w:val="auto"/>
        </w:rPr>
      </w:pPr>
      <w:r>
        <w:rPr>
          <w:rFonts w:ascii="Arial" w:cs="Arial" w:eastAsia="Arial" w:hAnsi="Arial"/>
          <w:sz w:val="18"/>
          <w:szCs w:val="18"/>
          <w:color w:val="auto"/>
        </w:rPr>
        <w:t>degree level study, can be funded from U.K. employer apprenticeship levy payments. The apprenticeship levy funds are payments to the</w:t>
      </w:r>
    </w:p>
    <w:p>
      <w:pPr>
        <w:ind w:right="180"/>
        <w:spacing w:after="0" w:line="226" w:lineRule="auto"/>
        <w:rPr>
          <w:sz w:val="20"/>
          <w:szCs w:val="20"/>
          <w:color w:val="auto"/>
        </w:rPr>
      </w:pPr>
      <w:r>
        <w:rPr>
          <w:rFonts w:ascii="Arial" w:cs="Arial" w:eastAsia="Arial" w:hAnsi="Arial"/>
          <w:sz w:val="18"/>
          <w:szCs w:val="18"/>
          <w:color w:val="auto"/>
        </w:rPr>
        <w:t>government by U.K. employers of a certain minimum size calculated as a percentage of the employer’s wage bill. Beginning on January 1, 2026, the U.K. government will limit the use of levy funds primarily to individuals aged 21 or under at the start of their apprenticeships. This</w:t>
      </w:r>
    </w:p>
    <w:p>
      <w:pPr>
        <w:spacing w:after="0" w:line="236" w:lineRule="auto"/>
        <w:rPr>
          <w:sz w:val="20"/>
          <w:szCs w:val="20"/>
          <w:color w:val="auto"/>
        </w:rPr>
      </w:pPr>
      <w:r>
        <w:rPr>
          <w:rFonts w:ascii="Arial" w:cs="Arial" w:eastAsia="Arial" w:hAnsi="Arial"/>
          <w:sz w:val="18"/>
          <w:szCs w:val="18"/>
          <w:color w:val="auto"/>
        </w:rPr>
        <w:t>change will impact Kaplan Financial (a division of Kaplan Professional UK), an apprenticeship training provider whose U.K. apprenticeship</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business is a meaningful part of Kaplan Professional UK’s business. Kaplan Financial expects that the majority of the L7 revenues would now also be supported through an increased number of self-funded commercial transactions. Apprenticeships already enrolled prior to</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January 1, 2026, will still benefit from the levy funded model through the term of their apprenticeship. However, enrollments after that date will be impacted.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During the quarter ended September 30, 2025, none of the Company’s directors or officers (as defined in Rule 16a-1(f) of the Exchange Act) adopted, modified or terminated a “Rule 10b5-1 trading arrangement” or “non-Rule 10b5-1 trading arrangement,” as defined in Item 408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20" w:type="dxa"/>
            <w:vAlign w:val="bottom"/>
            <w:gridSpan w:val="19"/>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1"/>
          </w:tcPr>
          <w:p>
            <w:pPr>
              <w:spacing w:after="0"/>
              <w:rPr>
                <w:rFonts w:ascii="Arial" w:cs="Arial" w:eastAsia="Arial" w:hAnsi="Arial"/>
                <w:sz w:val="16"/>
                <w:szCs w:val="16"/>
                <w:color w:val="0000FF"/>
              </w:rPr>
            </w:pPr>
            <w:hyperlink r:id="rId70">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1"/>
          </w:tcPr>
          <w:p>
            <w:pPr>
              <w:spacing w:after="0"/>
              <w:rPr>
                <w:rFonts w:ascii="Arial" w:cs="Arial" w:eastAsia="Arial" w:hAnsi="Arial"/>
                <w:sz w:val="16"/>
                <w:szCs w:val="16"/>
                <w:color w:val="0000FF"/>
              </w:rPr>
            </w:pPr>
            <w:hyperlink r:id="rId71">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1"/>
          </w:tcPr>
          <w:p>
            <w:pPr>
              <w:spacing w:after="0"/>
              <w:rPr>
                <w:rFonts w:ascii="Arial" w:cs="Arial" w:eastAsia="Arial" w:hAnsi="Arial"/>
                <w:sz w:val="16"/>
                <w:szCs w:val="16"/>
                <w:color w:val="0000FF"/>
              </w:rPr>
            </w:pPr>
            <w:hyperlink r:id="rId72">
              <w:r>
                <w:rPr>
                  <w:rFonts w:ascii="Arial" w:cs="Arial" w:eastAsia="Arial" w:hAnsi="Arial"/>
                  <w:sz w:val="16"/>
                  <w:szCs w:val="16"/>
                  <w:color w:val="0000FF"/>
                </w:rPr>
                <w:t>By-Laws of the Company as amended and restated through September 12, 2024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rPr>
            </w:pPr>
            <w:hyperlink r:id="rId72">
              <w:r>
                <w:rPr>
                  <w:rFonts w:ascii="Arial" w:cs="Arial" w:eastAsia="Arial" w:hAnsi="Arial"/>
                  <w:sz w:val="16"/>
                  <w:szCs w:val="16"/>
                  <w:color w:val="0000FF"/>
                </w:rPr>
                <w:t>Current Report on Form 8-K dated September 12, 2024).</w:t>
              </w:r>
            </w:hyperlink>
          </w:p>
        </w:tc>
        <w:tc>
          <w:tcPr>
            <w:tcW w:w="5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1"/>
          </w:tcPr>
          <w:p>
            <w:pPr>
              <w:spacing w:after="0"/>
              <w:rPr>
                <w:rFonts w:ascii="Arial" w:cs="Arial" w:eastAsia="Arial" w:hAnsi="Arial"/>
                <w:sz w:val="16"/>
                <w:szCs w:val="16"/>
                <w:color w:val="0000FF"/>
              </w:rPr>
            </w:pPr>
            <w:hyperlink r:id="rId73">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73">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1"/>
          </w:tcPr>
          <w:p>
            <w:pPr>
              <w:spacing w:after="0"/>
              <w:rPr>
                <w:rFonts w:ascii="Arial" w:cs="Arial" w:eastAsia="Arial" w:hAnsi="Arial"/>
                <w:sz w:val="16"/>
                <w:szCs w:val="16"/>
                <w:color w:val="0000FF"/>
              </w:rPr>
            </w:pPr>
            <w:hyperlink r:id="rId74">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w w:val="99"/>
              </w:rPr>
            </w:pPr>
            <w:hyperlink r:id="rId74">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bottom w:val="single" w:sz="8" w:color="0000FF"/>
            </w:tcBorders>
            <w:gridSpan w:val="5"/>
          </w:tcPr>
          <w:p>
            <w:pPr>
              <w:spacing w:after="0" w:line="155" w:lineRule="exact"/>
              <w:rPr>
                <w:rFonts w:ascii="Arial" w:cs="Arial" w:eastAsia="Arial" w:hAnsi="Arial"/>
                <w:sz w:val="16"/>
                <w:szCs w:val="16"/>
                <w:color w:val="0000FF"/>
              </w:rPr>
            </w:pPr>
            <w:hyperlink r:id="rId74">
              <w:r>
                <w:rPr>
                  <w:rFonts w:ascii="Arial" w:cs="Arial" w:eastAsia="Arial" w:hAnsi="Arial"/>
                  <w:sz w:val="16"/>
                  <w:szCs w:val="16"/>
                  <w:color w:val="0000FF"/>
                </w:rPr>
                <w:t>Quarterly Report on Form 10-Q for the quarter ended March 31, 2020).</w:t>
              </w:r>
            </w:hyperlink>
          </w:p>
        </w:tc>
        <w:tc>
          <w:tcPr>
            <w:tcW w:w="49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1"/>
          </w:tcPr>
          <w:p>
            <w:pPr>
              <w:spacing w:after="0"/>
              <w:rPr>
                <w:rFonts w:ascii="Arial" w:cs="Arial" w:eastAsia="Arial" w:hAnsi="Arial"/>
                <w:sz w:val="16"/>
                <w:szCs w:val="16"/>
                <w:color w:val="0000FF"/>
              </w:rPr>
            </w:pPr>
            <w:hyperlink r:id="rId75">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75">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75">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75">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2"/>
          </w:tcPr>
          <w:p>
            <w:pPr>
              <w:spacing w:after="0"/>
              <w:rPr>
                <w:rFonts w:ascii="Arial" w:cs="Arial" w:eastAsia="Arial" w:hAnsi="Arial"/>
                <w:sz w:val="16"/>
                <w:szCs w:val="16"/>
                <w:color w:val="0000FF"/>
              </w:rPr>
            </w:pPr>
            <w:hyperlink r:id="rId76">
              <w:r>
                <w:rPr>
                  <w:rFonts w:ascii="Arial" w:cs="Arial" w:eastAsia="Arial" w:hAnsi="Arial"/>
                  <w:sz w:val="16"/>
                  <w:szCs w:val="16"/>
                  <w:color w:val="0000FF"/>
                </w:rPr>
                <w:t>Third Supplemental Indenture, dated as of August 15, 2023, among Graham Digital Holding Company LLC, a Delaware limited liability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1"/>
          </w:tcPr>
          <w:p>
            <w:pPr>
              <w:spacing w:after="0" w:line="155" w:lineRule="exact"/>
              <w:rPr>
                <w:rFonts w:ascii="Arial" w:cs="Arial" w:eastAsia="Arial" w:hAnsi="Arial"/>
                <w:sz w:val="16"/>
                <w:szCs w:val="16"/>
                <w:color w:val="0000FF"/>
              </w:rPr>
            </w:pPr>
            <w:hyperlink r:id="rId76">
              <w:r>
                <w:rPr>
                  <w:rFonts w:ascii="Arial" w:cs="Arial" w:eastAsia="Arial" w:hAnsi="Arial"/>
                  <w:sz w:val="16"/>
                  <w:szCs w:val="16"/>
                  <w:color w:val="0000FF"/>
                </w:rPr>
                <w:t>company, a subsidiary of Graham Holdings Company, a Delaware corporation,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76">
              <w:r>
                <w:rPr>
                  <w:rFonts w:ascii="Arial" w:cs="Arial" w:eastAsia="Arial" w:hAnsi="Arial"/>
                  <w:sz w:val="16"/>
                  <w:szCs w:val="16"/>
                  <w:color w:val="0000FF"/>
                </w:rPr>
                <w:t>trustee (incorporated by reference to Exhibit 4.4 to the Company’s Quarterly Report on Form 10-Q for the quarter ended September 30,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6"/>
              </w:rPr>
            </w:pPr>
            <w:hyperlink r:id="rId76">
              <w:r>
                <w:rPr>
                  <w:rFonts w:ascii="Arial" w:cs="Arial" w:eastAsia="Arial" w:hAnsi="Arial"/>
                  <w:sz w:val="16"/>
                  <w:szCs w:val="16"/>
                  <w:color w:val="0000FF"/>
                  <w:w w:val="96"/>
                </w:rPr>
                <w:t>2023).</w:t>
              </w:r>
            </w:hyperlink>
          </w:p>
        </w:tc>
        <w:tc>
          <w:tcPr>
            <w:tcW w:w="36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6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680" w:type="dxa"/>
            <w:vAlign w:val="bottom"/>
          </w:tcPr>
          <w:p>
            <w:pPr>
              <w:spacing w:after="0"/>
              <w:rPr>
                <w:sz w:val="20"/>
                <w:szCs w:val="20"/>
                <w:color w:val="auto"/>
              </w:rPr>
            </w:pPr>
            <w:r>
              <w:rPr>
                <w:rFonts w:ascii="Arial" w:cs="Arial" w:eastAsia="Arial" w:hAnsi="Arial"/>
                <w:sz w:val="18"/>
                <w:szCs w:val="18"/>
                <w:color w:val="auto"/>
              </w:rPr>
              <w:t>Date: October 29, 2025</w:t>
            </w:r>
          </w:p>
        </w:tc>
        <w:tc>
          <w:tcPr>
            <w:tcW w:w="34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680" w:type="dxa"/>
            <w:vAlign w:val="bottom"/>
          </w:tcPr>
          <w:p>
            <w:pPr>
              <w:spacing w:after="0"/>
              <w:rPr>
                <w:sz w:val="20"/>
                <w:szCs w:val="20"/>
                <w:color w:val="auto"/>
              </w:rPr>
            </w:pPr>
            <w:r>
              <w:rPr>
                <w:rFonts w:ascii="Arial" w:cs="Arial" w:eastAsia="Arial" w:hAnsi="Arial"/>
                <w:sz w:val="18"/>
                <w:szCs w:val="18"/>
                <w:color w:val="auto"/>
              </w:rPr>
              <w:t>Date: October 29, 2025</w:t>
            </w:r>
          </w:p>
        </w:tc>
        <w:tc>
          <w:tcPr>
            <w:tcW w:w="34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680" w:type="dxa"/>
            <w:vAlign w:val="bottom"/>
          </w:tcPr>
          <w:p>
            <w:pPr>
              <w:spacing w:after="0"/>
              <w:rPr>
                <w:sz w:val="24"/>
                <w:szCs w:val="24"/>
                <w:color w:val="auto"/>
              </w:rPr>
            </w:pPr>
          </w:p>
        </w:tc>
        <w:tc>
          <w:tcPr>
            <w:tcW w:w="3480" w:type="dxa"/>
            <w:vAlign w:val="bottom"/>
          </w:tcPr>
          <w:p>
            <w:pPr>
              <w:jc w:val="right"/>
              <w:ind w:right="1390"/>
              <w:spacing w:after="0"/>
              <w:rPr>
                <w:sz w:val="20"/>
                <w:szCs w:val="20"/>
                <w:color w:val="auto"/>
              </w:rPr>
            </w:pPr>
            <w:r>
              <w:rPr>
                <w:rFonts w:ascii="Arial" w:cs="Arial" w:eastAsia="Arial" w:hAnsi="Arial"/>
                <w:sz w:val="18"/>
                <w:szCs w:val="18"/>
                <w:color w:val="auto"/>
              </w:rPr>
              <w:t>47</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2025</w:t>
      </w:r>
    </w:p>
    <w:p>
      <w:pPr>
        <w:sectPr>
          <w:pgSz w:w="11900" w:h="16838" w:orient="portrait"/>
          <w:cols w:equalWidth="0" w:num="1">
            <w:col w:w="11240"/>
          </w:cols>
          <w:pgMar w:left="320" w:top="114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2025</w:t>
      </w:r>
    </w:p>
    <w:p>
      <w:pPr>
        <w:sectPr>
          <w:pgSz w:w="11900" w:h="16838" w:orient="portrait"/>
          <w:cols w:equalWidth="0" w:num="1">
            <w:col w:w="11240"/>
          </w:cols>
          <w:pgMar w:left="320" w:top="114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2025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2025</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Roman"/>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lvl w:ilvl="1">
      <w:lvlJc w:val="left"/>
      <w:lvlText w:val="(%2)"/>
      <w:numFmt w:val="lowerLetter"/>
      <w:start w:val="1"/>
    </w:lvl>
  </w:abstractNum>
  <w:abstractNum w:abstractNumId="9">
    <w:nsid w:val="3F2DBA31"/>
    <w:multiLevelType w:val="hybridMultilevel"/>
    <w:lvl w:ilvl="0">
      <w:lvlJc w:val="left"/>
      <w:lvlText w:val="(%1)"/>
      <w:numFmt w:val="decimal"/>
      <w:start w:val="1"/>
    </w:lvl>
    <w:lvl w:ilvl="1">
      <w:lvlJc w:val="left"/>
      <w:lvlText w:val="(%2)"/>
      <w:numFmt w:val="lowerLetter"/>
      <w:start w:val="1"/>
    </w:lvl>
  </w:abstractNum>
  <w:abstractNum w:abstractNumId="10">
    <w:nsid w:val="7C83E458"/>
    <w:multiLevelType w:val="hybridMultilevel"/>
    <w:lvl w:ilvl="0">
      <w:lvlJc w:val="left"/>
      <w:lvlText w:val="(%1)"/>
      <w:numFmt w:val="decimal"/>
      <w:start w:val="1"/>
    </w:lvl>
    <w:lvl w:ilvl="1">
      <w:lvlJc w:val="left"/>
      <w:lvlText w:val="(%2)"/>
      <w:numFmt w:val="lowerLetter"/>
      <w:start w:val="1"/>
    </w:lvl>
  </w:abstractNum>
  <w:abstractNum w:abstractNumId="11">
    <w:nsid w:val="257130A3"/>
    <w:multiLevelType w:val="hybridMultilevel"/>
    <w:lvl w:ilvl="0">
      <w:lvlJc w:val="left"/>
      <w:lvlText w:val="(%1)"/>
      <w:numFmt w:val="decimal"/>
      <w:start w:val="1"/>
    </w:lvl>
    <w:lvl w:ilvl="1">
      <w:lvlJc w:val="left"/>
      <w:lvlText w:val="(%2)"/>
      <w:numFmt w:val="lowerLetter"/>
      <w:start w:val="1"/>
    </w:lvl>
  </w:abstractNum>
  <w:abstractNum w:abstractNumId="12">
    <w:nsid w:val="62BBD95A"/>
    <w:multiLevelType w:val="hybridMultilevel"/>
    <w:lvl w:ilvl="0">
      <w:lvlJc w:val="left"/>
      <w:lvlText w:val="(%1)"/>
      <w:numFmt w:val="decimal"/>
      <w:start w:val="1"/>
    </w:lvl>
    <w:lvl w:ilvl="1">
      <w:lvlJc w:val="left"/>
      <w:lvlText w:val="(%2)"/>
      <w:numFmt w:val="lowerLetter"/>
      <w:start w:val="1"/>
    </w:lvl>
  </w:abstractNum>
  <w:abstractNum w:abstractNumId="13">
    <w:nsid w:val="436C6125"/>
    <w:multiLevelType w:val="hybridMultilevel"/>
    <w:lvl w:ilvl="0">
      <w:lvlJc w:val="left"/>
      <w:lvlText w:val="(%1)"/>
      <w:numFmt w:val="decimal"/>
      <w:start w:val="1"/>
    </w:lvl>
    <w:lvl w:ilvl="1">
      <w:lvlJc w:val="left"/>
      <w:lvlText w:val="(%2)"/>
      <w:numFmt w:val="lowerLetter"/>
      <w:start w:val="1"/>
    </w:lvl>
  </w:abstractNum>
  <w:abstractNum w:abstractNumId="14">
    <w:nsid w:val="628C895D"/>
    <w:multiLevelType w:val="hybridMultilevel"/>
    <w:lvl w:ilvl="0">
      <w:lvlJc w:val="left"/>
      <w:lvlText w:val="(%1)"/>
      <w:numFmt w:val="decimal"/>
      <w:start w:val="1"/>
    </w:lvl>
    <w:lvl w:ilvl="1">
      <w:lvlJc w:val="left"/>
      <w:lvlText w:val="(%2)"/>
      <w:numFmt w:val="lowerLetter"/>
      <w:start w:val="1"/>
    </w:lvl>
  </w:abstractNum>
  <w:abstractNum w:abstractNumId="15">
    <w:nsid w:val="333AB105"/>
    <w:multiLevelType w:val="hybridMultilevel"/>
    <w:lvl w:ilvl="0">
      <w:lvlJc w:val="left"/>
      <w:lvlText w:val="(%1)"/>
      <w:numFmt w:val="decimal"/>
      <w:start w:val="1"/>
    </w:lvl>
    <w:lvl w:ilvl="1">
      <w:lvlJc w:val="left"/>
      <w:lvlText w:val="(%2)"/>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70" Type="http://schemas.openxmlformats.org/officeDocument/2006/relationships/hyperlink" Target="https://www.sec.gov/Archives/edgar/data/104889/000095013304000785/w94191exv3w1.htm" TargetMode="External"/><Relationship Id="rId71" Type="http://schemas.openxmlformats.org/officeDocument/2006/relationships/hyperlink" Target="https://www.sec.gov/Archives/edgar/data/104889/000095015713000428/ex3-1.htm" TargetMode="External"/><Relationship Id="rId72" Type="http://schemas.openxmlformats.org/officeDocument/2006/relationships/hyperlink" Target="https://www.sec.gov/Archives/edgar/data/104889/000010488924000047/a2024-09x12form8xkexhibit31.htm" TargetMode="External"/><Relationship Id="rId73" Type="http://schemas.openxmlformats.org/officeDocument/2006/relationships/hyperlink" Target="https://www.sec.gov/Archives/edgar/data/104889/000095015718000572/ex4-1.htm" TargetMode="External"/><Relationship Id="rId74" Type="http://schemas.openxmlformats.org/officeDocument/2006/relationships/hyperlink" Target="https://www.sec.gov/Archives/edgar/data/104889/000010488920000031/dex42.htm" TargetMode="External"/><Relationship Id="rId75" Type="http://schemas.openxmlformats.org/officeDocument/2006/relationships/hyperlink" Target="https://www.sec.gov/Archives/edgar/data/104889/000010488922000011/a2021q410-kex43.htm" TargetMode="External"/><Relationship Id="rId76" Type="http://schemas.openxmlformats.org/officeDocument/2006/relationships/hyperlink" Target="https://www.sec.gov/Archives/edgar/data/104889/000010488923000064/a2023q310-q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2025-10-29T07:26:42Z</dcterms:created>
  <dcterms:modified xsi:type="dcterms:W3CDTF">2025-10-29T07:26:42Z</dcterms:modified>
</cp:coreProperties>
</file>