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23"/>
          <w:szCs w:val="23"/>
          <w:color w:val="auto"/>
        </w:rPr>
        <w:t>UNITED STATES SECURITIES AND EXCHANGE COMMISSION</w:t>
      </w:r>
    </w:p>
    <w:p>
      <w:pPr>
        <w:spacing w:after="0" w:line="1" w:lineRule="exact"/>
        <w:rPr>
          <w:sz w:val="24"/>
          <w:szCs w:val="24"/>
          <w:color w:val="auto"/>
        </w:rPr>
      </w:pPr>
    </w:p>
    <w:p>
      <w:pPr>
        <w:jc w:val="center"/>
        <w:ind w:left="1060"/>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line="241" w:lineRule="exact"/>
        <w:rPr>
          <w:sz w:val="24"/>
          <w:szCs w:val="24"/>
          <w:color w:val="auto"/>
        </w:rPr>
      </w:pPr>
    </w:p>
    <w:p>
      <w:pPr>
        <w:jc w:val="center"/>
        <w:ind w:left="1160"/>
        <w:spacing w:after="0"/>
        <w:rPr>
          <w:sz w:val="20"/>
          <w:szCs w:val="20"/>
          <w:color w:val="auto"/>
        </w:rPr>
      </w:pPr>
      <w:r>
        <w:rPr>
          <w:rFonts w:ascii="Arial" w:cs="Arial" w:eastAsia="Arial" w:hAnsi="Arial"/>
          <w:sz w:val="26"/>
          <w:szCs w:val="26"/>
          <w:b w:val="1"/>
          <w:bCs w:val="1"/>
          <w:color w:val="auto"/>
        </w:rPr>
        <w:t>FORM 10-K</w:t>
      </w:r>
    </w:p>
    <w:p>
      <w:pPr>
        <w:spacing w:after="0" w:line="121" w:lineRule="exact"/>
        <w:rPr>
          <w:sz w:val="24"/>
          <w:szCs w:val="24"/>
          <w:color w:val="auto"/>
        </w:rPr>
      </w:pPr>
    </w:p>
    <w:p>
      <w:pPr>
        <w:ind w:left="1660"/>
        <w:spacing w:after="0"/>
        <w:rPr>
          <w:sz w:val="20"/>
          <w:szCs w:val="20"/>
          <w:color w:val="auto"/>
        </w:rPr>
      </w:pPr>
      <w:r>
        <w:rPr>
          <w:rFonts w:ascii="Arial" w:cs="Arial" w:eastAsia="Arial" w:hAnsi="Arial"/>
          <w:sz w:val="17"/>
          <w:szCs w:val="17"/>
          <w:color w:val="auto"/>
        </w:rPr>
        <w:t>ANNUAL REPORT PURSUANT TO SECTION 13 OR 15(d) OF THE SECURITIES EXCHANGE ACT OF 1934</w:t>
      </w:r>
    </w:p>
    <w:p>
      <w:pPr>
        <w:spacing w:after="0" w:line="45" w:lineRule="exact"/>
        <w:rPr>
          <w:sz w:val="24"/>
          <w:szCs w:val="24"/>
          <w:color w:val="auto"/>
        </w:rPr>
      </w:pPr>
    </w:p>
    <w:p>
      <w:pPr>
        <w:ind w:left="3680"/>
        <w:spacing w:after="0"/>
        <w:rPr>
          <w:sz w:val="20"/>
          <w:szCs w:val="20"/>
          <w:color w:val="auto"/>
        </w:rPr>
      </w:pPr>
      <w:r>
        <w:rPr>
          <w:rFonts w:ascii="Arial" w:cs="Arial" w:eastAsia="Arial" w:hAnsi="Arial"/>
          <w:sz w:val="17"/>
          <w:szCs w:val="17"/>
          <w:b w:val="1"/>
          <w:bCs w:val="1"/>
          <w:color w:val="auto"/>
        </w:rPr>
        <w:t>FOR THE FISCAL YEAR ENDED December 31, 2012</w:t>
      </w:r>
    </w:p>
    <w:p>
      <w:pPr>
        <w:spacing w:after="0" w:line="85" w:lineRule="exact"/>
        <w:rPr>
          <w:sz w:val="24"/>
          <w:szCs w:val="24"/>
          <w:color w:val="auto"/>
        </w:rPr>
      </w:pPr>
    </w:p>
    <w:p>
      <w:pPr>
        <w:ind w:left="3300"/>
        <w:spacing w:after="0"/>
        <w:rPr>
          <w:sz w:val="20"/>
          <w:szCs w:val="20"/>
          <w:color w:val="auto"/>
        </w:rPr>
      </w:pPr>
      <w:r>
        <w:rPr>
          <w:rFonts w:ascii="Arial" w:cs="Arial" w:eastAsia="Arial" w:hAnsi="Arial"/>
          <w:sz w:val="17"/>
          <w:szCs w:val="17"/>
          <w:color w:val="auto"/>
        </w:rPr>
        <w:t>Commission file number 1-6714</w:t>
      </w:r>
    </w:p>
    <w:p>
      <w:pPr>
        <w:spacing w:after="0" w:line="30" w:lineRule="exact"/>
        <w:rPr>
          <w:sz w:val="24"/>
          <w:szCs w:val="24"/>
          <w:color w:val="auto"/>
        </w:rPr>
      </w:pPr>
    </w:p>
    <w:p>
      <w:pPr>
        <w:jc w:val="center"/>
        <w:ind w:left="1160"/>
        <w:spacing w:after="0"/>
        <w:rPr>
          <w:sz w:val="20"/>
          <w:szCs w:val="20"/>
          <w:color w:val="auto"/>
        </w:rPr>
      </w:pPr>
      <w:r>
        <w:rPr>
          <w:rFonts w:ascii="Arial" w:cs="Arial" w:eastAsia="Arial" w:hAnsi="Arial"/>
          <w:sz w:val="26"/>
          <w:szCs w:val="26"/>
          <w:b w:val="1"/>
          <w:bCs w:val="1"/>
          <w:color w:val="auto"/>
        </w:rPr>
        <w:t>The Washington Post Company</w:t>
      </w:r>
    </w:p>
    <w:p>
      <w:pPr>
        <w:spacing w:after="0" w:line="74" w:lineRule="exact"/>
        <w:rPr>
          <w:sz w:val="24"/>
          <w:szCs w:val="24"/>
          <w:color w:val="auto"/>
        </w:rPr>
      </w:pPr>
    </w:p>
    <w:p>
      <w:pPr>
        <w:ind w:left="4000"/>
        <w:spacing w:after="0"/>
        <w:rPr>
          <w:sz w:val="20"/>
          <w:szCs w:val="20"/>
          <w:color w:val="auto"/>
        </w:rPr>
      </w:pPr>
      <w:r>
        <w:rPr>
          <w:rFonts w:ascii="Arial" w:cs="Arial" w:eastAsia="Arial" w:hAnsi="Arial"/>
          <w:sz w:val="15"/>
          <w:szCs w:val="15"/>
          <w:color w:val="auto"/>
        </w:rPr>
        <w:t>(Exact name of registrant as specified in its charter)</w:t>
      </w:r>
    </w:p>
    <w:p>
      <w:pPr>
        <w:spacing w:after="0" w:line="215" w:lineRule="exact"/>
        <w:rPr>
          <w:sz w:val="24"/>
          <w:szCs w:val="24"/>
          <w:color w:val="auto"/>
        </w:rPr>
      </w:pPr>
    </w:p>
    <w:tbl>
      <w:tblPr>
        <w:tblLayout w:type="fixed"/>
        <w:tblInd w:w="1440" w:type="dxa"/>
        <w:tblCellMar>
          <w:top w:w="0" w:type="dxa"/>
          <w:left w:w="0" w:type="dxa"/>
          <w:bottom w:w="0" w:type="dxa"/>
          <w:right w:w="0" w:type="dxa"/>
        </w:tblCellMar>
      </w:tblPr>
      <w:tr>
        <w:trPr>
          <w:trHeight w:val="195"/>
        </w:trPr>
        <w:tc>
          <w:tcPr>
            <w:tcW w:w="4460" w:type="dxa"/>
            <w:vAlign w:val="bottom"/>
          </w:tcPr>
          <w:p>
            <w:pPr>
              <w:jc w:val="center"/>
              <w:ind w:right="1562"/>
              <w:spacing w:after="0"/>
              <w:rPr>
                <w:sz w:val="20"/>
                <w:szCs w:val="20"/>
                <w:color w:val="auto"/>
              </w:rPr>
            </w:pPr>
            <w:r>
              <w:rPr>
                <w:rFonts w:ascii="Arial" w:cs="Arial" w:eastAsia="Arial" w:hAnsi="Arial"/>
                <w:sz w:val="17"/>
                <w:szCs w:val="17"/>
                <w:color w:val="auto"/>
                <w:w w:val="97"/>
              </w:rPr>
              <w:t>Delaware</w:t>
            </w:r>
          </w:p>
        </w:tc>
        <w:tc>
          <w:tcPr>
            <w:tcW w:w="3920" w:type="dxa"/>
            <w:vAlign w:val="bottom"/>
          </w:tcPr>
          <w:p>
            <w:pPr>
              <w:jc w:val="right"/>
              <w:ind w:right="621"/>
              <w:spacing w:after="0"/>
              <w:rPr>
                <w:sz w:val="20"/>
                <w:szCs w:val="20"/>
                <w:color w:val="auto"/>
              </w:rPr>
            </w:pPr>
            <w:r>
              <w:rPr>
                <w:rFonts w:ascii="Arial" w:cs="Arial" w:eastAsia="Arial" w:hAnsi="Arial"/>
                <w:sz w:val="17"/>
                <w:szCs w:val="17"/>
                <w:color w:val="auto"/>
              </w:rPr>
              <w:t>53-0182885</w:t>
            </w:r>
          </w:p>
        </w:tc>
      </w:tr>
      <w:tr>
        <w:trPr>
          <w:trHeight w:val="174"/>
        </w:trPr>
        <w:tc>
          <w:tcPr>
            <w:tcW w:w="4460" w:type="dxa"/>
            <w:vAlign w:val="bottom"/>
          </w:tcPr>
          <w:p>
            <w:pPr>
              <w:jc w:val="center"/>
              <w:ind w:right="1562"/>
              <w:spacing w:after="0"/>
              <w:rPr>
                <w:sz w:val="20"/>
                <w:szCs w:val="20"/>
                <w:color w:val="auto"/>
              </w:rPr>
            </w:pPr>
            <w:r>
              <w:rPr>
                <w:rFonts w:ascii="Arial" w:cs="Arial" w:eastAsia="Arial" w:hAnsi="Arial"/>
                <w:sz w:val="15"/>
                <w:szCs w:val="15"/>
                <w:color w:val="auto"/>
                <w:w w:val="99"/>
              </w:rPr>
              <w:t>(State or other jurisdiction of incorporation</w:t>
            </w:r>
          </w:p>
        </w:tc>
        <w:tc>
          <w:tcPr>
            <w:tcW w:w="3920" w:type="dxa"/>
            <w:vAlign w:val="bottom"/>
          </w:tcPr>
          <w:p>
            <w:pPr>
              <w:jc w:val="center"/>
              <w:ind w:left="1561"/>
              <w:spacing w:after="0"/>
              <w:rPr>
                <w:sz w:val="20"/>
                <w:szCs w:val="20"/>
                <w:color w:val="auto"/>
              </w:rPr>
            </w:pPr>
            <w:r>
              <w:rPr>
                <w:rFonts w:ascii="Arial" w:cs="Arial" w:eastAsia="Arial" w:hAnsi="Arial"/>
                <w:sz w:val="15"/>
                <w:szCs w:val="15"/>
                <w:color w:val="auto"/>
                <w:w w:val="98"/>
              </w:rPr>
              <w:t>(I.R.S. Employer Identification No.)</w:t>
            </w:r>
          </w:p>
        </w:tc>
      </w:tr>
      <w:tr>
        <w:trPr>
          <w:trHeight w:val="179"/>
        </w:trPr>
        <w:tc>
          <w:tcPr>
            <w:tcW w:w="4460" w:type="dxa"/>
            <w:vAlign w:val="bottom"/>
          </w:tcPr>
          <w:p>
            <w:pPr>
              <w:jc w:val="center"/>
              <w:ind w:right="1562"/>
              <w:spacing w:after="0"/>
              <w:rPr>
                <w:sz w:val="20"/>
                <w:szCs w:val="20"/>
                <w:color w:val="auto"/>
              </w:rPr>
            </w:pPr>
            <w:r>
              <w:rPr>
                <w:rFonts w:ascii="Arial" w:cs="Arial" w:eastAsia="Arial" w:hAnsi="Arial"/>
                <w:sz w:val="15"/>
                <w:szCs w:val="15"/>
                <w:color w:val="auto"/>
                <w:w w:val="97"/>
              </w:rPr>
              <w:t>or organization)</w:t>
            </w:r>
          </w:p>
        </w:tc>
        <w:tc>
          <w:tcPr>
            <w:tcW w:w="3920" w:type="dxa"/>
            <w:vAlign w:val="bottom"/>
          </w:tcPr>
          <w:p>
            <w:pPr>
              <w:spacing w:after="0"/>
              <w:rPr>
                <w:sz w:val="15"/>
                <w:szCs w:val="15"/>
                <w:color w:val="auto"/>
              </w:rPr>
            </w:pPr>
          </w:p>
        </w:tc>
      </w:tr>
      <w:tr>
        <w:trPr>
          <w:trHeight w:val="414"/>
        </w:trPr>
        <w:tc>
          <w:tcPr>
            <w:tcW w:w="4460" w:type="dxa"/>
            <w:vAlign w:val="bottom"/>
          </w:tcPr>
          <w:p>
            <w:pPr>
              <w:jc w:val="center"/>
              <w:ind w:right="1562"/>
              <w:spacing w:after="0"/>
              <w:rPr>
                <w:sz w:val="20"/>
                <w:szCs w:val="20"/>
                <w:color w:val="auto"/>
              </w:rPr>
            </w:pPr>
            <w:r>
              <w:rPr>
                <w:rFonts w:ascii="Arial" w:cs="Arial" w:eastAsia="Arial" w:hAnsi="Arial"/>
                <w:sz w:val="17"/>
                <w:szCs w:val="17"/>
                <w:color w:val="auto"/>
                <w:w w:val="96"/>
              </w:rPr>
              <w:t>1150 15th St., N.W., Washington, D.C.</w:t>
            </w:r>
          </w:p>
        </w:tc>
        <w:tc>
          <w:tcPr>
            <w:tcW w:w="3920" w:type="dxa"/>
            <w:vAlign w:val="bottom"/>
          </w:tcPr>
          <w:p>
            <w:pPr>
              <w:jc w:val="right"/>
              <w:ind w:right="841"/>
              <w:spacing w:after="0"/>
              <w:rPr>
                <w:sz w:val="20"/>
                <w:szCs w:val="20"/>
                <w:color w:val="auto"/>
              </w:rPr>
            </w:pPr>
            <w:r>
              <w:rPr>
                <w:rFonts w:ascii="Arial" w:cs="Arial" w:eastAsia="Arial" w:hAnsi="Arial"/>
                <w:sz w:val="17"/>
                <w:szCs w:val="17"/>
                <w:color w:val="auto"/>
              </w:rPr>
              <w:t>20071</w:t>
            </w:r>
          </w:p>
        </w:tc>
      </w:tr>
      <w:tr>
        <w:trPr>
          <w:trHeight w:val="182"/>
        </w:trPr>
        <w:tc>
          <w:tcPr>
            <w:tcW w:w="4460" w:type="dxa"/>
            <w:vAlign w:val="bottom"/>
          </w:tcPr>
          <w:p>
            <w:pPr>
              <w:jc w:val="center"/>
              <w:ind w:right="1562"/>
              <w:spacing w:after="0"/>
              <w:rPr>
                <w:sz w:val="20"/>
                <w:szCs w:val="20"/>
                <w:color w:val="auto"/>
              </w:rPr>
            </w:pPr>
            <w:r>
              <w:rPr>
                <w:rFonts w:ascii="Arial" w:cs="Arial" w:eastAsia="Arial" w:hAnsi="Arial"/>
                <w:sz w:val="15"/>
                <w:szCs w:val="15"/>
                <w:color w:val="auto"/>
                <w:w w:val="98"/>
              </w:rPr>
              <w:t>(Address of principal executive offices)</w:t>
            </w:r>
          </w:p>
        </w:tc>
        <w:tc>
          <w:tcPr>
            <w:tcW w:w="3920" w:type="dxa"/>
            <w:vAlign w:val="bottom"/>
          </w:tcPr>
          <w:p>
            <w:pPr>
              <w:jc w:val="center"/>
              <w:ind w:left="1541"/>
              <w:spacing w:after="0"/>
              <w:rPr>
                <w:sz w:val="20"/>
                <w:szCs w:val="20"/>
                <w:color w:val="auto"/>
              </w:rPr>
            </w:pPr>
            <w:r>
              <w:rPr>
                <w:rFonts w:ascii="Arial" w:cs="Arial" w:eastAsia="Arial" w:hAnsi="Arial"/>
                <w:sz w:val="15"/>
                <w:szCs w:val="15"/>
                <w:color w:val="auto"/>
                <w:w w:val="98"/>
              </w:rPr>
              <w:t>(Zip Code)</w:t>
            </w:r>
          </w:p>
        </w:tc>
      </w:tr>
    </w:tbl>
    <w:p>
      <w:pPr>
        <w:spacing w:after="0" w:line="156" w:lineRule="exact"/>
        <w:rPr>
          <w:sz w:val="24"/>
          <w:szCs w:val="24"/>
          <w:color w:val="auto"/>
        </w:rPr>
      </w:pPr>
    </w:p>
    <w:p>
      <w:pPr>
        <w:jc w:val="center"/>
        <w:ind w:left="1160"/>
        <w:spacing w:after="0"/>
        <w:rPr>
          <w:sz w:val="20"/>
          <w:szCs w:val="20"/>
          <w:color w:val="auto"/>
        </w:rPr>
      </w:pPr>
      <w:r>
        <w:rPr>
          <w:rFonts w:ascii="Arial" w:cs="Arial" w:eastAsia="Arial" w:hAnsi="Arial"/>
          <w:sz w:val="15"/>
          <w:szCs w:val="15"/>
          <w:color w:val="auto"/>
        </w:rPr>
        <w:t>Registrant’s Telephone Number, Including Area Code: (202) 334-6000</w:t>
      </w:r>
    </w:p>
    <w:p>
      <w:pPr>
        <w:spacing w:after="0" w:line="150" w:lineRule="exact"/>
        <w:rPr>
          <w:sz w:val="24"/>
          <w:szCs w:val="24"/>
          <w:color w:val="auto"/>
        </w:rPr>
      </w:pPr>
    </w:p>
    <w:p>
      <w:pPr>
        <w:jc w:val="center"/>
        <w:ind w:left="116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0" w:type="dxa"/>
            <w:vAlign w:val="bottom"/>
          </w:tcPr>
          <w:p>
            <w:pPr>
              <w:jc w:val="center"/>
              <w:ind w:left="381"/>
              <w:spacing w:after="0"/>
              <w:rPr>
                <w:sz w:val="20"/>
                <w:szCs w:val="20"/>
                <w:color w:val="auto"/>
              </w:rPr>
            </w:pPr>
            <w:r>
              <w:rPr>
                <w:rFonts w:ascii="Arial" w:cs="Arial" w:eastAsia="Arial" w:hAnsi="Arial"/>
                <w:sz w:val="16"/>
                <w:szCs w:val="16"/>
                <w:color w:val="auto"/>
                <w:w w:val="97"/>
              </w:rPr>
              <w:t>Name of each exchange</w:t>
            </w:r>
          </w:p>
        </w:tc>
      </w:tr>
      <w:tr>
        <w:trPr>
          <w:trHeight w:val="179"/>
        </w:trPr>
        <w:tc>
          <w:tcPr>
            <w:tcW w:w="5940" w:type="dxa"/>
            <w:vAlign w:val="bottom"/>
            <w:gridSpan w:val="2"/>
          </w:tcPr>
          <w:p>
            <w:pPr>
              <w:jc w:val="center"/>
              <w:ind w:right="240"/>
              <w:spacing w:after="0" w:line="180" w:lineRule="exact"/>
              <w:rPr>
                <w:sz w:val="20"/>
                <w:szCs w:val="20"/>
                <w:color w:val="auto"/>
              </w:rPr>
            </w:pPr>
            <w:r>
              <w:rPr>
                <w:rFonts w:ascii="Arial" w:cs="Arial" w:eastAsia="Arial" w:hAnsi="Arial"/>
                <w:sz w:val="16"/>
                <w:szCs w:val="16"/>
                <w:color w:val="auto"/>
                <w:w w:val="98"/>
              </w:rPr>
              <w:t>Title of each class</w:t>
            </w:r>
          </w:p>
        </w:tc>
        <w:tc>
          <w:tcPr>
            <w:tcW w:w="5000" w:type="dxa"/>
            <w:vAlign w:val="bottom"/>
          </w:tcPr>
          <w:p>
            <w:pPr>
              <w:jc w:val="center"/>
              <w:ind w:left="401"/>
              <w:spacing w:after="0" w:line="180" w:lineRule="exact"/>
              <w:rPr>
                <w:sz w:val="20"/>
                <w:szCs w:val="20"/>
                <w:color w:val="auto"/>
              </w:rPr>
            </w:pPr>
            <w:r>
              <w:rPr>
                <w:rFonts w:ascii="Arial" w:cs="Arial" w:eastAsia="Arial" w:hAnsi="Arial"/>
                <w:sz w:val="16"/>
                <w:szCs w:val="16"/>
                <w:color w:val="auto"/>
                <w:w w:val="98"/>
              </w:rPr>
              <w:t>on which registered</w:t>
            </w:r>
          </w:p>
        </w:tc>
      </w:tr>
      <w:tr>
        <w:trPr>
          <w:trHeight w:val="160"/>
        </w:trPr>
        <w:tc>
          <w:tcPr>
            <w:tcW w:w="57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color w:val="auto"/>
                <w:w w:val="97"/>
              </w:rPr>
              <w:t>Class B Common Stock, par value</w:t>
            </w:r>
          </w:p>
        </w:tc>
        <w:tc>
          <w:tcPr>
            <w:tcW w:w="220" w:type="dxa"/>
            <w:vAlign w:val="bottom"/>
          </w:tcPr>
          <w:p>
            <w:pPr>
              <w:spacing w:after="0"/>
              <w:rPr>
                <w:sz w:val="13"/>
                <w:szCs w:val="13"/>
                <w:color w:val="auto"/>
              </w:rPr>
            </w:pPr>
          </w:p>
        </w:tc>
        <w:tc>
          <w:tcPr>
            <w:tcW w:w="5000" w:type="dxa"/>
            <w:vAlign w:val="bottom"/>
            <w:tcBorders>
              <w:top w:val="single" w:sz="8" w:color="auto"/>
            </w:tcBorders>
          </w:tcPr>
          <w:p>
            <w:pPr>
              <w:jc w:val="center"/>
              <w:ind w:left="401"/>
              <w:spacing w:after="0" w:line="161" w:lineRule="exact"/>
              <w:rPr>
                <w:sz w:val="20"/>
                <w:szCs w:val="20"/>
                <w:color w:val="auto"/>
              </w:rPr>
            </w:pPr>
            <w:r>
              <w:rPr>
                <w:rFonts w:ascii="Arial" w:cs="Arial" w:eastAsia="Arial" w:hAnsi="Arial"/>
                <w:sz w:val="16"/>
                <w:szCs w:val="16"/>
                <w:color w:val="auto"/>
                <w:w w:val="97"/>
              </w:rPr>
              <w:t>New York Stock Exchange</w:t>
            </w:r>
          </w:p>
        </w:tc>
      </w:tr>
      <w:tr>
        <w:trPr>
          <w:trHeight w:val="188"/>
        </w:trPr>
        <w:tc>
          <w:tcPr>
            <w:tcW w:w="5940" w:type="dxa"/>
            <w:vAlign w:val="bottom"/>
            <w:gridSpan w:val="2"/>
          </w:tcPr>
          <w:p>
            <w:pPr>
              <w:jc w:val="center"/>
              <w:ind w:right="240"/>
              <w:spacing w:after="0"/>
              <w:rPr>
                <w:sz w:val="20"/>
                <w:szCs w:val="20"/>
                <w:color w:val="auto"/>
              </w:rPr>
            </w:pPr>
            <w:r>
              <w:rPr>
                <w:rFonts w:ascii="Arial" w:cs="Arial" w:eastAsia="Arial" w:hAnsi="Arial"/>
                <w:sz w:val="16"/>
                <w:szCs w:val="16"/>
                <w:color w:val="auto"/>
                <w:w w:val="98"/>
              </w:rPr>
              <w:t>$1.00 per share</w:t>
            </w:r>
          </w:p>
        </w:tc>
        <w:tc>
          <w:tcPr>
            <w:tcW w:w="5000" w:type="dxa"/>
            <w:vAlign w:val="bottom"/>
          </w:tcPr>
          <w:p>
            <w:pPr>
              <w:spacing w:after="0"/>
              <w:rPr>
                <w:sz w:val="16"/>
                <w:szCs w:val="16"/>
                <w:color w:val="auto"/>
              </w:rPr>
            </w:pPr>
          </w:p>
        </w:tc>
      </w:tr>
    </w:tbl>
    <w:p>
      <w:pPr>
        <w:spacing w:after="0" w:line="58" w:lineRule="exact"/>
        <w:rPr>
          <w:sz w:val="24"/>
          <w:szCs w:val="24"/>
          <w:color w:val="auto"/>
        </w:rPr>
      </w:pPr>
    </w:p>
    <w:p>
      <w:pPr>
        <w:ind w:right="1960"/>
        <w:spacing w:after="0" w:line="26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x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55" w:lineRule="exact"/>
        <w:rPr>
          <w:sz w:val="24"/>
          <w:szCs w:val="24"/>
          <w:color w:val="auto"/>
        </w:rPr>
      </w:pPr>
    </w:p>
    <w:p>
      <w:pPr>
        <w:jc w:val="both"/>
        <w:spacing w:after="0" w:line="18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during the prec 12 months (or for such shorter period that the registrant was required to file such reports) and (2) has been subject to such filing requirements for the past 90 Yes x No </w:t>
      </w:r>
      <w:r>
        <w:rPr>
          <w:rFonts w:ascii="MS PGothic" w:cs="MS PGothic" w:eastAsia="MS PGothic" w:hAnsi="MS PGothic"/>
          <w:sz w:val="16"/>
          <w:szCs w:val="16"/>
          <w:color w:val="auto"/>
        </w:rPr>
        <w:t>☐</w:t>
      </w:r>
    </w:p>
    <w:p>
      <w:pPr>
        <w:spacing w:after="0" w:line="55" w:lineRule="exact"/>
        <w:rPr>
          <w:sz w:val="24"/>
          <w:szCs w:val="24"/>
          <w:color w:val="auto"/>
        </w:rPr>
      </w:pPr>
    </w:p>
    <w:p>
      <w:pPr>
        <w:spacing w:after="0" w:line="18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55" w:lineRule="exact"/>
        <w:rPr>
          <w:sz w:val="24"/>
          <w:szCs w:val="24"/>
          <w:color w:val="auto"/>
        </w:rPr>
      </w:pPr>
    </w:p>
    <w:p>
      <w:pPr>
        <w:ind w:right="60"/>
        <w:spacing w:after="0" w:line="232" w:lineRule="auto"/>
        <w:rPr>
          <w:sz w:val="20"/>
          <w:szCs w:val="20"/>
          <w:color w:val="auto"/>
        </w:rPr>
      </w:pPr>
      <w:r>
        <w:rPr>
          <w:rFonts w:ascii="Arial" w:cs="Arial" w:eastAsia="Arial" w:hAnsi="Arial"/>
          <w:sz w:val="16"/>
          <w:szCs w:val="16"/>
          <w:color w:val="auto"/>
        </w:rPr>
        <w:t>Indicate by check mark if disclosure of delinquent filers pursuant to Item 405 of Regulation S-K (§232.405 of this chapter) is not contained herein, and will not contained, to the best of registrant's knowledge, in definitive proxy or information statements incorporated by reference in Part III of this Form 10-K or any amendment to this Form 10-K. x</w:t>
      </w:r>
    </w:p>
    <w:p>
      <w:pPr>
        <w:spacing w:after="0" w:line="75" w:lineRule="exact"/>
        <w:rPr>
          <w:sz w:val="24"/>
          <w:szCs w:val="24"/>
          <w:color w:val="auto"/>
        </w:rPr>
      </w:pPr>
    </w:p>
    <w:p>
      <w:pPr>
        <w:ind w:right="40"/>
        <w:spacing w:after="0" w:line="23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pacing w:after="0" w:line="33" w:lineRule="exact"/>
        <w:rPr>
          <w:sz w:val="24"/>
          <w:szCs w:val="24"/>
          <w:color w:val="auto"/>
        </w:rPr>
      </w:pPr>
    </w:p>
    <w:p>
      <w:pPr>
        <w:ind w:right="40"/>
        <w:spacing w:after="0" w:line="253" w:lineRule="exact"/>
        <w:rPr>
          <w:sz w:val="20"/>
          <w:szCs w:val="20"/>
          <w:color w:val="auto"/>
        </w:rPr>
      </w:pPr>
      <w:r>
        <w:rPr>
          <w:rFonts w:ascii="Arial" w:cs="Arial" w:eastAsia="Arial" w:hAnsi="Arial"/>
          <w:sz w:val="16"/>
          <w:szCs w:val="16"/>
          <w:color w:val="auto"/>
        </w:rPr>
        <w:t xml:space="preserve">Large accelerated filer x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55" w:lineRule="exact"/>
        <w:rPr>
          <w:sz w:val="24"/>
          <w:szCs w:val="24"/>
          <w:color w:val="auto"/>
        </w:rPr>
      </w:pPr>
    </w:p>
    <w:p>
      <w:pPr>
        <w:spacing w:after="0" w:line="236" w:lineRule="auto"/>
        <w:rPr>
          <w:sz w:val="20"/>
          <w:szCs w:val="20"/>
          <w:color w:val="auto"/>
        </w:rPr>
      </w:pPr>
      <w:r>
        <w:rPr>
          <w:rFonts w:ascii="Arial" w:cs="Arial" w:eastAsia="Arial" w:hAnsi="Arial"/>
          <w:sz w:val="16"/>
          <w:szCs w:val="16"/>
          <w:color w:val="auto"/>
        </w:rPr>
        <w:t>Aggregate market value of the registrant's common equity held by non-affiliates on June 29, 2012, based on the closing price for the Company's Class B Com Stock on the New York Stock Exchange on such date: approximately $2,300,000,000.</w:t>
      </w:r>
    </w:p>
    <w:p>
      <w:pPr>
        <w:spacing w:after="0" w:line="60" w:lineRule="exact"/>
        <w:rPr>
          <w:sz w:val="24"/>
          <w:szCs w:val="24"/>
          <w:color w:val="auto"/>
        </w:rPr>
      </w:pPr>
    </w:p>
    <w:p>
      <w:pPr>
        <w:spacing w:after="0"/>
        <w:rPr>
          <w:sz w:val="20"/>
          <w:szCs w:val="20"/>
          <w:color w:val="auto"/>
        </w:rPr>
      </w:pPr>
      <w:r>
        <w:rPr>
          <w:rFonts w:ascii="Arial" w:cs="Arial" w:eastAsia="Arial" w:hAnsi="Arial"/>
          <w:sz w:val="16"/>
          <w:szCs w:val="16"/>
          <w:color w:val="auto"/>
        </w:rPr>
        <w:t>Shares of common stock outstanding at February 22, 2013:</w:t>
      </w:r>
    </w:p>
    <w:p>
      <w:pPr>
        <w:spacing w:after="0" w:line="54"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Class A Common Stock – 1,219,383 shares</w:t>
      </w:r>
    </w:p>
    <w:p>
      <w:pPr>
        <w:ind w:left="4180"/>
        <w:spacing w:after="0"/>
        <w:rPr>
          <w:sz w:val="20"/>
          <w:szCs w:val="20"/>
          <w:color w:val="auto"/>
        </w:rPr>
      </w:pPr>
      <w:r>
        <w:rPr>
          <w:rFonts w:ascii="Arial" w:cs="Arial" w:eastAsia="Arial" w:hAnsi="Arial"/>
          <w:sz w:val="16"/>
          <w:szCs w:val="16"/>
          <w:color w:val="auto"/>
        </w:rPr>
        <w:t>Class B Common Stock – 6,204,349 shares</w:t>
      </w:r>
    </w:p>
    <w:p>
      <w:pPr>
        <w:spacing w:after="0" w:line="139" w:lineRule="exact"/>
        <w:rPr>
          <w:sz w:val="24"/>
          <w:szCs w:val="24"/>
          <w:color w:val="auto"/>
        </w:rPr>
      </w:pPr>
    </w:p>
    <w:p>
      <w:pPr>
        <w:jc w:val="center"/>
        <w:ind w:left="1160"/>
        <w:spacing w:after="0"/>
        <w:rPr>
          <w:sz w:val="20"/>
          <w:szCs w:val="20"/>
          <w:color w:val="auto"/>
        </w:rPr>
      </w:pPr>
      <w:r>
        <w:rPr>
          <w:rFonts w:ascii="Arial" w:cs="Arial" w:eastAsia="Arial" w:hAnsi="Arial"/>
          <w:sz w:val="16"/>
          <w:szCs w:val="16"/>
          <w:color w:val="auto"/>
        </w:rPr>
        <w:t>Documents partially incorporated by reference:</w:t>
      </w:r>
    </w:p>
    <w:p>
      <w:pPr>
        <w:spacing w:after="0" w:line="64" w:lineRule="exact"/>
        <w:rPr>
          <w:sz w:val="24"/>
          <w:szCs w:val="24"/>
          <w:color w:val="auto"/>
        </w:rPr>
      </w:pPr>
    </w:p>
    <w:p>
      <w:pPr>
        <w:jc w:val="both"/>
        <w:ind w:left="2740" w:right="2340" w:firstLine="68"/>
        <w:spacing w:after="0" w:line="263" w:lineRule="auto"/>
        <w:rPr>
          <w:sz w:val="20"/>
          <w:szCs w:val="20"/>
          <w:color w:val="auto"/>
        </w:rPr>
      </w:pPr>
      <w:r>
        <w:rPr>
          <w:rFonts w:ascii="Arial" w:cs="Arial" w:eastAsia="Arial" w:hAnsi="Arial"/>
          <w:sz w:val="15"/>
          <w:szCs w:val="15"/>
          <w:color w:val="auto"/>
        </w:rPr>
        <w:t>Definitive Proxy Statement for the registrant's 2013 Annual Meeting of Stockholders (incorporated in Part III to the extent provided in Items 10, 11, 12, 13 and 14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141605</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494030</wp:posOffset>
            </wp:positionV>
            <wp:extent cx="727837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240" w:right="139" w:bottom="1440" w:gutter="0" w:footer="0" w:header="0"/>
        </w:sectPr>
      </w:pPr>
    </w:p>
    <w:bookmarkStart w:id="1" w:name="page2"/>
    <w:bookmarkEnd w:id="1"/>
    <w:p>
      <w:pPr>
        <w:spacing w:after="0" w:line="195" w:lineRule="auto"/>
        <w:framePr w:w="740" w:h="150" w:wrap="auto" w:vAnchor="page" w:hAnchor="page" w:x="2620" w:y="958"/>
        <w:rPr>
          <w:rFonts w:ascii="Arial" w:cs="Arial" w:eastAsia="Arial" w:hAnsi="Arial"/>
          <w:sz w:val="16"/>
          <w:szCs w:val="16"/>
          <w:color w:val="auto"/>
        </w:rPr>
      </w:pPr>
      <w:r>
        <w:rPr>
          <w:rFonts w:ascii="Arial" w:cs="Arial" w:eastAsia="Arial" w:hAnsi="Arial"/>
          <w:sz w:val="16"/>
          <w:szCs w:val="16"/>
          <w:color w:val="auto"/>
        </w:rPr>
        <w:t>Business</w:t>
      </w:r>
    </w:p>
    <w:p>
      <w:pPr>
        <w:spacing w:after="0" w:line="195" w:lineRule="auto"/>
        <w:framePr w:w="800" w:h="150" w:wrap="auto" w:vAnchor="page" w:hAnchor="page" w:x="2620" w:y="1144"/>
        <w:rPr>
          <w:rFonts w:ascii="Arial" w:cs="Arial" w:eastAsia="Arial" w:hAnsi="Arial"/>
          <w:sz w:val="16"/>
          <w:szCs w:val="16"/>
          <w:color w:val="auto"/>
        </w:rPr>
      </w:pPr>
      <w:r>
        <w:rPr>
          <w:rFonts w:ascii="Arial" w:cs="Arial" w:eastAsia="Arial" w:hAnsi="Arial"/>
          <w:sz w:val="16"/>
          <w:szCs w:val="16"/>
          <w:color w:val="auto"/>
        </w:rPr>
        <w:t>Education</w:t>
      </w:r>
    </w:p>
    <w:p>
      <w:pPr>
        <w:spacing w:after="0" w:line="221" w:lineRule="auto"/>
        <w:framePr w:w="2280" w:h="1080" w:wrap="auto" w:vAnchor="page" w:hAnchor="page" w:x="2620" w:y="1331"/>
        <w:rPr>
          <w:rFonts w:ascii="Arial" w:cs="Arial" w:eastAsia="Arial" w:hAnsi="Arial"/>
          <w:sz w:val="17"/>
          <w:szCs w:val="17"/>
          <w:color w:val="auto"/>
        </w:rPr>
      </w:pPr>
      <w:r>
        <w:rPr>
          <w:rFonts w:ascii="Arial" w:cs="Arial" w:eastAsia="Arial" w:hAnsi="Arial"/>
          <w:sz w:val="17"/>
          <w:szCs w:val="17"/>
          <w:color w:val="auto"/>
        </w:rPr>
        <w:t>Cable Television Operations Newspaper Publishing Television Broadcasting Other Activities Production and Raw Materials Competition</w:t>
      </w:r>
    </w:p>
    <w:p>
      <w:pPr>
        <w:spacing w:after="0" w:line="217" w:lineRule="auto"/>
        <w:framePr w:w="2200" w:h="708" w:wrap="auto" w:vAnchor="page" w:hAnchor="page" w:x="2620" w:y="2447"/>
        <w:rPr>
          <w:rFonts w:ascii="Arial" w:cs="Arial" w:eastAsia="Arial" w:hAnsi="Arial"/>
          <w:sz w:val="17"/>
          <w:szCs w:val="17"/>
          <w:color w:val="auto"/>
        </w:rPr>
      </w:pPr>
      <w:r>
        <w:rPr>
          <w:rFonts w:ascii="Arial" w:cs="Arial" w:eastAsia="Arial" w:hAnsi="Arial"/>
          <w:sz w:val="17"/>
          <w:szCs w:val="17"/>
          <w:color w:val="auto"/>
        </w:rPr>
        <w:t>Executive Officers Employees Forward-Looking Statements Available Information</w:t>
      </w:r>
    </w:p>
    <w:p>
      <w:pPr>
        <w:spacing w:after="0" w:line="195" w:lineRule="auto"/>
        <w:framePr w:w="1000" w:h="150" w:wrap="auto" w:vAnchor="page" w:hAnchor="page" w:x="2620" w:y="3192"/>
        <w:rPr>
          <w:rFonts w:ascii="Arial" w:cs="Arial" w:eastAsia="Arial" w:hAnsi="Arial"/>
          <w:sz w:val="16"/>
          <w:szCs w:val="16"/>
          <w:color w:val="auto"/>
        </w:rPr>
      </w:pPr>
      <w:r>
        <w:rPr>
          <w:rFonts w:ascii="Arial" w:cs="Arial" w:eastAsia="Arial" w:hAnsi="Arial"/>
          <w:sz w:val="16"/>
          <w:szCs w:val="16"/>
          <w:color w:val="auto"/>
        </w:rPr>
        <w:t>Risk Factors</w:t>
      </w:r>
    </w:p>
    <w:p>
      <w:pPr>
        <w:spacing w:after="0" w:line="206" w:lineRule="auto"/>
        <w:framePr w:w="2140" w:h="336" w:wrap="auto" w:vAnchor="page" w:hAnchor="page" w:x="2620" w:y="3378"/>
        <w:rPr>
          <w:rFonts w:ascii="Arial" w:cs="Arial" w:eastAsia="Arial" w:hAnsi="Arial"/>
          <w:sz w:val="17"/>
          <w:szCs w:val="17"/>
          <w:color w:val="auto"/>
        </w:rPr>
      </w:pPr>
      <w:r>
        <w:rPr>
          <w:rFonts w:ascii="Arial" w:cs="Arial" w:eastAsia="Arial" w:hAnsi="Arial"/>
          <w:sz w:val="17"/>
          <w:szCs w:val="17"/>
          <w:color w:val="auto"/>
        </w:rPr>
        <w:t>Unresolved Staff Comments Properties</w:t>
      </w:r>
    </w:p>
    <w:p>
      <w:pPr>
        <w:spacing w:after="0" w:line="219" w:lineRule="auto"/>
        <w:framePr w:w="1840" w:h="336" w:wrap="auto" w:vAnchor="page" w:hAnchor="page" w:x="2620" w:y="3750"/>
        <w:rPr>
          <w:rFonts w:ascii="Arial" w:cs="Arial" w:eastAsia="Arial" w:hAnsi="Arial"/>
          <w:sz w:val="16"/>
          <w:szCs w:val="16"/>
          <w:color w:val="auto"/>
        </w:rPr>
      </w:pPr>
      <w:r>
        <w:rPr>
          <w:rFonts w:ascii="Arial" w:cs="Arial" w:eastAsia="Arial" w:hAnsi="Arial"/>
          <w:sz w:val="16"/>
          <w:szCs w:val="16"/>
          <w:color w:val="auto"/>
        </w:rPr>
        <w:t>Legal Proceedings Mine Safety Disclosures</w:t>
      </w:r>
    </w:p>
    <w:p>
      <w:pPr>
        <w:ind w:firstLine="3"/>
        <w:spacing w:after="0" w:line="206" w:lineRule="auto"/>
        <w:framePr w:w="8500" w:h="336" w:wrap="auto" w:vAnchor="page" w:hAnchor="page" w:x="2620" w:y="4123"/>
        <w:rPr>
          <w:rFonts w:ascii="Arial" w:cs="Arial" w:eastAsia="Arial" w:hAnsi="Arial"/>
          <w:sz w:val="17"/>
          <w:szCs w:val="17"/>
          <w:color w:val="auto"/>
        </w:rPr>
      </w:pPr>
      <w:r>
        <w:rPr>
          <w:rFonts w:ascii="Arial" w:cs="Arial" w:eastAsia="Arial" w:hAnsi="Arial"/>
          <w:sz w:val="17"/>
          <w:szCs w:val="17"/>
          <w:color w:val="auto"/>
        </w:rPr>
        <w:t>Market for the Registrant’s Common Equity, Related Stockholder Matters and Issuer Purchases of Equity Securities Selected Financial Data</w:t>
      </w:r>
    </w:p>
    <w:p>
      <w:pPr>
        <w:ind w:firstLine="3"/>
        <w:spacing w:after="0" w:line="206" w:lineRule="auto"/>
        <w:framePr w:w="6580" w:h="336" w:wrap="auto" w:vAnchor="page" w:hAnchor="page" w:x="2620" w:y="4495"/>
        <w:rPr>
          <w:rFonts w:ascii="Arial" w:cs="Arial" w:eastAsia="Arial" w:hAnsi="Arial"/>
          <w:sz w:val="17"/>
          <w:szCs w:val="17"/>
          <w:color w:val="auto"/>
        </w:rPr>
      </w:pPr>
      <w:r>
        <w:rPr>
          <w:rFonts w:ascii="Arial" w:cs="Arial" w:eastAsia="Arial" w:hAnsi="Arial"/>
          <w:sz w:val="17"/>
          <w:szCs w:val="17"/>
          <w:color w:val="auto"/>
        </w:rPr>
        <w:t>Management's Discussion and Analysis of Financial Condition and Results of Operations Quantitative and Qualitative Disclosures About Market Risk</w:t>
      </w:r>
    </w:p>
    <w:p>
      <w:pPr>
        <w:ind w:firstLine="3"/>
        <w:spacing w:after="0" w:line="195" w:lineRule="auto"/>
        <w:framePr w:w="3500" w:h="150" w:wrap="auto" w:vAnchor="page" w:hAnchor="page" w:x="2620" w:y="4867"/>
        <w:rPr>
          <w:rFonts w:ascii="Arial" w:cs="Arial" w:eastAsia="Arial" w:hAnsi="Arial"/>
          <w:sz w:val="16"/>
          <w:szCs w:val="16"/>
          <w:color w:val="auto"/>
        </w:rPr>
      </w:pPr>
      <w:r>
        <w:rPr>
          <w:rFonts w:ascii="Arial" w:cs="Arial" w:eastAsia="Arial" w:hAnsi="Arial"/>
          <w:sz w:val="16"/>
          <w:szCs w:val="16"/>
          <w:color w:val="auto"/>
        </w:rPr>
        <w:t>Financial Statements and Supplementary Data</w:t>
      </w:r>
    </w:p>
    <w:p>
      <w:pPr>
        <w:ind w:firstLine="3"/>
        <w:spacing w:after="0" w:line="206" w:lineRule="auto"/>
        <w:framePr w:w="6620" w:h="336" w:wrap="auto" w:vAnchor="page" w:hAnchor="page" w:x="2620" w:y="5053"/>
        <w:rPr>
          <w:rFonts w:ascii="Arial" w:cs="Arial" w:eastAsia="Arial" w:hAnsi="Arial"/>
          <w:sz w:val="17"/>
          <w:szCs w:val="17"/>
          <w:color w:val="auto"/>
        </w:rPr>
      </w:pPr>
      <w:r>
        <w:rPr>
          <w:rFonts w:ascii="Arial" w:cs="Arial" w:eastAsia="Arial" w:hAnsi="Arial"/>
          <w:sz w:val="17"/>
          <w:szCs w:val="17"/>
          <w:color w:val="auto"/>
        </w:rPr>
        <w:t>Changes in and Disagreements with Accountants on Accounting and Financial Disclosure Controls and Procedures</w:t>
      </w:r>
    </w:p>
    <w:p>
      <w:pPr>
        <w:ind w:firstLine="3"/>
        <w:spacing w:after="0" w:line="195" w:lineRule="auto"/>
        <w:framePr w:w="1360" w:h="150" w:wrap="auto" w:vAnchor="page" w:hAnchor="page" w:x="2620" w:y="5426"/>
        <w:rPr>
          <w:rFonts w:ascii="Arial" w:cs="Arial" w:eastAsia="Arial" w:hAnsi="Arial"/>
          <w:sz w:val="16"/>
          <w:szCs w:val="16"/>
          <w:color w:val="auto"/>
        </w:rPr>
      </w:pPr>
      <w:r>
        <w:rPr>
          <w:rFonts w:ascii="Arial" w:cs="Arial" w:eastAsia="Arial" w:hAnsi="Arial"/>
          <w:sz w:val="16"/>
          <w:szCs w:val="16"/>
          <w:color w:val="auto"/>
        </w:rPr>
        <w:t>Other Information</w:t>
      </w:r>
    </w:p>
    <w:p>
      <w:pPr>
        <w:ind w:firstLine="3"/>
        <w:spacing w:after="0" w:line="206" w:lineRule="auto"/>
        <w:framePr w:w="4200" w:h="336" w:wrap="auto" w:vAnchor="page" w:hAnchor="page" w:x="2620" w:y="5612"/>
        <w:rPr>
          <w:rFonts w:ascii="Arial" w:cs="Arial" w:eastAsia="Arial" w:hAnsi="Arial"/>
          <w:sz w:val="17"/>
          <w:szCs w:val="17"/>
          <w:color w:val="auto"/>
        </w:rPr>
      </w:pPr>
      <w:r>
        <w:rPr>
          <w:rFonts w:ascii="Arial" w:cs="Arial" w:eastAsia="Arial" w:hAnsi="Arial"/>
          <w:sz w:val="17"/>
          <w:szCs w:val="17"/>
          <w:color w:val="auto"/>
        </w:rPr>
        <w:t>Directors, Executive Officers and Corporate Governance Executive Compensation</w:t>
      </w:r>
    </w:p>
    <w:p>
      <w:pPr>
        <w:ind w:firstLine="3"/>
        <w:spacing w:after="0" w:line="206" w:lineRule="auto"/>
        <w:framePr w:w="7440" w:h="336" w:wrap="auto" w:vAnchor="page" w:hAnchor="page" w:x="2620" w:y="5984"/>
        <w:rPr>
          <w:rFonts w:ascii="Arial" w:cs="Arial" w:eastAsia="Arial" w:hAnsi="Arial"/>
          <w:sz w:val="17"/>
          <w:szCs w:val="17"/>
          <w:color w:val="auto"/>
        </w:rPr>
      </w:pPr>
      <w:r>
        <w:rPr>
          <w:rFonts w:ascii="Arial" w:cs="Arial" w:eastAsia="Arial" w:hAnsi="Arial"/>
          <w:sz w:val="17"/>
          <w:szCs w:val="17"/>
          <w:color w:val="auto"/>
        </w:rPr>
        <w:t>Security Ownership of Certain Beneficial Owners and Management and Related Stockholder Matters Certain Relationships and Related Transactions and Director Independence</w:t>
      </w:r>
    </w:p>
    <w:p>
      <w:pPr>
        <w:ind w:firstLine="3"/>
        <w:spacing w:after="0" w:line="195" w:lineRule="auto"/>
        <w:framePr w:w="2980" w:h="150" w:wrap="auto" w:vAnchor="page" w:hAnchor="page" w:x="2620" w:y="6357"/>
        <w:rPr>
          <w:rFonts w:ascii="Arial" w:cs="Arial" w:eastAsia="Arial" w:hAnsi="Arial"/>
          <w:sz w:val="16"/>
          <w:szCs w:val="16"/>
          <w:color w:val="auto"/>
        </w:rPr>
      </w:pPr>
      <w:r>
        <w:rPr>
          <w:rFonts w:ascii="Arial" w:cs="Arial" w:eastAsia="Arial" w:hAnsi="Arial"/>
          <w:sz w:val="16"/>
          <w:szCs w:val="16"/>
          <w:color w:val="auto"/>
        </w:rPr>
        <w:t>Principal Accounting Fees and Services</w:t>
      </w:r>
    </w:p>
    <w:p>
      <w:pPr>
        <w:ind w:firstLine="3"/>
        <w:spacing w:after="0" w:line="195" w:lineRule="auto"/>
        <w:framePr w:w="3020" w:h="150" w:wrap="auto" w:vAnchor="page" w:hAnchor="page" w:x="2620" w:y="6543"/>
        <w:rPr>
          <w:rFonts w:ascii="Arial" w:cs="Arial" w:eastAsia="Arial" w:hAnsi="Arial"/>
          <w:sz w:val="16"/>
          <w:szCs w:val="16"/>
          <w:color w:val="auto"/>
        </w:rPr>
      </w:pPr>
      <w:r>
        <w:rPr>
          <w:rFonts w:ascii="Arial" w:cs="Arial" w:eastAsia="Arial" w:hAnsi="Arial"/>
          <w:sz w:val="16"/>
          <w:szCs w:val="16"/>
          <w:color w:val="auto"/>
        </w:rPr>
        <w:t>Exhibits, Financial Statement Schedules</w:t>
      </w:r>
    </w:p>
    <w:p>
      <w:pPr>
        <w:ind w:firstLine="3"/>
        <w:spacing w:after="0" w:line="195" w:lineRule="auto"/>
        <w:framePr w:w="4300" w:h="150" w:wrap="auto" w:vAnchor="page" w:hAnchor="page" w:x="4380" w:y="363"/>
        <w:rPr>
          <w:rFonts w:ascii="Arial" w:cs="Arial" w:eastAsia="Arial" w:hAnsi="Arial"/>
          <w:sz w:val="16"/>
          <w:szCs w:val="16"/>
          <w:color w:val="auto"/>
        </w:rPr>
      </w:pPr>
      <w:r>
        <w:rPr>
          <w:rFonts w:ascii="Arial" w:cs="Arial" w:eastAsia="Arial" w:hAnsi="Arial"/>
          <w:sz w:val="16"/>
          <w:szCs w:val="16"/>
          <w:color w:val="auto"/>
        </w:rPr>
        <w:t>THE WASHINGTON POST COMPANY 2012 FORM 10-K</w:t>
      </w:r>
    </w:p>
    <w:p>
      <w:pPr>
        <w:spacing w:after="0"/>
        <w:rPr>
          <w:sz w:val="20"/>
          <w:szCs w:val="20"/>
          <w:color w:val="auto"/>
        </w:rPr>
      </w:pPr>
      <w:r>
        <w:rPr>
          <w:rFonts w:ascii="Arial" w:cs="Arial" w:eastAsia="Arial" w:hAnsi="Arial"/>
          <w:sz w:val="17"/>
          <w:szCs w:val="17"/>
          <w:color w:val="auto"/>
        </w:rPr>
        <w:t>Item 1.</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7"/>
          <w:szCs w:val="17"/>
          <w:color w:val="auto"/>
        </w:rPr>
        <w:t>Item 1A.</w:t>
      </w:r>
    </w:p>
    <w:p>
      <w:pPr>
        <w:spacing w:after="0" w:line="228" w:lineRule="auto"/>
        <w:rPr>
          <w:sz w:val="20"/>
          <w:szCs w:val="20"/>
          <w:color w:val="auto"/>
        </w:rPr>
      </w:pPr>
      <w:r>
        <w:rPr>
          <w:rFonts w:ascii="Arial" w:cs="Arial" w:eastAsia="Arial" w:hAnsi="Arial"/>
          <w:sz w:val="17"/>
          <w:szCs w:val="17"/>
          <w:color w:val="auto"/>
        </w:rPr>
        <w:t>Item 1B.</w:t>
      </w:r>
    </w:p>
    <w:p>
      <w:pPr>
        <w:spacing w:after="0" w:line="229" w:lineRule="auto"/>
        <w:rPr>
          <w:sz w:val="20"/>
          <w:szCs w:val="20"/>
          <w:color w:val="auto"/>
        </w:rPr>
      </w:pPr>
      <w:r>
        <w:rPr>
          <w:rFonts w:ascii="Arial" w:cs="Arial" w:eastAsia="Arial" w:hAnsi="Arial"/>
          <w:sz w:val="17"/>
          <w:szCs w:val="17"/>
          <w:color w:val="auto"/>
        </w:rPr>
        <w:t>Item 2.</w:t>
      </w:r>
    </w:p>
    <w:p>
      <w:pPr>
        <w:spacing w:after="0" w:line="228" w:lineRule="auto"/>
        <w:rPr>
          <w:sz w:val="20"/>
          <w:szCs w:val="20"/>
          <w:color w:val="auto"/>
        </w:rPr>
      </w:pPr>
      <w:r>
        <w:rPr>
          <w:rFonts w:ascii="Arial" w:cs="Arial" w:eastAsia="Arial" w:hAnsi="Arial"/>
          <w:sz w:val="17"/>
          <w:szCs w:val="17"/>
          <w:color w:val="auto"/>
        </w:rPr>
        <w:t>Item 3.</w:t>
      </w:r>
    </w:p>
    <w:p>
      <w:pPr>
        <w:spacing w:after="0" w:line="229" w:lineRule="auto"/>
        <w:rPr>
          <w:sz w:val="20"/>
          <w:szCs w:val="20"/>
          <w:color w:val="auto"/>
        </w:rPr>
      </w:pPr>
      <w:r>
        <w:rPr>
          <w:rFonts w:ascii="Arial" w:cs="Arial" w:eastAsia="Arial" w:hAnsi="Arial"/>
          <w:sz w:val="17"/>
          <w:szCs w:val="17"/>
          <w:color w:val="auto"/>
        </w:rPr>
        <w:t>Item 4.</w:t>
      </w:r>
    </w:p>
    <w:p>
      <w:pPr>
        <w:spacing w:after="0" w:line="228" w:lineRule="auto"/>
        <w:rPr>
          <w:sz w:val="20"/>
          <w:szCs w:val="20"/>
          <w:color w:val="auto"/>
        </w:rPr>
      </w:pPr>
      <w:r>
        <w:rPr>
          <w:rFonts w:ascii="Arial" w:cs="Arial" w:eastAsia="Arial" w:hAnsi="Arial"/>
          <w:sz w:val="17"/>
          <w:szCs w:val="17"/>
          <w:color w:val="auto"/>
        </w:rPr>
        <w:t>Item 5.</w:t>
      </w:r>
    </w:p>
    <w:p>
      <w:pPr>
        <w:spacing w:after="0" w:line="229" w:lineRule="auto"/>
        <w:rPr>
          <w:sz w:val="20"/>
          <w:szCs w:val="20"/>
          <w:color w:val="auto"/>
        </w:rPr>
      </w:pPr>
      <w:r>
        <w:rPr>
          <w:rFonts w:ascii="Arial" w:cs="Arial" w:eastAsia="Arial" w:hAnsi="Arial"/>
          <w:sz w:val="17"/>
          <w:szCs w:val="17"/>
          <w:color w:val="auto"/>
        </w:rPr>
        <w:t>Item 6.</w:t>
      </w:r>
    </w:p>
    <w:p>
      <w:pPr>
        <w:spacing w:after="0" w:line="228" w:lineRule="auto"/>
        <w:rPr>
          <w:sz w:val="20"/>
          <w:szCs w:val="20"/>
          <w:color w:val="auto"/>
        </w:rPr>
      </w:pPr>
      <w:r>
        <w:rPr>
          <w:rFonts w:ascii="Arial" w:cs="Arial" w:eastAsia="Arial" w:hAnsi="Arial"/>
          <w:sz w:val="17"/>
          <w:szCs w:val="17"/>
          <w:color w:val="auto"/>
        </w:rPr>
        <w:t>Item 7.</w:t>
      </w:r>
    </w:p>
    <w:p>
      <w:pPr>
        <w:spacing w:after="0" w:line="229" w:lineRule="auto"/>
        <w:rPr>
          <w:sz w:val="20"/>
          <w:szCs w:val="20"/>
          <w:color w:val="auto"/>
        </w:rPr>
      </w:pPr>
      <w:r>
        <w:rPr>
          <w:rFonts w:ascii="Arial" w:cs="Arial" w:eastAsia="Arial" w:hAnsi="Arial"/>
          <w:sz w:val="17"/>
          <w:szCs w:val="17"/>
          <w:color w:val="auto"/>
        </w:rPr>
        <w:t>Item 7A.</w:t>
      </w:r>
    </w:p>
    <w:p>
      <w:pPr>
        <w:spacing w:after="0" w:line="228" w:lineRule="auto"/>
        <w:rPr>
          <w:sz w:val="20"/>
          <w:szCs w:val="20"/>
          <w:color w:val="auto"/>
        </w:rPr>
      </w:pPr>
      <w:r>
        <w:rPr>
          <w:rFonts w:ascii="Arial" w:cs="Arial" w:eastAsia="Arial" w:hAnsi="Arial"/>
          <w:sz w:val="17"/>
          <w:szCs w:val="17"/>
          <w:color w:val="auto"/>
        </w:rPr>
        <w:t>Item 8.</w:t>
      </w:r>
    </w:p>
    <w:p>
      <w:pPr>
        <w:spacing w:after="0" w:line="229" w:lineRule="auto"/>
        <w:rPr>
          <w:sz w:val="20"/>
          <w:szCs w:val="20"/>
          <w:color w:val="auto"/>
        </w:rPr>
      </w:pPr>
      <w:r>
        <w:rPr>
          <w:rFonts w:ascii="Arial" w:cs="Arial" w:eastAsia="Arial" w:hAnsi="Arial"/>
          <w:sz w:val="17"/>
          <w:szCs w:val="17"/>
          <w:color w:val="auto"/>
        </w:rPr>
        <w:t>Item 9.</w:t>
      </w:r>
    </w:p>
    <w:p>
      <w:pPr>
        <w:spacing w:after="0" w:line="229" w:lineRule="auto"/>
        <w:rPr>
          <w:sz w:val="20"/>
          <w:szCs w:val="20"/>
          <w:color w:val="auto"/>
        </w:rPr>
      </w:pPr>
      <w:r>
        <w:rPr>
          <w:rFonts w:ascii="Arial" w:cs="Arial" w:eastAsia="Arial" w:hAnsi="Arial"/>
          <w:sz w:val="17"/>
          <w:szCs w:val="17"/>
          <w:color w:val="auto"/>
        </w:rPr>
        <w:t>Item 9A.</w:t>
      </w:r>
    </w:p>
    <w:p>
      <w:pPr>
        <w:spacing w:after="0" w:line="228" w:lineRule="auto"/>
        <w:rPr>
          <w:sz w:val="20"/>
          <w:szCs w:val="20"/>
          <w:color w:val="auto"/>
        </w:rPr>
      </w:pPr>
      <w:r>
        <w:rPr>
          <w:rFonts w:ascii="Arial" w:cs="Arial" w:eastAsia="Arial" w:hAnsi="Arial"/>
          <w:sz w:val="17"/>
          <w:szCs w:val="17"/>
          <w:color w:val="auto"/>
        </w:rPr>
        <w:t>Item 9B.</w:t>
      </w:r>
    </w:p>
    <w:p>
      <w:pPr>
        <w:spacing w:after="0" w:line="229" w:lineRule="auto"/>
        <w:rPr>
          <w:sz w:val="20"/>
          <w:szCs w:val="20"/>
          <w:color w:val="auto"/>
        </w:rPr>
      </w:pPr>
      <w:r>
        <w:rPr>
          <w:rFonts w:ascii="Arial" w:cs="Arial" w:eastAsia="Arial" w:hAnsi="Arial"/>
          <w:sz w:val="17"/>
          <w:szCs w:val="17"/>
          <w:color w:val="auto"/>
        </w:rPr>
        <w:t>Item 10.</w:t>
      </w:r>
    </w:p>
    <w:p>
      <w:pPr>
        <w:spacing w:after="0" w:line="228" w:lineRule="auto"/>
        <w:rPr>
          <w:sz w:val="20"/>
          <w:szCs w:val="20"/>
          <w:color w:val="auto"/>
        </w:rPr>
      </w:pPr>
      <w:r>
        <w:rPr>
          <w:rFonts w:ascii="Arial" w:cs="Arial" w:eastAsia="Arial" w:hAnsi="Arial"/>
          <w:sz w:val="17"/>
          <w:szCs w:val="17"/>
          <w:color w:val="auto"/>
        </w:rPr>
        <w:t>Item 11.</w:t>
      </w:r>
    </w:p>
    <w:p>
      <w:pPr>
        <w:spacing w:after="0" w:line="229" w:lineRule="auto"/>
        <w:rPr>
          <w:sz w:val="20"/>
          <w:szCs w:val="20"/>
          <w:color w:val="auto"/>
        </w:rPr>
      </w:pPr>
      <w:r>
        <w:rPr>
          <w:rFonts w:ascii="Arial" w:cs="Arial" w:eastAsia="Arial" w:hAnsi="Arial"/>
          <w:sz w:val="17"/>
          <w:szCs w:val="17"/>
          <w:color w:val="auto"/>
        </w:rPr>
        <w:t>Item 12.</w:t>
      </w:r>
    </w:p>
    <w:p>
      <w:pPr>
        <w:spacing w:after="0" w:line="228" w:lineRule="auto"/>
        <w:rPr>
          <w:sz w:val="20"/>
          <w:szCs w:val="20"/>
          <w:color w:val="auto"/>
        </w:rPr>
      </w:pPr>
      <w:r>
        <w:rPr>
          <w:rFonts w:ascii="Arial" w:cs="Arial" w:eastAsia="Arial" w:hAnsi="Arial"/>
          <w:sz w:val="17"/>
          <w:szCs w:val="17"/>
          <w:color w:val="auto"/>
        </w:rPr>
        <w:t>Item 13.</w:t>
      </w:r>
    </w:p>
    <w:p>
      <w:pPr>
        <w:spacing w:after="0" w:line="229" w:lineRule="auto"/>
        <w:rPr>
          <w:sz w:val="20"/>
          <w:szCs w:val="20"/>
          <w:color w:val="auto"/>
        </w:rPr>
      </w:pPr>
      <w:r>
        <w:rPr>
          <w:rFonts w:ascii="Arial" w:cs="Arial" w:eastAsia="Arial" w:hAnsi="Arial"/>
          <w:sz w:val="17"/>
          <w:szCs w:val="17"/>
          <w:color w:val="auto"/>
        </w:rPr>
        <w:t>Item 14.</w:t>
      </w:r>
    </w:p>
    <w:p>
      <w:pPr>
        <w:spacing w:after="0" w:line="228" w:lineRule="auto"/>
        <w:rPr>
          <w:sz w:val="20"/>
          <w:szCs w:val="20"/>
          <w:color w:val="auto"/>
        </w:rPr>
      </w:pPr>
      <w:r>
        <w:rPr>
          <w:rFonts w:ascii="Arial" w:cs="Arial" w:eastAsia="Arial" w:hAnsi="Arial"/>
          <w:sz w:val="17"/>
          <w:szCs w:val="17"/>
          <w:color w:val="auto"/>
        </w:rPr>
        <w:t>Item 15.</w:t>
      </w:r>
    </w:p>
    <w:p>
      <w:pPr>
        <w:spacing w:after="0" w:line="229" w:lineRule="auto"/>
        <w:rPr>
          <w:sz w:val="20"/>
          <w:szCs w:val="20"/>
          <w:color w:val="auto"/>
        </w:rPr>
      </w:pPr>
      <w:r>
        <w:rPr>
          <w:rFonts w:ascii="Arial" w:cs="Arial" w:eastAsia="Arial" w:hAnsi="Arial"/>
          <w:sz w:val="17"/>
          <w:szCs w:val="17"/>
          <w:color w:val="auto"/>
        </w:rPr>
        <w:t>SIGNATURES</w:t>
      </w:r>
    </w:p>
    <w:p>
      <w:pPr>
        <w:spacing w:after="0" w:line="228" w:lineRule="auto"/>
        <w:rPr>
          <w:sz w:val="20"/>
          <w:szCs w:val="20"/>
          <w:color w:val="auto"/>
        </w:rPr>
      </w:pPr>
      <w:r>
        <w:rPr>
          <w:rFonts w:ascii="Arial" w:cs="Arial" w:eastAsia="Arial" w:hAnsi="Arial"/>
          <w:sz w:val="17"/>
          <w:szCs w:val="17"/>
          <w:color w:val="auto"/>
        </w:rPr>
        <w:t>INDEX TO FINANCIAL INFORMATION</w:t>
      </w:r>
    </w:p>
    <w:p>
      <w:pPr>
        <w:ind w:left="220"/>
        <w:spacing w:after="0" w:line="229" w:lineRule="auto"/>
        <w:rPr>
          <w:sz w:val="20"/>
          <w:szCs w:val="20"/>
          <w:color w:val="auto"/>
        </w:rPr>
      </w:pPr>
      <w:r>
        <w:rPr>
          <w:rFonts w:ascii="Arial" w:cs="Arial" w:eastAsia="Arial" w:hAnsi="Arial"/>
          <w:sz w:val="17"/>
          <w:szCs w:val="17"/>
          <w:color w:val="auto"/>
        </w:rPr>
        <w:t>Management’s Discussion and Analysis of Results of Operations and Financial Condition (Unaudited)</w:t>
      </w:r>
    </w:p>
    <w:p>
      <w:pPr>
        <w:ind w:left="220"/>
        <w:spacing w:after="0" w:line="229" w:lineRule="auto"/>
        <w:rPr>
          <w:sz w:val="20"/>
          <w:szCs w:val="20"/>
          <w:color w:val="auto"/>
        </w:rPr>
      </w:pPr>
      <w:r>
        <w:rPr>
          <w:rFonts w:ascii="Arial" w:cs="Arial" w:eastAsia="Arial" w:hAnsi="Arial"/>
          <w:sz w:val="17"/>
          <w:szCs w:val="17"/>
          <w:color w:val="auto"/>
        </w:rPr>
        <w:t>Financial Statements:</w:t>
      </w:r>
    </w:p>
    <w:p>
      <w:pPr>
        <w:ind w:left="340" w:right="4399"/>
        <w:spacing w:after="0" w:line="242" w:lineRule="auto"/>
        <w:rPr>
          <w:sz w:val="20"/>
          <w:szCs w:val="20"/>
          <w:color w:val="auto"/>
        </w:rPr>
      </w:pPr>
      <w:r>
        <w:rPr>
          <w:rFonts w:ascii="Arial" w:cs="Arial" w:eastAsia="Arial" w:hAnsi="Arial"/>
          <w:sz w:val="16"/>
          <w:szCs w:val="16"/>
          <w:color w:val="auto"/>
        </w:rPr>
        <w:t>Management’s Report on Internal Control Over Financial Reporting Report of Independent Registered Public Accounting Firm</w:t>
      </w:r>
    </w:p>
    <w:p>
      <w:pPr>
        <w:spacing w:after="0" w:line="1" w:lineRule="exact"/>
        <w:rPr>
          <w:rFonts w:ascii="Arial" w:cs="Arial" w:eastAsia="Arial" w:hAnsi="Arial"/>
          <w:sz w:val="16"/>
          <w:szCs w:val="16"/>
          <w:color w:val="auto"/>
        </w:rPr>
      </w:pPr>
    </w:p>
    <w:p>
      <w:pPr>
        <w:ind w:left="340" w:right="1519"/>
        <w:spacing w:after="0" w:line="228" w:lineRule="auto"/>
        <w:rPr>
          <w:sz w:val="20"/>
          <w:szCs w:val="20"/>
          <w:color w:val="auto"/>
        </w:rPr>
      </w:pPr>
      <w:r>
        <w:rPr>
          <w:rFonts w:ascii="Arial" w:cs="Arial" w:eastAsia="Arial" w:hAnsi="Arial"/>
          <w:sz w:val="17"/>
          <w:szCs w:val="17"/>
          <w:color w:val="auto"/>
        </w:rPr>
        <w:t>Consolidated Statements of Operations for the Three Fiscal Years Ended December 31, 2012 Consolidated Statements of Comprehensive Income for the Three Fiscal Years Ended December 31, 2012 Consolidated Balance Sheets at December 31, 2012 and 2011</w:t>
      </w:r>
    </w:p>
    <w:p>
      <w:pPr>
        <w:ind w:left="340"/>
        <w:spacing w:after="0" w:line="230" w:lineRule="auto"/>
        <w:rPr>
          <w:sz w:val="20"/>
          <w:szCs w:val="20"/>
          <w:color w:val="auto"/>
        </w:rPr>
      </w:pPr>
      <w:r>
        <w:rPr>
          <w:rFonts w:ascii="Arial" w:cs="Arial" w:eastAsia="Arial" w:hAnsi="Arial"/>
          <w:sz w:val="17"/>
          <w:szCs w:val="17"/>
          <w:color w:val="auto"/>
        </w:rPr>
        <w:t>Consolidated Statements of Cash Flows for the Three Fiscal Years Ended December 31, 2012</w:t>
      </w:r>
    </w:p>
    <w:p>
      <w:pPr>
        <w:ind w:left="340" w:right="159"/>
        <w:spacing w:after="0" w:line="228" w:lineRule="auto"/>
        <w:rPr>
          <w:sz w:val="20"/>
          <w:szCs w:val="20"/>
          <w:color w:val="auto"/>
        </w:rPr>
      </w:pPr>
      <w:r>
        <w:rPr>
          <w:rFonts w:ascii="Arial" w:cs="Arial" w:eastAsia="Arial" w:hAnsi="Arial"/>
          <w:sz w:val="17"/>
          <w:szCs w:val="17"/>
          <w:color w:val="auto"/>
        </w:rPr>
        <w:t>Consolidated Statements of Changes in Common Stockholders’ Equity for the Three Fiscal Years Ended December 31, 2012 Notes to Consolidated Financial Statements</w:t>
      </w:r>
    </w:p>
    <w:p>
      <w:pPr>
        <w:ind w:left="220"/>
        <w:spacing w:after="0" w:line="229" w:lineRule="auto"/>
        <w:rPr>
          <w:sz w:val="20"/>
          <w:szCs w:val="20"/>
          <w:color w:val="auto"/>
        </w:rPr>
      </w:pPr>
      <w:r>
        <w:rPr>
          <w:rFonts w:ascii="Arial" w:cs="Arial" w:eastAsia="Arial" w:hAnsi="Arial"/>
          <w:sz w:val="17"/>
          <w:szCs w:val="17"/>
          <w:color w:val="auto"/>
        </w:rPr>
        <w:t>Five-Year Summary of Selected Historical Financial Data (Unaudited)</w:t>
      </w:r>
    </w:p>
    <w:p>
      <w:pPr>
        <w:spacing w:after="0" w:line="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7"/>
          <w:szCs w:val="17"/>
          <w:color w:val="auto"/>
        </w:rPr>
        <w:t>INDEX TO EXHIBITS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-370840</wp:posOffset>
            </wp:positionH>
            <wp:positionV relativeFrom="paragraph">
              <wp:posOffset>339090</wp:posOffset>
            </wp:positionV>
            <wp:extent cx="727837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958" w:right="1440" w:bottom="1440" w:gutter="0" w:footer="0" w:header="0"/>
        </w:sectPr>
      </w:pPr>
    </w:p>
    <w:bookmarkStart w:id="2" w:name="page3"/>
    <w:bookmarkEnd w:id="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left="1160"/>
        <w:spacing w:after="0"/>
        <w:rPr>
          <w:sz w:val="20"/>
          <w:szCs w:val="20"/>
          <w:color w:val="auto"/>
        </w:rPr>
      </w:pPr>
      <w:r>
        <w:rPr>
          <w:rFonts w:ascii="Arial" w:cs="Arial" w:eastAsia="Arial" w:hAnsi="Arial"/>
          <w:sz w:val="17"/>
          <w:szCs w:val="17"/>
          <w:b w:val="1"/>
          <w:bCs w:val="1"/>
          <w:color w:val="auto"/>
        </w:rPr>
        <w:t>PART I</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The Washington Post Company (the Company) is a diversified education and media company. The Company’s Kaplan subsidiary provides a wide vari educational services, both domestically and outside the United States. The Company’s media operations consist of the ownership and operation of ca television systems, newspaper publishing (principally </w:t>
      </w:r>
      <w:r>
        <w:rPr>
          <w:rFonts w:ascii="Arial" w:cs="Arial" w:eastAsia="Arial" w:hAnsi="Arial"/>
          <w:sz w:val="17"/>
          <w:szCs w:val="17"/>
          <w:i w:val="1"/>
          <w:iCs w:val="1"/>
          <w:color w:val="auto"/>
        </w:rPr>
        <w:t>The Washington Post</w:t>
      </w:r>
      <w:r>
        <w:rPr>
          <w:rFonts w:ascii="Arial" w:cs="Arial" w:eastAsia="Arial" w:hAnsi="Arial"/>
          <w:sz w:val="17"/>
          <w:szCs w:val="17"/>
          <w:color w:val="auto"/>
        </w:rPr>
        <w:t>) and television broadcasting (through the ownership and operation of six television broadcast stations).</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Information concerning the consolidated operating revenues, consolidated income from operations and identifiable assets attributable to the principal segments of the Company’s business for the last three fiscal years is contained in Note 18 to the Company’s Consolidated Financial Statements appe elsewhere in this Annual Report on Form 10-K, as required by Item 101(b) and 101(d) of Regulation S-K. Revenues for each segment are shown in N gross of intersegment sales. Consolidated revenues are reported net of intersegment sales, which did not exceed 0.1% of consolidated operating reve</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Company’s operations in geographic areas outside the U.S. consist primarily of Kaplan’s non-U.S. operations. During the fiscal years 2012, 2011 2010, these operations accounted for approximately 16%, 14% and 11%, respectively, of the Company’s consolidated revenues, and the identifiable a attributable to non-U.S. operations represented approximately 13% and 14% of the Company’s consolidated assets at December 31, 2012, and Dece 31, 2011, respectively.</w:t>
      </w:r>
    </w:p>
    <w:p>
      <w:pPr>
        <w:spacing w:after="0" w:line="155"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Education</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Inc., a subsidiary of the Company, provides an extensive range of education and related services worldwide for students and professionals. K conducts its operations through three segments: Kaplan Higher Education, Kaplan Test Preparation and Kaplan International. A fourth operating segm Kaplan Ventures, was reclassified as discontinued operations following the sale of its last remaining operating business in August 2012. As a result, Kaplan’s operating results exclude the results of any former Kaplan Ventures business. In addition, the results of the Kaplan Corporate segment includ activities of Kaplan VC, LLC, which serves as Kaplan’s venture capital arm, identifying and investing in high-growth potential education technology companies.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revenues for the three years ended December 31, 2012, 2011 and 2010 for each of Kaplan’s segments: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2"/>
                <w:szCs w:val="12"/>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r>
      <w:tr>
        <w:trPr>
          <w:trHeight w:val="129"/>
        </w:trPr>
        <w:tc>
          <w:tcPr>
            <w:tcW w:w="76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8"/>
              <w:spacing w:after="0" w:line="129" w:lineRule="exact"/>
              <w:rPr>
                <w:sz w:val="20"/>
                <w:szCs w:val="20"/>
                <w:color w:val="auto"/>
              </w:rPr>
            </w:pPr>
            <w:r>
              <w:rPr>
                <w:rFonts w:ascii="Arial" w:cs="Arial" w:eastAsia="Arial" w:hAnsi="Arial"/>
                <w:sz w:val="12"/>
                <w:szCs w:val="12"/>
                <w:b w:val="1"/>
                <w:bCs w:val="1"/>
                <w:color w:val="auto"/>
              </w:rPr>
              <w:t>2012</w:t>
            </w:r>
          </w:p>
        </w:tc>
        <w:tc>
          <w:tcPr>
            <w:tcW w:w="6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48"/>
              <w:spacing w:after="0" w:line="129" w:lineRule="exact"/>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w:t>
            </w:r>
          </w:p>
        </w:tc>
      </w:tr>
      <w:tr>
        <w:trPr>
          <w:trHeight w:val="168"/>
        </w:trPr>
        <w:tc>
          <w:tcPr>
            <w:tcW w:w="7680" w:type="dxa"/>
            <w:vAlign w:val="bottom"/>
          </w:tcPr>
          <w:p>
            <w:pPr>
              <w:spacing w:after="0" w:line="168" w:lineRule="exact"/>
              <w:rPr>
                <w:sz w:val="20"/>
                <w:szCs w:val="20"/>
                <w:color w:val="auto"/>
              </w:rPr>
            </w:pPr>
            <w:r>
              <w:rPr>
                <w:rFonts w:ascii="Arial" w:cs="Arial" w:eastAsia="Arial" w:hAnsi="Arial"/>
                <w:sz w:val="15"/>
                <w:szCs w:val="15"/>
                <w:color w:val="auto"/>
              </w:rPr>
              <w:t>Kaplan Higher Education</w:t>
            </w:r>
          </w:p>
        </w:tc>
        <w:tc>
          <w:tcPr>
            <w:tcW w:w="320" w:type="dxa"/>
            <w:vAlign w:val="bottom"/>
          </w:tcPr>
          <w:p>
            <w:pPr>
              <w:jc w:val="right"/>
              <w:ind w:right="86"/>
              <w:spacing w:after="0" w:line="168" w:lineRule="exact"/>
              <w:rPr>
                <w:sz w:val="20"/>
                <w:szCs w:val="20"/>
                <w:color w:val="auto"/>
              </w:rPr>
            </w:pPr>
            <w:r>
              <w:rPr>
                <w:rFonts w:ascii="Arial" w:cs="Arial" w:eastAsia="Arial" w:hAnsi="Arial"/>
                <w:sz w:val="15"/>
                <w:szCs w:val="15"/>
                <w:b w:val="1"/>
                <w:bCs w:val="1"/>
                <w:color w:val="auto"/>
              </w:rPr>
              <w:t>$</w:t>
            </w:r>
          </w:p>
        </w:tc>
        <w:tc>
          <w:tcPr>
            <w:tcW w:w="740" w:type="dxa"/>
            <w:vAlign w:val="bottom"/>
          </w:tcPr>
          <w:p>
            <w:pPr>
              <w:jc w:val="right"/>
              <w:spacing w:after="0" w:line="168" w:lineRule="exact"/>
              <w:rPr>
                <w:sz w:val="20"/>
                <w:szCs w:val="20"/>
                <w:color w:val="auto"/>
              </w:rPr>
            </w:pPr>
            <w:r>
              <w:rPr>
                <w:rFonts w:ascii="Arial" w:cs="Arial" w:eastAsia="Arial" w:hAnsi="Arial"/>
                <w:sz w:val="15"/>
                <w:szCs w:val="15"/>
                <w:color w:val="auto"/>
              </w:rPr>
              <w:t>1,149.4</w:t>
            </w:r>
          </w:p>
        </w:tc>
        <w:tc>
          <w:tcPr>
            <w:tcW w:w="660" w:type="dxa"/>
            <w:vAlign w:val="bottom"/>
          </w:tcPr>
          <w:p>
            <w:pPr>
              <w:jc w:val="right"/>
              <w:ind w:right="50"/>
              <w:spacing w:after="0" w:line="168" w:lineRule="exact"/>
              <w:rPr>
                <w:sz w:val="20"/>
                <w:szCs w:val="20"/>
                <w:color w:val="auto"/>
              </w:rPr>
            </w:pPr>
            <w:r>
              <w:rPr>
                <w:rFonts w:ascii="Arial" w:cs="Arial" w:eastAsia="Arial" w:hAnsi="Arial"/>
                <w:sz w:val="15"/>
                <w:szCs w:val="15"/>
                <w:color w:val="auto"/>
              </w:rPr>
              <w:t>$</w:t>
            </w:r>
          </w:p>
        </w:tc>
        <w:tc>
          <w:tcPr>
            <w:tcW w:w="1020" w:type="dxa"/>
            <w:vAlign w:val="bottom"/>
          </w:tcPr>
          <w:p>
            <w:pPr>
              <w:jc w:val="right"/>
              <w:ind w:right="328"/>
              <w:spacing w:after="0" w:line="168" w:lineRule="exact"/>
              <w:rPr>
                <w:sz w:val="20"/>
                <w:szCs w:val="20"/>
                <w:color w:val="auto"/>
              </w:rPr>
            </w:pPr>
            <w:r>
              <w:rPr>
                <w:rFonts w:ascii="Arial" w:cs="Arial" w:eastAsia="Arial" w:hAnsi="Arial"/>
                <w:sz w:val="15"/>
                <w:szCs w:val="15"/>
                <w:color w:val="auto"/>
              </w:rPr>
              <w:t>1,399.6</w:t>
            </w:r>
          </w:p>
        </w:tc>
        <w:tc>
          <w:tcPr>
            <w:tcW w:w="320" w:type="dxa"/>
            <w:vAlign w:val="bottom"/>
          </w:tcPr>
          <w:p>
            <w:pPr>
              <w:jc w:val="right"/>
              <w:ind w:right="46"/>
              <w:spacing w:after="0" w:line="168" w:lineRule="exact"/>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8" w:lineRule="exact"/>
              <w:rPr>
                <w:sz w:val="20"/>
                <w:szCs w:val="20"/>
                <w:color w:val="auto"/>
              </w:rPr>
            </w:pPr>
            <w:r>
              <w:rPr>
                <w:rFonts w:ascii="Arial" w:cs="Arial" w:eastAsia="Arial" w:hAnsi="Arial"/>
                <w:sz w:val="15"/>
                <w:szCs w:val="15"/>
                <w:color w:val="auto"/>
              </w:rPr>
              <w:t>1</w:t>
            </w: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Kaplan Test Preparation</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284.3</w:t>
            </w:r>
          </w:p>
        </w:tc>
        <w:tc>
          <w:tcPr>
            <w:tcW w:w="660" w:type="dxa"/>
            <w:vAlign w:val="bottom"/>
          </w:tcPr>
          <w:p>
            <w:pPr>
              <w:spacing w:after="0"/>
              <w:rPr>
                <w:sz w:val="15"/>
                <w:szCs w:val="15"/>
                <w:color w:val="auto"/>
              </w:rPr>
            </w:pPr>
          </w:p>
        </w:tc>
        <w:tc>
          <w:tcPr>
            <w:tcW w:w="1020" w:type="dxa"/>
            <w:vAlign w:val="bottom"/>
          </w:tcPr>
          <w:p>
            <w:pPr>
              <w:jc w:val="right"/>
              <w:ind w:right="328"/>
              <w:spacing w:after="0"/>
              <w:rPr>
                <w:sz w:val="20"/>
                <w:szCs w:val="20"/>
                <w:color w:val="auto"/>
              </w:rPr>
            </w:pPr>
            <w:r>
              <w:rPr>
                <w:rFonts w:ascii="Arial" w:cs="Arial" w:eastAsia="Arial" w:hAnsi="Arial"/>
                <w:sz w:val="15"/>
                <w:szCs w:val="15"/>
                <w:color w:val="auto"/>
              </w:rPr>
              <w:t>303.1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764.2</w:t>
            </w:r>
          </w:p>
        </w:tc>
        <w:tc>
          <w:tcPr>
            <w:tcW w:w="660" w:type="dxa"/>
            <w:vAlign w:val="bottom"/>
          </w:tcPr>
          <w:p>
            <w:pPr>
              <w:spacing w:after="0"/>
              <w:rPr>
                <w:sz w:val="15"/>
                <w:szCs w:val="15"/>
                <w:color w:val="auto"/>
              </w:rPr>
            </w:pPr>
          </w:p>
        </w:tc>
        <w:tc>
          <w:tcPr>
            <w:tcW w:w="1020" w:type="dxa"/>
            <w:vAlign w:val="bottom"/>
          </w:tcPr>
          <w:p>
            <w:pPr>
              <w:jc w:val="right"/>
              <w:ind w:right="328"/>
              <w:spacing w:after="0"/>
              <w:rPr>
                <w:sz w:val="20"/>
                <w:szCs w:val="20"/>
                <w:color w:val="auto"/>
              </w:rPr>
            </w:pPr>
            <w:r>
              <w:rPr>
                <w:rFonts w:ascii="Arial" w:cs="Arial" w:eastAsia="Arial" w:hAnsi="Arial"/>
                <w:sz w:val="15"/>
                <w:szCs w:val="15"/>
                <w:color w:val="auto"/>
              </w:rPr>
              <w:t>704.6</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2"/>
        </w:trPr>
        <w:tc>
          <w:tcPr>
            <w:tcW w:w="7680" w:type="dxa"/>
            <w:vAlign w:val="bottom"/>
          </w:tcPr>
          <w:p>
            <w:pPr>
              <w:spacing w:after="0"/>
              <w:rPr>
                <w:sz w:val="20"/>
                <w:szCs w:val="20"/>
                <w:color w:val="auto"/>
              </w:rPr>
            </w:pPr>
            <w:r>
              <w:rPr>
                <w:rFonts w:ascii="Arial" w:cs="Arial" w:eastAsia="Arial" w:hAnsi="Arial"/>
                <w:sz w:val="15"/>
                <w:szCs w:val="15"/>
                <w:color w:val="auto"/>
              </w:rPr>
              <w:t>Kaplan Corporate and Intersegment Eliminations</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6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5"/>
                <w:szCs w:val="15"/>
                <w:color w:val="auto"/>
              </w:rPr>
              <w:t>(2.8)</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r>
      <w:tr>
        <w:trPr>
          <w:trHeight w:val="166"/>
        </w:trPr>
        <w:tc>
          <w:tcPr>
            <w:tcW w:w="7680" w:type="dxa"/>
            <w:vAlign w:val="bottom"/>
          </w:tcPr>
          <w:p>
            <w:pPr>
              <w:ind w:left="220"/>
              <w:spacing w:after="0" w:line="167" w:lineRule="exact"/>
              <w:rPr>
                <w:sz w:val="20"/>
                <w:szCs w:val="20"/>
                <w:color w:val="auto"/>
              </w:rPr>
            </w:pPr>
            <w:r>
              <w:rPr>
                <w:rFonts w:ascii="Arial" w:cs="Arial" w:eastAsia="Arial" w:hAnsi="Arial"/>
                <w:sz w:val="15"/>
                <w:szCs w:val="15"/>
                <w:color w:val="auto"/>
              </w:rPr>
              <w:t>Total Kaplan Revenue</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2,196.5</w:t>
            </w:r>
          </w:p>
        </w:tc>
        <w:tc>
          <w:tcPr>
            <w:tcW w:w="660" w:type="dxa"/>
            <w:vAlign w:val="bottom"/>
            <w:tcBorders>
              <w:bottom w:val="single" w:sz="8" w:color="auto"/>
            </w:tcBorders>
          </w:tcPr>
          <w:p>
            <w:pPr>
              <w:jc w:val="right"/>
              <w:ind w:right="50"/>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328"/>
              <w:spacing w:after="0" w:line="167" w:lineRule="exact"/>
              <w:rPr>
                <w:sz w:val="20"/>
                <w:szCs w:val="20"/>
                <w:color w:val="auto"/>
              </w:rPr>
            </w:pPr>
            <w:r>
              <w:rPr>
                <w:rFonts w:ascii="Arial" w:cs="Arial" w:eastAsia="Arial" w:hAnsi="Arial"/>
                <w:sz w:val="15"/>
                <w:szCs w:val="15"/>
                <w:color w:val="auto"/>
              </w:rPr>
              <w:t>2,404.5</w:t>
            </w:r>
          </w:p>
        </w:tc>
        <w:tc>
          <w:tcPr>
            <w:tcW w:w="32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Kaplan Higher Education</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Kaplan Higher Education (KHE) provides a wide array of certificate, diploma and degree programs—on campus and online—designed to meet the ne students seeking to advance their education and career goals.</w:t>
      </w:r>
    </w:p>
    <w:p>
      <w:pPr>
        <w:spacing w:after="0" w:line="176" w:lineRule="exact"/>
        <w:rPr>
          <w:sz w:val="20"/>
          <w:szCs w:val="20"/>
          <w:color w:val="auto"/>
        </w:rPr>
      </w:pPr>
    </w:p>
    <w:p>
      <w:pPr>
        <w:ind w:right="260"/>
        <w:spacing w:after="0" w:line="235" w:lineRule="auto"/>
        <w:rPr>
          <w:sz w:val="20"/>
          <w:szCs w:val="20"/>
          <w:color w:val="auto"/>
        </w:rPr>
      </w:pPr>
      <w:r>
        <w:rPr>
          <w:rFonts w:ascii="Arial" w:cs="Arial" w:eastAsia="Arial" w:hAnsi="Arial"/>
          <w:sz w:val="17"/>
          <w:szCs w:val="17"/>
          <w:color w:val="auto"/>
        </w:rPr>
        <w:t>In 2012, Kaplan’s U.S.-based KHE division included the following businesses: Kaplan University and KHE Campuses. Each of these businesses is described briefly below.</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auto"/>
        </w:rPr>
        <w:t xml:space="preserve">Kaplan University. </w:t>
      </w:r>
      <w:r>
        <w:rPr>
          <w:rFonts w:ascii="Arial" w:cs="Arial" w:eastAsia="Arial" w:hAnsi="Arial"/>
          <w:sz w:val="17"/>
          <w:szCs w:val="17"/>
          <w:color w:val="auto"/>
        </w:rPr>
        <w:t>Kaplan University specializes in online education, is accredited by the Higher Learning Commission of the North Central Associat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Colleges and Schools and holds other programmatic accreditations. Most of Kaplan University’s programs are offered online, while some are offered i traditional classroom format at 12 campuses in Iowa, Maine, Maryland and Nebraska, and four Kaplan University Learning Centers in four additional s Kaplan University also includes Concord Law School, a fully online law school. At year-end 2012, Kaplan University had approximately 38,800 student enrolled in online programs and approximately 5,600 students enrolled in its classroom-based programs.</w:t>
      </w:r>
    </w:p>
    <w:p>
      <w:pPr>
        <w:spacing w:after="0" w:line="38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20" w:right="139" w:bottom="1440" w:gutter="0" w:footer="0" w:header="0"/>
        </w:sectPr>
      </w:pPr>
    </w:p>
    <w:bookmarkStart w:id="4" w:name="page5"/>
    <w:bookmarkEnd w:id="4"/>
    <w:p>
      <w:pPr>
        <w:spacing w:after="0" w:line="231" w:lineRule="auto"/>
        <w:rPr>
          <w:sz w:val="20"/>
          <w:szCs w:val="20"/>
          <w:color w:val="auto"/>
        </w:rPr>
      </w:pPr>
      <w:r>
        <w:rPr>
          <w:rFonts w:ascii="Arial" w:cs="Arial" w:eastAsia="Arial" w:hAnsi="Arial"/>
          <w:sz w:val="17"/>
          <w:szCs w:val="17"/>
          <w:color w:val="auto"/>
        </w:rPr>
        <w:t>Also residing within Kaplan University is the School of Professional and Continuing Education (PACE). PACE offers a wide range of education solution assist professionals in advancing their careers by obtaining professional licenses, designations and certifications. This includes solutions for insurance securities, real estate, mortgage and appraisal licensing exams and for advanced designations, such as CFA® and CPA exams. PACE serves more th 2,900 business-to-business clients, including more than 70 Fortune 500 companies. In 2012, approximately 510,000 students used PACE's exam preparation offerings.</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b w:val="1"/>
          <w:bCs w:val="1"/>
          <w:i w:val="1"/>
          <w:iCs w:val="1"/>
          <w:color w:val="auto"/>
        </w:rPr>
        <w:t xml:space="preserve">KHE Campuses. </w:t>
      </w:r>
      <w:r>
        <w:rPr>
          <w:rFonts w:ascii="Arial" w:cs="Arial" w:eastAsia="Arial" w:hAnsi="Arial"/>
          <w:sz w:val="16"/>
          <w:szCs w:val="16"/>
          <w:color w:val="auto"/>
        </w:rPr>
        <w:t>At the end of 2012, the KHE Campuses business consisted of 59 schools in 17 states that were providing classroom-based instruct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21,100 students, which did not include the approximately 5,600 students enrolled at Kaplan University’s on-ground campuses. Each of schools is accredited by one of several regional or national accrediting agencies recognized by the U.S. Department of Education (DOE).</w:t>
      </w:r>
    </w:p>
    <w:p>
      <w:pPr>
        <w:spacing w:after="0" w:line="15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September 27, 2012, KHE finalized a plan to consolidate its market presence at certain of its fixed-facility campuses. Under the plan, KHE has cea new enrollments at nine ground campuses as it considers alternatives for those locations, and will consolidate operations of four other campuses into existing, nearby locations. KHE will continue to teach courses in progress at these campuses until their completion. Revenues at these campuses repr approximately 4% of KHE’s total revenues and 2% of Kaplan, Inc.’s total revenues for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Program Offerings and Enrollment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offer degree and certificate programs in a variety of subject areas. Among them are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ind w:left="1140"/>
              <w:spacing w:after="0"/>
              <w:rPr>
                <w:sz w:val="20"/>
                <w:szCs w:val="20"/>
                <w:color w:val="auto"/>
              </w:rPr>
            </w:pPr>
            <w:r>
              <w:rPr>
                <w:rFonts w:ascii="Arial" w:cs="Arial" w:eastAsia="Arial" w:hAnsi="Arial"/>
                <w:sz w:val="12"/>
                <w:szCs w:val="12"/>
                <w:b w:val="1"/>
                <w:bCs w:val="1"/>
                <w:color w:val="auto"/>
              </w:rPr>
              <w:t>Certificate</w:t>
            </w:r>
          </w:p>
        </w:tc>
        <w:tc>
          <w:tcPr>
            <w:tcW w:w="5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ind w:left="1100"/>
              <w:spacing w:after="0"/>
              <w:rPr>
                <w:sz w:val="20"/>
                <w:szCs w:val="20"/>
                <w:color w:val="auto"/>
              </w:rPr>
            </w:pPr>
            <w:r>
              <w:rPr>
                <w:rFonts w:ascii="Arial" w:cs="Arial" w:eastAsia="Arial" w:hAnsi="Arial"/>
                <w:sz w:val="12"/>
                <w:szCs w:val="12"/>
                <w:b w:val="1"/>
                <w:bCs w:val="1"/>
                <w:color w:val="auto"/>
              </w:rPr>
              <w:t>Associate’s</w:t>
            </w:r>
          </w:p>
        </w:tc>
        <w:tc>
          <w:tcPr>
            <w:tcW w:w="3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Bachelor’s</w:t>
            </w:r>
          </w:p>
        </w:tc>
        <w:tc>
          <w:tcPr>
            <w:tcW w:w="2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ind w:left="940"/>
              <w:spacing w:after="0"/>
              <w:rPr>
                <w:sz w:val="20"/>
                <w:szCs w:val="20"/>
                <w:color w:val="auto"/>
              </w:rPr>
            </w:pPr>
            <w:r>
              <w:rPr>
                <w:rFonts w:ascii="Arial" w:cs="Arial" w:eastAsia="Arial" w:hAnsi="Arial"/>
                <w:sz w:val="12"/>
                <w:szCs w:val="12"/>
                <w:b w:val="1"/>
                <w:bCs w:val="1"/>
                <w:color w:val="auto"/>
              </w:rPr>
              <w:t>Master’s</w:t>
            </w:r>
          </w:p>
        </w:tc>
        <w:tc>
          <w:tcPr>
            <w:tcW w:w="0" w:type="dxa"/>
            <w:vAlign w:val="bottom"/>
          </w:tcPr>
          <w:p>
            <w:pPr>
              <w:spacing w:after="0"/>
              <w:rPr>
                <w:sz w:val="1"/>
                <w:szCs w:val="1"/>
                <w:color w:val="auto"/>
              </w:rPr>
            </w:pPr>
          </w:p>
        </w:tc>
      </w:tr>
      <w:tr>
        <w:trPr>
          <w:trHeight w:val="141"/>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Criminal Justice</w:t>
            </w:r>
          </w:p>
        </w:tc>
        <w:tc>
          <w:tcPr>
            <w:tcW w:w="540" w:type="dxa"/>
            <w:vAlign w:val="bottom"/>
          </w:tcPr>
          <w:p>
            <w:pPr>
              <w:ind w:left="440"/>
              <w:spacing w:after="0"/>
              <w:rPr>
                <w:sz w:val="20"/>
                <w:szCs w:val="20"/>
                <w:color w:val="auto"/>
              </w:rPr>
            </w:pPr>
            <w:r>
              <w:rPr>
                <w:rFonts w:ascii="Arial" w:cs="Arial" w:eastAsia="Arial" w:hAnsi="Arial"/>
                <w:sz w:val="12"/>
                <w:szCs w:val="12"/>
                <w:color w:val="auto"/>
              </w:rPr>
              <w:t>•</w:t>
            </w:r>
          </w:p>
        </w:tc>
        <w:tc>
          <w:tcPr>
            <w:tcW w:w="2620" w:type="dxa"/>
            <w:vAlign w:val="bottom"/>
          </w:tcPr>
          <w:p>
            <w:pPr>
              <w:ind w:left="80"/>
              <w:spacing w:after="0"/>
              <w:rPr>
                <w:sz w:val="20"/>
                <w:szCs w:val="20"/>
                <w:color w:val="auto"/>
              </w:rPr>
            </w:pPr>
            <w:r>
              <w:rPr>
                <w:rFonts w:ascii="Arial" w:cs="Arial" w:eastAsia="Arial" w:hAnsi="Arial"/>
                <w:sz w:val="12"/>
                <w:szCs w:val="12"/>
                <w:color w:val="auto"/>
              </w:rPr>
              <w:t>Arts and Sciences</w:t>
            </w:r>
          </w:p>
        </w:tc>
        <w:tc>
          <w:tcPr>
            <w:tcW w:w="360" w:type="dxa"/>
            <w:vAlign w:val="bottom"/>
          </w:tcPr>
          <w:p>
            <w:pPr>
              <w:ind w:left="260"/>
              <w:spacing w:after="0"/>
              <w:rPr>
                <w:sz w:val="20"/>
                <w:szCs w:val="20"/>
                <w:color w:val="auto"/>
              </w:rPr>
            </w:pPr>
            <w:r>
              <w:rPr>
                <w:rFonts w:ascii="Arial" w:cs="Arial" w:eastAsia="Arial" w:hAnsi="Arial"/>
                <w:sz w:val="12"/>
                <w:szCs w:val="12"/>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Arts and Sciences</w:t>
            </w:r>
          </w:p>
        </w:tc>
        <w:tc>
          <w:tcPr>
            <w:tcW w:w="260" w:type="dxa"/>
            <w:vAlign w:val="bottom"/>
          </w:tcPr>
          <w:p>
            <w:pPr>
              <w:ind w:left="140"/>
              <w:spacing w:after="0"/>
              <w:rPr>
                <w:sz w:val="20"/>
                <w:szCs w:val="20"/>
                <w:color w:val="auto"/>
              </w:rPr>
            </w:pPr>
            <w:r>
              <w:rPr>
                <w:rFonts w:ascii="Arial" w:cs="Arial" w:eastAsia="Arial" w:hAnsi="Arial"/>
                <w:sz w:val="12"/>
                <w:szCs w:val="12"/>
                <w:color w:val="auto"/>
              </w:rPr>
              <w:t>•</w:t>
            </w:r>
          </w:p>
        </w:tc>
        <w:tc>
          <w:tcPr>
            <w:tcW w:w="2020" w:type="dxa"/>
            <w:vAlign w:val="bottom"/>
          </w:tcPr>
          <w:p>
            <w:pPr>
              <w:ind w:left="60"/>
              <w:spacing w:after="0"/>
              <w:rPr>
                <w:sz w:val="20"/>
                <w:szCs w:val="20"/>
                <w:color w:val="auto"/>
              </w:rPr>
            </w:pPr>
            <w:r>
              <w:rPr>
                <w:rFonts w:ascii="Arial" w:cs="Arial" w:eastAsia="Arial" w:hAnsi="Arial"/>
                <w:sz w:val="12"/>
                <w:szCs w:val="12"/>
                <w:color w:val="auto"/>
              </w:rPr>
              <w:t>Arts and Sciences</w:t>
            </w:r>
          </w:p>
        </w:tc>
        <w:tc>
          <w:tcPr>
            <w:tcW w:w="0" w:type="dxa"/>
            <w:vAlign w:val="bottom"/>
          </w:tcPr>
          <w:p>
            <w:pPr>
              <w:spacing w:after="0"/>
              <w:rPr>
                <w:sz w:val="1"/>
                <w:szCs w:val="1"/>
                <w:color w:val="auto"/>
              </w:rPr>
            </w:pPr>
          </w:p>
        </w:tc>
      </w:tr>
      <w:tr>
        <w:trPr>
          <w:trHeight w:val="198"/>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Health Sciences</w:t>
            </w:r>
          </w:p>
        </w:tc>
        <w:tc>
          <w:tcPr>
            <w:tcW w:w="540" w:type="dxa"/>
            <w:vAlign w:val="bottom"/>
          </w:tcPr>
          <w:p>
            <w:pPr>
              <w:ind w:left="440"/>
              <w:spacing w:after="0"/>
              <w:rPr>
                <w:sz w:val="20"/>
                <w:szCs w:val="20"/>
                <w:color w:val="auto"/>
              </w:rPr>
            </w:pPr>
            <w:r>
              <w:rPr>
                <w:rFonts w:ascii="Arial" w:cs="Arial" w:eastAsia="Arial" w:hAnsi="Arial"/>
                <w:sz w:val="12"/>
                <w:szCs w:val="12"/>
                <w:color w:val="auto"/>
              </w:rPr>
              <w:t>•</w:t>
            </w:r>
          </w:p>
        </w:tc>
        <w:tc>
          <w:tcPr>
            <w:tcW w:w="2620" w:type="dxa"/>
            <w:vAlign w:val="bottom"/>
          </w:tcPr>
          <w:p>
            <w:pPr>
              <w:ind w:left="80"/>
              <w:spacing w:after="0"/>
              <w:rPr>
                <w:sz w:val="20"/>
                <w:szCs w:val="20"/>
                <w:color w:val="auto"/>
              </w:rPr>
            </w:pPr>
            <w:r>
              <w:rPr>
                <w:rFonts w:ascii="Arial" w:cs="Arial" w:eastAsia="Arial" w:hAnsi="Arial"/>
                <w:sz w:val="12"/>
                <w:szCs w:val="12"/>
                <w:color w:val="auto"/>
              </w:rPr>
              <w:t>Business Management</w:t>
            </w:r>
          </w:p>
        </w:tc>
        <w:tc>
          <w:tcPr>
            <w:tcW w:w="360" w:type="dxa"/>
            <w:vAlign w:val="bottom"/>
          </w:tcPr>
          <w:p>
            <w:pPr>
              <w:ind w:left="260"/>
              <w:spacing w:after="0"/>
              <w:rPr>
                <w:sz w:val="20"/>
                <w:szCs w:val="20"/>
                <w:color w:val="auto"/>
              </w:rPr>
            </w:pPr>
            <w:r>
              <w:rPr>
                <w:rFonts w:ascii="Arial" w:cs="Arial" w:eastAsia="Arial" w:hAnsi="Arial"/>
                <w:sz w:val="12"/>
                <w:szCs w:val="12"/>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Business Management</w:t>
            </w:r>
          </w:p>
        </w:tc>
        <w:tc>
          <w:tcPr>
            <w:tcW w:w="260" w:type="dxa"/>
            <w:vAlign w:val="bottom"/>
          </w:tcPr>
          <w:p>
            <w:pPr>
              <w:ind w:left="140"/>
              <w:spacing w:after="0"/>
              <w:rPr>
                <w:sz w:val="20"/>
                <w:szCs w:val="20"/>
                <w:color w:val="auto"/>
              </w:rPr>
            </w:pPr>
            <w:r>
              <w:rPr>
                <w:rFonts w:ascii="Arial" w:cs="Arial" w:eastAsia="Arial" w:hAnsi="Arial"/>
                <w:sz w:val="12"/>
                <w:szCs w:val="12"/>
                <w:color w:val="auto"/>
              </w:rPr>
              <w:t>•</w:t>
            </w:r>
          </w:p>
        </w:tc>
        <w:tc>
          <w:tcPr>
            <w:tcW w:w="2020" w:type="dxa"/>
            <w:vAlign w:val="bottom"/>
          </w:tcPr>
          <w:p>
            <w:pPr>
              <w:ind w:left="60"/>
              <w:spacing w:after="0"/>
              <w:rPr>
                <w:sz w:val="20"/>
                <w:szCs w:val="20"/>
                <w:color w:val="auto"/>
              </w:rPr>
            </w:pPr>
            <w:r>
              <w:rPr>
                <w:rFonts w:ascii="Arial" w:cs="Arial" w:eastAsia="Arial" w:hAnsi="Arial"/>
                <w:sz w:val="12"/>
                <w:szCs w:val="12"/>
                <w:color w:val="auto"/>
              </w:rPr>
              <w:t>Business Management</w:t>
            </w:r>
          </w:p>
        </w:tc>
        <w:tc>
          <w:tcPr>
            <w:tcW w:w="0" w:type="dxa"/>
            <w:vAlign w:val="bottom"/>
          </w:tcPr>
          <w:p>
            <w:pPr>
              <w:spacing w:after="0"/>
              <w:rPr>
                <w:sz w:val="1"/>
                <w:szCs w:val="1"/>
                <w:color w:val="auto"/>
              </w:rPr>
            </w:pPr>
          </w:p>
        </w:tc>
      </w:tr>
      <w:tr>
        <w:trPr>
          <w:trHeight w:val="199"/>
        </w:trPr>
        <w:tc>
          <w:tcPr>
            <w:tcW w:w="2640" w:type="dxa"/>
            <w:vAlign w:val="bottom"/>
            <w:gridSpan w:val="2"/>
          </w:tcPr>
          <w:p>
            <w:pPr>
              <w:spacing w:after="0"/>
              <w:rPr>
                <w:sz w:val="20"/>
                <w:szCs w:val="20"/>
                <w:color w:val="auto"/>
              </w:rPr>
            </w:pPr>
            <w:r>
              <w:rPr>
                <w:rFonts w:ascii="Arial" w:cs="Arial" w:eastAsia="Arial" w:hAnsi="Arial"/>
                <w:sz w:val="12"/>
                <w:szCs w:val="12"/>
                <w:color w:val="auto"/>
              </w:rPr>
              <w:t>•  Information Systems and Technology</w:t>
            </w:r>
          </w:p>
        </w:tc>
        <w:tc>
          <w:tcPr>
            <w:tcW w:w="540" w:type="dxa"/>
            <w:vAlign w:val="bottom"/>
          </w:tcPr>
          <w:p>
            <w:pPr>
              <w:ind w:left="440"/>
              <w:spacing w:after="0"/>
              <w:rPr>
                <w:sz w:val="20"/>
                <w:szCs w:val="20"/>
                <w:color w:val="auto"/>
              </w:rPr>
            </w:pPr>
            <w:r>
              <w:rPr>
                <w:rFonts w:ascii="Arial" w:cs="Arial" w:eastAsia="Arial" w:hAnsi="Arial"/>
                <w:sz w:val="12"/>
                <w:szCs w:val="12"/>
                <w:color w:val="auto"/>
              </w:rPr>
              <w:t>•</w:t>
            </w:r>
          </w:p>
        </w:tc>
        <w:tc>
          <w:tcPr>
            <w:tcW w:w="2620" w:type="dxa"/>
            <w:vAlign w:val="bottom"/>
          </w:tcPr>
          <w:p>
            <w:pPr>
              <w:ind w:left="80"/>
              <w:spacing w:after="0"/>
              <w:rPr>
                <w:sz w:val="20"/>
                <w:szCs w:val="20"/>
                <w:color w:val="auto"/>
              </w:rPr>
            </w:pPr>
            <w:r>
              <w:rPr>
                <w:rFonts w:ascii="Arial" w:cs="Arial" w:eastAsia="Arial" w:hAnsi="Arial"/>
                <w:sz w:val="12"/>
                <w:szCs w:val="12"/>
                <w:color w:val="auto"/>
              </w:rPr>
              <w:t>Criminal Justice</w:t>
            </w:r>
          </w:p>
        </w:tc>
        <w:tc>
          <w:tcPr>
            <w:tcW w:w="360" w:type="dxa"/>
            <w:vAlign w:val="bottom"/>
          </w:tcPr>
          <w:p>
            <w:pPr>
              <w:ind w:left="260"/>
              <w:spacing w:after="0"/>
              <w:rPr>
                <w:sz w:val="20"/>
                <w:szCs w:val="20"/>
                <w:color w:val="auto"/>
              </w:rPr>
            </w:pPr>
            <w:r>
              <w:rPr>
                <w:rFonts w:ascii="Arial" w:cs="Arial" w:eastAsia="Arial" w:hAnsi="Arial"/>
                <w:sz w:val="12"/>
                <w:szCs w:val="12"/>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Criminal Justice</w:t>
            </w:r>
          </w:p>
        </w:tc>
        <w:tc>
          <w:tcPr>
            <w:tcW w:w="260" w:type="dxa"/>
            <w:vAlign w:val="bottom"/>
          </w:tcPr>
          <w:p>
            <w:pPr>
              <w:ind w:left="140"/>
              <w:spacing w:after="0"/>
              <w:rPr>
                <w:sz w:val="20"/>
                <w:szCs w:val="20"/>
                <w:color w:val="auto"/>
              </w:rPr>
            </w:pPr>
            <w:r>
              <w:rPr>
                <w:rFonts w:ascii="Arial" w:cs="Arial" w:eastAsia="Arial" w:hAnsi="Arial"/>
                <w:sz w:val="12"/>
                <w:szCs w:val="12"/>
                <w:color w:val="auto"/>
              </w:rPr>
              <w:t>•</w:t>
            </w:r>
          </w:p>
        </w:tc>
        <w:tc>
          <w:tcPr>
            <w:tcW w:w="2020" w:type="dxa"/>
            <w:vAlign w:val="bottom"/>
          </w:tcPr>
          <w:p>
            <w:pPr>
              <w:ind w:left="60"/>
              <w:spacing w:after="0"/>
              <w:rPr>
                <w:sz w:val="20"/>
                <w:szCs w:val="20"/>
                <w:color w:val="auto"/>
              </w:rPr>
            </w:pPr>
            <w:r>
              <w:rPr>
                <w:rFonts w:ascii="Arial" w:cs="Arial" w:eastAsia="Arial" w:hAnsi="Arial"/>
                <w:sz w:val="12"/>
                <w:szCs w:val="12"/>
                <w:color w:val="auto"/>
              </w:rPr>
              <w:t>Criminal Justice</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20"/>
                <w:szCs w:val="20"/>
                <w:color w:val="auto"/>
              </w:rPr>
            </w:pPr>
            <w:r>
              <w:rPr>
                <w:rFonts w:ascii="Arial" w:cs="Arial" w:eastAsia="Arial" w:hAnsi="Arial"/>
                <w:sz w:val="12"/>
                <w:szCs w:val="12"/>
                <w:color w:val="auto"/>
              </w:rPr>
              <w:t>•</w:t>
            </w:r>
          </w:p>
        </w:tc>
        <w:tc>
          <w:tcPr>
            <w:tcW w:w="2540" w:type="dxa"/>
            <w:vAlign w:val="bottom"/>
          </w:tcPr>
          <w:p>
            <w:pPr>
              <w:ind w:left="80"/>
              <w:spacing w:after="0"/>
              <w:rPr>
                <w:sz w:val="20"/>
                <w:szCs w:val="20"/>
                <w:color w:val="auto"/>
              </w:rPr>
            </w:pPr>
            <w:r>
              <w:rPr>
                <w:rFonts w:ascii="Arial" w:cs="Arial" w:eastAsia="Arial" w:hAnsi="Arial"/>
                <w:sz w:val="12"/>
                <w:szCs w:val="12"/>
                <w:color w:val="auto"/>
              </w:rPr>
              <w:t>Nursing</w:t>
            </w:r>
          </w:p>
        </w:tc>
        <w:tc>
          <w:tcPr>
            <w:tcW w:w="540" w:type="dxa"/>
            <w:vAlign w:val="bottom"/>
          </w:tcPr>
          <w:p>
            <w:pPr>
              <w:ind w:left="440"/>
              <w:spacing w:after="0"/>
              <w:rPr>
                <w:sz w:val="20"/>
                <w:szCs w:val="20"/>
                <w:color w:val="auto"/>
              </w:rPr>
            </w:pPr>
            <w:r>
              <w:rPr>
                <w:rFonts w:ascii="Arial" w:cs="Arial" w:eastAsia="Arial" w:hAnsi="Arial"/>
                <w:sz w:val="12"/>
                <w:szCs w:val="12"/>
                <w:color w:val="auto"/>
              </w:rPr>
              <w:t>•</w:t>
            </w:r>
          </w:p>
        </w:tc>
        <w:tc>
          <w:tcPr>
            <w:tcW w:w="2620" w:type="dxa"/>
            <w:vAlign w:val="bottom"/>
          </w:tcPr>
          <w:p>
            <w:pPr>
              <w:ind w:left="80"/>
              <w:spacing w:after="0"/>
              <w:rPr>
                <w:sz w:val="20"/>
                <w:szCs w:val="20"/>
                <w:color w:val="auto"/>
              </w:rPr>
            </w:pPr>
            <w:r>
              <w:rPr>
                <w:rFonts w:ascii="Arial" w:cs="Arial" w:eastAsia="Arial" w:hAnsi="Arial"/>
                <w:sz w:val="12"/>
                <w:szCs w:val="12"/>
                <w:color w:val="auto"/>
              </w:rPr>
              <w:t>Fire Safety and Emergency Management</w:t>
            </w:r>
          </w:p>
        </w:tc>
        <w:tc>
          <w:tcPr>
            <w:tcW w:w="360" w:type="dxa"/>
            <w:vAlign w:val="bottom"/>
          </w:tcPr>
          <w:p>
            <w:pPr>
              <w:ind w:left="260"/>
              <w:spacing w:after="0"/>
              <w:rPr>
                <w:sz w:val="20"/>
                <w:szCs w:val="20"/>
                <w:color w:val="auto"/>
              </w:rPr>
            </w:pPr>
            <w:r>
              <w:rPr>
                <w:rFonts w:ascii="Arial" w:cs="Arial" w:eastAsia="Arial" w:hAnsi="Arial"/>
                <w:sz w:val="12"/>
                <w:szCs w:val="12"/>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Fire Safety and Emergency Management</w:t>
            </w:r>
          </w:p>
        </w:tc>
        <w:tc>
          <w:tcPr>
            <w:tcW w:w="260" w:type="dxa"/>
            <w:vAlign w:val="bottom"/>
          </w:tcPr>
          <w:p>
            <w:pPr>
              <w:ind w:left="140"/>
              <w:spacing w:after="0"/>
              <w:rPr>
                <w:sz w:val="20"/>
                <w:szCs w:val="20"/>
                <w:color w:val="auto"/>
              </w:rPr>
            </w:pPr>
            <w:r>
              <w:rPr>
                <w:rFonts w:ascii="Arial" w:cs="Arial" w:eastAsia="Arial" w:hAnsi="Arial"/>
                <w:sz w:val="12"/>
                <w:szCs w:val="12"/>
                <w:color w:val="auto"/>
              </w:rPr>
              <w:t>•</w:t>
            </w:r>
          </w:p>
        </w:tc>
        <w:tc>
          <w:tcPr>
            <w:tcW w:w="2020" w:type="dxa"/>
            <w:vAlign w:val="bottom"/>
          </w:tcPr>
          <w:p>
            <w:pPr>
              <w:ind w:left="60"/>
              <w:spacing w:after="0"/>
              <w:rPr>
                <w:sz w:val="20"/>
                <w:szCs w:val="20"/>
                <w:color w:val="auto"/>
              </w:rPr>
            </w:pPr>
            <w:r>
              <w:rPr>
                <w:rFonts w:ascii="Arial" w:cs="Arial" w:eastAsia="Arial" w:hAnsi="Arial"/>
                <w:sz w:val="12"/>
                <w:szCs w:val="12"/>
                <w:color w:val="auto"/>
              </w:rPr>
              <w:t>Health Sciences</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40" w:type="dxa"/>
            <w:vAlign w:val="bottom"/>
          </w:tcPr>
          <w:p>
            <w:pPr>
              <w:ind w:left="440"/>
              <w:spacing w:after="0"/>
              <w:rPr>
                <w:sz w:val="20"/>
                <w:szCs w:val="20"/>
                <w:color w:val="auto"/>
              </w:rPr>
            </w:pPr>
            <w:r>
              <w:rPr>
                <w:rFonts w:ascii="Arial" w:cs="Arial" w:eastAsia="Arial" w:hAnsi="Arial"/>
                <w:sz w:val="12"/>
                <w:szCs w:val="12"/>
                <w:color w:val="auto"/>
              </w:rPr>
              <w:t>•</w:t>
            </w:r>
          </w:p>
        </w:tc>
        <w:tc>
          <w:tcPr>
            <w:tcW w:w="2620" w:type="dxa"/>
            <w:vAlign w:val="bottom"/>
          </w:tcPr>
          <w:p>
            <w:pPr>
              <w:ind w:left="80"/>
              <w:spacing w:after="0"/>
              <w:rPr>
                <w:sz w:val="20"/>
                <w:szCs w:val="20"/>
                <w:color w:val="auto"/>
              </w:rPr>
            </w:pPr>
            <w:r>
              <w:rPr>
                <w:rFonts w:ascii="Arial" w:cs="Arial" w:eastAsia="Arial" w:hAnsi="Arial"/>
                <w:sz w:val="12"/>
                <w:szCs w:val="12"/>
                <w:color w:val="auto"/>
              </w:rPr>
              <w:t>Health Sciences</w:t>
            </w:r>
          </w:p>
        </w:tc>
        <w:tc>
          <w:tcPr>
            <w:tcW w:w="360" w:type="dxa"/>
            <w:vAlign w:val="bottom"/>
          </w:tcPr>
          <w:p>
            <w:pPr>
              <w:ind w:left="260"/>
              <w:spacing w:after="0"/>
              <w:rPr>
                <w:sz w:val="20"/>
                <w:szCs w:val="20"/>
                <w:color w:val="auto"/>
              </w:rPr>
            </w:pPr>
            <w:r>
              <w:rPr>
                <w:rFonts w:ascii="Arial" w:cs="Arial" w:eastAsia="Arial" w:hAnsi="Arial"/>
                <w:sz w:val="12"/>
                <w:szCs w:val="12"/>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Health Sciences</w:t>
            </w:r>
          </w:p>
        </w:tc>
        <w:tc>
          <w:tcPr>
            <w:tcW w:w="260" w:type="dxa"/>
            <w:vAlign w:val="bottom"/>
          </w:tcPr>
          <w:p>
            <w:pPr>
              <w:ind w:left="140"/>
              <w:spacing w:after="0"/>
              <w:rPr>
                <w:sz w:val="20"/>
                <w:szCs w:val="20"/>
                <w:color w:val="auto"/>
              </w:rPr>
            </w:pPr>
            <w:r>
              <w:rPr>
                <w:rFonts w:ascii="Arial" w:cs="Arial" w:eastAsia="Arial" w:hAnsi="Arial"/>
                <w:sz w:val="12"/>
                <w:szCs w:val="12"/>
                <w:color w:val="auto"/>
              </w:rPr>
              <w:t>•</w:t>
            </w:r>
          </w:p>
        </w:tc>
        <w:tc>
          <w:tcPr>
            <w:tcW w:w="2020" w:type="dxa"/>
            <w:vAlign w:val="bottom"/>
          </w:tcPr>
          <w:p>
            <w:pPr>
              <w:ind w:left="60"/>
              <w:spacing w:after="0"/>
              <w:rPr>
                <w:sz w:val="20"/>
                <w:szCs w:val="20"/>
                <w:color w:val="auto"/>
              </w:rPr>
            </w:pPr>
            <w:r>
              <w:rPr>
                <w:rFonts w:ascii="Arial" w:cs="Arial" w:eastAsia="Arial" w:hAnsi="Arial"/>
                <w:sz w:val="12"/>
                <w:szCs w:val="12"/>
                <w:color w:val="auto"/>
              </w:rPr>
              <w:t>Higher Education Studies</w:t>
            </w: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40" w:type="dxa"/>
            <w:vAlign w:val="bottom"/>
          </w:tcPr>
          <w:p>
            <w:pPr>
              <w:ind w:left="440"/>
              <w:spacing w:after="0"/>
              <w:rPr>
                <w:sz w:val="20"/>
                <w:szCs w:val="20"/>
                <w:color w:val="auto"/>
              </w:rPr>
            </w:pPr>
            <w:r>
              <w:rPr>
                <w:rFonts w:ascii="Arial" w:cs="Arial" w:eastAsia="Arial" w:hAnsi="Arial"/>
                <w:sz w:val="12"/>
                <w:szCs w:val="12"/>
                <w:color w:val="auto"/>
              </w:rPr>
              <w:t>•</w:t>
            </w:r>
          </w:p>
        </w:tc>
        <w:tc>
          <w:tcPr>
            <w:tcW w:w="2620" w:type="dxa"/>
            <w:vAlign w:val="bottom"/>
          </w:tcPr>
          <w:p>
            <w:pPr>
              <w:ind w:left="80"/>
              <w:spacing w:after="0"/>
              <w:rPr>
                <w:sz w:val="20"/>
                <w:szCs w:val="20"/>
                <w:color w:val="auto"/>
              </w:rPr>
            </w:pPr>
            <w:r>
              <w:rPr>
                <w:rFonts w:ascii="Arial" w:cs="Arial" w:eastAsia="Arial" w:hAnsi="Arial"/>
                <w:sz w:val="12"/>
                <w:szCs w:val="12"/>
                <w:color w:val="auto"/>
              </w:rPr>
              <w:t>Information Systems and Technology</w:t>
            </w:r>
          </w:p>
        </w:tc>
        <w:tc>
          <w:tcPr>
            <w:tcW w:w="360" w:type="dxa"/>
            <w:vAlign w:val="bottom"/>
          </w:tcPr>
          <w:p>
            <w:pPr>
              <w:ind w:left="260"/>
              <w:spacing w:after="0"/>
              <w:rPr>
                <w:sz w:val="20"/>
                <w:szCs w:val="20"/>
                <w:color w:val="auto"/>
              </w:rPr>
            </w:pPr>
            <w:r>
              <w:rPr>
                <w:rFonts w:ascii="Arial" w:cs="Arial" w:eastAsia="Arial" w:hAnsi="Arial"/>
                <w:sz w:val="12"/>
                <w:szCs w:val="12"/>
                <w:color w:val="auto"/>
              </w:rPr>
              <w:t>•</w:t>
            </w:r>
          </w:p>
        </w:tc>
        <w:tc>
          <w:tcPr>
            <w:tcW w:w="2500" w:type="dxa"/>
            <w:vAlign w:val="bottom"/>
          </w:tcPr>
          <w:p>
            <w:pPr>
              <w:ind w:left="80"/>
              <w:spacing w:after="0"/>
              <w:rPr>
                <w:sz w:val="20"/>
                <w:szCs w:val="20"/>
                <w:color w:val="auto"/>
              </w:rPr>
            </w:pPr>
            <w:r>
              <w:rPr>
                <w:rFonts w:ascii="Arial" w:cs="Arial" w:eastAsia="Arial" w:hAnsi="Arial"/>
                <w:sz w:val="12"/>
                <w:szCs w:val="12"/>
                <w:color w:val="auto"/>
              </w:rPr>
              <w:t>Information Systems</w:t>
            </w:r>
          </w:p>
        </w:tc>
        <w:tc>
          <w:tcPr>
            <w:tcW w:w="260" w:type="dxa"/>
            <w:vAlign w:val="bottom"/>
          </w:tcPr>
          <w:p>
            <w:pPr>
              <w:ind w:left="140"/>
              <w:spacing w:after="0"/>
              <w:rPr>
                <w:sz w:val="20"/>
                <w:szCs w:val="20"/>
                <w:color w:val="auto"/>
              </w:rPr>
            </w:pPr>
            <w:r>
              <w:rPr>
                <w:rFonts w:ascii="Arial" w:cs="Arial" w:eastAsia="Arial" w:hAnsi="Arial"/>
                <w:sz w:val="12"/>
                <w:szCs w:val="12"/>
                <w:color w:val="auto"/>
              </w:rPr>
              <w:t>•</w:t>
            </w:r>
          </w:p>
        </w:tc>
        <w:tc>
          <w:tcPr>
            <w:tcW w:w="2020" w:type="dxa"/>
            <w:vAlign w:val="bottom"/>
          </w:tcPr>
          <w:p>
            <w:pPr>
              <w:ind w:left="60"/>
              <w:spacing w:after="0"/>
              <w:rPr>
                <w:sz w:val="20"/>
                <w:szCs w:val="20"/>
                <w:color w:val="auto"/>
              </w:rPr>
            </w:pPr>
            <w:r>
              <w:rPr>
                <w:rFonts w:ascii="Arial" w:cs="Arial" w:eastAsia="Arial" w:hAnsi="Arial"/>
                <w:sz w:val="12"/>
                <w:szCs w:val="12"/>
                <w:color w:val="auto"/>
              </w:rPr>
              <w:t>Information Systems and Technolog</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160" w:type="dxa"/>
            <w:vAlign w:val="bottom"/>
            <w:gridSpan w:val="2"/>
            <w:vMerge w:val="restart"/>
          </w:tcPr>
          <w:p>
            <w:pPr>
              <w:ind w:left="440"/>
              <w:spacing w:after="0"/>
              <w:rPr>
                <w:sz w:val="20"/>
                <w:szCs w:val="20"/>
                <w:color w:val="auto"/>
              </w:rPr>
            </w:pPr>
            <w:r>
              <w:rPr>
                <w:rFonts w:ascii="Arial" w:cs="Arial" w:eastAsia="Arial" w:hAnsi="Arial"/>
                <w:sz w:val="12"/>
                <w:szCs w:val="12"/>
                <w:color w:val="auto"/>
              </w:rPr>
              <w:t>•  Legal and Paralegal Studies</w:t>
            </w:r>
          </w:p>
        </w:tc>
        <w:tc>
          <w:tcPr>
            <w:tcW w:w="360" w:type="dxa"/>
            <w:vAlign w:val="bottom"/>
          </w:tcPr>
          <w:p>
            <w:pPr>
              <w:spacing w:after="0"/>
              <w:rPr>
                <w:sz w:val="12"/>
                <w:szCs w:val="12"/>
                <w:color w:val="auto"/>
              </w:rPr>
            </w:pPr>
          </w:p>
        </w:tc>
        <w:tc>
          <w:tcPr>
            <w:tcW w:w="2500" w:type="dxa"/>
            <w:vAlign w:val="bottom"/>
          </w:tcPr>
          <w:p>
            <w:pPr>
              <w:ind w:left="80"/>
              <w:spacing w:after="0"/>
              <w:rPr>
                <w:sz w:val="20"/>
                <w:szCs w:val="20"/>
                <w:color w:val="auto"/>
              </w:rPr>
            </w:pPr>
            <w:r>
              <w:rPr>
                <w:rFonts w:ascii="Arial" w:cs="Arial" w:eastAsia="Arial" w:hAnsi="Arial"/>
                <w:sz w:val="12"/>
                <w:szCs w:val="12"/>
                <w:color w:val="auto"/>
              </w:rPr>
              <w:t>and Technology</w:t>
            </w:r>
          </w:p>
        </w:tc>
        <w:tc>
          <w:tcPr>
            <w:tcW w:w="2280" w:type="dxa"/>
            <w:vAlign w:val="bottom"/>
            <w:gridSpan w:val="2"/>
            <w:vMerge w:val="restart"/>
          </w:tcPr>
          <w:p>
            <w:pPr>
              <w:ind w:left="140"/>
              <w:spacing w:after="0"/>
              <w:rPr>
                <w:sz w:val="20"/>
                <w:szCs w:val="20"/>
                <w:color w:val="auto"/>
              </w:rPr>
            </w:pPr>
            <w:r>
              <w:rPr>
                <w:rFonts w:ascii="Arial" w:cs="Arial" w:eastAsia="Arial" w:hAnsi="Arial"/>
                <w:sz w:val="12"/>
                <w:szCs w:val="12"/>
                <w:color w:val="auto"/>
              </w:rPr>
              <w:t>•  Legal and Paralegal Studies</w:t>
            </w: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3160" w:type="dxa"/>
            <w:vAlign w:val="bottom"/>
            <w:gridSpan w:val="2"/>
            <w:vMerge w:val="continue"/>
          </w:tcPr>
          <w:p>
            <w:pPr>
              <w:spacing w:after="0"/>
              <w:rPr>
                <w:sz w:val="5"/>
                <w:szCs w:val="5"/>
                <w:color w:val="auto"/>
              </w:rPr>
            </w:pPr>
          </w:p>
        </w:tc>
        <w:tc>
          <w:tcPr>
            <w:tcW w:w="2860" w:type="dxa"/>
            <w:vAlign w:val="bottom"/>
            <w:gridSpan w:val="2"/>
            <w:vMerge w:val="restart"/>
          </w:tcPr>
          <w:p>
            <w:pPr>
              <w:ind w:left="260"/>
              <w:spacing w:after="0"/>
              <w:rPr>
                <w:sz w:val="20"/>
                <w:szCs w:val="20"/>
                <w:color w:val="auto"/>
              </w:rPr>
            </w:pPr>
            <w:r>
              <w:rPr>
                <w:rFonts w:ascii="Arial" w:cs="Arial" w:eastAsia="Arial" w:hAnsi="Arial"/>
                <w:sz w:val="12"/>
                <w:szCs w:val="12"/>
                <w:color w:val="auto"/>
              </w:rPr>
              <w:t>•  Legal and Paralegal Studies</w:t>
            </w:r>
          </w:p>
        </w:tc>
        <w:tc>
          <w:tcPr>
            <w:tcW w:w="2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40" w:type="dxa"/>
            <w:vAlign w:val="bottom"/>
            <w:vMerge w:val="restart"/>
          </w:tcPr>
          <w:p>
            <w:pPr>
              <w:ind w:left="440"/>
              <w:spacing w:after="0"/>
              <w:rPr>
                <w:sz w:val="20"/>
                <w:szCs w:val="20"/>
                <w:color w:val="auto"/>
              </w:rPr>
            </w:pPr>
            <w:r>
              <w:rPr>
                <w:rFonts w:ascii="Arial" w:cs="Arial" w:eastAsia="Arial" w:hAnsi="Arial"/>
                <w:sz w:val="12"/>
                <w:szCs w:val="12"/>
                <w:color w:val="auto"/>
              </w:rPr>
              <w:t>•</w:t>
            </w:r>
          </w:p>
        </w:tc>
        <w:tc>
          <w:tcPr>
            <w:tcW w:w="2620" w:type="dxa"/>
            <w:vAlign w:val="bottom"/>
            <w:vMerge w:val="restart"/>
          </w:tcPr>
          <w:p>
            <w:pPr>
              <w:ind w:left="80"/>
              <w:spacing w:after="0"/>
              <w:rPr>
                <w:sz w:val="20"/>
                <w:szCs w:val="20"/>
                <w:color w:val="auto"/>
              </w:rPr>
            </w:pPr>
            <w:r>
              <w:rPr>
                <w:rFonts w:ascii="Arial" w:cs="Arial" w:eastAsia="Arial" w:hAnsi="Arial"/>
                <w:sz w:val="12"/>
                <w:szCs w:val="12"/>
                <w:color w:val="auto"/>
              </w:rPr>
              <w:t>Nursing</w:t>
            </w:r>
          </w:p>
        </w:tc>
        <w:tc>
          <w:tcPr>
            <w:tcW w:w="2860" w:type="dxa"/>
            <w:vAlign w:val="bottom"/>
            <w:gridSpan w:val="2"/>
            <w:vMerge w:val="continue"/>
          </w:tcPr>
          <w:p>
            <w:pPr>
              <w:spacing w:after="0"/>
              <w:rPr>
                <w:sz w:val="11"/>
                <w:szCs w:val="11"/>
                <w:color w:val="auto"/>
              </w:rPr>
            </w:pPr>
          </w:p>
        </w:tc>
        <w:tc>
          <w:tcPr>
            <w:tcW w:w="260" w:type="dxa"/>
            <w:vAlign w:val="bottom"/>
            <w:vMerge w:val="restart"/>
          </w:tcPr>
          <w:p>
            <w:pPr>
              <w:ind w:left="140"/>
              <w:spacing w:after="0"/>
              <w:rPr>
                <w:sz w:val="20"/>
                <w:szCs w:val="20"/>
                <w:color w:val="auto"/>
              </w:rPr>
            </w:pPr>
            <w:r>
              <w:rPr>
                <w:rFonts w:ascii="Arial" w:cs="Arial" w:eastAsia="Arial" w:hAnsi="Arial"/>
                <w:sz w:val="12"/>
                <w:szCs w:val="12"/>
                <w:color w:val="auto"/>
              </w:rPr>
              <w:t>•</w:t>
            </w:r>
          </w:p>
        </w:tc>
        <w:tc>
          <w:tcPr>
            <w:tcW w:w="2020" w:type="dxa"/>
            <w:vAlign w:val="bottom"/>
            <w:vMerge w:val="restart"/>
          </w:tcPr>
          <w:p>
            <w:pPr>
              <w:ind w:left="60"/>
              <w:spacing w:after="0"/>
              <w:rPr>
                <w:sz w:val="20"/>
                <w:szCs w:val="20"/>
                <w:color w:val="auto"/>
              </w:rPr>
            </w:pPr>
            <w:r>
              <w:rPr>
                <w:rFonts w:ascii="Arial" w:cs="Arial" w:eastAsia="Arial" w:hAnsi="Arial"/>
                <w:sz w:val="12"/>
                <w:szCs w:val="12"/>
                <w:color w:val="auto"/>
              </w:rPr>
              <w:t>Nursing</w:t>
            </w: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20" w:type="dxa"/>
            <w:vAlign w:val="bottom"/>
            <w:vMerge w:val="continue"/>
          </w:tcPr>
          <w:p>
            <w:pPr>
              <w:spacing w:after="0"/>
              <w:rPr>
                <w:sz w:val="5"/>
                <w:szCs w:val="5"/>
                <w:color w:val="auto"/>
              </w:rPr>
            </w:pPr>
          </w:p>
        </w:tc>
        <w:tc>
          <w:tcPr>
            <w:tcW w:w="36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2500" w:type="dxa"/>
            <w:vAlign w:val="bottom"/>
            <w:vMerge w:val="restart"/>
          </w:tcPr>
          <w:p>
            <w:pPr>
              <w:ind w:left="80"/>
              <w:spacing w:after="0"/>
              <w:rPr>
                <w:sz w:val="20"/>
                <w:szCs w:val="20"/>
                <w:color w:val="auto"/>
              </w:rPr>
            </w:pPr>
            <w:r>
              <w:rPr>
                <w:rFonts w:ascii="Arial" w:cs="Arial" w:eastAsia="Arial" w:hAnsi="Arial"/>
                <w:sz w:val="12"/>
                <w:szCs w:val="12"/>
                <w:color w:val="auto"/>
              </w:rPr>
              <w:t>Nursing</w:t>
            </w:r>
          </w:p>
        </w:tc>
        <w:tc>
          <w:tcPr>
            <w:tcW w:w="26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3160" w:type="dxa"/>
            <w:vAlign w:val="bottom"/>
            <w:gridSpan w:val="2"/>
            <w:vMerge w:val="restart"/>
          </w:tcPr>
          <w:p>
            <w:pPr>
              <w:ind w:left="440"/>
              <w:spacing w:after="0"/>
              <w:rPr>
                <w:sz w:val="20"/>
                <w:szCs w:val="20"/>
                <w:color w:val="auto"/>
              </w:rPr>
            </w:pPr>
            <w:r>
              <w:rPr>
                <w:rFonts w:ascii="Arial" w:cs="Arial" w:eastAsia="Arial" w:hAnsi="Arial"/>
                <w:sz w:val="12"/>
                <w:szCs w:val="12"/>
                <w:color w:val="auto"/>
              </w:rPr>
              <w:t>•  Political Science and Public</w:t>
            </w:r>
          </w:p>
        </w:tc>
        <w:tc>
          <w:tcPr>
            <w:tcW w:w="36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260" w:type="dxa"/>
            <w:vAlign w:val="bottom"/>
            <w:vMerge w:val="restart"/>
          </w:tcPr>
          <w:p>
            <w:pPr>
              <w:ind w:left="140"/>
              <w:spacing w:after="0"/>
              <w:rPr>
                <w:sz w:val="20"/>
                <w:szCs w:val="20"/>
                <w:color w:val="auto"/>
              </w:rPr>
            </w:pPr>
            <w:r>
              <w:rPr>
                <w:rFonts w:ascii="Arial" w:cs="Arial" w:eastAsia="Arial" w:hAnsi="Arial"/>
                <w:sz w:val="12"/>
                <w:szCs w:val="12"/>
                <w:color w:val="auto"/>
              </w:rPr>
              <w:t>•</w:t>
            </w:r>
          </w:p>
        </w:tc>
        <w:tc>
          <w:tcPr>
            <w:tcW w:w="2020" w:type="dxa"/>
            <w:vAlign w:val="bottom"/>
            <w:vMerge w:val="restart"/>
          </w:tcPr>
          <w:p>
            <w:pPr>
              <w:ind w:left="60"/>
              <w:spacing w:after="0"/>
              <w:rPr>
                <w:sz w:val="20"/>
                <w:szCs w:val="20"/>
                <w:color w:val="auto"/>
              </w:rPr>
            </w:pPr>
            <w:r>
              <w:rPr>
                <w:rFonts w:ascii="Arial" w:cs="Arial" w:eastAsia="Arial" w:hAnsi="Arial"/>
                <w:sz w:val="12"/>
                <w:szCs w:val="12"/>
                <w:color w:val="auto"/>
              </w:rPr>
              <w:t>Teacher Education</w:t>
            </w: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2540" w:type="dxa"/>
            <w:vAlign w:val="bottom"/>
          </w:tcPr>
          <w:p>
            <w:pPr>
              <w:spacing w:after="0"/>
              <w:rPr>
                <w:sz w:val="5"/>
                <w:szCs w:val="5"/>
                <w:color w:val="auto"/>
              </w:rPr>
            </w:pPr>
          </w:p>
        </w:tc>
        <w:tc>
          <w:tcPr>
            <w:tcW w:w="3160" w:type="dxa"/>
            <w:vAlign w:val="bottom"/>
            <w:gridSpan w:val="2"/>
            <w:vMerge w:val="continue"/>
          </w:tcPr>
          <w:p>
            <w:pPr>
              <w:spacing w:after="0"/>
              <w:rPr>
                <w:sz w:val="5"/>
                <w:szCs w:val="5"/>
                <w:color w:val="auto"/>
              </w:rPr>
            </w:pPr>
          </w:p>
        </w:tc>
        <w:tc>
          <w:tcPr>
            <w:tcW w:w="36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2500" w:type="dxa"/>
            <w:vAlign w:val="bottom"/>
            <w:vMerge w:val="restart"/>
          </w:tcPr>
          <w:p>
            <w:pPr>
              <w:ind w:left="80"/>
              <w:spacing w:after="0"/>
              <w:rPr>
                <w:sz w:val="20"/>
                <w:szCs w:val="20"/>
                <w:color w:val="auto"/>
              </w:rPr>
            </w:pPr>
            <w:r>
              <w:rPr>
                <w:rFonts w:ascii="Arial" w:cs="Arial" w:eastAsia="Arial" w:hAnsi="Arial"/>
                <w:sz w:val="12"/>
                <w:szCs w:val="12"/>
                <w:color w:val="auto"/>
              </w:rPr>
              <w:t>Political Science and Public</w:t>
            </w:r>
          </w:p>
        </w:tc>
        <w:tc>
          <w:tcPr>
            <w:tcW w:w="26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20" w:type="dxa"/>
            <w:vAlign w:val="bottom"/>
          </w:tcPr>
          <w:p>
            <w:pPr>
              <w:ind w:left="80"/>
              <w:spacing w:after="0"/>
              <w:rPr>
                <w:sz w:val="20"/>
                <w:szCs w:val="20"/>
                <w:color w:val="auto"/>
              </w:rPr>
            </w:pPr>
            <w:r>
              <w:rPr>
                <w:rFonts w:ascii="Arial" w:cs="Arial" w:eastAsia="Arial" w:hAnsi="Arial"/>
                <w:sz w:val="12"/>
                <w:szCs w:val="12"/>
                <w:color w:val="auto"/>
              </w:rPr>
              <w:t>and Environmental Policy</w:t>
            </w:r>
          </w:p>
        </w:tc>
        <w:tc>
          <w:tcPr>
            <w:tcW w:w="360" w:type="dxa"/>
            <w:vAlign w:val="bottom"/>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tcPr>
          <w:p>
            <w:pPr>
              <w:ind w:left="80"/>
              <w:spacing w:after="0"/>
              <w:rPr>
                <w:sz w:val="20"/>
                <w:szCs w:val="20"/>
                <w:color w:val="auto"/>
              </w:rPr>
            </w:pPr>
            <w:r>
              <w:rPr>
                <w:rFonts w:ascii="Arial" w:cs="Arial" w:eastAsia="Arial" w:hAnsi="Arial"/>
                <w:sz w:val="12"/>
                <w:szCs w:val="12"/>
                <w:color w:val="auto"/>
              </w:rPr>
              <w:t>and Environmental Policy</w:t>
            </w: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Kaplan University’s and KHE Campuses’ combined enrollment totaled by degree and certificate programs at December 31, 2012, 2011 and 2010 were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2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At December 31,</w:t>
            </w:r>
          </w:p>
        </w:tc>
        <w:tc>
          <w:tcPr>
            <w:tcW w:w="400" w:type="dxa"/>
            <w:vAlign w:val="bottom"/>
            <w:tcBorders>
              <w:bottom w:val="single" w:sz="8" w:color="auto"/>
            </w:tcBorders>
          </w:tcPr>
          <w:p>
            <w:pPr>
              <w:spacing w:after="0"/>
              <w:rPr>
                <w:sz w:val="13"/>
                <w:szCs w:val="13"/>
                <w:color w:val="auto"/>
              </w:rPr>
            </w:pPr>
          </w:p>
        </w:tc>
      </w:tr>
      <w:tr>
        <w:trPr>
          <w:trHeight w:val="129"/>
        </w:trPr>
        <w:tc>
          <w:tcPr>
            <w:tcW w:w="82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08"/>
              <w:spacing w:after="0" w:line="129" w:lineRule="exact"/>
              <w:rPr>
                <w:sz w:val="20"/>
                <w:szCs w:val="20"/>
                <w:color w:val="auto"/>
              </w:rPr>
            </w:pPr>
            <w:r>
              <w:rPr>
                <w:rFonts w:ascii="Arial" w:cs="Arial" w:eastAsia="Arial" w:hAnsi="Arial"/>
                <w:sz w:val="12"/>
                <w:szCs w:val="12"/>
                <w:b w:val="1"/>
                <w:bCs w:val="1"/>
                <w:color w:val="auto"/>
              </w:rPr>
              <w:t>2012</w:t>
            </w:r>
          </w:p>
        </w:tc>
        <w:tc>
          <w:tcPr>
            <w:tcW w:w="1340" w:type="dxa"/>
            <w:vAlign w:val="bottom"/>
            <w:tcBorders>
              <w:bottom w:val="single" w:sz="8" w:color="auto"/>
            </w:tcBorders>
          </w:tcPr>
          <w:p>
            <w:pPr>
              <w:jc w:val="right"/>
              <w:ind w:right="509"/>
              <w:spacing w:after="0" w:line="129" w:lineRule="exact"/>
              <w:rPr>
                <w:sz w:val="20"/>
                <w:szCs w:val="20"/>
                <w:color w:val="auto"/>
              </w:rPr>
            </w:pPr>
            <w:r>
              <w:rPr>
                <w:rFonts w:ascii="Arial" w:cs="Arial" w:eastAsia="Arial" w:hAnsi="Arial"/>
                <w:sz w:val="12"/>
                <w:szCs w:val="12"/>
                <w:color w:val="auto"/>
              </w:rPr>
              <w:t>2011</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960" w:type="dxa"/>
            <w:vAlign w:val="bottom"/>
          </w:tcPr>
          <w:p>
            <w:pPr>
              <w:jc w:val="right"/>
              <w:ind w:right="68"/>
              <w:spacing w:after="0" w:line="150" w:lineRule="exact"/>
              <w:rPr>
                <w:sz w:val="20"/>
                <w:szCs w:val="20"/>
                <w:color w:val="auto"/>
              </w:rPr>
            </w:pPr>
            <w:r>
              <w:rPr>
                <w:rFonts w:ascii="Arial" w:cs="Arial" w:eastAsia="Arial" w:hAnsi="Arial"/>
                <w:sz w:val="15"/>
                <w:szCs w:val="15"/>
                <w:b w:val="1"/>
                <w:bCs w:val="1"/>
                <w:color w:val="auto"/>
              </w:rPr>
              <w:t>23.2 %</w:t>
            </w:r>
          </w:p>
        </w:tc>
        <w:tc>
          <w:tcPr>
            <w:tcW w:w="1340" w:type="dxa"/>
            <w:vAlign w:val="bottom"/>
          </w:tcPr>
          <w:p>
            <w:pPr>
              <w:jc w:val="right"/>
              <w:ind w:right="269"/>
              <w:spacing w:after="0" w:line="150" w:lineRule="exact"/>
              <w:rPr>
                <w:sz w:val="20"/>
                <w:szCs w:val="20"/>
                <w:color w:val="auto"/>
              </w:rPr>
            </w:pPr>
            <w:r>
              <w:rPr>
                <w:rFonts w:ascii="Arial" w:cs="Arial" w:eastAsia="Arial" w:hAnsi="Arial"/>
                <w:sz w:val="15"/>
                <w:szCs w:val="15"/>
                <w:color w:val="auto"/>
              </w:rPr>
              <w:t>23.6 %</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Associate's</w:t>
            </w:r>
          </w:p>
        </w:tc>
        <w:tc>
          <w:tcPr>
            <w:tcW w:w="960" w:type="dxa"/>
            <w:vAlign w:val="bottom"/>
          </w:tcPr>
          <w:p>
            <w:pPr>
              <w:jc w:val="right"/>
              <w:ind w:right="68"/>
              <w:spacing w:after="0"/>
              <w:rPr>
                <w:sz w:val="20"/>
                <w:szCs w:val="20"/>
                <w:color w:val="auto"/>
              </w:rPr>
            </w:pPr>
            <w:r>
              <w:rPr>
                <w:rFonts w:ascii="Arial" w:cs="Arial" w:eastAsia="Arial" w:hAnsi="Arial"/>
                <w:sz w:val="15"/>
                <w:szCs w:val="15"/>
                <w:b w:val="1"/>
                <w:bCs w:val="1"/>
                <w:color w:val="auto"/>
              </w:rPr>
              <w:t>29.1 %</w:t>
            </w:r>
          </w:p>
        </w:tc>
        <w:tc>
          <w:tcPr>
            <w:tcW w:w="1340" w:type="dxa"/>
            <w:vAlign w:val="bottom"/>
          </w:tcPr>
          <w:p>
            <w:pPr>
              <w:jc w:val="right"/>
              <w:ind w:right="269"/>
              <w:spacing w:after="0"/>
              <w:rPr>
                <w:sz w:val="20"/>
                <w:szCs w:val="20"/>
                <w:color w:val="auto"/>
              </w:rPr>
            </w:pPr>
            <w:r>
              <w:rPr>
                <w:rFonts w:ascii="Arial" w:cs="Arial" w:eastAsia="Arial" w:hAnsi="Arial"/>
                <w:sz w:val="15"/>
                <w:szCs w:val="15"/>
                <w:color w:val="auto"/>
              </w:rPr>
              <w:t>30.3 %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Bachelor's</w:t>
            </w:r>
          </w:p>
        </w:tc>
        <w:tc>
          <w:tcPr>
            <w:tcW w:w="960" w:type="dxa"/>
            <w:vAlign w:val="bottom"/>
          </w:tcPr>
          <w:p>
            <w:pPr>
              <w:jc w:val="right"/>
              <w:ind w:right="68"/>
              <w:spacing w:after="0"/>
              <w:rPr>
                <w:sz w:val="20"/>
                <w:szCs w:val="20"/>
                <w:color w:val="auto"/>
              </w:rPr>
            </w:pPr>
            <w:r>
              <w:rPr>
                <w:rFonts w:ascii="Arial" w:cs="Arial" w:eastAsia="Arial" w:hAnsi="Arial"/>
                <w:sz w:val="15"/>
                <w:szCs w:val="15"/>
                <w:b w:val="1"/>
                <w:bCs w:val="1"/>
                <w:color w:val="auto"/>
              </w:rPr>
              <w:t>33.8 %</w:t>
            </w:r>
          </w:p>
        </w:tc>
        <w:tc>
          <w:tcPr>
            <w:tcW w:w="1340" w:type="dxa"/>
            <w:vAlign w:val="bottom"/>
          </w:tcPr>
          <w:p>
            <w:pPr>
              <w:jc w:val="right"/>
              <w:ind w:right="269"/>
              <w:spacing w:after="0"/>
              <w:rPr>
                <w:sz w:val="20"/>
                <w:szCs w:val="20"/>
                <w:color w:val="auto"/>
              </w:rPr>
            </w:pPr>
            <w:r>
              <w:rPr>
                <w:rFonts w:ascii="Arial" w:cs="Arial" w:eastAsia="Arial" w:hAnsi="Arial"/>
                <w:sz w:val="15"/>
                <w:szCs w:val="15"/>
                <w:color w:val="auto"/>
              </w:rPr>
              <w:t>34.6 %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Master's</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13.9 %</w:t>
            </w:r>
          </w:p>
        </w:tc>
        <w:tc>
          <w:tcPr>
            <w:tcW w:w="134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color w:val="auto"/>
              </w:rPr>
              <w:t>11.5 %</w:t>
            </w:r>
          </w:p>
        </w:tc>
        <w:tc>
          <w:tcPr>
            <w:tcW w:w="400" w:type="dxa"/>
            <w:vAlign w:val="bottom"/>
            <w:tcBorders>
              <w:bottom w:val="single" w:sz="8" w:color="auto"/>
            </w:tcBorders>
          </w:tcPr>
          <w:p>
            <w:pPr>
              <w:spacing w:after="0"/>
              <w:rPr>
                <w:sz w:val="16"/>
                <w:szCs w:val="16"/>
                <w:color w:val="auto"/>
              </w:rPr>
            </w:pPr>
          </w:p>
        </w:tc>
      </w:tr>
      <w:tr>
        <w:trPr>
          <w:trHeight w:val="166"/>
        </w:trPr>
        <w:tc>
          <w:tcPr>
            <w:tcW w:w="82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9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100.0 %</w:t>
            </w:r>
          </w:p>
        </w:tc>
        <w:tc>
          <w:tcPr>
            <w:tcW w:w="1340" w:type="dxa"/>
            <w:vAlign w:val="bottom"/>
            <w:tcBorders>
              <w:bottom w:val="single" w:sz="8" w:color="auto"/>
            </w:tcBorders>
          </w:tcPr>
          <w:p>
            <w:pPr>
              <w:jc w:val="right"/>
              <w:ind w:right="269"/>
              <w:spacing w:after="0" w:line="167" w:lineRule="exact"/>
              <w:rPr>
                <w:sz w:val="20"/>
                <w:szCs w:val="20"/>
                <w:color w:val="auto"/>
              </w:rPr>
            </w:pPr>
            <w:r>
              <w:rPr>
                <w:rFonts w:ascii="Arial" w:cs="Arial" w:eastAsia="Arial" w:hAnsi="Arial"/>
                <w:sz w:val="15"/>
                <w:szCs w:val="15"/>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Aid Programs and Regulatory Environment</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Funds provided under the U.S. Federal student financial aid programs that have been created under Title IV of the U.S. Federal Higher Education Act 1965, as amended (Higher Education Act), historically have been responsible for a majority of the KHE revenues. During 2012, funds received under programs accounted for approximately $882 million, or approximately 77%, of total KHE revenues, and 40% of Kaplan, Inc. revenues. The Company estimates that funds received from students borrowing under third-party private loan programs comprised approximately 1% of its KHE revenues. Beg in 2008 and continuing through 2012, as the private loan market deteriorated, KHE provided loans directly to some Kaplan students under its third-par institutional loan program. Lending under Kaplan’s institutional loan program totaled approximately 4% of its KHE revenues in 2012. Direct student payments, funds received under various</w:t>
      </w:r>
    </w:p>
    <w:p>
      <w:pPr>
        <w:spacing w:after="0" w:line="20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5" w:name="page6"/>
    <w:bookmarkEnd w:id="5"/>
    <w:p>
      <w:pPr>
        <w:jc w:val="both"/>
        <w:ind w:right="20"/>
        <w:spacing w:after="0" w:line="235" w:lineRule="auto"/>
        <w:rPr>
          <w:sz w:val="20"/>
          <w:szCs w:val="20"/>
          <w:color w:val="auto"/>
        </w:rPr>
      </w:pPr>
      <w:r>
        <w:rPr>
          <w:rFonts w:ascii="Arial" w:cs="Arial" w:eastAsia="Arial" w:hAnsi="Arial"/>
          <w:sz w:val="17"/>
          <w:szCs w:val="17"/>
          <w:color w:val="auto"/>
        </w:rPr>
        <w:t>state and agency grant programs and corporate reimbursement under tuition assistance programs accounted for most of the remaining 2012 KHE rev The significant role of Title IV funding in the operations of KHE is expected to continue.</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U.S. Federal student financial aid programs created under Title IV of the Higher Education Act (Title IV programs) encompass various forms of stu loans and non-repayable grants. In some cases, the U.S. Federal government subsidizes part of the interest expense of Title IV loans. Subsidized loa grants are only available to students who can demonstrate financial need. During 2012, about 70% of the approximate $882 million of Title IV funds re by KHE came from student loans, and approximately 30% of such funds came from grants.</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6"/>
          <w:szCs w:val="16"/>
          <w:b w:val="1"/>
          <w:bCs w:val="1"/>
          <w:i w:val="1"/>
          <w:iCs w:val="1"/>
          <w:color w:val="auto"/>
        </w:rPr>
        <w:t xml:space="preserve">Title IV Eligibility and Compliance With Title IV Program Requirements. </w:t>
      </w:r>
      <w:r>
        <w:rPr>
          <w:rFonts w:ascii="Arial" w:cs="Arial" w:eastAsia="Arial" w:hAnsi="Arial"/>
          <w:sz w:val="16"/>
          <w:szCs w:val="16"/>
          <w:color w:val="auto"/>
        </w:rPr>
        <w:t>To maintain eligibility to participate in Title IV programs, a school must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extensive statutory and regulatory requirements relating to its financial aid management, educational programs, financial strength, administrative capability, compensation practices, facilities, recruiting practices and various other matters. In addition, the school must be licensed, or otherwise legal authorized, to offer postsecondary educational programs by the appropriate governmental body in the state or states in which it is physically located or otherwise subject to state authorization requirements, be accredited by an accrediting agency recognized by the DOE and be certified to participate in Title IV programs by the DOE. Schools are required periodically to apply for renewal of their authorization, accreditation or certification with the applica state governmental bodies, accrediting agencies and the DOE. In accordance with DOE regulations, some KHE schools operate individually or are combined into groups of two or more schools for the purpose of determining compliance with certain Title IV requirements, and each school or school is assigned its own identification number, known as an OPEID number. As a result, the schools in KHE have a total of 30 OPEID numbers. No assura can be given that the Kaplan schools, or individual programs within schools, will maintain their Title IV eligibility, accreditation and state authorization i future or that the DOE might not successfully assert that one or more of such schools have previously failed to comply with Title IV requirements.</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DOE may place a school on provisional certification status under certain circumstances, including, but not limited to, failure to satisfy certain stand of financial responsibility or administrative capability or upon a change in ownership resulting in a change of control. Provisional certification status car fewer due process protections than full certification. As a result, the DOE may withdraw an institution’s provisional certification more easily than if it is f certified. In addition, the DOE may subject an institution on provisional certification status to greater scrutiny in some instances, for example, when it a for approval to add a new location or program or makes another substantive change. Provisional certification does not otherwise limit access to Title IV program funds by students attending the institution. As of December 31, 2012, one KHE OPEID, which had 482 students, is provisionally certified.</w:t>
      </w:r>
    </w:p>
    <w:p>
      <w:pPr>
        <w:spacing w:after="0" w:line="17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In addition, if the DOE finds that a school has failed to comply with Title IV requirements or improperly disbursed or retained Title IV program funds, it take one or more of a number of actions, including fining the school, requiring the school to repay Title IV program funds, limiting or terminating the sc eligibility to participate in Title IV programs, initiating an emergency action to suspend the school’s participation in the Title IV programs without prior n or opportunity for a hearing, transferring the school to a method of Title IV payment that would adversely affect the timing of the institution’s receipt of funds, requiring the submission of a letter of credit, denying or refusing to consider the school’s application for renewal of its certification to participate Title IV programs or for approval to add a new campus or educational program, and referring the matter for possible civil or criminal investigation. Ther be no assurance that the DOE will not take any of these or other actions in the future, whether as a result of a lawsuit, program review or otherwise. T is not exhaustive. There may be other actions the DOE may take and other legal theories under which a school could be sued as a result of alleged irregularities in the administration of student financial aid. See Item 1A. Risk Factors, including Failure to Comply With Statutory and Regulatory Requirements Could Result in Loss of Access to U.S. Federal Student Loans and Grants Under Title IV, a Requirement to Pay Fines or Monetary Liab or Other Sanctions.</w:t>
      </w:r>
    </w:p>
    <w:p>
      <w:pPr>
        <w:spacing w:after="0" w:line="16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 xml:space="preserve">Student Default Rates. </w:t>
      </w:r>
      <w:r>
        <w:rPr>
          <w:rFonts w:ascii="Arial" w:cs="Arial" w:eastAsia="Arial" w:hAnsi="Arial"/>
          <w:sz w:val="17"/>
          <w:szCs w:val="17"/>
          <w:color w:val="auto"/>
        </w:rPr>
        <w:t>A school may lose its eligibility to participate in Title IV programs if student defaults on the repayment of Title IV loans exceed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specified rates, referred to as “cohort default rates.” The DOE calculates a cohort default rate for each of KHE’s OPEID numbers. The schools in an O number whose cohort default rate exceeds 40% for any single year lose their eligibility to participate in the U.S. Federal Family Education Loan (FFEL Direct Loan programs effective 30 days after notification from the DOE and for at least two fiscal years, except in the event of a successful adjustment appeal. The schools in an OPEID number whose cohort default rate equals or exceeds 25% for three consecutive years lose their Title IV eligibility to participate in FFEL, Direct Loan and U.S. Federal Pell Grant</w:t>
      </w:r>
    </w:p>
    <w:p>
      <w:pPr>
        <w:spacing w:after="0" w:line="19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6" w:name="page7"/>
    <w:bookmarkEnd w:id="6"/>
    <w:p>
      <w:pPr>
        <w:jc w:val="both"/>
        <w:spacing w:after="0" w:line="233" w:lineRule="auto"/>
        <w:rPr>
          <w:sz w:val="20"/>
          <w:szCs w:val="20"/>
          <w:color w:val="auto"/>
        </w:rPr>
      </w:pPr>
      <w:r>
        <w:rPr>
          <w:rFonts w:ascii="Arial" w:cs="Arial" w:eastAsia="Arial" w:hAnsi="Arial"/>
          <w:sz w:val="17"/>
          <w:szCs w:val="17"/>
          <w:color w:val="auto"/>
        </w:rPr>
        <w:t>programs effective 30 days after notification from the DOE and for at least two fiscal years, except in the event of a successful adjustment or appeal. T schools in an OPEID number whose cohort default rate equals or exceeds 25% in any one of the three most recent fiscal years for which rates have b issued by the DOE may be placed on provisional certification by the DOE.</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enactment in August 2008 of the U.S. Federal Higher Education Opportunity Act (HEOA), which reauthorized the Higher Education Act, changed methodology that will be used to calculate cohort default rates. Under the revised law, the period of time for which student defaults are tracked and inc in the cohort default rate calculation is extended by one year, which is expected to increase the cohort default rates for most institutions. The change t calculation period became effective with the calculation of institutions’ official three-year cohort default rates for the U.S. Federal fiscal year ending September 30, 2009; those rates were issued by the DOE in 2012. The DOE will not impose sanctions based on rates calculated under this new methodology until rates for three consecutive years have been calculated, which is expected to occur in 2014. Until that time, the DOE will continue to calculate rates under the old method and impose sanctions based on those rates. The revised law also increases the threshold for ending an institutio participation in certain Title IV programs from 25% to 30% for three consecutive years, effective for three-year cohort default rates issued beginning in year 2012. The revised law changes the threshold for placement on provisional certification to 30% for two of the three most recent fiscal years for whi DOE has published official three-year cohort default rates. For the Federal fiscal year ending September 30, 2009, five KHE Campuses OPEIDs, representing 2.6% of KHE’s 2012 revenue, had three-year rates over 30%, and no KHE OPEID had a three-year rate over 40%.</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two-year cohort default rates for Kaplan University for the U.S. Federal fiscal year periods 2010 and 2009 were 16.8% and 17.3%, respectively. T two-year cohort default rates for the remaining KHE reporting units for those U.S. Federal fiscal year periods ranged from 7.5% to 25.3% for 2010 and to 23.9% for 2009. One campus (Pittsburgh) has a two-year rate of 25.3% for 2010. This is the first year that a campus has exceeded the 25% thresho and we have not received any communication to date that would suggest that the DOE will take any action with respect to the Pittsburgh campus base its default rate. For 2010, the combined default rate for all KHE reporting units as a whole was 16.5%</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Kaplan believes that student loan default rates tend to correlate directly to a student’s family income level, such that lower income students will have h default rates. KHE’s student population generally tends to come from lower income groups than those of other providers of higher education, including for-profit providers. In addition, because KHE receives a significantly lower level of U.S. taxpayer-funded grants and subsidies than community college state schools and not-for-profit schools, KHE’s schools are more dependent on tuition, and its students are more dependent on loans.</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has dedicated resources to help students who are at risk of default. Kaplan personnel contact students and provide assistance, which includes providing students with specific loan repayment information, lender contact information and debt counseling. Kaplan has also implemented a financial literacy and counseling program for current students, and provides career counseling services. However, no assurances can be given that these resou will enable Kaplan’s schools to maintain cohort default rates below the thresholds for sanctions.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the fourth quarter of 2010, most programs at Kaplan University and KHE Campuses implemented the Kaplan Commitment. Under this program, stu may enroll in classes for several weeks and assess whether their educational experience meets their needs and expectations before incurring any significant financial obligation. Kaplan also conducts assessments to help determine whether students are likely to be successful in their chosen cours study. Students who choose to withdraw from the program during this time frame (risk-free period) and students who do not pass the assessment do n have to pay for the coursework. Kaplan believes that the Kaplan Commitment will help ensure that its student body is more committed, better academi prepared and more likely to complete their programs. In Kaplan’s experience, students who withdraw prior to program completion demonstrate a highe default rate than those who continue through to graduation. Kaplan is hopeful that the Kaplan Commitment will also improve cohort default rates as st who might have withdrawn previously with debt will now leave a program under the Kaplan Commitment. Although Kaplan has taken the above steps dedicated resources to mitigate the increased risk of student loan defaults by its students, there is no guarantee that such efforts will be successful in reducing cohort default rates. Kaplan believes that the Kaplan Commitment program is unique and reflects Kaplan’s commitment to student success.</w:t>
      </w:r>
    </w:p>
    <w:p>
      <w:pPr>
        <w:spacing w:after="0" w:line="38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7" w:name="page8"/>
    <w:bookmarkEnd w:id="7"/>
    <w:p>
      <w:pPr>
        <w:ind w:left="9"/>
        <w:spacing w:after="0" w:line="255" w:lineRule="auto"/>
        <w:rPr>
          <w:sz w:val="20"/>
          <w:szCs w:val="20"/>
          <w:color w:val="auto"/>
        </w:rPr>
      </w:pPr>
      <w:r>
        <w:rPr>
          <w:rFonts w:ascii="Arial" w:cs="Arial" w:eastAsia="Arial" w:hAnsi="Arial"/>
          <w:sz w:val="17"/>
          <w:szCs w:val="17"/>
          <w:b w:val="1"/>
          <w:bCs w:val="1"/>
          <w:i w:val="1"/>
          <w:iCs w:val="1"/>
          <w:color w:val="auto"/>
        </w:rPr>
        <w:t xml:space="preserve">Rulemaking Initiatives. </w:t>
      </w:r>
      <w:r>
        <w:rPr>
          <w:rFonts w:ascii="Arial" w:cs="Arial" w:eastAsia="Arial" w:hAnsi="Arial"/>
          <w:sz w:val="17"/>
          <w:szCs w:val="17"/>
          <w:color w:val="auto"/>
        </w:rPr>
        <w:t>On July 1, 2011, DOE regulations went into effect that were designed to address various program integrity topics. The topics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covered in the regulations include, but are not limited to, the following:</w:t>
      </w:r>
    </w:p>
    <w:p>
      <w:pPr>
        <w:spacing w:after="0" w:line="145" w:lineRule="exact"/>
        <w:rPr>
          <w:sz w:val="20"/>
          <w:szCs w:val="20"/>
          <w:color w:val="auto"/>
        </w:rPr>
      </w:pP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Revisions to the incentive compensation rule (see </w:t>
      </w:r>
      <w:r>
        <w:rPr>
          <w:rFonts w:ascii="Arial" w:cs="Arial" w:eastAsia="Arial" w:hAnsi="Arial"/>
          <w:sz w:val="17"/>
          <w:szCs w:val="17"/>
          <w:i w:val="1"/>
          <w:iCs w:val="1"/>
          <w:color w:val="auto"/>
        </w:rPr>
        <w:t>Incentive Compensation</w:t>
      </w:r>
      <w:r>
        <w:rPr>
          <w:rFonts w:ascii="Arial" w:cs="Arial" w:eastAsia="Arial" w:hAnsi="Arial"/>
          <w:sz w:val="17"/>
          <w:szCs w:val="17"/>
          <w:color w:val="auto"/>
        </w:rPr>
        <w:t xml:space="preserve"> section below);</w:t>
      </w:r>
    </w:p>
    <w:p>
      <w:pPr>
        <w:spacing w:after="0" w:line="8" w:lineRule="exact"/>
        <w:rPr>
          <w:rFonts w:ascii="Arial" w:cs="Arial" w:eastAsia="Arial" w:hAnsi="Arial"/>
          <w:sz w:val="17"/>
          <w:szCs w:val="17"/>
          <w:color w:val="auto"/>
        </w:rPr>
      </w:pPr>
    </w:p>
    <w:p>
      <w:pPr>
        <w:ind w:left="289" w:hanging="289"/>
        <w:spacing w:after="0" w:line="228" w:lineRule="auto"/>
        <w:tabs>
          <w:tab w:leader="none" w:pos="279" w:val="left"/>
        </w:tabs>
        <w:numPr>
          <w:ilvl w:val="0"/>
          <w:numId w:val="1"/>
        </w:numPr>
        <w:rPr>
          <w:rFonts w:ascii="Arial" w:cs="Arial" w:eastAsia="Arial" w:hAnsi="Arial"/>
          <w:sz w:val="17"/>
          <w:szCs w:val="17"/>
          <w:color w:val="auto"/>
        </w:rPr>
      </w:pPr>
      <w:r>
        <w:rPr>
          <w:rFonts w:ascii="Arial" w:cs="Arial" w:eastAsia="Arial" w:hAnsi="Arial"/>
          <w:sz w:val="17"/>
          <w:szCs w:val="17"/>
          <w:color w:val="auto"/>
        </w:rPr>
        <w:t>Expansion of the notice and approval requirements for adding new academic programs and new reporting and disclosure requirements for academ programs;</w:t>
      </w:r>
    </w:p>
    <w:p>
      <w:pPr>
        <w:ind w:left="289" w:hanging="289"/>
        <w:spacing w:after="0"/>
        <w:tabs>
          <w:tab w:leader="none" w:pos="289"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Revision and expansion of the types of activities that are deemed a “substantial misrepresentation” and the ability of the DOE to enforce the provis</w:t>
      </w:r>
    </w:p>
    <w:p>
      <w:pPr>
        <w:spacing w:after="0" w:line="2" w:lineRule="exact"/>
        <w:rPr>
          <w:rFonts w:ascii="Arial" w:cs="Arial" w:eastAsia="Arial" w:hAnsi="Arial"/>
          <w:sz w:val="16"/>
          <w:szCs w:val="16"/>
          <w:color w:val="auto"/>
        </w:rPr>
      </w:pPr>
    </w:p>
    <w:p>
      <w:pPr>
        <w:ind w:left="289" w:right="20" w:hanging="289"/>
        <w:spacing w:after="0" w:line="228" w:lineRule="auto"/>
        <w:tabs>
          <w:tab w:leader="none" w:pos="279"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Requirement that states authorize institutions and set forth certain minimum requirements to obtain such authorizations (see </w:t>
      </w:r>
      <w:r>
        <w:rPr>
          <w:rFonts w:ascii="Arial" w:cs="Arial" w:eastAsia="Arial" w:hAnsi="Arial"/>
          <w:sz w:val="17"/>
          <w:szCs w:val="17"/>
          <w:i w:val="1"/>
          <w:iCs w:val="1"/>
          <w:color w:val="auto"/>
        </w:rPr>
        <w:t>State Authorization</w:t>
      </w:r>
      <w:r>
        <w:rPr>
          <w:rFonts w:ascii="Arial" w:cs="Arial" w:eastAsia="Arial" w:hAnsi="Arial"/>
          <w:sz w:val="17"/>
          <w:szCs w:val="17"/>
          <w:color w:val="auto"/>
        </w:rPr>
        <w:t xml:space="preserve"> s below);</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Limiting agreements between related institutions;</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Defining a “credit hour”;</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Administration of ability-to-benefit examinations;</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Student attendance requirements;</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Proof of high school graduation;</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Verification of information included on student aid applications;</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Satisfactory academic progress;</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Retaking coursework;</w:t>
      </w:r>
    </w:p>
    <w:p>
      <w:pPr>
        <w:ind w:left="289" w:hanging="289"/>
        <w:spacing w:after="0" w:line="228" w:lineRule="auto"/>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Return of Title IV funds; and</w:t>
      </w:r>
    </w:p>
    <w:p>
      <w:pPr>
        <w:ind w:left="289" w:hanging="289"/>
        <w:spacing w:after="0"/>
        <w:tabs>
          <w:tab w:leader="none" w:pos="289" w:val="left"/>
        </w:tabs>
        <w:numPr>
          <w:ilvl w:val="0"/>
          <w:numId w:val="1"/>
        </w:numPr>
        <w:rPr>
          <w:rFonts w:ascii="Arial" w:cs="Arial" w:eastAsia="Arial" w:hAnsi="Arial"/>
          <w:sz w:val="17"/>
          <w:szCs w:val="17"/>
          <w:color w:val="auto"/>
        </w:rPr>
      </w:pPr>
      <w:r>
        <w:rPr>
          <w:rFonts w:ascii="Arial" w:cs="Arial" w:eastAsia="Arial" w:hAnsi="Arial"/>
          <w:sz w:val="17"/>
          <w:szCs w:val="17"/>
          <w:color w:val="auto"/>
        </w:rPr>
        <w:t>Disbursements of Title IV funds.</w:t>
      </w:r>
    </w:p>
    <w:p>
      <w:pPr>
        <w:spacing w:after="0" w:line="177" w:lineRule="exact"/>
        <w:rPr>
          <w:sz w:val="20"/>
          <w:szCs w:val="20"/>
          <w:color w:val="auto"/>
        </w:rPr>
      </w:pPr>
    </w:p>
    <w:p>
      <w:pPr>
        <w:jc w:val="both"/>
        <w:ind w:left="9" w:right="20"/>
        <w:spacing w:after="0" w:line="235" w:lineRule="auto"/>
        <w:rPr>
          <w:sz w:val="20"/>
          <w:szCs w:val="20"/>
          <w:color w:val="auto"/>
        </w:rPr>
      </w:pPr>
      <w:r>
        <w:rPr>
          <w:rFonts w:ascii="Arial" w:cs="Arial" w:eastAsia="Arial" w:hAnsi="Arial"/>
          <w:sz w:val="17"/>
          <w:szCs w:val="17"/>
          <w:color w:val="auto"/>
        </w:rPr>
        <w:t>The implementation of the final regulations has required KHE to change its practices to comply with these requirements, which has resulted in increas administrative costs and has also increased the risk of incorrect application of U.S. Federal financial aid.</w:t>
      </w:r>
    </w:p>
    <w:p>
      <w:pPr>
        <w:spacing w:after="0" w:line="156" w:lineRule="exact"/>
        <w:rPr>
          <w:sz w:val="20"/>
          <w:szCs w:val="20"/>
          <w:color w:val="auto"/>
        </w:rPr>
      </w:pPr>
    </w:p>
    <w:p>
      <w:pPr>
        <w:jc w:val="both"/>
        <w:ind w:left="9"/>
        <w:spacing w:after="0" w:line="257" w:lineRule="auto"/>
        <w:rPr>
          <w:sz w:val="20"/>
          <w:szCs w:val="20"/>
          <w:color w:val="auto"/>
        </w:rPr>
      </w:pPr>
      <w:r>
        <w:rPr>
          <w:rFonts w:ascii="Arial" w:cs="Arial" w:eastAsia="Arial" w:hAnsi="Arial"/>
          <w:sz w:val="16"/>
          <w:szCs w:val="16"/>
          <w:b w:val="1"/>
          <w:bCs w:val="1"/>
          <w:i w:val="1"/>
          <w:iCs w:val="1"/>
          <w:color w:val="auto"/>
        </w:rPr>
        <w:t>Gainful Employment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June 2011, the DOE issued final regulations that tie an education program’s Title IV eligibility to whether the program leads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gainful employment. On June 30, 2012, the United States District Court for the District of Columbia overturned most of the final regulations on gainful employment. The DOE is reviewing the details of the Court’s decision in consultation with the Department of Justice and evaluating their plans, which include an appeal. As a result, the ultimate outcome of gainful employment regulations and their impact on Kaplan’s operations is uncertain.</w:t>
      </w:r>
    </w:p>
    <w:p>
      <w:pPr>
        <w:spacing w:after="0" w:line="163" w:lineRule="exact"/>
        <w:rPr>
          <w:sz w:val="20"/>
          <w:szCs w:val="20"/>
          <w:color w:val="auto"/>
        </w:rPr>
      </w:pPr>
    </w:p>
    <w:p>
      <w:pPr>
        <w:ind w:left="9" w:right="20"/>
        <w:spacing w:after="0" w:line="231" w:lineRule="auto"/>
        <w:rPr>
          <w:sz w:val="20"/>
          <w:szCs w:val="20"/>
          <w:color w:val="auto"/>
        </w:rPr>
      </w:pPr>
      <w:r>
        <w:rPr>
          <w:rFonts w:ascii="Arial" w:cs="Arial" w:eastAsia="Arial" w:hAnsi="Arial"/>
          <w:sz w:val="17"/>
          <w:szCs w:val="17"/>
          <w:color w:val="auto"/>
        </w:rPr>
        <w:t>The regulations as originally issued defined an education program that leads to gainful employment as one that complies with the following gainful employment metrics as calculated under the complex formulas prescribed in the regulations: (1) the average annual loan payment for program gradu 12% or less of annual earnings; (2) the average annual loan payment for program graduates is 30% or less of discretionary income, generally defined annual earnings above 150% of the U.S. Federal poverty level; and (3) the U.S. Federal loan repayment rate must be at least 35% for loans owed by students for attendance in the program regardless of whether they graduated.</w:t>
      </w:r>
    </w:p>
    <w:p>
      <w:pPr>
        <w:spacing w:after="0" w:line="176" w:lineRule="exact"/>
        <w:rPr>
          <w:sz w:val="20"/>
          <w:szCs w:val="20"/>
          <w:color w:val="auto"/>
        </w:rPr>
      </w:pPr>
    </w:p>
    <w:p>
      <w:pPr>
        <w:ind w:left="9"/>
        <w:spacing w:after="0" w:line="229" w:lineRule="auto"/>
        <w:rPr>
          <w:sz w:val="20"/>
          <w:szCs w:val="20"/>
          <w:color w:val="auto"/>
        </w:rPr>
      </w:pPr>
      <w:r>
        <w:rPr>
          <w:rFonts w:ascii="Arial" w:cs="Arial" w:eastAsia="Arial" w:hAnsi="Arial"/>
          <w:sz w:val="17"/>
          <w:szCs w:val="17"/>
          <w:color w:val="auto"/>
        </w:rPr>
        <w:t>Under the regulations as proposed, programs would have been subject to various consequences for failure to satisfy gainful employment metrics. If a program failed all three of the gainful employment metrics in a single U.S. Federal fiscal year, the DOE would have required the institution, among oth things, to disclose to current and prospective students the amount by which the program underperformed the metrics and the institution’s plan for prog improvement and to establish a three-day waiting period before students can enroll. If a program failed to achieve the metrics twice within three years, DOE would have required the institution, among other things, to disclose to current and prospective students that they should expect to have difficulty repaying their student loans; that the program is at risk of losing eligibility to receive U.S. Federal financial aid; and that transfer options exist, including providing resources to students to research other education options and compare program costs. If a program failed three times within a four-year per the DOE would have terminated the program’s eligibility for U.S. Federal student aid, and the institution would not have been able to reestablish the program’s eligibility for at least three years, although the program could have continued to operate without student aid. The final rule was scheduled to into effect on July 1, 2012. However, the first final debt measures would not have been released until 2013, and a program could not have lost eligibilit 2015.</w:t>
      </w:r>
    </w:p>
    <w:p>
      <w:pPr>
        <w:spacing w:after="0" w:line="182"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Based on current information, Kaplan does not believe that the regulations as originally issued would have adversely impacted most of Kaplan’s curre programs. However, some of the data needed to compute program eligibility under this regulation, including graduate incomes, are not readily accessi the institutions, but are compiled by the DOE. In addition, the continuing eligibility of programs for Title IV funding may be affected by factors beyond Kaplan’s control, such</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8" w:name="page9"/>
    <w:bookmarkEnd w:id="8"/>
    <w:p>
      <w:pPr>
        <w:spacing w:after="0" w:line="233" w:lineRule="auto"/>
        <w:rPr>
          <w:sz w:val="20"/>
          <w:szCs w:val="20"/>
          <w:color w:val="auto"/>
        </w:rPr>
      </w:pPr>
      <w:r>
        <w:rPr>
          <w:rFonts w:ascii="Arial" w:cs="Arial" w:eastAsia="Arial" w:hAnsi="Arial"/>
          <w:sz w:val="17"/>
          <w:szCs w:val="17"/>
          <w:color w:val="auto"/>
        </w:rPr>
        <w:t>as changes in the actual or deemed income level of its graduates, changes in student borrowing levels, increases in interest rates, changes in the U.S Federal poverty income level relevant for calculating the discretionary income test, changes in the percentage of former students who are current in repayment of their student loans and other factors.</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i w:val="1"/>
          <w:iCs w:val="1"/>
          <w:color w:val="auto"/>
        </w:rPr>
        <w:t>Incentive Compensation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incentive compensation rule, an institution participating in Title IV programs may not provide any commission, 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incentive payment based directly or indirectly on success in securing enrollments or financial aid to any person or entity engaged in any stude recruiting or admission activities or in making decisions regarding the awarding of Title IV funds. Effective July 1, 2011, the DOE enacted changes to t incentive compensation rule that reduced the scope of permissible payments under the rule and expanded the scope of payments and employees sub the rule. Prior to the effective date of the rules, the DOE issued a “Dear Colleague Letter,” providing guidance on these rules. Kaplan has taken steps t comply with these rules and the guidance. Among the actions taken, Kaplan has revised its compensation plans for admissions personnel and elimina enrollment results as a component in the determination of compensation. Kaplan believes that this change in its approach to recruiting has adversely impacted, and will continue to adversely impact, its enrollment rates, operating costs, business and results of operation. Kaplan cannot predict how th will interpret and enforce all aspects of the revised incentive compensation rule in the future.</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 xml:space="preserve">The 90/10 Rule. </w:t>
      </w:r>
      <w:r>
        <w:rPr>
          <w:rFonts w:ascii="Arial" w:cs="Arial" w:eastAsia="Arial" w:hAnsi="Arial"/>
          <w:sz w:val="17"/>
          <w:szCs w:val="17"/>
          <w:color w:val="auto"/>
        </w:rPr>
        <w:t>Under regulations referred to as the 90/10 rule, a KHE school would lose its eligibility to participate in Title IV programs for a period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least two fiscal years if the institution derives more than 90% of its receipts from Title IV programs, as calculated on a cash basis in accordance with th Higher Education Act and applicable DOE regulations, in each of two consecutive fiscal years, commencing with the institution’s first fiscal year that en after August 14, 2008. An institution with Title IV receipts exceeding 90% for a single fiscal year ending after August 14, 2008, will be placed on provisi certification and may be subject to other enforcement measures. The 90/10 rule calculations are performed for each OPEID unit. The largest OPEID reporting unit in KHE in terms of revenue is Kaplan University, which accounted for approximately 65% of the Title IV funds received by the division in In 2012, Kaplan University derived less than 80% of its receipts from the Title IV programs, and other OPEID units derived between 71% and 88% of t receipts from Title IV programs. For 2012, a portion of the non-Title IV receipts resulted from the Kaplan Value Loan program, which has been disconti In 2011, Kaplan University derived less than 82% of its receipts from Title IV programs, and other OPEID units derived between 71% and 88% of their receipts from Title IV programs.</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 majority of KHE students are enrolled in certificate and associate’s degree programs. Revenue from certificate and associate’s degree programs is composed of a higher percentage of Title IV funds than is the case for revenue from its bachelor’s and other degree programs. KHE is taking various measures to reduce the percentage of its receipts attributable to Title IV funds, including modifying student payment options; emphasizing direct-pay a employer-paid education programs; encouraging students to carefully evaluate the amount of their Title IV borrowing; eliminating some programs; cas matching; and developing and offering additional non-Title IV-eligible certificate preparation, professional development and continuing education progr Some of the other programs may currently be offered by other Kaplan businesses. Absent the adoption of the changes mentioned above, and if curren trends continue, management estimates that in 2013, 20 of the KHE Campuses’ OPEID units, representing approximately 21% of KHE’s 2012 revenu could have a 90/10 ratio over 90%. As noted above, Kaplan is taking steps to address compliance with the 90/10 rule; however, there can be no guara that these measures will be adequate to prevent the 90/10 rule calculations at some or all of the schools from exceeding 90% in the future.</w:t>
      </w:r>
    </w:p>
    <w:p>
      <w:pPr>
        <w:spacing w:after="0" w:line="15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b w:val="1"/>
          <w:bCs w:val="1"/>
          <w:i w:val="1"/>
          <w:iCs w:val="1"/>
          <w:color w:val="auto"/>
        </w:rPr>
        <w:t xml:space="preserve">Change of Control. </w:t>
      </w:r>
      <w:r>
        <w:rPr>
          <w:rFonts w:ascii="Arial" w:cs="Arial" w:eastAsia="Arial" w:hAnsi="Arial"/>
          <w:sz w:val="17"/>
          <w:szCs w:val="17"/>
          <w:color w:val="auto"/>
        </w:rPr>
        <w:t>If one or more of Kaplan’s schools experiences a change of control under the standards of applicable state agencies, accrediting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agencies or the DOE, the applicable schools governed by such agencies must seek the approval of the relevant agencies. A school that undergoes a change of control, which may include a change of control of a school’s parent corporation or other owners, must be reviewed and recertified by the DO obtain approvals from certain state agencies and accrediting bodies, in some cases prior to the change of control. The standards pertaining to a chang control are not uniform and are subject to interpretation by the respective agencies. Certifications obtained from the DOE following a change in control granted on a provisional basis that permits the school to continue participating in Title IV programs, but provides fewer procedural protections if the DO asserts a material violation of Title IV requirements.</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Standards of Financial Responsibility. </w:t>
      </w:r>
      <w:r>
        <w:rPr>
          <w:rFonts w:ascii="Arial" w:cs="Arial" w:eastAsia="Arial" w:hAnsi="Arial"/>
          <w:sz w:val="17"/>
          <w:szCs w:val="17"/>
          <w:color w:val="auto"/>
        </w:rPr>
        <w:t>An institution participating in Title IV programs must maintain a certain level of financial responsibility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under the Higher Education Act and under DOE regulations. The DOE measures an institution’s financial responsibility by compiling a com score ranging from 0 to 3.0 pursuant to a formula that incorporates various financial data from annual financial statements submitted to the DOE. If an institution fails to achieve</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9" w:name="page10"/>
    <w:bookmarkEnd w:id="9"/>
    <w:p>
      <w:pPr>
        <w:jc w:val="both"/>
        <w:ind w:left="9"/>
        <w:spacing w:after="0" w:line="231" w:lineRule="auto"/>
        <w:rPr>
          <w:sz w:val="20"/>
          <w:szCs w:val="20"/>
          <w:color w:val="auto"/>
        </w:rPr>
      </w:pPr>
      <w:r>
        <w:rPr>
          <w:rFonts w:ascii="Arial" w:cs="Arial" w:eastAsia="Arial" w:hAnsi="Arial"/>
          <w:sz w:val="17"/>
          <w:szCs w:val="17"/>
          <w:color w:val="auto"/>
        </w:rPr>
        <w:t>a composite score of 1.5 or fails to comply with other financial responsibility standards, then the DOE may place conditions on the institution’s particip in the Title IV programs and may require the institution to submit to the DOE a letter of credit in an amount of at least 10% to 50% of the institution’s an Title IV participation for its most recent fiscal year. For the 2011 fiscal year, Kaplan expects KHE to have a composite score of 2.25, based on its own assessment using DOE methodology. However, the DOE will make its determination once it receives and reviews Kaplan’s audited financial statement the 2012 fiscal year.</w:t>
      </w:r>
    </w:p>
    <w:p>
      <w:pPr>
        <w:spacing w:after="0" w:line="156" w:lineRule="exact"/>
        <w:rPr>
          <w:sz w:val="20"/>
          <w:szCs w:val="20"/>
          <w:color w:val="auto"/>
        </w:rPr>
      </w:pPr>
    </w:p>
    <w:p>
      <w:pPr>
        <w:ind w:left="9"/>
        <w:spacing w:after="0" w:line="257" w:lineRule="auto"/>
        <w:rPr>
          <w:sz w:val="20"/>
          <w:szCs w:val="20"/>
          <w:color w:val="auto"/>
        </w:rPr>
      </w:pPr>
      <w:r>
        <w:rPr>
          <w:rFonts w:ascii="Arial" w:cs="Arial" w:eastAsia="Arial" w:hAnsi="Arial"/>
          <w:sz w:val="16"/>
          <w:szCs w:val="16"/>
          <w:b w:val="1"/>
          <w:bCs w:val="1"/>
          <w:i w:val="1"/>
          <w:iCs w:val="1"/>
          <w:color w:val="auto"/>
        </w:rPr>
        <w:t xml:space="preserve">Administrative Capability. </w:t>
      </w:r>
      <w:r>
        <w:rPr>
          <w:rFonts w:ascii="Arial" w:cs="Arial" w:eastAsia="Arial" w:hAnsi="Arial"/>
          <w:sz w:val="16"/>
          <w:szCs w:val="16"/>
          <w:color w:val="auto"/>
        </w:rPr>
        <w:t>The Higher Education Act, as reauthorized, directs the DOE to assess the administrative capability of each institution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participate in Title IV programs. The failure of an institution to satisfy any of the criteria used to assess administrative capability may cause the DOE to determine that the institution lacks administrative capability, and, therefore, the DOE may subject the institution to additional scrutiny, deny eligibility fo IV programs or impose other sanctions. To meet the administrative capability standards, an institution must, among other things, fulfill the following:</w:t>
      </w:r>
    </w:p>
    <w:p>
      <w:pPr>
        <w:spacing w:after="0" w:line="153" w:lineRule="exact"/>
        <w:rPr>
          <w:sz w:val="20"/>
          <w:szCs w:val="20"/>
          <w:color w:val="auto"/>
        </w:rPr>
      </w:pP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Comply with all applicable Title IV program requirements;</w:t>
      </w:r>
    </w:p>
    <w:p>
      <w:pPr>
        <w:ind w:left="289" w:hanging="289"/>
        <w:spacing w:after="0" w:line="228" w:lineRule="auto"/>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Have an adequate number of qualified personnel to administer Title IV programs;</w:t>
      </w:r>
    </w:p>
    <w:p>
      <w:pPr>
        <w:ind w:left="289" w:hanging="289"/>
        <w:spacing w:after="0" w:line="228" w:lineRule="auto"/>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Have acceptable standards for measuring the satisfactory academic progress of its students;</w:t>
      </w:r>
    </w:p>
    <w:p>
      <w:pPr>
        <w:ind w:left="289" w:hanging="289"/>
        <w:spacing w:after="0" w:line="228" w:lineRule="auto"/>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Have procedures in place for awarding, disbursing and safeguarding Title IV funds and for maintaining required records;</w:t>
      </w:r>
    </w:p>
    <w:p>
      <w:pPr>
        <w:ind w:left="289" w:hanging="289"/>
        <w:spacing w:after="0" w:line="228" w:lineRule="auto"/>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Administer Title IV programs with adequate checks and balances in its system of internal control over financial reporting;</w:t>
      </w:r>
    </w:p>
    <w:p>
      <w:pPr>
        <w:ind w:left="289" w:hanging="289"/>
        <w:spacing w:after="0" w:line="228" w:lineRule="auto"/>
        <w:tabs>
          <w:tab w:leader="none" w:pos="279"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 be, and not have any principal or affiliate who is, debarred or suspended from U.S. Federal contracting or engaging in activity that is cause for debarment or suspension;</w:t>
      </w:r>
    </w:p>
    <w:p>
      <w:pPr>
        <w:ind w:left="289" w:hanging="289"/>
        <w:spacing w:after="0" w:line="228" w:lineRule="auto"/>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Provide financial aid counseling to its students;</w:t>
      </w:r>
    </w:p>
    <w:p>
      <w:pPr>
        <w:ind w:left="289" w:hanging="289"/>
        <w:spacing w:after="0" w:line="228" w:lineRule="auto"/>
        <w:tabs>
          <w:tab w:leader="none" w:pos="279" w:val="left"/>
        </w:tabs>
        <w:numPr>
          <w:ilvl w:val="0"/>
          <w:numId w:val="2"/>
        </w:numPr>
        <w:rPr>
          <w:rFonts w:ascii="Arial" w:cs="Arial" w:eastAsia="Arial" w:hAnsi="Arial"/>
          <w:sz w:val="17"/>
          <w:szCs w:val="17"/>
          <w:color w:val="auto"/>
        </w:rPr>
      </w:pPr>
      <w:r>
        <w:rPr>
          <w:rFonts w:ascii="Arial" w:cs="Arial" w:eastAsia="Arial" w:hAnsi="Arial"/>
          <w:sz w:val="17"/>
          <w:szCs w:val="17"/>
          <w:color w:val="auto"/>
        </w:rPr>
        <w:t>Refer to the DOE’s Office of the Inspector General any credible information indicating that any student, parent, employee, third-party servicer or ot agent of the institution has engaged in any fraud or other illegal conduct involving Title IV programs;</w:t>
      </w:r>
    </w:p>
    <w:p>
      <w:pPr>
        <w:ind w:left="289" w:hanging="289"/>
        <w:spacing w:after="0" w:line="228" w:lineRule="auto"/>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Submit in a timely way all required reports and financial statements; and</w:t>
      </w:r>
    </w:p>
    <w:p>
      <w:pPr>
        <w:ind w:left="289" w:hanging="289"/>
        <w:spacing w:after="0"/>
        <w:tabs>
          <w:tab w:leader="none" w:pos="289" w:val="left"/>
        </w:tabs>
        <w:numPr>
          <w:ilvl w:val="0"/>
          <w:numId w:val="2"/>
        </w:numPr>
        <w:rPr>
          <w:rFonts w:ascii="Arial" w:cs="Arial" w:eastAsia="Arial" w:hAnsi="Arial"/>
          <w:sz w:val="17"/>
          <w:szCs w:val="17"/>
          <w:color w:val="auto"/>
        </w:rPr>
      </w:pPr>
      <w:r>
        <w:rPr>
          <w:rFonts w:ascii="Arial" w:cs="Arial" w:eastAsia="Arial" w:hAnsi="Arial"/>
          <w:sz w:val="17"/>
          <w:szCs w:val="17"/>
          <w:color w:val="auto"/>
        </w:rPr>
        <w:t>Not otherwise appear to lack administrative capability.</w:t>
      </w:r>
    </w:p>
    <w:p>
      <w:pPr>
        <w:spacing w:after="0" w:line="177"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Although Kaplan endeavors to comply with the administrative capability requirements, Kaplan cannot guarantee that it will continue to comply with the administrative capability requirements or that its interpretation or application of the relevant rules will be upheld by the DOE or other agencies, or upon judicial review.</w:t>
      </w:r>
    </w:p>
    <w:p>
      <w:pPr>
        <w:spacing w:after="0" w:line="155" w:lineRule="exact"/>
        <w:rPr>
          <w:sz w:val="20"/>
          <w:szCs w:val="20"/>
          <w:color w:val="auto"/>
        </w:rPr>
      </w:pPr>
    </w:p>
    <w:p>
      <w:pPr>
        <w:jc w:val="both"/>
        <w:ind w:left="9"/>
        <w:spacing w:after="0" w:line="257" w:lineRule="auto"/>
        <w:rPr>
          <w:sz w:val="20"/>
          <w:szCs w:val="20"/>
          <w:color w:val="auto"/>
        </w:rPr>
      </w:pPr>
      <w:r>
        <w:rPr>
          <w:rFonts w:ascii="Arial" w:cs="Arial" w:eastAsia="Arial" w:hAnsi="Arial"/>
          <w:sz w:val="16"/>
          <w:szCs w:val="16"/>
          <w:b w:val="1"/>
          <w:bCs w:val="1"/>
          <w:i w:val="1"/>
          <w:iCs w:val="1"/>
          <w:color w:val="auto"/>
        </w:rPr>
        <w:t xml:space="preserve">State Authorization. </w:t>
      </w:r>
      <w:r>
        <w:rPr>
          <w:rFonts w:ascii="Arial" w:cs="Arial" w:eastAsia="Arial" w:hAnsi="Arial"/>
          <w:sz w:val="16"/>
          <w:szCs w:val="16"/>
          <w:color w:val="auto"/>
        </w:rPr>
        <w:t>Kaplan’s institutions are subject to state-level regulation and oversight by state licensing agencies, whose approval is necessar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allow an institution to operate and grant degrees or diplomas in the state. State laws may establish standards for instruction, qualifications of faculty, lo and nature of facilities, financial policies and responsibility and other operational matters. Institutions that participate in Title IV programs must be legal authorized to operate in the state in which the institution is physically located or is otherwise subject to state authorization requirements.</w:t>
      </w:r>
    </w:p>
    <w:p>
      <w:pPr>
        <w:spacing w:after="0" w:line="163" w:lineRule="exact"/>
        <w:rPr>
          <w:sz w:val="20"/>
          <w:szCs w:val="20"/>
          <w:color w:val="auto"/>
        </w:rPr>
      </w:pPr>
    </w:p>
    <w:p>
      <w:pPr>
        <w:ind w:left="9" w:right="20"/>
        <w:spacing w:after="0" w:line="231" w:lineRule="auto"/>
        <w:rPr>
          <w:sz w:val="20"/>
          <w:szCs w:val="20"/>
          <w:color w:val="auto"/>
        </w:rPr>
      </w:pPr>
      <w:r>
        <w:rPr>
          <w:rFonts w:ascii="Arial" w:cs="Arial" w:eastAsia="Arial" w:hAnsi="Arial"/>
          <w:sz w:val="17"/>
          <w:szCs w:val="17"/>
          <w:color w:val="auto"/>
        </w:rPr>
        <w:t>Some states have sought to assert jurisdiction over online educational institutions that offer education services to residents in the state or to institution advertise or recruit in the state, notwithstanding the lack of a physical location in the state. State regulatory requirements for online education vary am the states, are not well developed in many states, are imprecise or unclear in some states and are subject to change. If KHE is found not to be in compliance with an applicable state regulation and a state seeks to restrict one or more of KHE’s business activities within its boundaries, KHE may n able to recruit or enroll students in that state and may have to cease providing services and advertising in that state.</w:t>
      </w:r>
    </w:p>
    <w:p>
      <w:pPr>
        <w:spacing w:after="0" w:line="176"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DOE regulations became effective on July 1, 2011, and expanded the requirements for an institution to be considered legally authorized in the state in it is physically located for Title IV purposes. In some cases, the regulations require states to revise their current requirements and/or to license schools order for institutions to be deemed legally authorized in those states and, in turn, to participate in the Title IV programs. If the states do not amend thei requirements in compliance with these regulations or if KHE institutions do not receive state approvals where necessary, then the institutions could be deemed to lack the state authorization necessary to participate in the Title IV programs. Due to an exemption, Kaplan University’s home state of Iowa not require Kaplan University to be registered in Iowa. However, to comply with the law, Kaplan University was granted affirmative registration in Iowa. Kaplan University’s</w:t>
      </w:r>
    </w:p>
    <w:p>
      <w:pPr>
        <w:spacing w:after="0" w:line="20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10" w:name="page11"/>
    <w:bookmarkEnd w:id="10"/>
    <w:p>
      <w:pPr>
        <w:ind w:right="20"/>
        <w:spacing w:after="0" w:line="235" w:lineRule="auto"/>
        <w:rPr>
          <w:sz w:val="20"/>
          <w:szCs w:val="20"/>
          <w:color w:val="auto"/>
        </w:rPr>
      </w:pPr>
      <w:r>
        <w:rPr>
          <w:rFonts w:ascii="Arial" w:cs="Arial" w:eastAsia="Arial" w:hAnsi="Arial"/>
          <w:sz w:val="17"/>
          <w:szCs w:val="17"/>
          <w:color w:val="auto"/>
        </w:rPr>
        <w:t>and KHEC’s campuses meet the requirements to be considered legally authorized to provide the programs they offer in the states in which the campu are located.</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In addition, the DOE regulations that took effect on July 1, 2011, also required institutions offering postsecondary education to students through distan education in a state in which the institution is not physically located, or in which it is otherwise subject to state jurisdiction as determined by the state, t meet any applicable state requirements for it to be legally offering postsecondary distance education in that state. The regulations require an institution document upon request by the DOE that it has the applicable state approval. In June 2012, the U.S. Court of Appeals for the District of Columbia vaca the regulations with respect to distance education. The Court affirmed an order of a Federal District Court vacating the regulation requiring an institutio meet state requirements in a state in which it has distance education students, but in which it is not physically located or otherwise subject to state jurisdiction. The ruling is currently on appeal. The DOE issued a “Dear Colleague Letter,” acknowledging the court’s decision and stating that the DOE not enforce the requirements of the regulation and commenting that institutions continue to be responsible for complying with all state laws as they rel distance education. Regardless, Kaplan University is authorized to offer online instruction or is exempt from authorization in 42 states plus the District Columbia. If the Court of Appeals ruling is overturned on appeal, if the rules are otherwise reinstated or if the DOE issues new state authorization rule governing distance education, Kaplan may need to seek additional or revised state authorizations in the future. If Kaplan is unable to obtain the requir approvals for distance-education programs, then Kaplan students residing in the state for which approval was not obtained may be unable to receive T funds, which could have a material adverse effect on Kaplan’s business and operations.</w:t>
      </w:r>
    </w:p>
    <w:p>
      <w:pPr>
        <w:spacing w:after="0" w:line="174"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Kaplan’s schools are subject to reviews and enforcement activities by state agencies. On September 9, 2011, the Texas Workforce Commission (TWC rescinded a prior notice that ten programs at nine KHE Texas campuses had been placed on “conditional approval” status because of below standard placement rates in 2010. On January 23, 2012, new regulations became effective allowing the TWC to impose penalties on programs that fail to meet defined placement thresholds, including, but not limited to, limiting the use of funds from Texas Workforce Development Boards after two consecutive of noncompliance and revoking program approvals after three consecutive years of noncompliance.</w:t>
      </w:r>
    </w:p>
    <w:p>
      <w:pPr>
        <w:spacing w:after="0" w:line="156"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 xml:space="preserve">Congressional Reauthorization of Title IV Programs. </w:t>
      </w:r>
      <w:r>
        <w:rPr>
          <w:rFonts w:ascii="Arial" w:cs="Arial" w:eastAsia="Arial" w:hAnsi="Arial"/>
          <w:sz w:val="17"/>
          <w:szCs w:val="17"/>
          <w:color w:val="auto"/>
        </w:rPr>
        <w:t>All of the Title IV financial aid programs are subject to periodic legislative review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reauthorization. In addition, while Congress historically has not limited the amount of funding available for the various Title IV student loan programs, t availability of funding for the Title IV programs that provide for the payment of grants is primarily contingent upon the outcome of the annual U.S. Fede appropriations process. Congress also can make changes in the laws affecting Title IV programs in those annual appropriations bills and in other laws enacts between Higher Education Act reauthorizations. In 2008, the Higher Education Act was reauthorized through September 2014. It is anticipated the next reauthorization of the Higher Education Act by Congress may commence during the year 2013, but it is not known when Congress will make changes to that statute or to other laws affecting U.S. Federal student aid.</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Whether as a result of changes in the laws and regulations governing Title IV programs, a reduction in Title IV program funding levels or a failure of sc within KHE to maintain eligibility to participate in Title IV programs, a material reduction in the amount of Title IV financial assistance available to the students attending those schools could have a material adverse effect on Kaplan’s business and operations. In addition, any development that has the of making the terms on which Title IV financial assistance is made available materially less attractive could also have a material adverse effect on Kap business and operations.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auto"/>
        </w:rPr>
        <w:t xml:space="preserve">U.S. Senate Committee Review. </w:t>
      </w:r>
      <w:r>
        <w:rPr>
          <w:rFonts w:ascii="Arial" w:cs="Arial" w:eastAsia="Arial" w:hAnsi="Arial"/>
          <w:sz w:val="17"/>
          <w:szCs w:val="17"/>
          <w:color w:val="auto"/>
        </w:rPr>
        <w:t>In the summer of 2010, the Chairman of the Health, Education, Labor and Pension Committee (the HELP Committ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U.S. Senate commenced an industry-wide review of for-profit higher education institutions. The institutions owned and operated by KHE were inclu in the scope of this industry-wide review. In July 2012, the Chairman of the HELP Committee issued a final report to conclude the review. The final rep included observations and recommendations for federal policy, but did not include or endorse any specific proposed legislation or regulations. The ulti outcome of the review and any implications to the operation of KHE’s institutions are presently unknown.</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Other committees of Congress have also held hearings into, among other things, the standards and procedures of accrediting agencies, credit hours a program length and the portion of U.S. Federal student financial aid going to for-profit institutions, and enrollment of active-duty military personnel and veterans. A number of legislators have variously requested the U.S. Government Accountability Office to review and make recommendations regardin among other</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1" w:name="page12"/>
    <w:bookmarkEnd w:id="11"/>
    <w:p>
      <w:pPr>
        <w:spacing w:after="0" w:line="232" w:lineRule="auto"/>
        <w:rPr>
          <w:sz w:val="20"/>
          <w:szCs w:val="20"/>
          <w:color w:val="auto"/>
        </w:rPr>
      </w:pPr>
      <w:r>
        <w:rPr>
          <w:rFonts w:ascii="Arial" w:cs="Arial" w:eastAsia="Arial" w:hAnsi="Arial"/>
          <w:sz w:val="17"/>
          <w:szCs w:val="17"/>
          <w:color w:val="auto"/>
        </w:rPr>
        <w:t>things, student recruitment practices; educational quality; student outcomes; the sufficiency of integrity safeguards against waste, fraud and abuse in T programs; and the percentage of proprietary institutions’ revenue coming from Title IV and other U.S. Federal funding sources. This increased activity result in legislation, further rulemaking affecting participation in Title IV programs and other governmental actions. In addition, concerns generated by congressional or other activity or media reports may adversely affect enrollment in for-profit educational institutions.</w:t>
      </w:r>
    </w:p>
    <w:p>
      <w:pPr>
        <w:spacing w:after="0" w:line="155"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i w:val="1"/>
          <w:iCs w:val="1"/>
          <w:color w:val="auto"/>
        </w:rPr>
        <w:t xml:space="preserve">Program Reviews, Audits and Investigations. </w:t>
      </w:r>
      <w:r>
        <w:rPr>
          <w:rFonts w:ascii="Arial" w:cs="Arial" w:eastAsia="Arial" w:hAnsi="Arial"/>
          <w:sz w:val="16"/>
          <w:szCs w:val="16"/>
          <w:color w:val="auto"/>
        </w:rPr>
        <w:t>Kaplan’s schools are subject to audits or program compliance reviews by various external agencies,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DOE, its Office of the Inspector General and state and accrediting agencies. While program reviews may be undertaken for a variety rea they are performed routinely as part of regulatory oversight of institutions that participate in Title IV or state student funding programs. If the DOE or an regulatory agency determines that an institution has improperly disbursed Title IV or state program funds or violated a provision of the Higher Educatio or state law or regulations, the affected institution may be required to repay such funds to the DOE or the appropriate state agency or lender and may assessed an administrative fine and be subject to other sanctions. Although Kaplan endeavors to comply with all U.S. Federal and state laws and regulations, Kaplan cannot guarantee that its interpretation of the relevant rules will be upheld by the DOE or other agencies, or upon judicial review.</w:t>
      </w:r>
    </w:p>
    <w:p>
      <w:pPr>
        <w:spacing w:after="0" w:line="168"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September 2008, the DOE began a program review at KHE’s CHI-Broomall, PA, campus. The DOE has delayed issuing a final report on this review pending the completion of a separate inquiry regarding the program from the U.S. Attorney’s Office for the Eastern District of Pennsylvania. In July 20 Kaplan resolved the inquiry with the U.S. Attorney’s office and expects to receive a final report on this review soon. No assurance can be given that th DOE’s final report will not have a significant adverse effect on Kaplan’s ability to continue to operate this school. See further discussion in Item 3. Lega Proceedings.</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DOE also began a program review in October 2007 at KHE’s Pittsburgh, PA, location. Kaplan has responded to all requests for information and is cooperating fully in this review. The DOE has not yet issued a final report on this review. No assurance can be given that the DOE’s final report will not a significant adverse effect on Kaplan’s ability to continue to operate this school.</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September 2009, the DOE began a program review of Kaplan University at its offices in Fort Lauderdale, FL. In May 2012, the DOE issued a prelim report containing several findings that require Kaplan University to conduct additional, dated file reviews and submit additional data. In January 2013, Kaplan submitted a response to the DOE’s data request and is awaiting a final report on this review. No assurance can be given that the DOE’s final r will not have a significant adverse effect on Kaplan’s ability to continue to operate this school. In addition, in August 2012, the DOE notified Kaplan University that it was conducting an offsite program review focused solely on Title IV verification processes, and the DOE began this review in Septem 2012. In November 2012, the DOE issued a Program Review Report containing one finding and requesting that Kaplan University update its verificatio policy and report on certain students whose verifications were not properly coded. In January 2013, Kaplan submitted a response to the DOE confirmi that it had taken the actions requested in the DOE’s November report. The DOE issued a final report in February 2013 indicating that no further action required for the offsite program review.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May 2012, the DOE conducted a program review of the Nashville, TN, campus. The DOE issued a final report on May 16, 2012, indicating no findin</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January 2013, the DOE notified the Franklin Mills, PA, campus that it would conduct a program review. Kaplan has no knowledge at this time of an findings of non-compliance that may or may not occur.</w:t>
      </w:r>
    </w:p>
    <w:p>
      <w:pPr>
        <w:spacing w:after="0" w:line="176"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February 2013, the DOE notified Kaplan’s Hesser campus in New Hampshire that it would conduct a program review beginning March 4, 2013. Kap has no knowledge at this time of any findings that may or may not occur.</w:t>
      </w:r>
    </w:p>
    <w:p>
      <w:pPr>
        <w:spacing w:after="0" w:line="156"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b w:val="1"/>
          <w:bCs w:val="1"/>
          <w:i w:val="1"/>
          <w:iCs w:val="1"/>
          <w:color w:val="auto"/>
        </w:rPr>
        <w:t xml:space="preserve">Institutional and Programmatic Accreditation. </w:t>
      </w:r>
      <w:r>
        <w:rPr>
          <w:rFonts w:ascii="Arial" w:cs="Arial" w:eastAsia="Arial" w:hAnsi="Arial"/>
          <w:sz w:val="16"/>
          <w:szCs w:val="16"/>
          <w:color w:val="auto"/>
        </w:rPr>
        <w:t>Accreditation is a process through which an institution submits itself to qualitative review by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 of peer institutions. Pursuant to the Higher Education Act, the DOE relies on accrediting agencies to determine whether the academic qu an institution’s educational programs is sufficient to qualify the institution to participate in Title IV programs. As noted previously, to remain eligible to participate in Title IV programs, a school must maintain its institutional accreditation by an accrediting agency recognized by the DOE.</w:t>
      </w:r>
    </w:p>
    <w:p>
      <w:pPr>
        <w:spacing w:after="0" w:line="1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 June 2012, the Accrediting Commission of Career Schools and Colleges (ACCSC), a KHE accreditor, issued a notice to three campuses (Baltimore Dayton and Indianapolis Northwest), to “show cause” as to why their accreditation should</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2" w:name="page13"/>
    <w:bookmarkEnd w:id="12"/>
    <w:p>
      <w:pPr>
        <w:spacing w:after="0" w:line="229" w:lineRule="auto"/>
        <w:rPr>
          <w:sz w:val="20"/>
          <w:szCs w:val="20"/>
          <w:color w:val="auto"/>
        </w:rPr>
      </w:pPr>
      <w:r>
        <w:rPr>
          <w:rFonts w:ascii="Arial" w:cs="Arial" w:eastAsia="Arial" w:hAnsi="Arial"/>
          <w:sz w:val="17"/>
          <w:szCs w:val="17"/>
          <w:color w:val="auto"/>
        </w:rPr>
        <w:t>not be withdrawn for failure to meet certain student achievement threshold requirements. These campuses represent approximately 2% of KHE’s year date revenue for 2012. Each of these campuses failed to meet student placement thresholds or student graduation rate thresholds or both in some programs or aggregated over all programs. The Baltimore and Dayton campuses responded in September 2012, providing their plans to improve thes rates and demonstrate compliance with the ACCSC standards. The Indianapolis Northwest campus responded in October 2012, indicating that this ca will be closing and consolidating into an existing campus, also in Indianapolis. In December 2012, the ACCSC Commission voted to continue the Balti and Dayton campuses on “show cause” status. ACCSC also directed the Dayton campus to cease enrollments in the Medical Assistant program and directed the Baltimore campus to cease enrollments in the HVAC program until the campuses can show that they meet the graduation and placement benchmarks for those programs. KHE believes that it was able to meet these benchmarks at these campuses in their 2012 reporting to ACCSC. Howe KHE cannot be certain that its remedial measures will satisfy all of ACCSC’s concerns. In the event that ACCSC determines that some or all of these campuses may lose accreditation, a loss of accreditation would mean that the school would no longer be eligible to participate in Title IV programs, co lose its authorization to operate in the state, and may also lose programmatic accreditation necessary for students to obtain licensure and/or employm specific professions.</w:t>
      </w:r>
    </w:p>
    <w:p>
      <w:pPr>
        <w:spacing w:after="0" w:line="182"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In March 2011, Kaplan University’s institutional accreditor, the Higher Learning Commission of the North Central Association of Colleges and Schools (HLC), sent a request to Kaplan University asking for documents and a report detailing Kaplan University’s admissions practices and describing Kapla University’s compliance with HLC Core Components and policies. Kaplan University complied with this request on April 29, 2011. Kaplan University provided additional information to the HLC in response to a follow-up request received on January 19, 2012. There is no date for a formal response or determination from HLC.</w:t>
      </w:r>
    </w:p>
    <w:p>
      <w:pPr>
        <w:spacing w:after="0" w:line="1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an effort to streamline campus accreditation requirements and overall campus management, KHEC has begun the process of changing the accredit many of its nationally accredited campuses to bring most of them under one national accreditor. At this time, KHEC cannot predict when this process completed or when or if the DOE will approve the change. Institutional accreditation is necessary for schools to maintain the ability for their students to eligible for Title IV loans. The project will require the approvals of the DOE and certain accrediting bodies and state authorizing agencies.</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Programmatic accreditation is the process through which specific programs are reviewed and approved by industry- and program-specific accrediting entities. Although programmatic accreditation is not generally necessary for Title IV eligibility, such accreditation may be required to allow students to s certain licensure exams or to work in a particular profession or career or to meet other requirements.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On January 26, 2012, Kaplan University received a notice from the Florida Board of Nursing regarding the Associate’s degree in nursing program at th Pembroke Pines facility. The letter required Kaplan University to appear at a hearing on February 1, 2012, to discuss the performance of program grad on the national nursing certifying exam (NCLEX), which has fallen below the required standard. As a result of the hearing, the program was placed on probationary status until the exam pass-rate improves. In 2012, Kaplan University elected to discontinue this program. As a result, Kaplan is not accep any new enrollments for this program, although courses in progress will be taught until their completion. Kaplan has informed the Florida Board of Nur this decision.</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December 21, 2011, Kaplan College’s North Hollywood, CA, campus received notification that the Joint Review Committee on Education in Radiol Technology (JRCERT) withdrew the college’s accreditation for its radiologic technologist program. Kaplan College appealed this decision, and, as a re April 2012, the college’s accreditation for this program was reinstated. This program had 89 students as of December 31, 2012.</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November 2011, an internal investigation determined that certain students in the Dental Assistant program at Kaplan College’s Charlotte, NC, camp had not received clear guidance regarding the program’s accreditation and the employment prospects for graduates of the program. Because the Den Assistant program is not programmatically accredited, students graduating from the program are considered by the regulatory agency in North Carolin have “Dental Assistant I” status instead of a more advanced “Dental Assistant II” status. All students in the Charlotte Dental Assistant program were gi full tuition refunds, and current students and graduates were offered stipends in exchange for signing settlement agreements. As of December 31, 201 affected students have signed settlement agreements. The school ceased enrollment in the program and withdrew its license to operate the program i North Carolina. No other programs at this campus were affected.</w:t>
      </w:r>
    </w:p>
    <w:p>
      <w:pPr>
        <w:spacing w:after="0" w:line="38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3" w:name="page14"/>
    <w:bookmarkEnd w:id="13"/>
    <w:p>
      <w:pPr>
        <w:ind w:right="20"/>
        <w:spacing w:after="0" w:line="247" w:lineRule="auto"/>
        <w:rPr>
          <w:sz w:val="20"/>
          <w:szCs w:val="20"/>
          <w:color w:val="auto"/>
        </w:rPr>
      </w:pPr>
      <w:r>
        <w:rPr>
          <w:rFonts w:ascii="Arial" w:cs="Arial" w:eastAsia="Arial" w:hAnsi="Arial"/>
          <w:sz w:val="16"/>
          <w:szCs w:val="16"/>
          <w:color w:val="auto"/>
        </w:rPr>
        <w:t>In August 2011, Kaplan College’s Modesto, CA, campus was ordered by the Accrediting Bureau of Health Education Schools (ABHES) to show cause continued accreditation of its Medical Assisting program should not be denied due to low placement rates. Kaplan College Modesto responded, and A agreed to continue the current grant of accreditation through December 31, 2012, to allow the campus additional time to continue to show compliance ABHES standards. In December 2012, the school voluntarily withdrew ABHES accreditation and will continue to operate the program without that programmatic level accreditation. The school has informed its institutional accreditor, ACCSC, and all students of the decision.</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 xml:space="preserve">Return of Title IV Funds. </w:t>
      </w:r>
      <w:r>
        <w:rPr>
          <w:rFonts w:ascii="Arial" w:cs="Arial" w:eastAsia="Arial" w:hAnsi="Arial"/>
          <w:sz w:val="16"/>
          <w:szCs w:val="16"/>
          <w:color w:val="auto"/>
        </w:rPr>
        <w:t>DOE regulations require schools participating in Title IV programs to calculate correctly and return on a timely basis unearn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Title IV funds disbursed to students who withdraw from a program of study prior to completion. These funds must be returned in a timely manner, gene within 45 days of the date the school determines that the student has withdrawn. Under DOE regulations, failure to make timely returns of Title IV prog funds for 5% or more of students sampled in a school’s annual compliance audit could result in a requirement that the school post a letter of credit in a amount equal to 25% of its prior-year returns of Title IV program funds. Currently, none of KHE’s schools is required to post a letter of credit. If unearn funds are not properly calculated and returned in a timely manner, an institution is subject to monetary liabilities, fines or other sanctions.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Test Preparation</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2012, Kaplan Test Preparation (KTP) included test preparation businesses in pre -college, graduate, health and bar review. KTP also published test preparation and other books through its Kaplan Publishing business. Each of these businesses is discussed below.</w:t>
      </w:r>
    </w:p>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b w:val="1"/>
          <w:bCs w:val="1"/>
          <w:i w:val="1"/>
          <w:iCs w:val="1"/>
          <w:color w:val="auto"/>
        </w:rPr>
        <w:t xml:space="preserve">Test Preparation. </w:t>
      </w:r>
      <w:r>
        <w:rPr>
          <w:rFonts w:ascii="Arial" w:cs="Arial" w:eastAsia="Arial" w:hAnsi="Arial"/>
          <w:sz w:val="17"/>
          <w:szCs w:val="17"/>
          <w:color w:val="auto"/>
        </w:rPr>
        <w:t>KTP’s pre-college and graduate businesses prepare students for a broad range of college and graduate school admissions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examinations, including the SAT, ACT, LSAT, GMAT, MCAT and GRE. KTP’s health business prepares students for medical and nursing licensure exa including the USMLE and NCLEX. Kaplan Bar Review offers full-service bar review in 37 states and the District of Columbia, as well as review for the multistate portion of the bar exam nationwide.</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KTP delivers courses at numerous locations throughout the U.S., Canada, Puerto Rico, Mexico, London and Paris. These courses are taught at more 70 KTP-branded locations and at numerous other locations such as hotels, schools and universities. KTP also offers courses online, which are deliver a live online classroom and a self-study format. In addition, KTP licenses material for certain of its courses to third parties and a Kaplan affiliate, which during 2012, delivered courses at 45 locations in 13 countries outside the U.S. KTP also offers programs and services, including college admissions examination preparation courses, directly to schools and school districts for students in kindergarten through 12th grade, and customized online progr for children from kindergarten through 8th grade and private tutoring in select markets.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During 2012, KTP enrolled more than 427,000 students in its courses, including more than 186,000 enrolled in online programs.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i w:val="1"/>
          <w:iCs w:val="1"/>
          <w:color w:val="auto"/>
        </w:rPr>
        <w:t xml:space="preserve">Publishing. </w:t>
      </w:r>
      <w:r>
        <w:rPr>
          <w:rFonts w:ascii="Arial" w:cs="Arial" w:eastAsia="Arial" w:hAnsi="Arial"/>
          <w:sz w:val="17"/>
          <w:szCs w:val="17"/>
          <w:color w:val="auto"/>
        </w:rPr>
        <w:t>Kaplan Publishing, which is operated separately from Kaplan Professional Publishing, focuses on print test preparation resources sold 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retail channels. At the end of 2012, Kaplan Publishing had more than 470 products available in print and digital formats, including more than 250 digita products.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Kaplan International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Kaplan International operates businesses in Europe and the Asia Pacific region. Each of these businesses is discussed below.</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b w:val="1"/>
          <w:bCs w:val="1"/>
          <w:i w:val="1"/>
          <w:iCs w:val="1"/>
          <w:color w:val="auto"/>
        </w:rPr>
        <w:t xml:space="preserve">Europe. </w:t>
      </w:r>
      <w:r>
        <w:rPr>
          <w:rFonts w:ascii="Arial" w:cs="Arial" w:eastAsia="Arial" w:hAnsi="Arial"/>
          <w:sz w:val="17"/>
          <w:szCs w:val="17"/>
          <w:color w:val="auto"/>
        </w:rPr>
        <w:t>In Europe, Kaplan operates the following businesses, which are all based in the U.K. and Ireland: Kaplan UK, Kaplan International Colleges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 set of higher education institutions.</w:t>
      </w:r>
    </w:p>
    <w:p>
      <w:pPr>
        <w:spacing w:after="0" w:line="163"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The Kaplan UK business in Europe is a provider of training, test preparation services and degrees for accounting and financial services professionals, including those studying for ACCA, CIMA and ICAEW qualifications. In addition, Kaplan UK provides legal and professional training, including the ope of a U.K. law school in collaboration with Nottingham Trent University’s Nottingham Law School. In 2012, Kaplan UK provided courses to approximate 66,000 students, of</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4" w:name="page15"/>
    <w:bookmarkEnd w:id="14"/>
    <w:p>
      <w:pPr>
        <w:ind w:right="100"/>
        <w:spacing w:after="0" w:line="235" w:lineRule="auto"/>
        <w:rPr>
          <w:sz w:val="20"/>
          <w:szCs w:val="20"/>
          <w:color w:val="auto"/>
        </w:rPr>
      </w:pPr>
      <w:r>
        <w:rPr>
          <w:rFonts w:ascii="Arial" w:cs="Arial" w:eastAsia="Arial" w:hAnsi="Arial"/>
          <w:sz w:val="17"/>
          <w:szCs w:val="17"/>
          <w:color w:val="auto"/>
        </w:rPr>
        <w:t>whom 49,000 were dedicated to accounting and financial services coursework. Kaplan UK is headquartered in London, England, and has 27 training centers located throughout the U.K.</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KIC business comprises a university pathways business and an English-language training business. The university pathways business offers aca preparation programs especially designed for international students who wish to study in English-speaking countries. KIC operates university pathway programs in collaboration with nine U.K. universities. At the end of 2012, KIC’s university pathways business was serving approximately 2,700 student English-language business (previously operated under the name “Kaplan Aspect”) provides English-language training, academic preparation program test preparation for English proficiency exams, principally for students wishing to study and travel in English-speaking countries. KIC operates a total o English-language schools, with 19 located in the U.K., Ireland, Australia, New Zealand and Canada, and 22 located in the U.S., where they operate un the name Kaplan International Centers. During 2012, the English-language business served approximately 65,000 students.</w:t>
      </w:r>
    </w:p>
    <w:p>
      <w:pPr>
        <w:spacing w:after="0" w:line="17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Kaplan also operates three higher education institutions in Europe, located in the U.K. and Ireland. These institutions are Dublin Business School, Hol College and Kaplan Open Learning. At the end of 2012, these institutions enrolled an aggregate of approximately 6,500 students.</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Certain Kaplan UK businesses serve a significant number of international students; therefore, the ability to sponsor students from outside the Europea Economic Area (EEA) and Switzerland to come to the U.K. is critical to these businesses. Pursuant to regulations administered by the United Kingdom Border Agency (UKBA), KIC’s university pathways business, Holborn College and Kaplan Financial Limited are required to hold or operate Tier 4 sponsorship licenses to permit international students to come to the U.K. to study the courses they deliver. All of KIC’s English- language schools also Tier 4 licenses to enable them to teach international students, although, generally, students studying the English language can choose to enter the U.K student visitor visa as opposed to a Tier 4 visa.</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Each Tier 4 license holder is also required to have Highly Trusted Sponsor (HTS) status and Educational Oversight accreditation. Without HTS status, effective April 2012, Kaplan’s schools would not be permitted to issue a Confirmation of Acceptance of Studies (CAS) to potential incoming internation students, which is a prerequisite to a student obtaining a Tier 4 student visa. The revised immigration rules also require all private institutions to obtain Educational Oversight accreditation by the end of 2012. Educational Oversight requires a current and satisfactory full inspection, audit or review by the appropriate academic standards body. Failure to comply with these new rules has the potential to adversely impact the number of international studen studying at Kaplan UK.</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For Kaplan UK, both Kaplan Financial Limited and Holborn College Limited now have HTS status and Educational Oversight accreditation. A renewal underlying Tier 4 License for Kaplan Financial has been submitted and is undergoing review. A backlog at the UKBA means that it has expired without formal renewal, but Kaplan Financial has received assurances in writing that the license remains valid. The Holborn College underlying Tier 4 license i for renewal in March 2013.</w:t>
      </w:r>
    </w:p>
    <w:p>
      <w:pPr>
        <w:spacing w:after="0" w:line="175"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On December 15, 2011, the UKBA conducted a compliance review at Kaplan UK’s Borough High Street Centre in London, England. The review focus Kaplan UK’s compliance with regulations regarding Tier 4 students, who are non-EEA adult students, seeking to study in the U.K. Kaplan UK fully cooperated with this inquiry, and on October 18, 2012, the UKBA revisited the site to ensure that the changes that Kaplan UK had stated were being implemented had taken place. The UKBA provided verbal communication that the agency was satisfied with the changes that had been made and wit information reviewed. The UKBA also confirmed that its compliance review was complete.</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With respect to KIC in the U.K., all of its colleges have HTS and Educational Oversight. The two most recent embedded pathways colleges within the University of Brighton and the University of West of England are currently under the host university’s Tier 4 sponsor license and HTS status. KIC was t first multiple group to undergo and achieve educational oversight in April 2012. KIC has continued to maintain a favorable track record in their HTS renewals, maintaining high scores in the core measurable requirements. Twelve of the colleges completed their HTS renewals in summer 2012. Three colleges will undergo their HTS renewals in February 2013. In addition, further renewal applications were made for the core Tier 4 licenses in January (these licenses are on a four-year cycle). In connection with these applications, six of the colleges had UKBA visits in the fourth quarter of 2012, and n compliance concerns were raised.</w:t>
      </w:r>
    </w:p>
    <w:p>
      <w:pPr>
        <w:spacing w:after="0" w:line="17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Recent changes to U.K. immigration rules have served to tighten the regulations around sponsoring students from outside the EEA and Switzerland. T changes include the introduction of a five-year rule that restricts to five years the time a</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5" w:name="page16"/>
    <w:bookmarkEnd w:id="15"/>
    <w:p>
      <w:pPr>
        <w:spacing w:after="0" w:line="246" w:lineRule="auto"/>
        <w:rPr>
          <w:sz w:val="20"/>
          <w:szCs w:val="20"/>
          <w:color w:val="auto"/>
        </w:rPr>
      </w:pPr>
      <w:r>
        <w:rPr>
          <w:rFonts w:ascii="Arial" w:cs="Arial" w:eastAsia="Arial" w:hAnsi="Arial"/>
          <w:sz w:val="16"/>
          <w:szCs w:val="16"/>
          <w:color w:val="auto"/>
        </w:rPr>
        <w:t>sponsored student can spend studying at or above degree level in the U.K. The post-study work visa, which permitted postgraduate students to work i U.K. without being sponsored, has also been closed to new applicants. In addition, sponsored students who do not attend an institution that qualifies a Higher Educational Institution (HEI), which includes students attending Kaplan UK’s colleges, are no longer permitted to work part time while studying. the introduction of the new rules, sponsored students are also monitored in terms of their attendance and course progression, and failure to meet thre set by the UKBA obliges Kaplan UK to withdraw sponsorship and report the students to the UKBA. The introduction of revised immigration rules has, therefore, negatively impacted Kaplan UK’s enrollment rate in relation to students from outside the EEA and Switzerland.</w:t>
      </w:r>
    </w:p>
    <w:p>
      <w:pPr>
        <w:spacing w:after="0" w:line="172" w:lineRule="exact"/>
        <w:rPr>
          <w:sz w:val="20"/>
          <w:szCs w:val="20"/>
          <w:color w:val="auto"/>
        </w:rPr>
      </w:pPr>
    </w:p>
    <w:p>
      <w:pPr>
        <w:jc w:val="both"/>
        <w:ind w:right="340"/>
        <w:spacing w:after="0" w:line="233" w:lineRule="auto"/>
        <w:rPr>
          <w:sz w:val="20"/>
          <w:szCs w:val="20"/>
          <w:color w:val="auto"/>
        </w:rPr>
      </w:pPr>
      <w:r>
        <w:rPr>
          <w:rFonts w:ascii="Arial" w:cs="Arial" w:eastAsia="Arial" w:hAnsi="Arial"/>
          <w:sz w:val="17"/>
          <w:szCs w:val="17"/>
          <w:color w:val="auto"/>
        </w:rPr>
        <w:t>No assurance can be given that each Kaplan business in the U.K. will be able to maintain its HTS status and Educational Oversight accreditation. Maintenance of each of these approvals requires compliance with several core metrics that may be difficult to attain. Loss of either HTS status or Educational Oversight accreditation would have a material adverse effect on Kaplan Europe’s operating results.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Asia Pacific. </w:t>
      </w:r>
      <w:r>
        <w:rPr>
          <w:rFonts w:ascii="Arial" w:cs="Arial" w:eastAsia="Arial" w:hAnsi="Arial"/>
          <w:sz w:val="17"/>
          <w:szCs w:val="17"/>
          <w:color w:val="auto"/>
        </w:rPr>
        <w:t>In the Asia Pacific region, Kaplan operates businesses primarily in Singapore, Australia, Hong Kong and China.</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In Singapore, Kaplan operates three business units, Higher Education, Financial and Professional, which serve more than 16,700 students from vario countries throughout Asia.</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Singapore’s Higher Education business provides students with the opportunity to earn bachelor’s and postgraduate degrees in various fields o either a part-time or full-time basis. Kaplan Singapore’s students receive degrees from affiliated educational institutions in Australia, the U.K. and the U addition, this division offers pre-university and diploma programs.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Singapore’s Financial business provides preparatory courses for professional qualifications in accountancy and finance, such as the Associatio Chartered Certified Accountants (ACCA) and the Chartered Financial Analyst (CFA). Kaplan Singapore’s Professional business, which is an authorize Workforce Development Agency Continuing Education Training (CET) Centre, provides professionals with various skills training in order for them to re the workforce, shift to new careers, or catch up with changes that occur in the workplace.</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Australia, Kaplan delivers a broad range of financial services education and professional development courses. In 2012, this business provided cou to approximately 17,400 students through classroom programs and to more than 44,800 students through distance-learning programs. In 2012, Kapla Australia underwent significant operational restructuring and now offers its programs through three business units: English Language and Pathways; Vocational Education; and Higher Education.</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Australia’s English Language and Pathways business includes KIC, which specializes in English-language instruction. KIC has opened new sc in Adelaide and Melbourne; it now operates out of seven locations in Australia and one location in New Zealand and teaches more than 7,000 student year. Also included in this division are Murdoch Institute of Technology and Bradford College, which continue to offer pathways education for student wishing to enter university, and collectively teach 670 students.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Vocational Education business of Kaplan Australia includes Kaplan Professional Education (KPE), Carrick Education Group and Franklyn Scholar offers financial services education programs and continuing professional development courses primarily to a business-to-business market, including m banks and numerous industry sectors. Approximately 43,000 students are taught through KPE each year. Carrick has traditionally offered English-lang programs, vocational training and higher education courses in Australia. Kaplan is currently evaluating various strategic alternatives with respect to the Carrick business lines. As of December 31, 2012, Carrick was providing services to approximately 1,300 students. Franklyn Scholar offers a wide rang custom-developed programs to business clients. More than 16,000 students are taught through Franklyn Scholar each year.</w:t>
      </w:r>
    </w:p>
    <w:p>
      <w:pPr>
        <w:spacing w:after="0" w:line="17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higher education business of Kaplan Australia comprises Kaplan Online Higher Education (KOHE) and Kaplan Business School (KBS), which offe diploma, bachelor’s and master’s degree programs. KBS has recently opened a new school in Brisbane and now operates in four states in Australia teaching approximately 700 students each year. KOHE teaches approximately 1,800 students annually in postgraduate courses primarily in the financ services sector. KBS and KOHE have recently received accreditation to launch an MBA program early in 2013.</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6" w:name="page17"/>
    <w:bookmarkEnd w:id="16"/>
    <w:p>
      <w:pPr>
        <w:ind w:right="40"/>
        <w:spacing w:after="0" w:line="260" w:lineRule="auto"/>
        <w:rPr>
          <w:sz w:val="20"/>
          <w:szCs w:val="20"/>
          <w:color w:val="auto"/>
        </w:rPr>
      </w:pPr>
      <w:r>
        <w:rPr>
          <w:rFonts w:ascii="Arial" w:cs="Arial" w:eastAsia="Arial" w:hAnsi="Arial"/>
          <w:sz w:val="16"/>
          <w:szCs w:val="16"/>
          <w:color w:val="auto"/>
        </w:rPr>
        <w:t>In Hong Kong, Kaplan offers a comprehensive array of programs, ranging from language education and standardized test preparation to corporate an financial training and higher education degree courses. During 2012, Kaplan’s Hong Kong business provided courses to more than 15,700 students.</w:t>
      </w:r>
    </w:p>
    <w:p>
      <w:pPr>
        <w:spacing w:after="0" w:line="16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China, Kaplan provides foundation programs to Chinese students through partnerships with prestigious Chinese universities and high schools. Kapl China offers foundation programs at 11 campuses and had more than 1,100 students enrolled at the end of 2012. Kaplan China also cooperates with several Chinese universities to provide ACCA training programs to the students.</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 International also includes the Kaplan Global Solutions business unit, which continues to develop partnerships with colleges, universities and n profit corporations and foundations. Kaplan Global Solutions, through its Colloquy business, enables its university partners to develop online educatio programs by providing an array of research, marketing and design services. Through its Global Pathways programs, Kaplan Global Solutions enables partner institutions in the Americas to enhance their brand globally and increase international student enrollments by designing and marketing custom programs aimed at student success.</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Each of Kaplan’s international businesses is subject to unique and often complex regulatory environments in the countries in which they operate. The degree of consistency in the application and interpretation of such regulations can vary significantly in certain jurisdictions, which can make complianc challenging. No assurance can be given that Kaplan will be able to comply with foreign regulations, and failure to do so could materially and adversely its operating results.</w:t>
      </w:r>
    </w:p>
    <w:p>
      <w:pPr>
        <w:spacing w:after="0" w:line="155"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Cable Television Operations</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Through its subsidiary Cable One, Inc. (Cable ONE), the Company owns and operates cable television systems that provide video, Internet and voice service to subscribers in 19 midwestern, western and southern states. At the end of 2012, Cable ONE provided cable service to approximately 593,60 video subscribers, representing about 41% of the 1,439,740 homes passed by the systems, had approximately 459,200 subscriptions to high-speed d (HSD) service and 184,500 subscriptions to VoIP (digital voice) service. The video services offered by Cable ONE include certain premium, cable netw and local over-the-air channels in high-definition television (HDTV) format.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Cable Television and Related Matters</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Cable ONE’s cable, Internet and voice operations are subject to various requirements imposed by the U.S. local, state and Federal governmental authorities. The regulation of certain cable television rates pursuant to procedures established by Congress has negatively affected Cable ONE’s reve Certain other legislative and regulatory matters discussed in this section also have the potential to adversely affect Cable ONE’s cable television, Inter and voice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Television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U.S. Federal law requires or authorizes the imposition of a wide range of regulations on cable television operations.</w:t>
      </w:r>
    </w:p>
    <w:p>
      <w:pPr>
        <w:spacing w:after="0" w:line="157"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 xml:space="preserve">Franchising. </w:t>
      </w:r>
      <w:r>
        <w:rPr>
          <w:rFonts w:ascii="Arial" w:cs="Arial" w:eastAsia="Arial" w:hAnsi="Arial"/>
          <w:sz w:val="17"/>
          <w:szCs w:val="17"/>
          <w:color w:val="auto"/>
        </w:rPr>
        <w:t>Cable ONE’s cable systems are required to obtain franchises from state or local governmental authorities to operate. Those franchises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typically are nonexclusive and limited in time, contain various conditions and limitations and provide for the payment of fees to the local authority, determined generally as a percentage of revenues. Additionally, those franchises often regulate the conditions of service and technical performance a contain various types of restrictions on transferability. Failure to comply with all of the terms and conditions of a franchise may give rise to rights of termination by the franchising authority. The U.S. Federal Communications Commission (FCC) has adopted rules designed to expedite the process of awarding competitive franchises and relieving applicants for competing franchises of some locally imposed franchise obligations. The FCC also has extended certain of these “reforms” to incumbent cable operators. Separately, several states, including Idaho, Iowa, Kansas, Louisiana, Missouri, Tenn and Texas—all states in which Cable ONE operates cable systems—have enacted laws permitting video service providers to secure statewide franchi thereby relieving these providers of the need to seek multiple authorizations from various local franchising authorities within a state. This development which is especially beneficial to new entrants, is expected to continue to accelerate the competition Cable ONE is experiencing in the video service marketplace.</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7" w:name="page18"/>
    <w:bookmarkEnd w:id="17"/>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Rate Regulation. </w:t>
      </w:r>
      <w:r>
        <w:rPr>
          <w:rFonts w:ascii="Arial" w:cs="Arial" w:eastAsia="Arial" w:hAnsi="Arial"/>
          <w:sz w:val="16"/>
          <w:szCs w:val="16"/>
          <w:color w:val="auto"/>
        </w:rPr>
        <w:t>FCC regulations prohibit local franchising authorities or the FCC from regulating the rates that cable systems charge for certain lev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video cable service, equipment and service calls when those cable systems are subject to “effective competition.” The FCC has confirmed that some o cable systems owned by the Cable ONE fall within the effective-competition exemption, and Cable ONE believes, based on an analysis of competitive conditions within its systems, that other of its systems may also qualify for that exemption. Nevertheless, monthly subscription rates charged for the ba tier of cable service, as well as rates charged for equipment rentals and service calls for many of Cable ONE’s cable systems, remain subject to regula by local franchising authorities in accordance with FCC rules. However, rates charged by cable systems for tiers of service other than the basic tier—s as pay-per-view and per-channel premium program services, digital video, Internet and digital voice services—currently are exempt from regulation.</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i w:val="1"/>
          <w:iCs w:val="1"/>
          <w:color w:val="auto"/>
        </w:rPr>
        <w:t xml:space="preserve">“Must-Carry” and Retransmission Consent. </w:t>
      </w:r>
      <w:r>
        <w:rPr>
          <w:rFonts w:ascii="Arial" w:cs="Arial" w:eastAsia="Arial" w:hAnsi="Arial"/>
          <w:sz w:val="17"/>
          <w:szCs w:val="17"/>
          <w:color w:val="auto"/>
        </w:rPr>
        <w:t>U.S. Federal law provides that a commercial television broadcast station may, subject to certain limitat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insist on carriage of its signal on cable systems located within the station’s market area. Similarly, a noncommercial public station may insist on carriag its signal on cable systems located either within the station’s predicted Grade B signal contour or within 50 miles of a reference point in a station’s community designated by the FCC. As a result of these obligations, certain of Cable ONE’s cable systems must carry broadcast stations that they mig otherwise have elected to carry, and their freedom to drop signals previously carried has been reduced.</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Commercial broadcasters have the right to elect at three-year intervals to forego must-carry rights and insist instead that their signals not be carried by systems without their prior consent. Broadcasters were required to make their elections for the current election cycle by October 1, 2011, with the elec effective January 1, 2012, through December 31, 2014. In some cases, Cable ONE has been required to provide consideration to broadcasters to obt retransmission consent, such as commitments to carry other program services offered by a station or an affiliated company, to purchase advertising on station or to provide advertising availabilities on cable to a station, or to provide cash compensation. This development results in increased operating c for cable systems, which ultimately increases the rates cable systems charge subscribers. In addition, there have been several public retransmission consent disputes between broadcasters and cable providers in recent years, which may prompt the FCC or Congress to impose new requirements on negotiation process. Cable ONE cannot predict whether these changes will be adopted or how any revised regulations would affect its business and operations.</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In March 2010, several cable and direct broadcast satellite (DBS) operators and certain other parties filed a request for rulemaking at the FCC seeking certain changes to the FCC’s retransmission consent rules, such as authorization for “interim carriage” of a broadcaster’s signal by cable and DBS op after the broadcaster’s grant of retransmission consent has expired, and limitations on the positions that broadcasters may take during negotiations. T FCC initiated a rulemaking proceeding in 2011 with respect to its retransmission consent rules, and that proceeding is pending. Changes to the retransmission consent rules could materially affect the Cable ONE cable systems’ (and Post–Newsweek Stations’) bargaining leverage in future retransmission consent negotiations. The Company cannot predict the net effect that such an order would have on the Company. Congress may also legislation that would affect the must-carry/retransmission consent regime, and the Company also cannot predict the net effect that such legislation wo have on Cable ONE.</w:t>
      </w:r>
    </w:p>
    <w:p>
      <w:pPr>
        <w:spacing w:after="0" w:line="17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August 2011, the FCC released a report on possible alternatives to the Designated Market Area (DMA) system and the availability of in-state programming to viewers. This report could be the basis for future legislative or regulatory developments on market definitions and retransmission cons The Company cannot predict what changes, if any, may occur, or the net effect that changes in these areas would have on the Company’s cable and broadcast operations and on the Company overall.</w:t>
      </w:r>
    </w:p>
    <w:p>
      <w:pPr>
        <w:spacing w:after="0" w:line="155"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Digital Television (DTV). </w:t>
      </w:r>
      <w:r>
        <w:rPr>
          <w:rFonts w:ascii="Arial" w:cs="Arial" w:eastAsia="Arial" w:hAnsi="Arial"/>
          <w:sz w:val="17"/>
          <w:szCs w:val="17"/>
          <w:color w:val="auto"/>
        </w:rPr>
        <w:t>Where a must-carry broadcast station’s signal is transmitted in HDTV format, cable operators generally are required to carr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signal in HDTV format. Although certain smaller cable systems are not subject to this requirement, satisfaction of the generally applicable obligation co increase Cable ONE’s costs by requiring it to expand the capacity of its cable systems or to delete some existing programming to meet its carriage obligations for broadcasters’ DTV signals.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Pole Attachments. </w:t>
      </w:r>
      <w:r>
        <w:rPr>
          <w:rFonts w:ascii="Arial" w:cs="Arial" w:eastAsia="Arial" w:hAnsi="Arial"/>
          <w:sz w:val="16"/>
          <w:szCs w:val="16"/>
          <w:color w:val="auto"/>
        </w:rPr>
        <w:t>U.S. Federal law requires most telephone and power utilities to charge reasonable rates to cable operators for utilizing space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poles or in underground conduits. The FCC has adopted two separate formulas for calculating such rates: one for attachments by cable operators gen and another for attachments used to provide “telecommunications services.” Several cable operators, including Cable ONE, are using their cable syst provide not only television programming but also Internet access and digital voice. In 2002, the U.S. Supreme Court held that the</w:t>
      </w:r>
    </w:p>
    <w:p>
      <w:pPr>
        <w:spacing w:after="0" w:line="18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18" w:name="page19"/>
    <w:bookmarkEnd w:id="18"/>
    <w:p>
      <w:pPr>
        <w:jc w:val="both"/>
        <w:spacing w:after="0" w:line="230" w:lineRule="auto"/>
        <w:rPr>
          <w:sz w:val="20"/>
          <w:szCs w:val="20"/>
          <w:color w:val="auto"/>
        </w:rPr>
      </w:pPr>
      <w:r>
        <w:rPr>
          <w:rFonts w:ascii="Arial" w:cs="Arial" w:eastAsia="Arial" w:hAnsi="Arial"/>
          <w:sz w:val="17"/>
          <w:szCs w:val="17"/>
          <w:color w:val="auto"/>
        </w:rPr>
        <w:t>lower pole attachment rates apply not only to attachments used to provide traditional cable services but also to attachments used to provide Internet a services. In May 2010 and again in April 2011, the FCC adopted new requirements relating to pole access and construction practices that were expect improve the ability of cable operators to attach to utility poles on a timely basis and to lower the pole attachment rate for telecommunications services. Company cannot predict the extent to which the ongoing court proceedings or these and other rule changes will affect its ability over time to secure tim access to poles at reasonable rates. As a general matter, changes to Cable ONE’s pole attachment rate structure could significantly increase its annu attachment costs.</w:t>
      </w:r>
    </w:p>
    <w:p>
      <w:pPr>
        <w:spacing w:after="0" w:line="159"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 xml:space="preserve">U.S. Federal Copyright Issues. </w:t>
      </w:r>
      <w:r>
        <w:rPr>
          <w:rFonts w:ascii="Arial" w:cs="Arial" w:eastAsia="Arial" w:hAnsi="Arial"/>
          <w:sz w:val="17"/>
          <w:szCs w:val="17"/>
          <w:color w:val="auto"/>
        </w:rPr>
        <w:t>The U.S. Federal Copyright Act of 1976, as amended, gives cable television systems the ability, under certain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conditions and assuming that any applicable retransmission consents have been obtained, to retransmit the signals of television stations pursuant to a compulsory copyright license. Those terms and conditions require all cable systems that retransmit broadcast signals to pay semiannual royalty fees, generally based on the systems’ gross revenues from basic service and, in certain instances, the number of “distant” broadcast signals carried. The compulsory license fees have been increased on several occasions since this Act went into effect. Since 1989, a separate compulsory copyright licens distant signal retransmissions has applied to DBS, and in 1999, Congress provided DBS with a royalty-free compulsory copyright license for distributio the signals of local television stations to satellite subscribers in the markets served by such stations. The cable compulsory license for local and distan signals and the DBS local signal compulsory license are permanent, while the DBS distant signal compulsory license is scheduled to sunset at the en 2014, although it is possible that, as in the past, the DBS distant signal compulsory license will be extended. In addition, the cable and DBS compulso licenses employ different methodologies for calculating royalties, with cable using a percentage of revenues approach and DBS using a flat, per-subsc per-signal payment approach.</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U.S. Federal Copyright Office is considering requests for clarification and revisions of certain cable compulsory copyright license reporting requirements. Cable ONE cannot predict the outcome of any such inquiries; however, it is possible that changes in the rules or copyright compulsory li fee computations or compliance procedures could have an adverse effect on its business by increasing copyright compulsory license fee costs or by causing Cable ONE to reduce or discontinue carriage of certain broadcast signals that it currently carries on a discretionary basis.</w:t>
      </w:r>
    </w:p>
    <w:p>
      <w:pPr>
        <w:spacing w:after="0" w:line="170"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August 2011, the U.S. Federal Copyright Office released a report assessing possible mechanisms for eliminating the cable and satellite statutory licenses. In November 2011, the Government Accountability Office released a report on the effect that elimination of the compulsory licenses would ha the industry and viewers. These reports could be the basis for future legislative or regulatory developments on these issues. The Company cannot pre or how the copyright regime may change, nor can the Company predict the net effect that changes to this regime would have on the Company’s cable broadcast operations or on the Company overall.</w:t>
      </w:r>
    </w:p>
    <w:p>
      <w:pPr>
        <w:spacing w:after="0" w:line="156"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Telephone Company Competition. </w:t>
      </w:r>
      <w:r>
        <w:rPr>
          <w:rFonts w:ascii="Arial" w:cs="Arial" w:eastAsia="Arial" w:hAnsi="Arial"/>
          <w:sz w:val="17"/>
          <w:szCs w:val="17"/>
          <w:color w:val="auto"/>
        </w:rPr>
        <w:t>U.S. Federal law permits telephone companies to offer video programming services. Over the past decade, telep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companies have pursued multiple strategies to enter the market for the delivery of multichannel video programming services, such as partnering with operators or obtaining local franchise agreements. Increased competition from telephone companies that provide competing services could have a ma effect on Cable ONE’s business.</w:t>
      </w:r>
    </w:p>
    <w:p>
      <w:pPr>
        <w:spacing w:after="0" w:line="15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b w:val="1"/>
          <w:bCs w:val="1"/>
          <w:i w:val="1"/>
          <w:iCs w:val="1"/>
          <w:color w:val="auto"/>
        </w:rPr>
        <w:t xml:space="preserve">“Over-the-Top” Video Programming. </w:t>
      </w:r>
      <w:r>
        <w:rPr>
          <w:rFonts w:ascii="Arial" w:cs="Arial" w:eastAsia="Arial" w:hAnsi="Arial"/>
          <w:sz w:val="17"/>
          <w:szCs w:val="17"/>
          <w:color w:val="auto"/>
        </w:rPr>
        <w:t>The continued proliferation of broadband services in the U.S., and related increases in broadband capacities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speeds, have enabled cable programmers and broadcast television stations to “stream” their video content to consumers over the Internet. Although t Company has benefited generally from the growth in broadband due to its role as a provider of broadband services, the continued and growing availab cable programming and broadcast television content on the Internet may result in less demand for the Company’s cable service offering. Some provid cable service are marketing their own version of “over-the-top” video programming, thus enabling their subscribers to access cable programming outsi their home or business. The Company cannot predict how widespread these practices may become or the extent to which the integrated functionality ease of use of the cable television platform will continue to appeal to the majority of its subscribers. Cable ONE will be purchasing set-top devices that allow its customers to access Internet content on their televisions.</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 xml:space="preserve">Wireless Services. </w:t>
      </w:r>
      <w:r>
        <w:rPr>
          <w:rFonts w:ascii="Arial" w:cs="Arial" w:eastAsia="Arial" w:hAnsi="Arial"/>
          <w:sz w:val="17"/>
          <w:szCs w:val="17"/>
          <w:color w:val="auto"/>
        </w:rPr>
        <w:t>At various times over the past decade, the FCC has taken steps to facilitate the use of certain frequencies, notably the 2.5 GHz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GHz bands, to deliver over-the-air multichannel video programming services to subscribers in competition with cable television systems. However, tho services generally were not deployed commercially in any significant way. Beginning in 2004, the FCC adopted rule changes that allowed the 2.5 GHz to</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9" w:name="page20"/>
    <w:bookmarkEnd w:id="19"/>
    <w:p>
      <w:pPr>
        <w:jc w:val="both"/>
        <w:ind w:right="20"/>
        <w:spacing w:after="0" w:line="233" w:lineRule="auto"/>
        <w:rPr>
          <w:sz w:val="20"/>
          <w:szCs w:val="20"/>
          <w:color w:val="auto"/>
        </w:rPr>
      </w:pPr>
      <w:r>
        <w:rPr>
          <w:rFonts w:ascii="Arial" w:cs="Arial" w:eastAsia="Arial" w:hAnsi="Arial"/>
          <w:sz w:val="17"/>
          <w:szCs w:val="17"/>
          <w:color w:val="auto"/>
        </w:rPr>
        <w:t>be used for nonvideo services and permitted transmitters to be deployed in cellular patterns. As a result of these rule changes, the 2.5 GHz and other frequency bands, including the 1.7 GHz and 2.1 GHz bands in which the FCC auctioned spectrum in 2006, are now being adopted for the delivery of t way broadband digital data and high-speed Internet access services capable of covering large areas.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December 2006, Cable ONE purchased in the FCC’s Advanced Wireless Service auction approximately 20 MHz of spectrum in the 1.7 GHz and 2. frequency bands in areas that cover more than 85% of the homes passed by Cable ONE’s systems. This spectrum can be used to provide a variety of advanced wireless services, including fixed and mobile high-speed Internet access using WiMAX and other digital transmission systems. Licenses for spectrum have an initial 15-year term and 10-year renewal terms. Licensees will be required to show that they have provided substantial service by th of the initial license term to be eligible to renew, but there are no interim construction or service requirements. Cable ONE is evaluating how best to uti spectrum.</w:t>
      </w:r>
    </w:p>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2008, the FCC auctioned additional spectrum in the 700 MHz band, which historically has been used for television broadcasting, and it is expected this additional spectrum will be used to deliver broadband, video and other services to mobile devices. Although it is not yet clear what effect, if any, th increased availability of mobile video services will have on the cable television industry, these developments likely will increase the number of competi alternatives to Cable ONE’s services.</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FCC is in the process of establishing rules to auction additional spectrum. In February 2012, Congress authorized the reallocation of spectrum cu in the television broadcast band for use by wireless broadband providers. In October 2012, the FCC initiated a rulemaking proceeding regarding implementation of this legislation, which includes both the auction of spectrum and a “repacking,” whereby the FCC would require certain broadcast st to move to new channel allotments so as to free up a nationwide block of spectrum for wireless broadband use. The repacking and incentive auction process could have an adverse effect on cable systems. The repacking may impose costs on cable systems, certain of which are subject to reimburse from auction proceedings. The availability of more spectrum to enable video services over time will create additional competitive alternatives to cable services. The Company cannot predict when the auction and repacking will occur or the effect they may have on Cable ONE.</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 xml:space="preserve">Horizontal and Vertical Ownership Limits. </w:t>
      </w:r>
      <w:r>
        <w:rPr>
          <w:rFonts w:ascii="Arial" w:cs="Arial" w:eastAsia="Arial" w:hAnsi="Arial"/>
          <w:sz w:val="17"/>
          <w:szCs w:val="17"/>
          <w:color w:val="auto"/>
        </w:rPr>
        <w:t>In September 2009, a reviewing court struck down and remanded the FCC’s horizontal cable ownership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provided that a single company could not serve more than 30% of potential cable subscribers (or “homes passed” by cable) nationwide. Althoug reviewing court’s decision authorizes the FCC to seek to justify the rule, it is not clear whether the FCC will attempt to do so. Separately, the FCC has proposed reinstating vertical ownership restrictions that would cap the percentage of a cable system’s channel capacity that could be used to carry ch in which the operator has an ownership interest, but it has taken no action to implement such restrictions. There currently is no restriction on the owne of both a television broadcast station and a cable television system in the same market.</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Historically, cable operators were prohibited from acquiring a greater than 10% financial interest, or any management interest, in a local exchange carr providing telephone exchange service within that cable operator’s franchise area, except with regard to acquisitions of certain very small local exchan carriers or pursuant to a waiver from the FCC. In 2012, the FCC agreed to forbear from applying this prohibition to cable acquisitions or investments in competitive local exchange carriers. The Company cannot predict whether or the extent to which this development will affect its business.</w:t>
      </w:r>
    </w:p>
    <w:p>
      <w:pPr>
        <w:spacing w:after="0" w:line="150"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 xml:space="preserve">Set-Top Boxes. </w:t>
      </w:r>
      <w:r>
        <w:rPr>
          <w:rFonts w:ascii="Arial" w:cs="Arial" w:eastAsia="Arial" w:hAnsi="Arial"/>
          <w:sz w:val="17"/>
          <w:szCs w:val="17"/>
          <w:color w:val="auto"/>
        </w:rPr>
        <w:t>Pursuant to a congressional directive to promote competition in the retail market for set-top converter boxes, the FCC has adopted 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barring cable operators from deploying set-top boxes with “integrated” security and navigation functions and requiring cable operators to support boxe other devices designed to accept plug-in cards (CableCARDs) that provide the descrambling and other security features that traditionally have been included in the integrated set-top converter boxes leased by cable operators to their customers. The FCC has granted some requests for waivers of th rule, including one such request filed by Cable ONE to allow it to offer low-cost, HD-capable, integrated set-top boxes to subscribers of its Dyersburg, system. The general prohibition on integrated set-top boxes has the potential to increase the capital costs of cable operators because of the need to p CableCARDs to customers and because the new type of converter box is typically more expensive than the traditional integrated box. In 2010, the FC adopted certain modifications to its set-top box and CableCARD rules, which included extending the relief previously provided to Cable ONE to all cab operators nationwide. While this change should facilitate the availability of low-cost set-top boxes, other changes adopted by the FCC that impact how operators bill for set-top boxes and the types of CableCARDs they must deploy could increase operational costs for such operators. Also in 2010, the initiated a</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20" w:name="page21"/>
    <w:bookmarkEnd w:id="20"/>
    <w:p>
      <w:pPr>
        <w:jc w:val="both"/>
        <w:spacing w:after="0" w:line="233" w:lineRule="auto"/>
        <w:rPr>
          <w:sz w:val="20"/>
          <w:szCs w:val="20"/>
          <w:color w:val="auto"/>
        </w:rPr>
      </w:pPr>
      <w:r>
        <w:rPr>
          <w:rFonts w:ascii="Arial" w:cs="Arial" w:eastAsia="Arial" w:hAnsi="Arial"/>
          <w:sz w:val="17"/>
          <w:szCs w:val="17"/>
          <w:color w:val="auto"/>
        </w:rPr>
        <w:t>broader regulatory proceeding to consider whether it should require all multichannel video program distributors, which include cable operators, to deve and provide a new, universal set-top box solution that allows access to both online and traditional video. The Company cannot predict whether or the e to which the issues raised in this proceeding will be resolved.</w:t>
      </w:r>
    </w:p>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2011, the FCC initiated a rulemaking proceeding to review a rule prohibiting encryption of the basic service tier. In 2012, the FCC amended its rules allow cable operators to encrypt the basic service tier in all-digital cable systems if they comply with certain consumer-protection measures. The Comp cannot predict the impact of this decision on its business, except that it is expected to decrease the burden of regulation on the cable industry as a wh</w:t>
      </w:r>
    </w:p>
    <w:p>
      <w:pPr>
        <w:spacing w:after="0" w:line="16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2012, the FCC clarified and waived until June 3, 2014, the “open industry standard” that requires cable set-top boxes to include a recordable, Intern Protocol (IP)-based output. Although these requirements are expected to impose costs on cable operators, they now have additional time in which to comply.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January 2013, the Department of Energy tentatively designated set-top boxes and network equipment as covered consumer products and proposed adopt a new test procedure for set-top boxes as part of its Energy Conservation Program for Consumer Products and Certain Commercial and Industr Equipment. Imposing energy conservation regulations on cable industry products could impede innovation and upgrades in set-top boxes and be costl the cable industry. The Company cannot predict whether, how or when the issues raised in this proposal will be resolved.</w:t>
      </w:r>
    </w:p>
    <w:p>
      <w:pPr>
        <w:spacing w:after="0" w:line="150" w:lineRule="exact"/>
        <w:rPr>
          <w:sz w:val="20"/>
          <w:szCs w:val="20"/>
          <w:color w:val="auto"/>
        </w:rPr>
      </w:pPr>
    </w:p>
    <w:p>
      <w:pPr>
        <w:spacing w:after="0" w:line="231" w:lineRule="auto"/>
        <w:rPr>
          <w:sz w:val="20"/>
          <w:szCs w:val="20"/>
          <w:color w:val="auto"/>
        </w:rPr>
      </w:pPr>
      <w:r>
        <w:rPr>
          <w:rFonts w:ascii="Arial" w:cs="Arial" w:eastAsia="Arial" w:hAnsi="Arial"/>
          <w:sz w:val="17"/>
          <w:szCs w:val="17"/>
          <w:b w:val="1"/>
          <w:bCs w:val="1"/>
          <w:i w:val="1"/>
          <w:iCs w:val="1"/>
          <w:color w:val="auto"/>
        </w:rPr>
        <w:t xml:space="preserve">Disability Access. </w:t>
      </w:r>
      <w:r>
        <w:rPr>
          <w:rFonts w:ascii="Arial" w:cs="Arial" w:eastAsia="Arial" w:hAnsi="Arial"/>
          <w:sz w:val="17"/>
          <w:szCs w:val="17"/>
          <w:color w:val="auto"/>
        </w:rPr>
        <w:t>In September 2010, Congress passed the Twenty-First Century Communications and Video Accessibility Act (CVAA). The CVAA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FCC to impose additional accessibility requirements on cable operators. For example, pursuant to the CVAA, the FCC has reinstated the video description regulations that the FCC had adopted in 2000 (which had been invalidated on appeal), with certain modifications specified in the CVAA. Th cable operators that serve 50,000 or more subscribers must provide 50 hours of video description per calendar quarter during prime time or on childre programming, on each channel on which they carry one of the top five national nonbroadcast networks. In addition, cable operators of all sizes must p through video description that is provided for each broadcast station or nonbroadcast network that they carry. Compliance imposes certain costs on th Company. The CVAA also directs the FCC to adopt rules to help ensure that certain video programming distributors convey emergency information in manner that is accessible to persons who are blind or visually impaired. In addition, the CVAA requires the FCC to subject devices designed to receive back or record video programming transmitted simultaneously with sound, such as set-top boxes, to regulations governing (1) the display of closed-captioned video programming, (2) the transmission and delivery of video description services and (3) the conveyance of emergency information. The Company cannot predict the compliance deadline that the FCC will establish or the content of the rules it will adopt. Compliance with the new rules co impose new costs on the Company.</w:t>
      </w:r>
    </w:p>
    <w:p>
      <w:pPr>
        <w:spacing w:after="0" w:line="162" w:lineRule="exact"/>
        <w:rPr>
          <w:sz w:val="20"/>
          <w:szCs w:val="20"/>
          <w:color w:val="auto"/>
        </w:rPr>
      </w:pPr>
    </w:p>
    <w:p>
      <w:pPr>
        <w:spacing w:after="0" w:line="232" w:lineRule="auto"/>
        <w:rPr>
          <w:sz w:val="20"/>
          <w:szCs w:val="20"/>
          <w:color w:val="auto"/>
        </w:rPr>
      </w:pPr>
      <w:r>
        <w:rPr>
          <w:rFonts w:ascii="Arial" w:cs="Arial" w:eastAsia="Arial" w:hAnsi="Arial"/>
          <w:sz w:val="17"/>
          <w:szCs w:val="17"/>
          <w:b w:val="1"/>
          <w:bCs w:val="1"/>
          <w:i w:val="1"/>
          <w:iCs w:val="1"/>
          <w:color w:val="auto"/>
        </w:rPr>
        <w:t xml:space="preserve">Other Requirements. </w:t>
      </w:r>
      <w:r>
        <w:rPr>
          <w:rFonts w:ascii="Arial" w:cs="Arial" w:eastAsia="Arial" w:hAnsi="Arial"/>
          <w:sz w:val="17"/>
          <w:szCs w:val="17"/>
          <w:color w:val="auto"/>
        </w:rPr>
        <w:t>In February 2008, the FCC issued revised commercial leased access rules that require cable operators to make a certain porti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systems’ capacity available to parties desiring to transmit programming via cable on a leased basis. These revised rules could substantially reduc rates for parties desiring to lease capacity on cable systems and also impose a variety of leased access customer service, information and reporting standards. Implementation of these new rules has been stayed by the courts, and some of the rules were rejected by the Office of Management and B (OMB) as inconsistent with the U.S. Federal Paperwork Reduction Act. Certain parties have requested that the FCC override the OMB ruling, but no a has been taken on that request. The FCC has not indicated its intent to move forward with implementation of these new rules. If they take effect, howe they likely will increase Cable ONE’s costs and could cause additional leased access activity on Cable ONE’s cable systems. As a result, Cable ONE find it necessary to either discontinue other channels of programming or opt not to carry new channels of programming or other services that may be desirable to its customers.</w:t>
      </w:r>
    </w:p>
    <w:p>
      <w:pPr>
        <w:spacing w:after="0" w:line="181"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2012, the FCC sought comment on proof of performance standards that would impose technical standards and signal leakage rules, including new and documentation requirements, on digital cable systems. If adopted, these rules could increase operational costs for cable operators. The Company cannot predict whether or to what extent the FCC will adopt such rules.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FCC also regulates various other aspects of cable television operations. Long-standing FCC rules require cable systems to black out from certain distant broadcast stations the syndicated programs for which local stations have purchased exclusive rights and requested exclusivity and to delete, u certain circumstances, duplicative network programs broadcast by distant stations. Proposals to amend or repeal certain of these rules are pending be the FCC,</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21" w:name="page22"/>
    <w:bookmarkEnd w:id="21"/>
    <w:p>
      <w:pPr>
        <w:jc w:val="both"/>
        <w:spacing w:after="0" w:line="233" w:lineRule="auto"/>
        <w:rPr>
          <w:sz w:val="20"/>
          <w:szCs w:val="20"/>
          <w:color w:val="auto"/>
        </w:rPr>
      </w:pPr>
      <w:r>
        <w:rPr>
          <w:rFonts w:ascii="Arial" w:cs="Arial" w:eastAsia="Arial" w:hAnsi="Arial"/>
          <w:sz w:val="17"/>
          <w:szCs w:val="17"/>
          <w:color w:val="auto"/>
        </w:rPr>
        <w:t>but the Company cannot predict whether, how or when the FCC will act on these proposals. The FCC also imposes certain technical standards on cab television operators, exercises the power to license various microwave and other radio facilities frequently used in cable television operations and reg the assignment and transfer of control of such licenses.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Internet Access Services</w:t>
      </w:r>
    </w:p>
    <w:p>
      <w:pPr>
        <w:spacing w:after="0" w:line="197" w:lineRule="exact"/>
        <w:rPr>
          <w:sz w:val="20"/>
          <w:szCs w:val="20"/>
          <w:color w:val="auto"/>
        </w:rPr>
      </w:pPr>
    </w:p>
    <w:p>
      <w:pPr>
        <w:jc w:val="both"/>
        <w:ind w:right="20"/>
        <w:spacing w:after="0" w:line="231" w:lineRule="auto"/>
        <w:rPr>
          <w:sz w:val="20"/>
          <w:szCs w:val="20"/>
          <w:color w:val="auto"/>
        </w:rPr>
      </w:pPr>
      <w:r>
        <w:rPr>
          <w:rFonts w:ascii="Arial" w:cs="Arial" w:eastAsia="Arial" w:hAnsi="Arial"/>
          <w:sz w:val="17"/>
          <w:szCs w:val="17"/>
          <w:color w:val="auto"/>
        </w:rPr>
        <w:t>In 2005, the U.S. Supreme Court upheld the FCC’s classification of Internet access service as an “information service.” As a result, Internet access se is not subject to the full panoply of regulations that applies to “cable services” or “telecommunications services” under the U.S. Federal Communicatio of 1934, as amended (the Communications Act), nor is it subject to state or local government regulation. In response to the U.S. Supreme Court’s dec the FCC ruled that a telephone company’s offering of digital subscriber line (DSL) Internet access service and a mobile wireless company’s offering of similar wireless broadband service also are “information services.”</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Cable ONE currently offers broadband Internet access service on virtually all of its cable systems and is the sole Internet service provider on those sy Cable ONE does not restrict the websites that its broadband Internet access subscribers may view; however, regulations that distinguish between interference with subscriber access and reasonable network management are evolving and, over time, could begin to interfere with Cable ONE’s abilit manage its network or provide services to its subscribers. In 2010, the FCC imposed certain “net neutrality” obligations on providers of broadband Inte access services. Included among those obligations are requirements that fixed broadband Internet service providers publicly disclose accurate inform regarding their network management practices; refrain from blocking lawful content, applications, services and non-harmful devices of the end user’s choosing; and refrain from unreasonably discriminating in the transmission of lawful traffic. Wireless broadband Internet service providers are subject t fewer regulations, and the application of all such regulations is subject to the broadband Internet service provider’s ability to engage in reasonable net management. The FCC’s net neutrality rules also establish a process through which complaints can be brought about the network management practi broadband Internet service providers. Congress, from time to time, also has considered whether to impose net neutrality requirements on providers of broadband Internet access service that would limit the ability of such providers to prioritize the delivery of particular types of content, applications or se over their networks, or whether to limit the FCC’s ability to regulate such activity. The FCC’s December 2010 order imposing certain net neutrality oblig on providers of broadband Internet access services has been appealed, and the Company cannot predict the outcome or timing of this appeal. If the F order is upheld, then these new obligations could cause the Company to incur certain compliance costs.</w:t>
      </w:r>
    </w:p>
    <w:p>
      <w:pPr>
        <w:spacing w:after="0" w:line="18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American Recovery and Reinvestment Act of 2009 (ARRA) required the FCC to develop a National Broadband Plan (NB Plan) to guide U.S. polic the area of domestic broadband deployment. In March 2010, the FCC submitted its NB Plan to Congress and announced its intention to initiate approximately 40 rulemakings addressing a host of issues related to the delivery of broadband services. Several of these rulemakings have already b initiated. The broad reach of these rulemaking proceedings could ultimately affect the environment in which Cable ONE operates. The NB Plan, which FCC delivered to Congress on March 16, 2010, did not contain self-effectuating provisions, but it is serving as a blueprint for broadband regulatory pol the U.S. and, therefore, could have a material effect on Cable ONE and other providers of broadband Internet access services. Compliance with these imposes costs on the Company and may impact the competitive environment in which Cable ONE operates.</w:t>
      </w:r>
    </w:p>
    <w:p>
      <w:pPr>
        <w:spacing w:after="0" w:line="178"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Providers of broadband Internet access services are subject to many of the same U.S. Federal and state privacy laws that apply to other providers of electronic communications, such as cable companies and telephone companies, including the U.S. Federal Electronic Communications Privacy Act, w addresses interceptions of electronic communications that are in transit; the Stored Communications Act, which addresses acquisitions of electronic d storage; and the Communications Assistance for Law Enforcement Act (CALEA), which requires providers to make their services and facilities accessi to law enforcement for purposes of surveillance. Various U.S. Federal and state laws also apply to Cable ONE and to others whose services are acce through Cable ONE’s broadband Internet access service. These laws include copyright laws, privacy and data breach requirements, prohibitions on obscenity and requirements governing unsolicited commercial email.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Voice Services</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 xml:space="preserve">Voice Over Internet Protocol (VoIP). </w:t>
      </w:r>
      <w:r>
        <w:rPr>
          <w:rFonts w:ascii="Arial" w:cs="Arial" w:eastAsia="Arial" w:hAnsi="Arial"/>
          <w:sz w:val="17"/>
          <w:szCs w:val="17"/>
          <w:color w:val="auto"/>
        </w:rPr>
        <w:t>Cable companies, including Cable ONE and others, offer voice over Internet Protocol service, which permits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make voice calls over broadband communications networks, including the</w:t>
      </w:r>
    </w:p>
    <w:p>
      <w:pPr>
        <w:spacing w:after="0" w:line="18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22" w:name="page23"/>
    <w:bookmarkEnd w:id="22"/>
    <w:p>
      <w:pPr>
        <w:spacing w:after="0" w:line="235" w:lineRule="auto"/>
        <w:rPr>
          <w:sz w:val="20"/>
          <w:szCs w:val="20"/>
          <w:color w:val="auto"/>
        </w:rPr>
      </w:pPr>
      <w:r>
        <w:rPr>
          <w:rFonts w:ascii="Arial" w:cs="Arial" w:eastAsia="Arial" w:hAnsi="Arial"/>
          <w:sz w:val="17"/>
          <w:szCs w:val="17"/>
          <w:color w:val="auto"/>
        </w:rPr>
        <w:t>Internet. U.S. Federal law preempts state and local regulatory barriers to the offering of voice service by cable companies and others, and the FCC an Federal courts generally have preempted state laws that seek to regulate or classify VoIP.</w:t>
      </w:r>
    </w:p>
    <w:p>
      <w:pPr>
        <w:spacing w:after="0" w:line="176"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FCC has held that VoIP services are IP-enabled services, which are interstate in nature and thus subject exclusively to the FCC’s U.S. Federal jurisdiction. This decision was upheld on appeal, although the FCC has an ongoing proceeding to consider whether VoIP services provided by cable companies and others are properly classified as an “information service,” “telecommunications service” or some other new category of service. This determination, once made, could have numerous regulatory implications for cable companies that provide VoIP services, including Cable ONE. Althou FCC has yet to ascribe a regulatory definition to VoIP services, the FCC nevertheless has imposed a number of obligations on some types of VoIP pro known as interconnected VoIP service providers, some of which are discussed more fully below. In 2011, the FCC implemented a statutory provision t Congress adopted and imposed a smaller subset of requirements, principally, registration and contribution obligations for contributions to the Interstate Telecommunications Relay Services Fund, on non-interconnected VoIP providers. In the absence of a definitive FCC decision regarding the regulatory classification of interconnected VoIP services, several states, including several in Cable ONE’s service territory, also have attempted—and are expect continue to attempt—to regulate VoIP services like traditional telephony service and impose certain fees and taxes on the provision of VoIP services. Cable ONE and other VoIP service providers are actively challenging state attempts to regulate and classify VoIP services, these state actions could h an adverse effect on Cable ONE’s business by increasing its costs to provide VoIP services. Legislation from time to time has been introduced in Con to address the classification and regulatory obligations of VoIP providers. The prospects for passage of any such legislation are uncertain.</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 xml:space="preserve">Emergency 911 Services. </w:t>
      </w:r>
      <w:r>
        <w:rPr>
          <w:rFonts w:ascii="Arial" w:cs="Arial" w:eastAsia="Arial" w:hAnsi="Arial"/>
          <w:sz w:val="17"/>
          <w:szCs w:val="17"/>
          <w:color w:val="auto"/>
        </w:rPr>
        <w:t>The FCC has ruled that an interconnected VoIP service provider that enables its customers to make calls to and from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use the public switched telephone network must provide its customers with the same enhanced 911 (E911) features that traditional telephone an wireless companies are obligated to provide. This requirement was upheld on appeal. The FCC is currently assessing whether additional rules related provision of E911 services by interconnected VoIP service providers should be adopted.</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CALEA. </w:t>
      </w:r>
      <w:r>
        <w:rPr>
          <w:rFonts w:ascii="Arial" w:cs="Arial" w:eastAsia="Arial" w:hAnsi="Arial"/>
          <w:sz w:val="17"/>
          <w:szCs w:val="17"/>
          <w:color w:val="auto"/>
        </w:rPr>
        <w:t>FCC regulations require providers of interconnected VoIP service to comply with the requirements of CALEA, which requires covered entities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equipment suppliers to deploy equipment that law enforcement officials can access readily for lawful wiretap purposes.</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i w:val="1"/>
          <w:iCs w:val="1"/>
          <w:color w:val="auto"/>
        </w:rPr>
        <w:t xml:space="preserve">Universal Service. </w:t>
      </w:r>
      <w:r>
        <w:rPr>
          <w:rFonts w:ascii="Arial" w:cs="Arial" w:eastAsia="Arial" w:hAnsi="Arial"/>
          <w:sz w:val="16"/>
          <w:szCs w:val="16"/>
          <w:color w:val="auto"/>
        </w:rPr>
        <w:t>The FCC has determined that interconnected VoIP service providers must contribute to the U.S. Federal Universal Service Fund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of a company’s USF contribution is based on a percentage of revenues earned from end-user interstate and international interconnected services. Cable ONE is permitted to recover these contributions from its customers. This percentage changes from time to time and generally has bee increasing, prompting Congress and the FCC to consider ways in which the USF and the payment obligations of fund contributors should be reformed 2011, the FCC adopted an order and new rules intended to transition the USF so that it supports the build out of broadband, rather than telecommunic facilities. The order principally addressed the manner in which universal service funds will be distributed to network operators for broadband build out. 2012, the FCC initiated a proceeding that focused on reforming the nature and manner in which entities should contribute to the USF and at what leve Cable ONE cannot predict whether and how such reform will occur and the extent to which it may affect providers of VoIP services, including Cable O and its competitors. The FCC’s 2011 universal service reform order is subject to both reconsideration requests and appeals, and Cable ONE cannot p the outcome of those actions. In November 2010, the FCC determined that states may impose state USF fees on interconnected VoIP service provide subject to certain limitations and requirements. State USF contributions are based on a percentage of revenues earned from end-user intrastate interconnected VoIP services, and Cable ONE is typically permitted to recover these contributions from its customers. Cable ONE cannot predict whet how the imposition of such state-based universal service fees will affect its operations and business.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 xml:space="preserve">Intercarrier Compensation. </w:t>
      </w:r>
      <w:r>
        <w:rPr>
          <w:rFonts w:ascii="Arial" w:cs="Arial" w:eastAsia="Arial" w:hAnsi="Arial"/>
          <w:sz w:val="17"/>
          <w:szCs w:val="17"/>
          <w:color w:val="auto"/>
        </w:rPr>
        <w:t>The order and new rules adopted by the FCC in 2011 in connection with universal service reform also addressed interca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and specified that “VoIP-PSTN traffic,” that is, traffic exchanged over public switched telephone network facilities that originates and/or terminates in IP format, which includes interconnected VoIP traffic, is subject to intercarrier compensation obligations either on the basis of specified d charges or through negotiated rates. The FCC’s order is the subject of both reconsideration requests and appeals, and Cable ONE cannot predict the outcome of these actions. Future FCC determinations regarding the rates, terms and conditions for transporting and terminating such traffic can have profound and material effect on the profitability of providing voice and</w:t>
      </w:r>
    </w:p>
    <w:p>
      <w:pPr>
        <w:spacing w:after="0" w:line="19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Internet services. It is not possible to predict what actions the FCC might take in this area or the effect that they will have on Cable ONE.</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 xml:space="preserve">Customer Proprietary Network Information (CPNI). </w:t>
      </w:r>
      <w:r>
        <w:rPr>
          <w:rFonts w:ascii="Arial" w:cs="Arial" w:eastAsia="Arial" w:hAnsi="Arial"/>
          <w:sz w:val="17"/>
          <w:szCs w:val="17"/>
          <w:color w:val="auto"/>
        </w:rPr>
        <w:t>In 2007, the FCC adopted rules expanding the protection of CPNI and extending CPNI protecti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requirements to providers of interconnected VoIP service. CPNI is information about the quantity, technical configuration, type, location and amount of voice customer’s use. These requirements generally have increased the cost of providing interconnected VoIP service, as providers now must implem various safeguards to protect CPNI from unauthorized disclosure.</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auto"/>
        </w:rPr>
        <w:t xml:space="preserve">Access for Persons With Disabilities. </w:t>
      </w:r>
      <w:r>
        <w:rPr>
          <w:rFonts w:ascii="Arial" w:cs="Arial" w:eastAsia="Arial" w:hAnsi="Arial"/>
          <w:sz w:val="17"/>
          <w:szCs w:val="17"/>
          <w:color w:val="auto"/>
        </w:rPr>
        <w:t>FCC regulations require providers of interconnected VoIP services to comply with all disability access require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apply to telecommunications carriers, including the provision of telecommunications relay services for persons with speech or hearing impairment FCC also has adopted reporting requirements associated with disability access obligations. Cable ONE and other interconnected VoIP service provide must also contribute to the interstate Telecommunications Relay Service Fund to support such access. These requirements generally have had the eff increasing the cost of providing VoIP services.</w:t>
      </w:r>
    </w:p>
    <w:p>
      <w:pPr>
        <w:spacing w:after="0" w:line="156"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b w:val="1"/>
          <w:bCs w:val="1"/>
          <w:i w:val="1"/>
          <w:iCs w:val="1"/>
          <w:color w:val="auto"/>
        </w:rPr>
        <w:t xml:space="preserve">Service Discontinuance and Outage Obligations. </w:t>
      </w:r>
      <w:r>
        <w:rPr>
          <w:rFonts w:ascii="Arial" w:cs="Arial" w:eastAsia="Arial" w:hAnsi="Arial"/>
          <w:sz w:val="16"/>
          <w:szCs w:val="16"/>
          <w:color w:val="auto"/>
        </w:rPr>
        <w:t>In 2009, the FCC adopted rules subjecting providers of interconnected VoIP services to the sam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discontinuance requirements applicable to providers of wireline telecommunication services. In 2012, the FCC adopted mandatory outage rep requirements for interconnected VoIP service providers, which apply when customers of interconnected VoIP service lose service or connectivity and, result, are unable to access 911 service. Along with other FCC actions described in this section, which impose legacy telecom obligations on intercon VoIP providers, this development will subject the Company’s interconnected VoIP services to greater regulation and thus greater burdens and costs.</w:t>
      </w:r>
    </w:p>
    <w:p>
      <w:pPr>
        <w:spacing w:after="0" w:line="147"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 xml:space="preserve">Regulatory Fees. </w:t>
      </w:r>
      <w:r>
        <w:rPr>
          <w:rFonts w:ascii="Arial" w:cs="Arial" w:eastAsia="Arial" w:hAnsi="Arial"/>
          <w:sz w:val="17"/>
          <w:szCs w:val="17"/>
          <w:color w:val="auto"/>
        </w:rPr>
        <w:t>The FCC requires interconnected VoIP service providers to contribute to shared costs of FCC regulation through an annual regulat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fee assessment. These fees have increased Cable ONE’s cost of providing VoIP services. In 2012, the FCC initiated a proceeding to reform the regula fee regime in light of marketplace changes. Certain of the proposals could affect the regulatory fee burden on providers of interconnected VoIP servic the Company cannot predict when or the extent to which the FCC will adopt new rules.</w:t>
      </w:r>
    </w:p>
    <w:p>
      <w:pPr>
        <w:spacing w:after="0" w:line="15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b w:val="1"/>
          <w:bCs w:val="1"/>
          <w:i w:val="1"/>
          <w:iCs w:val="1"/>
          <w:color w:val="auto"/>
        </w:rPr>
        <w:t xml:space="preserve">Local Number Portability. </w:t>
      </w:r>
      <w:r>
        <w:rPr>
          <w:rFonts w:ascii="Arial" w:cs="Arial" w:eastAsia="Arial" w:hAnsi="Arial"/>
          <w:sz w:val="17"/>
          <w:szCs w:val="17"/>
          <w:color w:val="auto"/>
        </w:rPr>
        <w:t>Providers of interconnected VoIP services and their “numbering partners” must ensure that their subscribers have the abil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port their telephone numbers when changing service providers, and local exchange carriers and commercial mobile radio service providers must port numbers that they control to an interconnected VoIP service provider upon a valid port request. Cable ONE, along with other providers of interconnect VoIP service, must contribute funds to cover the shared costs of local number portability and the costs of North American Numbering Plan Administrati The FCC currently is considering whether additional numbering requirements, such as allowing consumers access to abbreviated dialing codes like 21 311, should be applied to interconnected VoIP service providers. Although consumers’ ability to port their existing telephone numbers to interconnecte VoIP service has created additional opportunities for Cable ONE to gain voice customers, the local number portability and associated rules overall hav the effect of increasing the cost of providing VoIP service.</w:t>
      </w:r>
    </w:p>
    <w:p>
      <w:pPr>
        <w:spacing w:after="0" w:line="157"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Regulatory Reform. </w:t>
      </w:r>
      <w:r>
        <w:rPr>
          <w:rFonts w:ascii="Arial" w:cs="Arial" w:eastAsia="Arial" w:hAnsi="Arial"/>
          <w:sz w:val="17"/>
          <w:szCs w:val="17"/>
          <w:color w:val="auto"/>
        </w:rPr>
        <w:t>The FCC recently initiated proceedings to address requests to end or alter regulation of certain traditional telecommunications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networks. The requests ask the FCC to take a variety of actions to change the nature and manner in which these networks are regulated. The issues r in these requests are driven in part by changes in technology. The Company cannot predict whether or to what extent the FCC will act on these reque how that will affect the Company’s business.</w:t>
      </w:r>
    </w:p>
    <w:p>
      <w:pPr>
        <w:spacing w:after="0" w:line="155"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Newspaper Publishing</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 xml:space="preserve">The Company’s newspaper publishing operations include results for its flagship newspaper and Internet site, </w:t>
      </w:r>
      <w:r>
        <w:rPr>
          <w:rFonts w:ascii="Arial" w:cs="Arial" w:eastAsia="Arial" w:hAnsi="Arial"/>
          <w:sz w:val="17"/>
          <w:szCs w:val="17"/>
          <w:i w:val="1"/>
          <w:iCs w:val="1"/>
          <w:color w:val="auto"/>
        </w:rPr>
        <w:t>The Washington Post,</w:t>
      </w:r>
      <w:r>
        <w:rPr>
          <w:rFonts w:ascii="Arial" w:cs="Arial" w:eastAsia="Arial" w:hAnsi="Arial"/>
          <w:sz w:val="17"/>
          <w:szCs w:val="17"/>
          <w:color w:val="auto"/>
        </w:rPr>
        <w:t xml:space="preserve"> The Slate Group a number of additional newspapers and websites.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Washington Post</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WP Company LLC (WP Company), a subsidiary of the Company, publishes </w:t>
      </w:r>
      <w:r>
        <w:rPr>
          <w:rFonts w:ascii="Arial" w:cs="Arial" w:eastAsia="Arial" w:hAnsi="Arial"/>
          <w:sz w:val="16"/>
          <w:szCs w:val="16"/>
          <w:i w:val="1"/>
          <w:iCs w:val="1"/>
          <w:color w:val="auto"/>
        </w:rPr>
        <w:t>The Washington Post (</w:t>
      </w:r>
      <w:r>
        <w:rPr>
          <w:rFonts w:ascii="Arial" w:cs="Arial" w:eastAsia="Arial" w:hAnsi="Arial"/>
          <w:sz w:val="16"/>
          <w:szCs w:val="16"/>
          <w:color w:val="auto"/>
        </w:rPr>
        <w:t xml:space="preserve">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and the Internet site, washingtonpost.co</w:t>
      </w:r>
    </w:p>
    <w:p>
      <w:pPr>
        <w:spacing w:after="0" w:line="200" w:lineRule="exact"/>
        <w:rPr>
          <w:sz w:val="20"/>
          <w:szCs w:val="20"/>
          <w:color w:val="auto"/>
        </w:rPr>
      </w:pPr>
    </w:p>
    <w:p>
      <w:pPr>
        <w:spacing w:after="0" w:line="21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24" w:name="page25"/>
    <w:bookmarkEnd w:id="24"/>
    <w:p>
      <w:pPr>
        <w:jc w:val="both"/>
        <w:spacing w:after="0" w:line="23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is a morning daily and Sunday newspaper primarily distributed by home delivery in the Washington, DC, metropolitan area, including large p of Maryland and northern Virginia. The </w:t>
      </w:r>
      <w:r>
        <w:rPr>
          <w:rFonts w:ascii="Arial" w:cs="Arial" w:eastAsia="Arial" w:hAnsi="Arial"/>
          <w:sz w:val="17"/>
          <w:szCs w:val="17"/>
          <w:i w:val="1"/>
          <w:iCs w:val="1"/>
          <w:color w:val="auto"/>
        </w:rPr>
        <w:t>Post’</w:t>
      </w:r>
      <w:r>
        <w:rPr>
          <w:rFonts w:ascii="Arial" w:cs="Arial" w:eastAsia="Arial" w:hAnsi="Arial"/>
          <w:sz w:val="17"/>
          <w:szCs w:val="17"/>
          <w:color w:val="auto"/>
        </w:rPr>
        <w:t>s two primary sources of revenue are advertising and subscription fees, which accounted for 61% and 36 its total revenue in 2012, respectively. Advertising revenue is derived from the sale of display and classified advertisements, as well as the insertion an other distribution of preprinted advertisements.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 xml:space="preserve">The following table shows the average paid daily (including Saturday) and Sunday circulation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for the 53-week period ended October 3, 20 and the 52-week period ended October 2, 2011, as reported by the Audit Bureau of Circulations (ABC) and as estimated by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for the 52-week ended September 30, 2012, for which period ABC has not completed its audit as of the date of this report, from the semiannual publisher’s statements submitted to ABC for the 26-week period ended April 1, 2012, and the 26-week period ended September 30, 2012:</w:t>
      </w:r>
    </w:p>
    <w:p>
      <w:pPr>
        <w:spacing w:after="0" w:line="212" w:lineRule="exact"/>
        <w:rPr>
          <w:sz w:val="20"/>
          <w:szCs w:val="20"/>
          <w:color w:val="auto"/>
        </w:rPr>
      </w:pPr>
    </w:p>
    <w:p>
      <w:pPr>
        <w:jc w:val="center"/>
        <w:ind w:left="9620"/>
        <w:spacing w:after="0"/>
        <w:rPr>
          <w:sz w:val="20"/>
          <w:szCs w:val="20"/>
          <w:color w:val="auto"/>
        </w:rPr>
      </w:pPr>
      <w:r>
        <w:rPr>
          <w:rFonts w:ascii="Arial" w:cs="Arial" w:eastAsia="Arial" w:hAnsi="Arial"/>
          <w:sz w:val="12"/>
          <w:szCs w:val="12"/>
          <w:b w:val="1"/>
          <w:bCs w:val="1"/>
          <w:color w:val="auto"/>
        </w:rPr>
        <w:t>Average Paid</w:t>
      </w:r>
    </w:p>
    <w:p>
      <w:pPr>
        <w:spacing w:after="0" w:line="12" w:lineRule="exact"/>
        <w:rPr>
          <w:sz w:val="20"/>
          <w:szCs w:val="20"/>
          <w:color w:val="auto"/>
        </w:rPr>
      </w:pPr>
    </w:p>
    <w:p>
      <w:pPr>
        <w:jc w:val="center"/>
        <w:ind w:left="9620"/>
        <w:spacing w:after="0"/>
        <w:rPr>
          <w:sz w:val="20"/>
          <w:szCs w:val="20"/>
          <w:color w:val="auto"/>
        </w:rPr>
      </w:pPr>
      <w:r>
        <w:rPr>
          <w:rFonts w:ascii="Arial" w:cs="Arial" w:eastAsia="Arial" w:hAnsi="Arial"/>
          <w:sz w:val="12"/>
          <w:szCs w:val="12"/>
          <w:b w:val="1"/>
          <w:bCs w:val="1"/>
          <w:color w:val="auto"/>
        </w:rPr>
        <w:t>Circulation</w:t>
      </w:r>
    </w:p>
    <w:tbl>
      <w:tblPr>
        <w:tblLayout w:type="fixed"/>
        <w:tblInd w:w="0" w:type="dxa"/>
        <w:tblCellMar>
          <w:top w:w="0" w:type="dxa"/>
          <w:left w:w="0" w:type="dxa"/>
          <w:bottom w:w="0" w:type="dxa"/>
          <w:right w:w="0" w:type="dxa"/>
        </w:tblCellMar>
      </w:tblPr>
      <w:tr>
        <w:trPr>
          <w:trHeight w:val="129"/>
        </w:trPr>
        <w:tc>
          <w:tcPr>
            <w:tcW w:w="8460" w:type="dxa"/>
            <w:vAlign w:val="bottom"/>
            <w:tcBorders>
              <w:bottom w:val="single" w:sz="8" w:color="auto"/>
            </w:tcBorders>
          </w:tcPr>
          <w:p>
            <w:pPr>
              <w:spacing w:after="0"/>
              <w:rPr>
                <w:sz w:val="11"/>
                <w:szCs w:val="11"/>
                <w:color w:val="auto"/>
              </w:rPr>
            </w:pPr>
          </w:p>
        </w:tc>
        <w:tc>
          <w:tcPr>
            <w:tcW w:w="1600" w:type="dxa"/>
            <w:vAlign w:val="bottom"/>
            <w:tcBorders>
              <w:top w:val="single" w:sz="8" w:color="auto"/>
              <w:bottom w:val="single" w:sz="8" w:color="auto"/>
            </w:tcBorders>
          </w:tcPr>
          <w:p>
            <w:pPr>
              <w:jc w:val="right"/>
              <w:ind w:right="749"/>
              <w:spacing w:after="0" w:line="129" w:lineRule="exact"/>
              <w:rPr>
                <w:sz w:val="20"/>
                <w:szCs w:val="20"/>
                <w:color w:val="auto"/>
              </w:rPr>
            </w:pPr>
            <w:r>
              <w:rPr>
                <w:rFonts w:ascii="Arial" w:cs="Arial" w:eastAsia="Arial" w:hAnsi="Arial"/>
                <w:sz w:val="12"/>
                <w:szCs w:val="12"/>
                <w:b w:val="1"/>
                <w:bCs w:val="1"/>
                <w:color w:val="auto"/>
              </w:rPr>
              <w:t>Daily</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Sunday</w:t>
            </w:r>
          </w:p>
        </w:tc>
      </w:tr>
      <w:tr>
        <w:trPr>
          <w:trHeight w:val="168"/>
        </w:trPr>
        <w:tc>
          <w:tcPr>
            <w:tcW w:w="8460" w:type="dxa"/>
            <w:vAlign w:val="bottom"/>
          </w:tcPr>
          <w:p>
            <w:pPr>
              <w:jc w:val="right"/>
              <w:ind w:right="8066"/>
              <w:spacing w:after="0" w:line="168" w:lineRule="exact"/>
              <w:rPr>
                <w:sz w:val="20"/>
                <w:szCs w:val="20"/>
                <w:color w:val="auto"/>
              </w:rPr>
            </w:pPr>
            <w:r>
              <w:rPr>
                <w:rFonts w:ascii="Arial" w:cs="Arial" w:eastAsia="Arial" w:hAnsi="Arial"/>
                <w:sz w:val="15"/>
                <w:szCs w:val="15"/>
                <w:color w:val="auto"/>
                <w:w w:val="89"/>
              </w:rPr>
              <w:t>2010</w:t>
            </w:r>
          </w:p>
        </w:tc>
        <w:tc>
          <w:tcPr>
            <w:tcW w:w="1600" w:type="dxa"/>
            <w:vAlign w:val="bottom"/>
          </w:tcPr>
          <w:p>
            <w:pPr>
              <w:jc w:val="right"/>
              <w:ind w:right="309"/>
              <w:spacing w:after="0" w:line="168" w:lineRule="exact"/>
              <w:rPr>
                <w:sz w:val="20"/>
                <w:szCs w:val="20"/>
                <w:color w:val="auto"/>
              </w:rPr>
            </w:pPr>
            <w:r>
              <w:rPr>
                <w:rFonts w:ascii="Arial" w:cs="Arial" w:eastAsia="Arial" w:hAnsi="Arial"/>
                <w:sz w:val="15"/>
                <w:szCs w:val="15"/>
                <w:color w:val="auto"/>
              </w:rPr>
              <w:t>556,676</w:t>
            </w:r>
          </w:p>
        </w:tc>
        <w:tc>
          <w:tcPr>
            <w:tcW w:w="880" w:type="dxa"/>
            <w:vAlign w:val="bottom"/>
          </w:tcPr>
          <w:p>
            <w:pPr>
              <w:jc w:val="right"/>
              <w:spacing w:after="0" w:line="168" w:lineRule="exact"/>
              <w:rPr>
                <w:sz w:val="20"/>
                <w:szCs w:val="20"/>
                <w:color w:val="auto"/>
              </w:rPr>
            </w:pPr>
            <w:r>
              <w:rPr>
                <w:rFonts w:ascii="Arial" w:cs="Arial" w:eastAsia="Arial" w:hAnsi="Arial"/>
                <w:sz w:val="15"/>
                <w:szCs w:val="15"/>
                <w:color w:val="auto"/>
              </w:rPr>
              <w:t>7</w:t>
            </w:r>
          </w:p>
        </w:tc>
      </w:tr>
      <w:tr>
        <w:trPr>
          <w:trHeight w:val="174"/>
        </w:trPr>
        <w:tc>
          <w:tcPr>
            <w:tcW w:w="8460" w:type="dxa"/>
            <w:vAlign w:val="bottom"/>
          </w:tcPr>
          <w:p>
            <w:pPr>
              <w:jc w:val="right"/>
              <w:ind w:right="8066"/>
              <w:spacing w:after="0"/>
              <w:rPr>
                <w:sz w:val="20"/>
                <w:szCs w:val="20"/>
                <w:color w:val="auto"/>
              </w:rPr>
            </w:pPr>
            <w:r>
              <w:rPr>
                <w:rFonts w:ascii="Arial" w:cs="Arial" w:eastAsia="Arial" w:hAnsi="Arial"/>
                <w:sz w:val="15"/>
                <w:szCs w:val="15"/>
                <w:color w:val="auto"/>
                <w:w w:val="89"/>
              </w:rPr>
              <w:t>2011</w:t>
            </w:r>
          </w:p>
        </w:tc>
        <w:tc>
          <w:tcPr>
            <w:tcW w:w="1600" w:type="dxa"/>
            <w:vAlign w:val="bottom"/>
          </w:tcPr>
          <w:p>
            <w:pPr>
              <w:jc w:val="right"/>
              <w:ind w:right="309"/>
              <w:spacing w:after="0"/>
              <w:rPr>
                <w:sz w:val="20"/>
                <w:szCs w:val="20"/>
                <w:color w:val="auto"/>
              </w:rPr>
            </w:pPr>
            <w:r>
              <w:rPr>
                <w:rFonts w:ascii="Arial" w:cs="Arial" w:eastAsia="Arial" w:hAnsi="Arial"/>
                <w:sz w:val="15"/>
                <w:szCs w:val="15"/>
                <w:color w:val="auto"/>
              </w:rPr>
              <w:t>523,746</w:t>
            </w:r>
          </w:p>
        </w:tc>
        <w:tc>
          <w:tcPr>
            <w:tcW w:w="88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79"/>
        </w:trPr>
        <w:tc>
          <w:tcPr>
            <w:tcW w:w="8460" w:type="dxa"/>
            <w:vAlign w:val="bottom"/>
          </w:tcPr>
          <w:p>
            <w:pPr>
              <w:jc w:val="right"/>
              <w:ind w:right="8066"/>
              <w:spacing w:after="0"/>
              <w:rPr>
                <w:sz w:val="20"/>
                <w:szCs w:val="20"/>
                <w:color w:val="auto"/>
              </w:rPr>
            </w:pPr>
            <w:r>
              <w:rPr>
                <w:rFonts w:ascii="Arial" w:cs="Arial" w:eastAsia="Arial" w:hAnsi="Arial"/>
                <w:sz w:val="15"/>
                <w:szCs w:val="15"/>
                <w:color w:val="auto"/>
                <w:w w:val="89"/>
              </w:rPr>
              <w:t>2012</w:t>
            </w:r>
          </w:p>
        </w:tc>
        <w:tc>
          <w:tcPr>
            <w:tcW w:w="1600" w:type="dxa"/>
            <w:vAlign w:val="bottom"/>
          </w:tcPr>
          <w:p>
            <w:pPr>
              <w:jc w:val="right"/>
              <w:ind w:right="309"/>
              <w:spacing w:after="0"/>
              <w:rPr>
                <w:sz w:val="20"/>
                <w:szCs w:val="20"/>
                <w:color w:val="auto"/>
              </w:rPr>
            </w:pPr>
            <w:r>
              <w:rPr>
                <w:rFonts w:ascii="Arial" w:cs="Arial" w:eastAsia="Arial" w:hAnsi="Arial"/>
                <w:sz w:val="15"/>
                <w:szCs w:val="15"/>
                <w:color w:val="auto"/>
              </w:rPr>
              <w:t>480,166</w:t>
            </w:r>
          </w:p>
        </w:tc>
        <w:tc>
          <w:tcPr>
            <w:tcW w:w="880" w:type="dxa"/>
            <w:vAlign w:val="bottom"/>
          </w:tcPr>
          <w:p>
            <w:pPr>
              <w:jc w:val="right"/>
              <w:spacing w:after="0"/>
              <w:rPr>
                <w:sz w:val="20"/>
                <w:szCs w:val="20"/>
                <w:color w:val="auto"/>
              </w:rPr>
            </w:pPr>
            <w:r>
              <w:rPr>
                <w:rFonts w:ascii="Arial" w:cs="Arial" w:eastAsia="Arial" w:hAnsi="Arial"/>
                <w:sz w:val="15"/>
                <w:szCs w:val="15"/>
                <w:color w:val="auto"/>
              </w:rPr>
              <w:t>6</w:t>
            </w:r>
          </w:p>
        </w:tc>
      </w:tr>
    </w:tbl>
    <w:p>
      <w:pPr>
        <w:spacing w:after="0" w:line="161"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Post’s</w:t>
      </w:r>
      <w:r>
        <w:rPr>
          <w:rFonts w:ascii="Arial" w:cs="Arial" w:eastAsia="Arial" w:hAnsi="Arial"/>
          <w:sz w:val="17"/>
          <w:szCs w:val="17"/>
          <w:color w:val="auto"/>
        </w:rPr>
        <w:t xml:space="preserve"> primary circulation territory accounts for more than 90% of its daily and Sunday circulation and consists of Washington, DC, and communit generally within a 50-mile radius from the city, but excluding Baltimore City and its northern and eastern suburbs. The current newsstand price in this a $1.25 for the daily newspaper after a $0.25 increase effective January 14, 2013, and $2.50 for the Sunday newspaper after a $0.50 increase effective January 13, 2013. The rate charged for each four-week period for home-delivered copies of the daily and Sunday newspaper was raised to $27.80 eff January 14, 2013, from $25.40, which was effective on January 16, 2012. The rate charged for Sunday-only home delivery has been $7.40 for each fo week period since January 18, 2010. Outside the primary circulation area, the current newsstand price is $1.50 for the daily newspaper after two $0.2 increases effective June 2, 2012, and January 14, 2013, and $2.50 for the Sunday newspaper. Rates for home-delivered copies of the daily and Sund newspaper outside the primary circulation area for each four-week period are $46.00 (after two $0.25 increases effective June 2, 2012, and January 1 2013), and $10.00 for the Sunday newspaper only.</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newspaper’s Internet site, </w:t>
      </w:r>
      <w:r>
        <w:rPr>
          <w:rFonts w:ascii="Arial" w:cs="Arial" w:eastAsia="Arial" w:hAnsi="Arial"/>
          <w:sz w:val="17"/>
          <w:szCs w:val="17"/>
          <w:i w:val="1"/>
          <w:iCs w:val="1"/>
          <w:color w:val="auto"/>
        </w:rPr>
        <w:t>washingtonpost.com</w:t>
      </w:r>
      <w:r>
        <w:rPr>
          <w:rFonts w:ascii="Arial" w:cs="Arial" w:eastAsia="Arial" w:hAnsi="Arial"/>
          <w:sz w:val="17"/>
          <w:szCs w:val="17"/>
          <w:color w:val="auto"/>
        </w:rPr>
        <w:t xml:space="preserve">, currently features much of the full editorial text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most of the classified advertising, well as original text and video content, blogs written by </w:t>
      </w:r>
      <w:r>
        <w:rPr>
          <w:rFonts w:ascii="Arial" w:cs="Arial" w:eastAsia="Arial" w:hAnsi="Arial"/>
          <w:sz w:val="17"/>
          <w:szCs w:val="17"/>
          <w:i w:val="1"/>
          <w:iCs w:val="1"/>
          <w:color w:val="auto"/>
        </w:rPr>
        <w:t>Post</w:t>
      </w:r>
      <w:r>
        <w:rPr>
          <w:rFonts w:ascii="Arial" w:cs="Arial" w:eastAsia="Arial" w:hAnsi="Arial"/>
          <w:sz w:val="17"/>
          <w:szCs w:val="17"/>
          <w:color w:val="auto"/>
        </w:rPr>
        <w:t xml:space="preserve"> reporters and others, interactive discussions hosted by </w:t>
      </w:r>
      <w:r>
        <w:rPr>
          <w:rFonts w:ascii="Arial" w:cs="Arial" w:eastAsia="Arial" w:hAnsi="Arial"/>
          <w:sz w:val="17"/>
          <w:szCs w:val="17"/>
          <w:i w:val="1"/>
          <w:iCs w:val="1"/>
          <w:color w:val="auto"/>
        </w:rPr>
        <w:t>Post</w:t>
      </w:r>
      <w:r>
        <w:rPr>
          <w:rFonts w:ascii="Arial" w:cs="Arial" w:eastAsia="Arial" w:hAnsi="Arial"/>
          <w:sz w:val="17"/>
          <w:szCs w:val="17"/>
          <w:color w:val="auto"/>
        </w:rPr>
        <w:t xml:space="preserve"> reporters and outside subject experts, user-generated comments and content obtained from other sources. The Internet site also features extensive information about activities, gro and businesses in the Washington, DC, area, including arts and entertainment and news focusing on politics and on technology businesses and relate policy issues.</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As measured by WP Company, this site averaged more than 322.7 million page views per month and had an average of 41.3 million unique visitors pe month during 2012. This site has developed a substantial audience of visitors who are outside the Washington, DC, area, and WP Company believes, on analytical data, that approximately 84% of the unique visitors who access the site each month are in that category.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480" w:type="dxa"/>
            <w:vAlign w:val="bottom"/>
            <w:tcBorders>
              <w:bottom w:val="single" w:sz="8" w:color="auto"/>
            </w:tcBorders>
            <w:gridSpan w:val="2"/>
          </w:tcPr>
          <w:p>
            <w:pPr>
              <w:jc w:val="right"/>
              <w:ind w:right="378"/>
              <w:spacing w:after="0"/>
              <w:rPr>
                <w:sz w:val="20"/>
                <w:szCs w:val="20"/>
                <w:color w:val="auto"/>
              </w:rPr>
            </w:pPr>
            <w:r>
              <w:rPr>
                <w:rFonts w:ascii="Arial" w:cs="Arial" w:eastAsia="Arial" w:hAnsi="Arial"/>
                <w:sz w:val="12"/>
                <w:szCs w:val="12"/>
                <w:b w:val="1"/>
                <w:bCs w:val="1"/>
                <w:color w:val="auto"/>
              </w:rPr>
              <w:t>Internet Site Traffic</w:t>
            </w:r>
          </w:p>
        </w:tc>
      </w:tr>
      <w:tr>
        <w:trPr>
          <w:trHeight w:val="114"/>
        </w:trPr>
        <w:tc>
          <w:tcPr>
            <w:tcW w:w="8460" w:type="dxa"/>
            <w:vAlign w:val="bottom"/>
          </w:tcPr>
          <w:p>
            <w:pPr>
              <w:spacing w:after="0"/>
              <w:rPr>
                <w:sz w:val="9"/>
                <w:szCs w:val="9"/>
                <w:color w:val="auto"/>
              </w:rPr>
            </w:pPr>
          </w:p>
        </w:tc>
        <w:tc>
          <w:tcPr>
            <w:tcW w:w="1580" w:type="dxa"/>
            <w:vAlign w:val="bottom"/>
          </w:tcPr>
          <w:p>
            <w:pPr>
              <w:jc w:val="right"/>
              <w:ind w:right="452"/>
              <w:spacing w:after="0" w:line="114" w:lineRule="exact"/>
              <w:rPr>
                <w:sz w:val="20"/>
                <w:szCs w:val="20"/>
                <w:color w:val="auto"/>
              </w:rPr>
            </w:pPr>
            <w:r>
              <w:rPr>
                <w:rFonts w:ascii="Arial" w:cs="Arial" w:eastAsia="Arial" w:hAnsi="Arial"/>
                <w:sz w:val="12"/>
                <w:szCs w:val="12"/>
                <w:b w:val="1"/>
                <w:bCs w:val="1"/>
                <w:color w:val="auto"/>
              </w:rPr>
              <w:t>Monthly Avg</w:t>
            </w:r>
          </w:p>
        </w:tc>
        <w:tc>
          <w:tcPr>
            <w:tcW w:w="900" w:type="dxa"/>
            <w:vAlign w:val="bottom"/>
          </w:tcPr>
          <w:p>
            <w:pPr>
              <w:jc w:val="right"/>
              <w:spacing w:after="0" w:line="114" w:lineRule="exact"/>
              <w:rPr>
                <w:sz w:val="20"/>
                <w:szCs w:val="20"/>
                <w:color w:val="auto"/>
              </w:rPr>
            </w:pPr>
            <w:r>
              <w:rPr>
                <w:rFonts w:ascii="Arial" w:cs="Arial" w:eastAsia="Arial" w:hAnsi="Arial"/>
                <w:sz w:val="12"/>
                <w:szCs w:val="12"/>
                <w:b w:val="1"/>
                <w:bCs w:val="1"/>
                <w:color w:val="auto"/>
              </w:rPr>
              <w:t>Monthly A</w:t>
            </w:r>
          </w:p>
        </w:tc>
      </w:tr>
      <w:tr>
        <w:trPr>
          <w:trHeight w:val="151"/>
        </w:trPr>
        <w:tc>
          <w:tcPr>
            <w:tcW w:w="8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w:t>
            </w:r>
          </w:p>
        </w:tc>
        <w:tc>
          <w:tcPr>
            <w:tcW w:w="1580" w:type="dxa"/>
            <w:vAlign w:val="bottom"/>
            <w:tcBorders>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Page Views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Unique Visi</w:t>
            </w:r>
          </w:p>
        </w:tc>
      </w:tr>
      <w:tr>
        <w:trPr>
          <w:trHeight w:val="168"/>
        </w:trPr>
        <w:tc>
          <w:tcPr>
            <w:tcW w:w="8460" w:type="dxa"/>
            <w:vAlign w:val="bottom"/>
          </w:tcPr>
          <w:p>
            <w:pPr>
              <w:spacing w:after="0" w:line="168" w:lineRule="exact"/>
              <w:rPr>
                <w:sz w:val="20"/>
                <w:szCs w:val="20"/>
                <w:color w:val="auto"/>
              </w:rPr>
            </w:pPr>
            <w:r>
              <w:rPr>
                <w:rFonts w:ascii="Arial" w:cs="Arial" w:eastAsia="Arial" w:hAnsi="Arial"/>
                <w:sz w:val="15"/>
                <w:szCs w:val="15"/>
                <w:color w:val="auto"/>
              </w:rPr>
              <w:t>2010</w:t>
            </w:r>
          </w:p>
        </w:tc>
        <w:tc>
          <w:tcPr>
            <w:tcW w:w="1580" w:type="dxa"/>
            <w:vAlign w:val="bottom"/>
          </w:tcPr>
          <w:p>
            <w:pPr>
              <w:jc w:val="right"/>
              <w:ind w:right="172"/>
              <w:spacing w:after="0" w:line="168" w:lineRule="exact"/>
              <w:rPr>
                <w:sz w:val="20"/>
                <w:szCs w:val="20"/>
                <w:color w:val="auto"/>
              </w:rPr>
            </w:pPr>
            <w:r>
              <w:rPr>
                <w:rFonts w:ascii="Arial" w:cs="Arial" w:eastAsia="Arial" w:hAnsi="Arial"/>
                <w:sz w:val="15"/>
                <w:szCs w:val="15"/>
                <w:color w:val="auto"/>
              </w:rPr>
              <w:t>266.9</w:t>
            </w:r>
          </w:p>
        </w:tc>
        <w:tc>
          <w:tcPr>
            <w:tcW w:w="900" w:type="dxa"/>
            <w:vAlign w:val="bottom"/>
          </w:tcPr>
          <w:p>
            <w:pPr>
              <w:spacing w:after="0"/>
              <w:rPr>
                <w:sz w:val="14"/>
                <w:szCs w:val="14"/>
                <w:color w:val="auto"/>
              </w:rPr>
            </w:pP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2011</w:t>
            </w:r>
          </w:p>
        </w:tc>
        <w:tc>
          <w:tcPr>
            <w:tcW w:w="1580" w:type="dxa"/>
            <w:vAlign w:val="bottom"/>
          </w:tcPr>
          <w:p>
            <w:pPr>
              <w:jc w:val="right"/>
              <w:ind w:right="172"/>
              <w:spacing w:after="0"/>
              <w:rPr>
                <w:sz w:val="20"/>
                <w:szCs w:val="20"/>
                <w:color w:val="auto"/>
              </w:rPr>
            </w:pPr>
            <w:r>
              <w:rPr>
                <w:rFonts w:ascii="Arial" w:cs="Arial" w:eastAsia="Arial" w:hAnsi="Arial"/>
                <w:sz w:val="15"/>
                <w:szCs w:val="15"/>
                <w:color w:val="auto"/>
              </w:rPr>
              <w:t>273.4</w:t>
            </w:r>
          </w:p>
        </w:tc>
        <w:tc>
          <w:tcPr>
            <w:tcW w:w="900" w:type="dxa"/>
            <w:vAlign w:val="bottom"/>
          </w:tcPr>
          <w:p>
            <w:pPr>
              <w:spacing w:after="0"/>
              <w:rPr>
                <w:sz w:val="15"/>
                <w:szCs w:val="15"/>
                <w:color w:val="auto"/>
              </w:rPr>
            </w:pPr>
          </w:p>
        </w:tc>
      </w:tr>
      <w:tr>
        <w:trPr>
          <w:trHeight w:val="179"/>
        </w:trPr>
        <w:tc>
          <w:tcPr>
            <w:tcW w:w="8460" w:type="dxa"/>
            <w:vAlign w:val="bottom"/>
          </w:tcPr>
          <w:p>
            <w:pPr>
              <w:spacing w:after="0"/>
              <w:rPr>
                <w:sz w:val="20"/>
                <w:szCs w:val="20"/>
                <w:color w:val="auto"/>
              </w:rPr>
            </w:pPr>
            <w:r>
              <w:rPr>
                <w:rFonts w:ascii="Arial" w:cs="Arial" w:eastAsia="Arial" w:hAnsi="Arial"/>
                <w:sz w:val="15"/>
                <w:szCs w:val="15"/>
                <w:color w:val="auto"/>
              </w:rPr>
              <w:t>2012</w:t>
            </w:r>
          </w:p>
        </w:tc>
        <w:tc>
          <w:tcPr>
            <w:tcW w:w="1580" w:type="dxa"/>
            <w:vAlign w:val="bottom"/>
          </w:tcPr>
          <w:p>
            <w:pPr>
              <w:jc w:val="right"/>
              <w:ind w:right="172"/>
              <w:spacing w:after="0"/>
              <w:rPr>
                <w:sz w:val="20"/>
                <w:szCs w:val="20"/>
                <w:color w:val="auto"/>
              </w:rPr>
            </w:pPr>
            <w:r>
              <w:rPr>
                <w:rFonts w:ascii="Arial" w:cs="Arial" w:eastAsia="Arial" w:hAnsi="Arial"/>
                <w:sz w:val="15"/>
                <w:szCs w:val="15"/>
                <w:color w:val="auto"/>
              </w:rPr>
              <w:t>322.7</w:t>
            </w:r>
          </w:p>
        </w:tc>
        <w:tc>
          <w:tcPr>
            <w:tcW w:w="900" w:type="dxa"/>
            <w:vAlign w:val="bottom"/>
          </w:tcPr>
          <w:p>
            <w:pPr>
              <w:spacing w:after="0"/>
              <w:rPr>
                <w:sz w:val="15"/>
                <w:szCs w:val="15"/>
                <w:color w:val="auto"/>
              </w:rPr>
            </w:pPr>
          </w:p>
        </w:tc>
      </w:tr>
    </w:tbl>
    <w:p>
      <w:pPr>
        <w:spacing w:after="0" w:line="179"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WP Company provides online advertisers with a wide range of options, including the ability to advertise on select pages or page combinations or to tar specific geographic areas and demographic groups. WP Company also provides content on websites specially formatted to be downloaded and displa on Web-enabled cell phones and other personal digital devices. In addition to offering regular upgrades of general news smart phone applications, WP Company also offers niche smart phone applications focused on sports, entertainment and politics.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auto"/>
        </w:rPr>
        <w:t xml:space="preserve">Other WP Company ventures include </w:t>
      </w:r>
      <w:r>
        <w:rPr>
          <w:rFonts w:ascii="Arial" w:cs="Arial" w:eastAsia="Arial" w:hAnsi="Arial"/>
          <w:sz w:val="17"/>
          <w:szCs w:val="17"/>
          <w:i w:val="1"/>
          <w:iCs w:val="1"/>
          <w:color w:val="auto"/>
        </w:rPr>
        <w:t>Capital Business</w:t>
      </w:r>
      <w:r>
        <w:rPr>
          <w:rFonts w:ascii="Arial" w:cs="Arial" w:eastAsia="Arial" w:hAnsi="Arial"/>
          <w:sz w:val="17"/>
          <w:szCs w:val="17"/>
          <w:color w:val="auto"/>
        </w:rPr>
        <w:t xml:space="preserve">, a weekly local business news publication that is sold for $49 per year to </w:t>
      </w:r>
      <w:r>
        <w:rPr>
          <w:rFonts w:ascii="Arial" w:cs="Arial" w:eastAsia="Arial" w:hAnsi="Arial"/>
          <w:sz w:val="17"/>
          <w:szCs w:val="17"/>
          <w:i w:val="1"/>
          <w:iCs w:val="1"/>
          <w:color w:val="auto"/>
        </w:rPr>
        <w:t>Post</w:t>
      </w:r>
      <w:r>
        <w:rPr>
          <w:rFonts w:ascii="Arial" w:cs="Arial" w:eastAsia="Arial" w:hAnsi="Arial"/>
          <w:sz w:val="17"/>
          <w:szCs w:val="17"/>
          <w:color w:val="auto"/>
        </w:rPr>
        <w:t xml:space="preserve"> subscribers and per year to non-</w:t>
      </w:r>
      <w:r>
        <w:rPr>
          <w:rFonts w:ascii="Arial" w:cs="Arial" w:eastAsia="Arial" w:hAnsi="Arial"/>
          <w:sz w:val="17"/>
          <w:szCs w:val="17"/>
          <w:i w:val="1"/>
          <w:iCs w:val="1"/>
          <w:color w:val="auto"/>
        </w:rPr>
        <w:t>Post</w:t>
      </w:r>
      <w:r>
        <w:rPr>
          <w:rFonts w:ascii="Arial" w:cs="Arial" w:eastAsia="Arial" w:hAnsi="Arial"/>
          <w:sz w:val="17"/>
          <w:szCs w:val="17"/>
          <w:color w:val="auto"/>
        </w:rPr>
        <w:t xml:space="preserve"> subscribers; Washington Post Live, a conference and events business that produces live journalism events and derives revenue sponsorships, display advertisements and ticket</w:t>
      </w:r>
    </w:p>
    <w:p>
      <w:pPr>
        <w:spacing w:after="0" w:line="20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4" w:right="139" w:bottom="1440" w:gutter="0" w:footer="0" w:header="0"/>
        </w:sectPr>
      </w:pPr>
    </w:p>
    <w:bookmarkStart w:id="25" w:name="page26"/>
    <w:bookmarkEnd w:id="25"/>
    <w:p>
      <w:pPr>
        <w:jc w:val="both"/>
        <w:spacing w:after="0" w:line="247" w:lineRule="auto"/>
        <w:rPr>
          <w:sz w:val="20"/>
          <w:szCs w:val="20"/>
          <w:color w:val="auto"/>
        </w:rPr>
      </w:pPr>
      <w:r>
        <w:rPr>
          <w:rFonts w:ascii="Arial" w:cs="Arial" w:eastAsia="Arial" w:hAnsi="Arial"/>
          <w:sz w:val="16"/>
          <w:szCs w:val="16"/>
          <w:color w:val="auto"/>
        </w:rPr>
        <w:t xml:space="preserve">sales; The Capitol Deal, an Internet site that provides time-limited reduced-price offers for restaurants, travel destinations, services and entertainment events and shares revenue generated by the offers; and Service Alley, a website that offers a directory of home service providers for consumers, inclu ratings and reviews, and that generates revenue through listing and couponing fees paid by the service providers. Service Alley is franchised in two ot national markets, and WP Company is remunerated for providing intellectual property, technology and financial services.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began offering its i application on a free trial basis in November of 2010. It is anticipated that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will begin charging for subscriptions in the future.</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 xml:space="preserve">WP Company operates The Washington Post News Media Services, which offers a selection of content from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Bloomberg News, plus mat from Company-owned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and </w:t>
      </w:r>
      <w:r>
        <w:rPr>
          <w:rFonts w:ascii="Arial" w:cs="Arial" w:eastAsia="Arial" w:hAnsi="Arial"/>
          <w:sz w:val="17"/>
          <w:szCs w:val="17"/>
          <w:i w:val="1"/>
          <w:iCs w:val="1"/>
          <w:color w:val="auto"/>
        </w:rPr>
        <w:t>The Root</w:t>
      </w:r>
      <w:r>
        <w:rPr>
          <w:rFonts w:ascii="Arial" w:cs="Arial" w:eastAsia="Arial" w:hAnsi="Arial"/>
          <w:sz w:val="17"/>
          <w:szCs w:val="17"/>
          <w:color w:val="auto"/>
        </w:rPr>
        <w:t>.</w:t>
      </w:r>
    </w:p>
    <w:p>
      <w:pPr>
        <w:spacing w:after="0" w:line="164"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 xml:space="preserve">WP Company owns an interest in Classified Ventures, a newspaper industry company that offers online classified advertising databases for cars and apartment rentals. </w:t>
      </w:r>
      <w:r>
        <w:rPr>
          <w:rFonts w:ascii="Arial" w:cs="Arial" w:eastAsia="Arial" w:hAnsi="Arial"/>
          <w:sz w:val="17"/>
          <w:szCs w:val="17"/>
          <w:i w:val="1"/>
          <w:iCs w:val="1"/>
          <w:color w:val="auto"/>
        </w:rPr>
        <w:t>Washingtonpost.com</w:t>
      </w:r>
      <w:r>
        <w:rPr>
          <w:rFonts w:ascii="Arial" w:cs="Arial" w:eastAsia="Arial" w:hAnsi="Arial"/>
          <w:sz w:val="17"/>
          <w:szCs w:val="17"/>
          <w:color w:val="auto"/>
        </w:rPr>
        <w:t xml:space="preserve"> provides links to the Classified Ventures’ national car and apartment rental websites (</w:t>
      </w:r>
      <w:r>
        <w:rPr>
          <w:rFonts w:ascii="Arial" w:cs="Arial" w:eastAsia="Arial" w:hAnsi="Arial"/>
          <w:sz w:val="17"/>
          <w:szCs w:val="17"/>
          <w:i w:val="1"/>
          <w:iCs w:val="1"/>
          <w:color w:val="auto"/>
        </w:rPr>
        <w:t>cars.com</w:t>
      </w:r>
      <w:r>
        <w:rPr>
          <w:rFonts w:ascii="Arial" w:cs="Arial" w:eastAsia="Arial" w:hAnsi="Arial"/>
          <w:sz w:val="17"/>
          <w:szCs w:val="17"/>
          <w:color w:val="auto"/>
        </w:rPr>
        <w:t xml:space="preserve"> and </w:t>
      </w:r>
      <w:r>
        <w:rPr>
          <w:rFonts w:ascii="Arial" w:cs="Arial" w:eastAsia="Arial" w:hAnsi="Arial"/>
          <w:sz w:val="17"/>
          <w:szCs w:val="17"/>
          <w:i w:val="1"/>
          <w:iCs w:val="1"/>
          <w:color w:val="auto"/>
        </w:rPr>
        <w:t>apartments.com</w:t>
      </w:r>
      <w:r>
        <w:rPr>
          <w:rFonts w:ascii="Arial" w:cs="Arial" w:eastAsia="Arial" w:hAnsi="Arial"/>
          <w:sz w:val="17"/>
          <w:szCs w:val="17"/>
          <w:color w:val="auto"/>
        </w:rPr>
        <w:t>).</w:t>
      </w:r>
    </w:p>
    <w:p>
      <w:pPr>
        <w:spacing w:after="0" w:line="18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WP Company has about 524 full-time editors, producers, reporters, photographers and videographers on its staff. WP Company draws upon the news reporting facilities of the major wire services, maintains a network of correspondents and contract writers in international news centers and maintains reporters in eight local news bureaus.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Slate Group</w:t>
      </w:r>
    </w:p>
    <w:p>
      <w:pPr>
        <w:spacing w:after="0" w:line="17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The Slate Group LLC (The Slate Group) publishes </w:t>
      </w:r>
      <w:r>
        <w:rPr>
          <w:rFonts w:ascii="Arial" w:cs="Arial" w:eastAsia="Arial" w:hAnsi="Arial"/>
          <w:sz w:val="17"/>
          <w:szCs w:val="17"/>
          <w:i w:val="1"/>
          <w:iCs w:val="1"/>
          <w:color w:val="auto"/>
        </w:rPr>
        <w:t>Slate,</w:t>
      </w:r>
      <w:r>
        <w:rPr>
          <w:rFonts w:ascii="Arial" w:cs="Arial" w:eastAsia="Arial" w:hAnsi="Arial"/>
          <w:sz w:val="17"/>
          <w:szCs w:val="17"/>
          <w:color w:val="auto"/>
        </w:rPr>
        <w:t xml:space="preserve"> an online magazine, and additional websites. </w:t>
      </w:r>
      <w:r>
        <w:rPr>
          <w:rFonts w:ascii="Arial" w:cs="Arial" w:eastAsia="Arial" w:hAnsi="Arial"/>
          <w:sz w:val="17"/>
          <w:szCs w:val="17"/>
          <w:i w:val="1"/>
          <w:iCs w:val="1"/>
          <w:color w:val="auto"/>
        </w:rPr>
        <w:t>Slate</w:t>
      </w:r>
      <w:r>
        <w:rPr>
          <w:rFonts w:ascii="Arial" w:cs="Arial" w:eastAsia="Arial" w:hAnsi="Arial"/>
          <w:sz w:val="17"/>
          <w:szCs w:val="17"/>
          <w:color w:val="auto"/>
        </w:rPr>
        <w:t xml:space="preserve"> features articles analyzing news, politics contemporary culture and adds new material on a daily basis. Content is supplied by the magazine’s own editorial staff, as well as by independent contributors. As measured by The Slate Group, </w:t>
      </w:r>
      <w:r>
        <w:rPr>
          <w:rFonts w:ascii="Arial" w:cs="Arial" w:eastAsia="Arial" w:hAnsi="Arial"/>
          <w:sz w:val="17"/>
          <w:szCs w:val="17"/>
          <w:i w:val="1"/>
          <w:iCs w:val="1"/>
          <w:color w:val="auto"/>
        </w:rPr>
        <w:t>Slate</w:t>
      </w:r>
      <w:r>
        <w:rPr>
          <w:rFonts w:ascii="Arial" w:cs="Arial" w:eastAsia="Arial" w:hAnsi="Arial"/>
          <w:sz w:val="17"/>
          <w:szCs w:val="17"/>
          <w:color w:val="auto"/>
        </w:rPr>
        <w:t xml:space="preserve"> had an average of more than 12.7 million unique visitors per month and averaged more than 87 million page views per month in 2012. The Slate Group also publishes </w:t>
      </w:r>
      <w:r>
        <w:rPr>
          <w:rFonts w:ascii="Arial" w:cs="Arial" w:eastAsia="Arial" w:hAnsi="Arial"/>
          <w:sz w:val="17"/>
          <w:szCs w:val="17"/>
          <w:i w:val="1"/>
          <w:iCs w:val="1"/>
          <w:color w:val="auto"/>
        </w:rPr>
        <w:t>Slate V</w:t>
      </w:r>
      <w:r>
        <w:rPr>
          <w:rFonts w:ascii="Arial" w:cs="Arial" w:eastAsia="Arial" w:hAnsi="Arial"/>
          <w:sz w:val="17"/>
          <w:szCs w:val="17"/>
          <w:color w:val="auto"/>
        </w:rPr>
        <w:t xml:space="preserve">, an online video magazine, and </w:t>
      </w:r>
      <w:r>
        <w:rPr>
          <w:rFonts w:ascii="Arial" w:cs="Arial" w:eastAsia="Arial" w:hAnsi="Arial"/>
          <w:sz w:val="17"/>
          <w:szCs w:val="17"/>
          <w:i w:val="1"/>
          <w:iCs w:val="1"/>
          <w:color w:val="auto"/>
        </w:rPr>
        <w:t>The Root</w:t>
      </w:r>
      <w:r>
        <w:rPr>
          <w:rFonts w:ascii="Arial" w:cs="Arial" w:eastAsia="Arial" w:hAnsi="Arial"/>
          <w:sz w:val="17"/>
          <w:szCs w:val="17"/>
          <w:color w:val="auto"/>
        </w:rPr>
        <w:t xml:space="preserve">, an online magazine focused issues of importance to African Americans and others interested in black culture, offering daily news and provocative commentary on politics and cultu The Slate Group owns an interest in E2J2 SAS, a company incorporated in France that produces two French-language news magazine websites at </w:t>
      </w:r>
      <w:r>
        <w:rPr>
          <w:rFonts w:ascii="Arial" w:cs="Arial" w:eastAsia="Arial" w:hAnsi="Arial"/>
          <w:sz w:val="17"/>
          <w:szCs w:val="17"/>
          <w:i w:val="1"/>
          <w:iCs w:val="1"/>
          <w:color w:val="auto"/>
        </w:rPr>
        <w:t>sl</w:t>
      </w:r>
      <w:r>
        <w:rPr>
          <w:rFonts w:ascii="Arial" w:cs="Arial" w:eastAsia="Arial" w:hAnsi="Arial"/>
          <w:sz w:val="17"/>
          <w:szCs w:val="17"/>
          <w:color w:val="auto"/>
        </w:rPr>
        <w:t xml:space="preserve"> and </w:t>
      </w:r>
      <w:r>
        <w:rPr>
          <w:rFonts w:ascii="Arial" w:cs="Arial" w:eastAsia="Arial" w:hAnsi="Arial"/>
          <w:sz w:val="17"/>
          <w:szCs w:val="17"/>
          <w:i w:val="1"/>
          <w:iCs w:val="1"/>
          <w:color w:val="auto"/>
        </w:rPr>
        <w:t>slateafrique.com</w:t>
      </w:r>
      <w:r>
        <w:rPr>
          <w:rFonts w:ascii="Arial" w:cs="Arial" w:eastAsia="Arial" w:hAnsi="Arial"/>
          <w:sz w:val="17"/>
          <w:szCs w:val="17"/>
          <w:color w:val="auto"/>
        </w:rPr>
        <w:t>. The Slate Group provides content, technology and branding support.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FP Group</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 xml:space="preserve">The FP Group produces </w:t>
      </w:r>
      <w:r>
        <w:rPr>
          <w:rFonts w:ascii="Arial" w:cs="Arial" w:eastAsia="Arial" w:hAnsi="Arial"/>
          <w:sz w:val="17"/>
          <w:szCs w:val="17"/>
          <w:i w:val="1"/>
          <w:iCs w:val="1"/>
          <w:color w:val="auto"/>
        </w:rPr>
        <w:t>Foreign Policy</w:t>
      </w:r>
      <w:r>
        <w:rPr>
          <w:rFonts w:ascii="Arial" w:cs="Arial" w:eastAsia="Arial" w:hAnsi="Arial"/>
          <w:sz w:val="17"/>
          <w:szCs w:val="17"/>
          <w:color w:val="auto"/>
        </w:rPr>
        <w:t xml:space="preserve"> magazine and the </w:t>
      </w:r>
      <w:r>
        <w:rPr>
          <w:rFonts w:ascii="Arial" w:cs="Arial" w:eastAsia="Arial" w:hAnsi="Arial"/>
          <w:sz w:val="17"/>
          <w:szCs w:val="17"/>
          <w:i w:val="1"/>
          <w:iCs w:val="1"/>
          <w:color w:val="auto"/>
        </w:rPr>
        <w:t>ForeignPolicy.com</w:t>
      </w:r>
      <w:r>
        <w:rPr>
          <w:rFonts w:ascii="Arial" w:cs="Arial" w:eastAsia="Arial" w:hAnsi="Arial"/>
          <w:sz w:val="17"/>
          <w:szCs w:val="17"/>
          <w:color w:val="auto"/>
        </w:rPr>
        <w:t xml:space="preserve"> website, which cover developments in national security, international po global economics and related issues. The site features blogs, unique news content and specialized channels and newsletters focusing on regions and of interest. The FP Group provides insight and analysis into global affairs for government, military, business, media and academic leaders. FP Events produces a growing range of live programs bringing together government, military, business and investment leaders to discuss important regional and topical developments and their implications.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Express Publications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Express Publications Company, LLC (Express Publications), another subsidiary of the Company, publishes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a weekday tabloid newspaper, w distributed free of charge using hawkers and news boxes near Metro stations and in other locations in Washington, DC, and nearby suburbs with heav daytime sidewalk traffic. A typical edition of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is 48 to 60 pages and contains short news, entertainment and sports stories, as well as both class and display advertising. Current daily circulation is approximately 180,000 copies.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relies primarily on wire service and syndicated content and edited by a full-time newsroom staff of 23. Advertising sales and certain other services for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are provided by WP Company. The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newsr also produces a website called </w:t>
      </w:r>
      <w:r>
        <w:rPr>
          <w:rFonts w:ascii="Arial" w:cs="Arial" w:eastAsia="Arial" w:hAnsi="Arial"/>
          <w:sz w:val="16"/>
          <w:szCs w:val="16"/>
          <w:i w:val="1"/>
          <w:iCs w:val="1"/>
          <w:color w:val="auto"/>
        </w:rPr>
        <w:t>ExpressNightOut.com,</w:t>
      </w:r>
      <w:r>
        <w:rPr>
          <w:rFonts w:ascii="Arial" w:cs="Arial" w:eastAsia="Arial" w:hAnsi="Arial"/>
          <w:sz w:val="16"/>
          <w:szCs w:val="16"/>
          <w:color w:val="auto"/>
        </w:rPr>
        <w:t xml:space="preserve"> which features entertainment and lifestyle coverage of local interest.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Post–Newsweek Media</w:t>
      </w:r>
    </w:p>
    <w:p>
      <w:pPr>
        <w:spacing w:after="0" w:line="19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 xml:space="preserve">The Company’s Post–Newsweek Media, Inc. (PNM) subsidiary publishes two weekly paid-circulation, three twice-weekly paid-circulation and 14 contr circulation weekly community newspapers. This subsidiary’s newspapers are divided into three groups: </w:t>
      </w:r>
      <w:r>
        <w:rPr>
          <w:rFonts w:ascii="Arial" w:cs="Arial" w:eastAsia="Arial" w:hAnsi="Arial"/>
          <w:sz w:val="17"/>
          <w:szCs w:val="17"/>
          <w:i w:val="1"/>
          <w:iCs w:val="1"/>
          <w:color w:val="auto"/>
        </w:rPr>
        <w:t>The Gazette Newspapers,</w:t>
      </w:r>
      <w:r>
        <w:rPr>
          <w:rFonts w:ascii="Arial" w:cs="Arial" w:eastAsia="Arial" w:hAnsi="Arial"/>
          <w:sz w:val="17"/>
          <w:szCs w:val="17"/>
          <w:color w:val="auto"/>
        </w:rPr>
        <w:t xml:space="preserve"> which circulate in Montgomery, Prince George’s and Frederick counties and in parts of Carroll County, MD; </w:t>
      </w:r>
      <w:r>
        <w:rPr>
          <w:rFonts w:ascii="Arial" w:cs="Arial" w:eastAsia="Arial" w:hAnsi="Arial"/>
          <w:sz w:val="17"/>
          <w:szCs w:val="17"/>
          <w:i w:val="1"/>
          <w:iCs w:val="1"/>
          <w:color w:val="auto"/>
        </w:rPr>
        <w:t>Southern Maryland Newspapers,</w:t>
      </w:r>
      <w:r>
        <w:rPr>
          <w:rFonts w:ascii="Arial" w:cs="Arial" w:eastAsia="Arial" w:hAnsi="Arial"/>
          <w:sz w:val="17"/>
          <w:szCs w:val="17"/>
          <w:color w:val="auto"/>
        </w:rPr>
        <w:t xml:space="preserve"> which circulate in southern Prince George’s County and</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26" w:name="page27"/>
    <w:bookmarkEnd w:id="26"/>
    <w:p>
      <w:pPr>
        <w:ind w:right="20"/>
        <w:spacing w:after="0" w:line="237" w:lineRule="auto"/>
        <w:rPr>
          <w:sz w:val="20"/>
          <w:szCs w:val="20"/>
          <w:color w:val="auto"/>
        </w:rPr>
      </w:pPr>
      <w:r>
        <w:rPr>
          <w:rFonts w:ascii="Arial" w:cs="Arial" w:eastAsia="Arial" w:hAnsi="Arial"/>
          <w:sz w:val="17"/>
          <w:szCs w:val="17"/>
          <w:color w:val="auto"/>
        </w:rPr>
        <w:t xml:space="preserve">in Charles, St. Mary’s and Calvert counties, MD; and the </w:t>
      </w:r>
      <w:r>
        <w:rPr>
          <w:rFonts w:ascii="Arial" w:cs="Arial" w:eastAsia="Arial" w:hAnsi="Arial"/>
          <w:sz w:val="17"/>
          <w:szCs w:val="17"/>
          <w:i w:val="1"/>
          <w:iCs w:val="1"/>
          <w:color w:val="auto"/>
        </w:rPr>
        <w:t>Fairfax County Times</w:t>
      </w:r>
      <w:r>
        <w:rPr>
          <w:rFonts w:ascii="Arial" w:cs="Arial" w:eastAsia="Arial" w:hAnsi="Arial"/>
          <w:sz w:val="17"/>
          <w:szCs w:val="17"/>
          <w:color w:val="auto"/>
        </w:rPr>
        <w:t>, which circulates in Fairfax County, VA. During 2012, these newspaper a combined average weekly circulation of approximately 609,000 copies. PNM also produces military newspapers (most of which are weekly) under agreements where editorial material is supplied by local military bases, with the exception of one independent newspaper. In 2012, the eight military newspapers produced by PNM had a combined average circulation of more than 102,000 copies.</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17"/>
          <w:szCs w:val="17"/>
          <w:i w:val="1"/>
          <w:iCs w:val="1"/>
          <w:color w:val="auto"/>
        </w:rPr>
        <w:t xml:space="preserve">The Gazette Newspapers </w:t>
      </w:r>
      <w:r>
        <w:rPr>
          <w:rFonts w:ascii="Arial" w:cs="Arial" w:eastAsia="Arial" w:hAnsi="Arial"/>
          <w:sz w:val="17"/>
          <w:szCs w:val="17"/>
          <w:color w:val="auto"/>
        </w:rPr>
        <w:t>have a companion website (</w:t>
      </w:r>
      <w:r>
        <w:rPr>
          <w:rFonts w:ascii="Arial" w:cs="Arial" w:eastAsia="Arial" w:hAnsi="Arial"/>
          <w:sz w:val="17"/>
          <w:szCs w:val="17"/>
          <w:i w:val="1"/>
          <w:iCs w:val="1"/>
          <w:color w:val="auto"/>
        </w:rPr>
        <w:t>Gazette.net</w:t>
      </w:r>
      <w:r>
        <w:rPr>
          <w:rFonts w:ascii="Arial" w:cs="Arial" w:eastAsia="Arial" w:hAnsi="Arial"/>
          <w:sz w:val="17"/>
          <w:szCs w:val="17"/>
          <w:color w:val="auto"/>
        </w:rPr>
        <w:t>) that includes editorial material and classified advertising from the print newspapers</w:t>
      </w:r>
      <w:r>
        <w:rPr>
          <w:rFonts w:ascii="Arial" w:cs="Arial" w:eastAsia="Arial" w:hAnsi="Arial"/>
          <w:sz w:val="17"/>
          <w:szCs w:val="17"/>
          <w:i w:val="1"/>
          <w:iCs w:val="1"/>
          <w:color w:val="auto"/>
        </w:rPr>
        <w:t xml:space="preserve"> Southern Maryland Newspapers</w:t>
      </w:r>
      <w:r>
        <w:rPr>
          <w:rFonts w:ascii="Arial" w:cs="Arial" w:eastAsia="Arial" w:hAnsi="Arial"/>
          <w:sz w:val="17"/>
          <w:szCs w:val="17"/>
          <w:color w:val="auto"/>
        </w:rPr>
        <w:t>’ website (</w:t>
      </w:r>
      <w:r>
        <w:rPr>
          <w:rFonts w:ascii="Arial" w:cs="Arial" w:eastAsia="Arial" w:hAnsi="Arial"/>
          <w:sz w:val="17"/>
          <w:szCs w:val="17"/>
          <w:i w:val="1"/>
          <w:iCs w:val="1"/>
          <w:color w:val="auto"/>
        </w:rPr>
        <w:t>SoMdNews.com</w:t>
      </w:r>
      <w:r>
        <w:rPr>
          <w:rFonts w:ascii="Arial" w:cs="Arial" w:eastAsia="Arial" w:hAnsi="Arial"/>
          <w:sz w:val="17"/>
          <w:szCs w:val="17"/>
          <w:color w:val="auto"/>
        </w:rPr>
        <w:t>) also includes editorial and classified advertising from the print newspapers. The</w:t>
      </w:r>
      <w:r>
        <w:rPr>
          <w:rFonts w:ascii="Arial" w:cs="Arial" w:eastAsia="Arial" w:hAnsi="Arial"/>
          <w:sz w:val="17"/>
          <w:szCs w:val="17"/>
          <w:i w:val="1"/>
          <w:iCs w:val="1"/>
          <w:color w:val="auto"/>
        </w:rPr>
        <w:t xml:space="preserve"> Fairfax C Times’ </w:t>
      </w:r>
      <w:r>
        <w:rPr>
          <w:rFonts w:ascii="Arial" w:cs="Arial" w:eastAsia="Arial" w:hAnsi="Arial"/>
          <w:sz w:val="17"/>
          <w:szCs w:val="17"/>
          <w:color w:val="auto"/>
        </w:rPr>
        <w:t>website (</w:t>
      </w:r>
      <w:r>
        <w:rPr>
          <w:rFonts w:ascii="Arial" w:cs="Arial" w:eastAsia="Arial" w:hAnsi="Arial"/>
          <w:sz w:val="17"/>
          <w:szCs w:val="17"/>
          <w:i w:val="1"/>
          <w:iCs w:val="1"/>
          <w:color w:val="auto"/>
        </w:rPr>
        <w:t>FairfaxTimes.com</w:t>
      </w:r>
      <w:r>
        <w:rPr>
          <w:rFonts w:ascii="Arial" w:cs="Arial" w:eastAsia="Arial" w:hAnsi="Arial"/>
          <w:sz w:val="17"/>
          <w:szCs w:val="17"/>
          <w:color w:val="auto"/>
        </w:rPr>
        <w:t>) also includes editorials and classified advertising from the print newspapers. The military newspapers produced by</w:t>
      </w:r>
      <w:r>
        <w:rPr>
          <w:rFonts w:ascii="Arial" w:cs="Arial" w:eastAsia="Arial" w:hAnsi="Arial"/>
          <w:sz w:val="17"/>
          <w:szCs w:val="17"/>
          <w:i w:val="1"/>
          <w:iCs w:val="1"/>
          <w:color w:val="auto"/>
        </w:rPr>
        <w:t xml:space="preserve"> </w:t>
      </w:r>
      <w:r>
        <w:rPr>
          <w:rFonts w:ascii="Arial" w:cs="Arial" w:eastAsia="Arial" w:hAnsi="Arial"/>
          <w:sz w:val="17"/>
          <w:szCs w:val="17"/>
          <w:color w:val="auto"/>
        </w:rPr>
        <w:t>are supported by websites (</w:t>
      </w:r>
      <w:r>
        <w:rPr>
          <w:rFonts w:ascii="Arial" w:cs="Arial" w:eastAsia="Arial" w:hAnsi="Arial"/>
          <w:sz w:val="17"/>
          <w:szCs w:val="17"/>
          <w:i w:val="1"/>
          <w:iCs w:val="1"/>
          <w:color w:val="auto"/>
        </w:rPr>
        <w:t>DCMilitary.com</w:t>
      </w:r>
      <w:r>
        <w:rPr>
          <w:rFonts w:ascii="Arial" w:cs="Arial" w:eastAsia="Arial" w:hAnsi="Arial"/>
          <w:sz w:val="17"/>
          <w:szCs w:val="17"/>
          <w:color w:val="auto"/>
        </w:rPr>
        <w:t xml:space="preserve"> and </w:t>
      </w:r>
      <w:r>
        <w:rPr>
          <w:rFonts w:ascii="Arial" w:cs="Arial" w:eastAsia="Arial" w:hAnsi="Arial"/>
          <w:sz w:val="17"/>
          <w:szCs w:val="17"/>
          <w:i w:val="1"/>
          <w:iCs w:val="1"/>
          <w:color w:val="auto"/>
        </w:rPr>
        <w:t>DCMilitaryFamLife.com</w:t>
      </w:r>
      <w:r>
        <w:rPr>
          <w:rFonts w:ascii="Arial" w:cs="Arial" w:eastAsia="Arial" w:hAnsi="Arial"/>
          <w:sz w:val="17"/>
          <w:szCs w:val="17"/>
          <w:color w:val="auto"/>
        </w:rPr>
        <w:t>) that include base guides and other features, as well as articles from the print newspapers and blogs by military family members. Each website also contains display advertising that is sold specifically for the site and is available i mobile format as well.</w:t>
      </w:r>
    </w:p>
    <w:p>
      <w:pPr>
        <w:spacing w:after="0" w:line="178" w:lineRule="exact"/>
        <w:rPr>
          <w:sz w:val="20"/>
          <w:szCs w:val="20"/>
          <w:color w:val="auto"/>
        </w:rPr>
      </w:pPr>
    </w:p>
    <w:p>
      <w:pPr>
        <w:ind w:right="300"/>
        <w:spacing w:after="0" w:line="446" w:lineRule="auto"/>
        <w:rPr>
          <w:sz w:val="20"/>
          <w:szCs w:val="20"/>
          <w:color w:val="auto"/>
        </w:rPr>
      </w:pPr>
      <w:r>
        <w:rPr>
          <w:rFonts w:ascii="Arial" w:cs="Arial" w:eastAsia="Arial" w:hAnsi="Arial"/>
          <w:sz w:val="17"/>
          <w:szCs w:val="17"/>
          <w:color w:val="auto"/>
        </w:rPr>
        <w:t xml:space="preserve">PNM employs approximately 124 editors, reporters and photographers. PNM also operates a commercial printing business in suburban Maryland. </w:t>
      </w:r>
      <w:r>
        <w:rPr>
          <w:rFonts w:ascii="Arial" w:cs="Arial" w:eastAsia="Arial" w:hAnsi="Arial"/>
          <w:sz w:val="17"/>
          <w:szCs w:val="17"/>
          <w:b w:val="1"/>
          <w:bCs w:val="1"/>
          <w:color w:val="auto"/>
        </w:rPr>
        <w:t>The Herald</w:t>
      </w:r>
    </w:p>
    <w:p>
      <w:pPr>
        <w:spacing w:after="0" w:line="234" w:lineRule="auto"/>
        <w:rPr>
          <w:sz w:val="20"/>
          <w:szCs w:val="20"/>
          <w:color w:val="auto"/>
        </w:rPr>
      </w:pPr>
      <w:r>
        <w:rPr>
          <w:rFonts w:ascii="Arial" w:cs="Arial" w:eastAsia="Arial" w:hAnsi="Arial"/>
          <w:sz w:val="17"/>
          <w:szCs w:val="17"/>
          <w:color w:val="auto"/>
        </w:rPr>
        <w:t xml:space="preserve">The Company owns The Daily Herald Company, publisher of </w:t>
      </w:r>
      <w:r>
        <w:rPr>
          <w:rFonts w:ascii="Arial" w:cs="Arial" w:eastAsia="Arial" w:hAnsi="Arial"/>
          <w:sz w:val="17"/>
          <w:szCs w:val="17"/>
          <w:i w:val="1"/>
          <w:iCs w:val="1"/>
          <w:color w:val="auto"/>
        </w:rPr>
        <w:t>The Herald</w:t>
      </w:r>
      <w:r>
        <w:rPr>
          <w:rFonts w:ascii="Arial" w:cs="Arial" w:eastAsia="Arial" w:hAnsi="Arial"/>
          <w:sz w:val="17"/>
          <w:szCs w:val="17"/>
          <w:color w:val="auto"/>
        </w:rPr>
        <w:t xml:space="preserve"> in Everett, WA, about 30 miles north of Seattle. </w:t>
      </w:r>
      <w:r>
        <w:rPr>
          <w:rFonts w:ascii="Arial" w:cs="Arial" w:eastAsia="Arial" w:hAnsi="Arial"/>
          <w:sz w:val="17"/>
          <w:szCs w:val="17"/>
          <w:i w:val="1"/>
          <w:iCs w:val="1"/>
          <w:color w:val="auto"/>
        </w:rPr>
        <w:t>The Herald</w:t>
      </w:r>
      <w:r>
        <w:rPr>
          <w:rFonts w:ascii="Arial" w:cs="Arial" w:eastAsia="Arial" w:hAnsi="Arial"/>
          <w:sz w:val="17"/>
          <w:szCs w:val="17"/>
          <w:color w:val="auto"/>
        </w:rPr>
        <w:t xml:space="preserve"> is published morn seven days a week, and is primarily distributed by home delivery in Snohomish County, WA, and online at </w:t>
      </w:r>
      <w:r>
        <w:rPr>
          <w:rFonts w:ascii="Arial" w:cs="Arial" w:eastAsia="Arial" w:hAnsi="Arial"/>
          <w:sz w:val="17"/>
          <w:szCs w:val="17"/>
          <w:i w:val="1"/>
          <w:iCs w:val="1"/>
          <w:color w:val="auto"/>
        </w:rPr>
        <w:t>HeraldNet.com.</w:t>
      </w:r>
      <w:r>
        <w:rPr>
          <w:rFonts w:ascii="Arial" w:cs="Arial" w:eastAsia="Arial" w:hAnsi="Arial"/>
          <w:sz w:val="17"/>
          <w:szCs w:val="17"/>
          <w:color w:val="auto"/>
        </w:rPr>
        <w:t xml:space="preserve"> The Daily Herald Company provides commercial printing services and is a regional print site for </w:t>
      </w:r>
      <w:r>
        <w:rPr>
          <w:rFonts w:ascii="Arial" w:cs="Arial" w:eastAsia="Arial" w:hAnsi="Arial"/>
          <w:sz w:val="17"/>
          <w:szCs w:val="17"/>
          <w:i w:val="1"/>
          <w:iCs w:val="1"/>
          <w:color w:val="auto"/>
        </w:rPr>
        <w:t>USA TODAY</w:t>
      </w:r>
      <w:r>
        <w:rPr>
          <w:rFonts w:ascii="Arial" w:cs="Arial" w:eastAsia="Arial" w:hAnsi="Arial"/>
          <w:sz w:val="17"/>
          <w:szCs w:val="17"/>
          <w:color w:val="auto"/>
        </w:rPr>
        <w:t xml:space="preserve">. The Daily Herald Company publishes </w:t>
      </w:r>
      <w:r>
        <w:rPr>
          <w:rFonts w:ascii="Arial" w:cs="Arial" w:eastAsia="Arial" w:hAnsi="Arial"/>
          <w:sz w:val="17"/>
          <w:szCs w:val="17"/>
          <w:i w:val="1"/>
          <w:iCs w:val="1"/>
          <w:color w:val="auto"/>
        </w:rPr>
        <w:t>La Raza del Noroeste,</w:t>
      </w:r>
      <w:r>
        <w:rPr>
          <w:rFonts w:ascii="Arial" w:cs="Arial" w:eastAsia="Arial" w:hAnsi="Arial"/>
          <w:sz w:val="17"/>
          <w:szCs w:val="17"/>
          <w:color w:val="auto"/>
        </w:rPr>
        <w:t xml:space="preserve"> a wee Spanish-language newspaper that is distributed in Snohomish, King, Skagit and northern Pierce counties; and </w:t>
      </w:r>
      <w:r>
        <w:rPr>
          <w:rFonts w:ascii="Arial" w:cs="Arial" w:eastAsia="Arial" w:hAnsi="Arial"/>
          <w:sz w:val="17"/>
          <w:szCs w:val="17"/>
          <w:i w:val="1"/>
          <w:iCs w:val="1"/>
          <w:color w:val="auto"/>
        </w:rPr>
        <w:t>Herald Business Journal</w:t>
      </w:r>
      <w:r>
        <w:rPr>
          <w:rFonts w:ascii="Arial" w:cs="Arial" w:eastAsia="Arial" w:hAnsi="Arial"/>
          <w:sz w:val="17"/>
          <w:szCs w:val="17"/>
          <w:color w:val="auto"/>
        </w:rPr>
        <w:t xml:space="preserve">, a monthly publication focused on Snohomish County business news. In mid-2012, The Daily Herald Company ceased publication of </w:t>
      </w:r>
      <w:r>
        <w:rPr>
          <w:rFonts w:ascii="Arial" w:cs="Arial" w:eastAsia="Arial" w:hAnsi="Arial"/>
          <w:sz w:val="17"/>
          <w:szCs w:val="17"/>
          <w:i w:val="1"/>
          <w:iCs w:val="1"/>
          <w:color w:val="auto"/>
        </w:rPr>
        <w:t>The Weekly Herald</w:t>
      </w:r>
      <w:r>
        <w:rPr>
          <w:rFonts w:ascii="Arial" w:cs="Arial" w:eastAsia="Arial" w:hAnsi="Arial"/>
          <w:sz w:val="17"/>
          <w:szCs w:val="17"/>
          <w:color w:val="auto"/>
        </w:rPr>
        <w:t xml:space="preserve"> (formerl </w:t>
      </w:r>
      <w:r>
        <w:rPr>
          <w:rFonts w:ascii="Arial" w:cs="Arial" w:eastAsia="Arial" w:hAnsi="Arial"/>
          <w:sz w:val="17"/>
          <w:szCs w:val="17"/>
          <w:i w:val="1"/>
          <w:iCs w:val="1"/>
          <w:color w:val="auto"/>
        </w:rPr>
        <w:t>Enterprise</w:t>
      </w:r>
      <w:r>
        <w:rPr>
          <w:rFonts w:ascii="Arial" w:cs="Arial" w:eastAsia="Arial" w:hAnsi="Arial"/>
          <w:sz w:val="17"/>
          <w:szCs w:val="17"/>
          <w:color w:val="auto"/>
        </w:rPr>
        <w:t>), a community newspaper that was home-delivered in south Snohomish County.</w:t>
      </w:r>
    </w:p>
    <w:p>
      <w:pPr>
        <w:spacing w:after="0" w:line="160" w:lineRule="exact"/>
        <w:rPr>
          <w:sz w:val="20"/>
          <w:szCs w:val="20"/>
          <w:color w:val="auto"/>
        </w:rPr>
      </w:pPr>
    </w:p>
    <w:p>
      <w:pPr>
        <w:jc w:val="both"/>
        <w:ind w:right="20"/>
        <w:spacing w:after="0"/>
        <w:rPr>
          <w:sz w:val="20"/>
          <w:szCs w:val="20"/>
          <w:color w:val="auto"/>
        </w:rPr>
      </w:pPr>
      <w:r>
        <w:rPr>
          <w:rFonts w:ascii="Arial" w:cs="Arial" w:eastAsia="Arial" w:hAnsi="Arial"/>
          <w:sz w:val="17"/>
          <w:szCs w:val="17"/>
          <w:i w:val="1"/>
          <w:iCs w:val="1"/>
          <w:color w:val="auto"/>
        </w:rPr>
        <w:t>The Herald’</w:t>
      </w:r>
      <w:r>
        <w:rPr>
          <w:rFonts w:ascii="Arial" w:cs="Arial" w:eastAsia="Arial" w:hAnsi="Arial"/>
          <w:sz w:val="17"/>
          <w:szCs w:val="17"/>
          <w:color w:val="auto"/>
        </w:rPr>
        <w:t>s total average circulation as reported to ABC for the 52 weeks ending April 1, 2012, was 46,414 Monday through Friday, 46,037 Monday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through Saturday and 51,138 Sunday. The circulation of </w:t>
      </w:r>
      <w:r>
        <w:rPr>
          <w:rFonts w:ascii="Arial" w:cs="Arial" w:eastAsia="Arial" w:hAnsi="Arial"/>
          <w:sz w:val="17"/>
          <w:szCs w:val="17"/>
          <w:i w:val="1"/>
          <w:iCs w:val="1"/>
          <w:color w:val="auto"/>
        </w:rPr>
        <w:t>La Raza del Noroeste</w:t>
      </w:r>
      <w:r>
        <w:rPr>
          <w:rFonts w:ascii="Arial" w:cs="Arial" w:eastAsia="Arial" w:hAnsi="Arial"/>
          <w:sz w:val="17"/>
          <w:szCs w:val="17"/>
          <w:color w:val="auto"/>
        </w:rPr>
        <w:t xml:space="preserve"> during the 12-month period ended March 31, 2012, was 19,629 copies reported by Verified Audit Circulation. The monthly circulation of </w:t>
      </w:r>
      <w:r>
        <w:rPr>
          <w:rFonts w:ascii="Arial" w:cs="Arial" w:eastAsia="Arial" w:hAnsi="Arial"/>
          <w:sz w:val="17"/>
          <w:szCs w:val="17"/>
          <w:i w:val="1"/>
          <w:iCs w:val="1"/>
          <w:color w:val="auto"/>
        </w:rPr>
        <w:t>The Herald Business Journal</w:t>
      </w:r>
      <w:r>
        <w:rPr>
          <w:rFonts w:ascii="Arial" w:cs="Arial" w:eastAsia="Arial" w:hAnsi="Arial"/>
          <w:sz w:val="17"/>
          <w:szCs w:val="17"/>
          <w:color w:val="auto"/>
        </w:rPr>
        <w:t xml:space="preserve"> is approximately 13,000 copies.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The Herald, La Raza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Herald Business Journal </w:t>
      </w:r>
      <w:r>
        <w:rPr>
          <w:rFonts w:ascii="Arial" w:cs="Arial" w:eastAsia="Arial" w:hAnsi="Arial"/>
          <w:sz w:val="17"/>
          <w:szCs w:val="17"/>
          <w:color w:val="auto"/>
        </w:rPr>
        <w:t>together employ approximately 57 editors, reporters and photographers. The Company has en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into an agreement to sell </w:t>
      </w:r>
      <w:r>
        <w:rPr>
          <w:rFonts w:ascii="Arial" w:cs="Arial" w:eastAsia="Arial" w:hAnsi="Arial"/>
          <w:sz w:val="17"/>
          <w:szCs w:val="17"/>
          <w:i w:val="1"/>
          <w:iCs w:val="1"/>
          <w:color w:val="auto"/>
        </w:rPr>
        <w:t>The Herald</w:t>
      </w:r>
      <w:r>
        <w:rPr>
          <w:rFonts w:ascii="Arial" w:cs="Arial" w:eastAsia="Arial" w:hAnsi="Arial"/>
          <w:sz w:val="17"/>
          <w:szCs w:val="17"/>
          <w:color w:val="auto"/>
        </w:rPr>
        <w:t xml:space="preserve">, </w:t>
      </w:r>
      <w:r>
        <w:rPr>
          <w:rFonts w:ascii="Arial" w:cs="Arial" w:eastAsia="Arial" w:hAnsi="Arial"/>
          <w:sz w:val="17"/>
          <w:szCs w:val="17"/>
          <w:i w:val="1"/>
          <w:iCs w:val="1"/>
          <w:color w:val="auto"/>
        </w:rPr>
        <w:t>La Raza</w:t>
      </w:r>
      <w:r>
        <w:rPr>
          <w:rFonts w:ascii="Arial" w:cs="Arial" w:eastAsia="Arial" w:hAnsi="Arial"/>
          <w:sz w:val="17"/>
          <w:szCs w:val="17"/>
          <w:color w:val="auto"/>
        </w:rPr>
        <w:t xml:space="preserve"> and The Daily Herald Company’s other print and online products. The transaction is expected to close i March 2013.</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Greater Washington Publishing</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 xml:space="preserve">The Company’s Greater Washington Publishing LLC subsidiary publishes several free-circulation advertising periodicals and websites. The periodicals distributed in the greater Washington, DC, metropolitan area using sidewalk distribution boxes and community racks placed in free outlets targeting re new home buyers and seniors. Additionally, </w:t>
      </w:r>
      <w:r>
        <w:rPr>
          <w:rFonts w:ascii="Arial" w:cs="Arial" w:eastAsia="Arial" w:hAnsi="Arial"/>
          <w:sz w:val="17"/>
          <w:szCs w:val="17"/>
          <w:i w:val="1"/>
          <w:iCs w:val="1"/>
          <w:color w:val="auto"/>
        </w:rPr>
        <w:t>The Guide to Retirement Living Sourcebook</w:t>
      </w:r>
      <w:r>
        <w:rPr>
          <w:rFonts w:ascii="Arial" w:cs="Arial" w:eastAsia="Arial" w:hAnsi="Arial"/>
          <w:sz w:val="17"/>
          <w:szCs w:val="17"/>
          <w:color w:val="auto"/>
        </w:rPr>
        <w:t xml:space="preserve"> is distributed via a network of influential providers that include realtors, social workers, physicians and a variety of other senior-serving professionals. Greater Washington Publishing’s periodicals are </w:t>
      </w:r>
      <w:r>
        <w:rPr>
          <w:rFonts w:ascii="Arial" w:cs="Arial" w:eastAsia="Arial" w:hAnsi="Arial"/>
          <w:sz w:val="17"/>
          <w:szCs w:val="17"/>
          <w:i w:val="1"/>
          <w:iCs w:val="1"/>
          <w:color w:val="auto"/>
        </w:rPr>
        <w:t>Apartment</w:t>
      </w:r>
      <w:r>
        <w:rPr>
          <w:rFonts w:ascii="Arial" w:cs="Arial" w:eastAsia="Arial" w:hAnsi="Arial"/>
          <w:sz w:val="17"/>
          <w:szCs w:val="17"/>
          <w:color w:val="auto"/>
        </w:rPr>
        <w:t xml:space="preserve"> </w:t>
      </w:r>
      <w:r>
        <w:rPr>
          <w:rFonts w:ascii="Arial" w:cs="Arial" w:eastAsia="Arial" w:hAnsi="Arial"/>
          <w:sz w:val="17"/>
          <w:szCs w:val="17"/>
          <w:i w:val="1"/>
          <w:iCs w:val="1"/>
          <w:color w:val="auto"/>
        </w:rPr>
        <w:t>Showcase</w:t>
      </w:r>
      <w:r>
        <w:rPr>
          <w:rFonts w:ascii="Arial" w:cs="Arial" w:eastAsia="Arial" w:hAnsi="Arial"/>
          <w:sz w:val="17"/>
          <w:szCs w:val="17"/>
          <w:color w:val="auto"/>
        </w:rPr>
        <w:t>, which is published monthly and has an average circulation of about 39,000 copies;</w:t>
      </w:r>
      <w:r>
        <w:rPr>
          <w:rFonts w:ascii="Arial" w:cs="Arial" w:eastAsia="Arial" w:hAnsi="Arial"/>
          <w:sz w:val="17"/>
          <w:szCs w:val="17"/>
          <w:i w:val="1"/>
          <w:iCs w:val="1"/>
          <w:color w:val="auto"/>
        </w:rPr>
        <w:t xml:space="preserve"> New Homes Guide</w:t>
      </w:r>
      <w:r>
        <w:rPr>
          <w:rFonts w:ascii="Arial" w:cs="Arial" w:eastAsia="Arial" w:hAnsi="Arial"/>
          <w:sz w:val="17"/>
          <w:szCs w:val="17"/>
          <w:color w:val="auto"/>
        </w:rPr>
        <w:t>, which is published six times a year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has an average circulation of about 34,000 copies; and </w:t>
      </w:r>
      <w:r>
        <w:rPr>
          <w:rFonts w:ascii="Arial" w:cs="Arial" w:eastAsia="Arial" w:hAnsi="Arial"/>
          <w:sz w:val="17"/>
          <w:szCs w:val="17"/>
          <w:i w:val="1"/>
          <w:iCs w:val="1"/>
          <w:color w:val="auto"/>
        </w:rPr>
        <w:t>Guide to Retirement Living Sourcebook</w:t>
      </w:r>
      <w:r>
        <w:rPr>
          <w:rFonts w:ascii="Arial" w:cs="Arial" w:eastAsia="Arial" w:hAnsi="Arial"/>
          <w:sz w:val="17"/>
          <w:szCs w:val="17"/>
          <w:color w:val="auto"/>
        </w:rPr>
        <w:t>, which is published nine times a year and has an aver circulation of about 40,000 copies.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 Tiempo Latino</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El Tiempo Latino LLC publishes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a weekly Spanish-language newspaper that is distributed free of charge in northern Virginia, suburb Maryland and Washington, DC, using sidewalk news boxes and retail locations that provide space for distribution.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provides a mix of l national and international news together with sports and community events coverage and has a current circulation of approximately 50,000 copies.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Employees of the newspaper handle advertising sales and prepress production, and content is provided by a combination of wire service copy, contrib from freelance writers and photographers and stories produced by the newspaper’s own editorial staff.</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4" w:right="139" w:bottom="1440" w:gutter="0" w:footer="0" w:header="0"/>
        </w:sectPr>
      </w:pPr>
    </w:p>
    <w:bookmarkStart w:id="27" w:name="page28"/>
    <w:bookmarkEnd w:id="27"/>
    <w:p>
      <w:pPr>
        <w:ind w:left="4769"/>
        <w:spacing w:after="0"/>
        <w:rPr>
          <w:sz w:val="20"/>
          <w:szCs w:val="20"/>
          <w:color w:val="auto"/>
        </w:rPr>
      </w:pPr>
      <w:r>
        <w:rPr>
          <w:rFonts w:ascii="Arial" w:cs="Arial" w:eastAsia="Arial" w:hAnsi="Arial"/>
          <w:sz w:val="17"/>
          <w:szCs w:val="17"/>
          <w:b w:val="1"/>
          <w:bCs w:val="1"/>
          <w:color w:val="auto"/>
        </w:rPr>
        <w:t>Television Broadcasting</w:t>
      </w:r>
    </w:p>
    <w:p>
      <w:pPr>
        <w:spacing w:after="0" w:line="197" w:lineRule="exact"/>
        <w:rPr>
          <w:sz w:val="20"/>
          <w:szCs w:val="20"/>
          <w:color w:val="auto"/>
        </w:rPr>
      </w:pPr>
    </w:p>
    <w:p>
      <w:pPr>
        <w:ind w:left="9"/>
        <w:spacing w:after="0" w:line="260" w:lineRule="auto"/>
        <w:rPr>
          <w:sz w:val="20"/>
          <w:szCs w:val="20"/>
          <w:color w:val="auto"/>
        </w:rPr>
      </w:pPr>
      <w:r>
        <w:rPr>
          <w:rFonts w:ascii="Arial" w:cs="Arial" w:eastAsia="Arial" w:hAnsi="Arial"/>
          <w:sz w:val="16"/>
          <w:szCs w:val="16"/>
          <w:color w:val="auto"/>
        </w:rPr>
        <w:t>Post–Newsweek Stations, Inc. (PNS), a subsidiary of the Company, owns six television stations located in Houston, TX; Detroit, MI; Miami, FL; Orland San Antonio, TX; and Jacksonville, FL. The following table sets forth certain information with respect to each of the Company’s television stations:</w:t>
      </w:r>
    </w:p>
    <w:p>
      <w:pPr>
        <w:spacing w:after="0" w:line="107"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2700" w:type="dxa"/>
            <w:vAlign w:val="bottom"/>
          </w:tcPr>
          <w:p>
            <w:pPr>
              <w:jc w:val="center"/>
              <w:spacing w:after="0"/>
              <w:rPr>
                <w:sz w:val="20"/>
                <w:szCs w:val="20"/>
                <w:color w:val="auto"/>
              </w:rPr>
            </w:pPr>
            <w:r>
              <w:rPr>
                <w:rFonts w:ascii="Arial" w:cs="Arial" w:eastAsia="Arial" w:hAnsi="Arial"/>
                <w:sz w:val="12"/>
                <w:szCs w:val="12"/>
                <w:b w:val="1"/>
                <w:bCs w:val="1"/>
                <w:color w:val="auto"/>
              </w:rPr>
              <w:t>Station Location and</w:t>
            </w:r>
          </w:p>
        </w:tc>
        <w:tc>
          <w:tcPr>
            <w:tcW w:w="1820" w:type="dxa"/>
            <w:vAlign w:val="bottom"/>
          </w:tcPr>
          <w:p>
            <w:pPr>
              <w:jc w:val="center"/>
              <w:ind w:left="58"/>
              <w:spacing w:after="0"/>
              <w:rPr>
                <w:sz w:val="20"/>
                <w:szCs w:val="20"/>
                <w:color w:val="auto"/>
              </w:rPr>
            </w:pPr>
            <w:r>
              <w:rPr>
                <w:rFonts w:ascii="Arial" w:cs="Arial" w:eastAsia="Arial" w:hAnsi="Arial"/>
                <w:sz w:val="12"/>
                <w:szCs w:val="12"/>
                <w:b w:val="1"/>
                <w:bCs w:val="1"/>
                <w:color w:val="auto"/>
              </w:rPr>
              <w:t>National</w:t>
            </w: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rPr>
              <w:t>Primary</w:t>
            </w: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800" w:type="dxa"/>
            <w:vAlign w:val="bottom"/>
          </w:tcPr>
          <w:p>
            <w:pPr>
              <w:jc w:val="center"/>
              <w:ind w:left="58"/>
              <w:spacing w:after="0"/>
              <w:rPr>
                <w:sz w:val="20"/>
                <w:szCs w:val="20"/>
                <w:color w:val="auto"/>
              </w:rPr>
            </w:pPr>
            <w:r>
              <w:rPr>
                <w:rFonts w:ascii="Arial" w:cs="Arial" w:eastAsia="Arial" w:hAnsi="Arial"/>
                <w:sz w:val="12"/>
                <w:szCs w:val="12"/>
                <w:b w:val="1"/>
                <w:bCs w:val="1"/>
                <w:color w:val="auto"/>
              </w:rPr>
              <w:t>Expiration Date</w:t>
            </w: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Total Commer</w:t>
            </w:r>
          </w:p>
        </w:tc>
      </w:tr>
      <w:tr>
        <w:trPr>
          <w:trHeight w:val="137"/>
        </w:trPr>
        <w:tc>
          <w:tcPr>
            <w:tcW w:w="270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Year Commercial</w:t>
            </w:r>
          </w:p>
        </w:tc>
        <w:tc>
          <w:tcPr>
            <w:tcW w:w="1820" w:type="dxa"/>
            <w:vAlign w:val="bottom"/>
          </w:tcPr>
          <w:p>
            <w:pPr>
              <w:jc w:val="center"/>
              <w:ind w:left="38"/>
              <w:spacing w:after="0" w:line="137" w:lineRule="exact"/>
              <w:rPr>
                <w:sz w:val="20"/>
                <w:szCs w:val="20"/>
                <w:color w:val="auto"/>
              </w:rPr>
            </w:pPr>
            <w:r>
              <w:rPr>
                <w:rFonts w:ascii="Arial" w:cs="Arial" w:eastAsia="Arial" w:hAnsi="Arial"/>
                <w:sz w:val="12"/>
                <w:szCs w:val="12"/>
                <w:b w:val="1"/>
                <w:bCs w:val="1"/>
                <w:color w:val="auto"/>
              </w:rPr>
              <w:t>Market</w:t>
            </w:r>
          </w:p>
        </w:tc>
        <w:tc>
          <w:tcPr>
            <w:tcW w:w="16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Network</w:t>
            </w:r>
          </w:p>
        </w:tc>
        <w:tc>
          <w:tcPr>
            <w:tcW w:w="17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Date of FCC</w:t>
            </w:r>
          </w:p>
        </w:tc>
        <w:tc>
          <w:tcPr>
            <w:tcW w:w="1800" w:type="dxa"/>
            <w:vAlign w:val="bottom"/>
          </w:tcPr>
          <w:p>
            <w:pPr>
              <w:jc w:val="center"/>
              <w:ind w:left="58"/>
              <w:spacing w:after="0" w:line="137" w:lineRule="exact"/>
              <w:rPr>
                <w:sz w:val="20"/>
                <w:szCs w:val="20"/>
                <w:color w:val="auto"/>
              </w:rPr>
            </w:pPr>
            <w:r>
              <w:rPr>
                <w:rFonts w:ascii="Arial" w:cs="Arial" w:eastAsia="Arial" w:hAnsi="Arial"/>
                <w:sz w:val="12"/>
                <w:szCs w:val="12"/>
                <w:b w:val="1"/>
                <w:bCs w:val="1"/>
                <w:color w:val="auto"/>
              </w:rPr>
              <w:t>of Network</w:t>
            </w:r>
          </w:p>
        </w:tc>
        <w:tc>
          <w:tcPr>
            <w:tcW w:w="1240" w:type="dxa"/>
            <w:vAlign w:val="bottom"/>
          </w:tcPr>
          <w:p>
            <w:pPr>
              <w:jc w:val="right"/>
              <w:ind w:right="18"/>
              <w:spacing w:after="0" w:line="137" w:lineRule="exact"/>
              <w:rPr>
                <w:sz w:val="20"/>
                <w:szCs w:val="20"/>
                <w:color w:val="auto"/>
              </w:rPr>
            </w:pPr>
            <w:r>
              <w:rPr>
                <w:rFonts w:ascii="Arial" w:cs="Arial" w:eastAsia="Arial" w:hAnsi="Arial"/>
                <w:sz w:val="12"/>
                <w:szCs w:val="12"/>
                <w:b w:val="1"/>
                <w:bCs w:val="1"/>
                <w:color w:val="auto"/>
              </w:rPr>
              <w:t>Stations</w:t>
            </w:r>
          </w:p>
        </w:tc>
      </w:tr>
      <w:tr>
        <w:trPr>
          <w:trHeight w:val="151"/>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Operation Commenced</w:t>
            </w:r>
          </w:p>
        </w:tc>
        <w:tc>
          <w:tcPr>
            <w:tcW w:w="182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b w:val="1"/>
                <w:bCs w:val="1"/>
                <w:color w:val="auto"/>
              </w:rPr>
              <w:t>Ranking (a)</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Affiliation</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License (b)</w:t>
            </w:r>
          </w:p>
        </w:tc>
        <w:tc>
          <w:tcPr>
            <w:tcW w:w="1800" w:type="dxa"/>
            <w:vAlign w:val="bottom"/>
            <w:tcBorders>
              <w:bottom w:val="single" w:sz="8" w:color="auto"/>
            </w:tcBorders>
          </w:tcPr>
          <w:p>
            <w:pPr>
              <w:jc w:val="center"/>
              <w:ind w:left="58"/>
              <w:spacing w:after="0"/>
              <w:rPr>
                <w:sz w:val="20"/>
                <w:szCs w:val="20"/>
                <w:color w:val="auto"/>
              </w:rPr>
            </w:pPr>
            <w:r>
              <w:rPr>
                <w:rFonts w:ascii="Arial" w:cs="Arial" w:eastAsia="Arial" w:hAnsi="Arial"/>
                <w:sz w:val="12"/>
                <w:szCs w:val="12"/>
                <w:b w:val="1"/>
                <w:bCs w:val="1"/>
                <w:color w:val="auto"/>
              </w:rPr>
              <w:t>Agreement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in DMA (c)</w:t>
            </w:r>
          </w:p>
        </w:tc>
      </w:tr>
      <w:tr>
        <w:trPr>
          <w:trHeight w:val="141"/>
        </w:trPr>
        <w:tc>
          <w:tcPr>
            <w:tcW w:w="2700" w:type="dxa"/>
            <w:vAlign w:val="bottom"/>
          </w:tcPr>
          <w:p>
            <w:pPr>
              <w:spacing w:after="0"/>
              <w:rPr>
                <w:sz w:val="20"/>
                <w:szCs w:val="20"/>
                <w:color w:val="auto"/>
              </w:rPr>
            </w:pPr>
            <w:r>
              <w:rPr>
                <w:rFonts w:ascii="Arial" w:cs="Arial" w:eastAsia="Arial" w:hAnsi="Arial"/>
                <w:sz w:val="12"/>
                <w:szCs w:val="12"/>
                <w:color w:val="auto"/>
              </w:rPr>
              <w:t>KPRC, Houston, TX, 1949</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10th</w:t>
            </w:r>
          </w:p>
        </w:tc>
        <w:tc>
          <w:tcPr>
            <w:tcW w:w="1620" w:type="dxa"/>
            <w:vAlign w:val="bottom"/>
          </w:tcPr>
          <w:p>
            <w:pPr>
              <w:jc w:val="center"/>
              <w:spacing w:after="0"/>
              <w:rPr>
                <w:sz w:val="20"/>
                <w:szCs w:val="20"/>
                <w:color w:val="auto"/>
              </w:rPr>
            </w:pPr>
            <w:r>
              <w:rPr>
                <w:rFonts w:ascii="Arial" w:cs="Arial" w:eastAsia="Arial" w:hAnsi="Arial"/>
                <w:sz w:val="12"/>
                <w:szCs w:val="12"/>
                <w:color w:val="auto"/>
              </w:rPr>
              <w:t>NBC</w:t>
            </w:r>
          </w:p>
        </w:tc>
        <w:tc>
          <w:tcPr>
            <w:tcW w:w="1760" w:type="dxa"/>
            <w:vAlign w:val="bottom"/>
          </w:tcPr>
          <w:p>
            <w:pPr>
              <w:jc w:val="center"/>
              <w:spacing w:after="0"/>
              <w:rPr>
                <w:sz w:val="20"/>
                <w:szCs w:val="20"/>
                <w:color w:val="auto"/>
              </w:rPr>
            </w:pPr>
            <w:r>
              <w:rPr>
                <w:rFonts w:ascii="Arial" w:cs="Arial" w:eastAsia="Arial" w:hAnsi="Arial"/>
                <w:sz w:val="12"/>
                <w:szCs w:val="12"/>
                <w:color w:val="auto"/>
              </w:rPr>
              <w:t>Aug. 1, 2014</w:t>
            </w:r>
          </w:p>
        </w:tc>
        <w:tc>
          <w:tcPr>
            <w:tcW w:w="1800" w:type="dxa"/>
            <w:vAlign w:val="bottom"/>
          </w:tcPr>
          <w:p>
            <w:pPr>
              <w:jc w:val="center"/>
              <w:ind w:left="58"/>
              <w:spacing w:after="0"/>
              <w:rPr>
                <w:sz w:val="20"/>
                <w:szCs w:val="20"/>
                <w:color w:val="auto"/>
              </w:rPr>
            </w:pPr>
            <w:r>
              <w:rPr>
                <w:rFonts w:ascii="Arial" w:cs="Arial" w:eastAsia="Arial" w:hAnsi="Arial"/>
                <w:sz w:val="12"/>
                <w:szCs w:val="12"/>
                <w:color w:val="auto"/>
              </w:rPr>
              <w:t>Dec. 31, 2016</w:t>
            </w:r>
          </w:p>
        </w:tc>
        <w:tc>
          <w:tcPr>
            <w:tcW w:w="1240" w:type="dxa"/>
            <w:vAlign w:val="bottom"/>
          </w:tcPr>
          <w:p>
            <w:pPr>
              <w:jc w:val="center"/>
              <w:ind w:left="558"/>
              <w:spacing w:after="0"/>
              <w:rPr>
                <w:sz w:val="20"/>
                <w:szCs w:val="20"/>
                <w:color w:val="auto"/>
              </w:rPr>
            </w:pPr>
            <w:r>
              <w:rPr>
                <w:rFonts w:ascii="Arial" w:cs="Arial" w:eastAsia="Arial" w:hAnsi="Arial"/>
                <w:sz w:val="12"/>
                <w:szCs w:val="12"/>
                <w:color w:val="auto"/>
              </w:rPr>
              <w:t>14</w:t>
            </w:r>
          </w:p>
        </w:tc>
      </w:tr>
      <w:tr>
        <w:trPr>
          <w:trHeight w:val="235"/>
        </w:trPr>
        <w:tc>
          <w:tcPr>
            <w:tcW w:w="2700" w:type="dxa"/>
            <w:vAlign w:val="bottom"/>
          </w:tcPr>
          <w:p>
            <w:pPr>
              <w:spacing w:after="0"/>
              <w:rPr>
                <w:sz w:val="20"/>
                <w:szCs w:val="20"/>
                <w:color w:val="auto"/>
              </w:rPr>
            </w:pPr>
            <w:r>
              <w:rPr>
                <w:rFonts w:ascii="Arial" w:cs="Arial" w:eastAsia="Arial" w:hAnsi="Arial"/>
                <w:sz w:val="12"/>
                <w:szCs w:val="12"/>
                <w:color w:val="auto"/>
              </w:rPr>
              <w:t>WDIV, Detroit, MI, 1947</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11th</w:t>
            </w:r>
          </w:p>
        </w:tc>
        <w:tc>
          <w:tcPr>
            <w:tcW w:w="1620" w:type="dxa"/>
            <w:vAlign w:val="bottom"/>
          </w:tcPr>
          <w:p>
            <w:pPr>
              <w:jc w:val="center"/>
              <w:spacing w:after="0"/>
              <w:rPr>
                <w:sz w:val="20"/>
                <w:szCs w:val="20"/>
                <w:color w:val="auto"/>
              </w:rPr>
            </w:pPr>
            <w:r>
              <w:rPr>
                <w:rFonts w:ascii="Arial" w:cs="Arial" w:eastAsia="Arial" w:hAnsi="Arial"/>
                <w:sz w:val="12"/>
                <w:szCs w:val="12"/>
                <w:color w:val="auto"/>
              </w:rPr>
              <w:t>NBC</w:t>
            </w:r>
          </w:p>
        </w:tc>
        <w:tc>
          <w:tcPr>
            <w:tcW w:w="1760" w:type="dxa"/>
            <w:vAlign w:val="bottom"/>
          </w:tcPr>
          <w:p>
            <w:pPr>
              <w:jc w:val="center"/>
              <w:spacing w:after="0"/>
              <w:rPr>
                <w:sz w:val="20"/>
                <w:szCs w:val="20"/>
                <w:color w:val="auto"/>
              </w:rPr>
            </w:pPr>
            <w:r>
              <w:rPr>
                <w:rFonts w:ascii="Arial" w:cs="Arial" w:eastAsia="Arial" w:hAnsi="Arial"/>
                <w:sz w:val="12"/>
                <w:szCs w:val="12"/>
                <w:color w:val="auto"/>
              </w:rPr>
              <w:t>Oct. 1, 2013</w:t>
            </w:r>
          </w:p>
        </w:tc>
        <w:tc>
          <w:tcPr>
            <w:tcW w:w="1800" w:type="dxa"/>
            <w:vAlign w:val="bottom"/>
          </w:tcPr>
          <w:p>
            <w:pPr>
              <w:jc w:val="center"/>
              <w:ind w:left="38"/>
              <w:spacing w:after="0"/>
              <w:rPr>
                <w:sz w:val="20"/>
                <w:szCs w:val="20"/>
                <w:color w:val="auto"/>
              </w:rPr>
            </w:pPr>
            <w:r>
              <w:rPr>
                <w:rFonts w:ascii="Arial" w:cs="Arial" w:eastAsia="Arial" w:hAnsi="Arial"/>
                <w:sz w:val="12"/>
                <w:szCs w:val="12"/>
                <w:color w:val="auto"/>
              </w:rPr>
              <w:t>Dec. 31, 2016</w:t>
            </w:r>
          </w:p>
        </w:tc>
        <w:tc>
          <w:tcPr>
            <w:tcW w:w="1240" w:type="dxa"/>
            <w:vAlign w:val="bottom"/>
          </w:tcPr>
          <w:p>
            <w:pPr>
              <w:jc w:val="center"/>
              <w:ind w:left="538"/>
              <w:spacing w:after="0"/>
              <w:rPr>
                <w:sz w:val="20"/>
                <w:szCs w:val="20"/>
                <w:color w:val="auto"/>
              </w:rPr>
            </w:pPr>
            <w:r>
              <w:rPr>
                <w:rFonts w:ascii="Arial" w:cs="Arial" w:eastAsia="Arial" w:hAnsi="Arial"/>
                <w:sz w:val="12"/>
                <w:szCs w:val="12"/>
                <w:color w:val="auto"/>
              </w:rPr>
              <w:t>8</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WPLG, Miami, FL, 1961</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16th</w:t>
            </w:r>
          </w:p>
        </w:tc>
        <w:tc>
          <w:tcPr>
            <w:tcW w:w="1620" w:type="dxa"/>
            <w:vAlign w:val="bottom"/>
          </w:tcPr>
          <w:p>
            <w:pPr>
              <w:jc w:val="center"/>
              <w:spacing w:after="0"/>
              <w:rPr>
                <w:sz w:val="20"/>
                <w:szCs w:val="20"/>
                <w:color w:val="auto"/>
              </w:rPr>
            </w:pPr>
            <w:r>
              <w:rPr>
                <w:rFonts w:ascii="Arial" w:cs="Arial" w:eastAsia="Arial" w:hAnsi="Arial"/>
                <w:sz w:val="12"/>
                <w:szCs w:val="12"/>
                <w:color w:val="auto"/>
              </w:rPr>
              <w:t>ABC</w:t>
            </w:r>
          </w:p>
        </w:tc>
        <w:tc>
          <w:tcPr>
            <w:tcW w:w="1760" w:type="dxa"/>
            <w:vAlign w:val="bottom"/>
          </w:tcPr>
          <w:p>
            <w:pPr>
              <w:jc w:val="center"/>
              <w:spacing w:after="0"/>
              <w:rPr>
                <w:sz w:val="20"/>
                <w:szCs w:val="20"/>
                <w:color w:val="auto"/>
              </w:rPr>
            </w:pPr>
            <w:r>
              <w:rPr>
                <w:rFonts w:ascii="Arial" w:cs="Arial" w:eastAsia="Arial" w:hAnsi="Arial"/>
                <w:sz w:val="12"/>
                <w:szCs w:val="12"/>
                <w:color w:val="auto"/>
              </w:rPr>
              <w:t>Feb. 1, 2013</w:t>
            </w:r>
          </w:p>
        </w:tc>
        <w:tc>
          <w:tcPr>
            <w:tcW w:w="1800" w:type="dxa"/>
            <w:vAlign w:val="bottom"/>
          </w:tcPr>
          <w:p>
            <w:pPr>
              <w:jc w:val="center"/>
              <w:ind w:left="38"/>
              <w:spacing w:after="0"/>
              <w:rPr>
                <w:sz w:val="20"/>
                <w:szCs w:val="20"/>
                <w:color w:val="auto"/>
              </w:rPr>
            </w:pPr>
            <w:r>
              <w:rPr>
                <w:rFonts w:ascii="Arial" w:cs="Arial" w:eastAsia="Arial" w:hAnsi="Arial"/>
                <w:sz w:val="12"/>
                <w:szCs w:val="12"/>
                <w:color w:val="auto"/>
              </w:rPr>
              <w:t>Dec. 31, 2015</w:t>
            </w:r>
          </w:p>
        </w:tc>
        <w:tc>
          <w:tcPr>
            <w:tcW w:w="1240" w:type="dxa"/>
            <w:vAlign w:val="bottom"/>
          </w:tcPr>
          <w:p>
            <w:pPr>
              <w:jc w:val="center"/>
              <w:ind w:left="558"/>
              <w:spacing w:after="0"/>
              <w:rPr>
                <w:sz w:val="20"/>
                <w:szCs w:val="20"/>
                <w:color w:val="auto"/>
              </w:rPr>
            </w:pPr>
            <w:r>
              <w:rPr>
                <w:rFonts w:ascii="Arial" w:cs="Arial" w:eastAsia="Arial" w:hAnsi="Arial"/>
                <w:sz w:val="12"/>
                <w:szCs w:val="12"/>
                <w:color w:val="auto"/>
              </w:rPr>
              <w:t>13</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WKMG, Orlando, FL, 1954</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19th</w:t>
            </w:r>
          </w:p>
        </w:tc>
        <w:tc>
          <w:tcPr>
            <w:tcW w:w="1620" w:type="dxa"/>
            <w:vAlign w:val="bottom"/>
          </w:tcPr>
          <w:p>
            <w:pPr>
              <w:jc w:val="center"/>
              <w:spacing w:after="0"/>
              <w:rPr>
                <w:sz w:val="20"/>
                <w:szCs w:val="20"/>
                <w:color w:val="auto"/>
              </w:rPr>
            </w:pPr>
            <w:r>
              <w:rPr>
                <w:rFonts w:ascii="Arial" w:cs="Arial" w:eastAsia="Arial" w:hAnsi="Arial"/>
                <w:sz w:val="12"/>
                <w:szCs w:val="12"/>
                <w:color w:val="auto"/>
              </w:rPr>
              <w:t>CBS</w:t>
            </w:r>
          </w:p>
        </w:tc>
        <w:tc>
          <w:tcPr>
            <w:tcW w:w="1760" w:type="dxa"/>
            <w:vAlign w:val="bottom"/>
          </w:tcPr>
          <w:p>
            <w:pPr>
              <w:jc w:val="center"/>
              <w:spacing w:after="0"/>
              <w:rPr>
                <w:sz w:val="20"/>
                <w:szCs w:val="20"/>
                <w:color w:val="auto"/>
              </w:rPr>
            </w:pPr>
            <w:r>
              <w:rPr>
                <w:rFonts w:ascii="Arial" w:cs="Arial" w:eastAsia="Arial" w:hAnsi="Arial"/>
                <w:sz w:val="12"/>
                <w:szCs w:val="12"/>
                <w:color w:val="auto"/>
              </w:rPr>
              <w:t>Feb. 1, 2013</w:t>
            </w:r>
          </w:p>
        </w:tc>
        <w:tc>
          <w:tcPr>
            <w:tcW w:w="1800" w:type="dxa"/>
            <w:vAlign w:val="bottom"/>
          </w:tcPr>
          <w:p>
            <w:pPr>
              <w:jc w:val="center"/>
              <w:ind w:left="38"/>
              <w:spacing w:after="0"/>
              <w:rPr>
                <w:sz w:val="20"/>
                <w:szCs w:val="20"/>
                <w:color w:val="auto"/>
              </w:rPr>
            </w:pPr>
            <w:r>
              <w:rPr>
                <w:rFonts w:ascii="Arial" w:cs="Arial" w:eastAsia="Arial" w:hAnsi="Arial"/>
                <w:sz w:val="12"/>
                <w:szCs w:val="12"/>
                <w:color w:val="auto"/>
              </w:rPr>
              <w:t>Apr. 6, 2015</w:t>
            </w:r>
          </w:p>
        </w:tc>
        <w:tc>
          <w:tcPr>
            <w:tcW w:w="1240" w:type="dxa"/>
            <w:vAlign w:val="bottom"/>
          </w:tcPr>
          <w:p>
            <w:pPr>
              <w:jc w:val="center"/>
              <w:ind w:left="558"/>
              <w:spacing w:after="0"/>
              <w:rPr>
                <w:sz w:val="20"/>
                <w:szCs w:val="20"/>
                <w:color w:val="auto"/>
              </w:rPr>
            </w:pPr>
            <w:r>
              <w:rPr>
                <w:rFonts w:ascii="Arial" w:cs="Arial" w:eastAsia="Arial" w:hAnsi="Arial"/>
                <w:sz w:val="12"/>
                <w:szCs w:val="12"/>
                <w:color w:val="auto"/>
              </w:rPr>
              <w:t>13</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KSAT, San Antonio, TX, 1957</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36th</w:t>
            </w:r>
          </w:p>
        </w:tc>
        <w:tc>
          <w:tcPr>
            <w:tcW w:w="1620" w:type="dxa"/>
            <w:vAlign w:val="bottom"/>
          </w:tcPr>
          <w:p>
            <w:pPr>
              <w:jc w:val="center"/>
              <w:spacing w:after="0"/>
              <w:rPr>
                <w:sz w:val="20"/>
                <w:szCs w:val="20"/>
                <w:color w:val="auto"/>
              </w:rPr>
            </w:pPr>
            <w:r>
              <w:rPr>
                <w:rFonts w:ascii="Arial" w:cs="Arial" w:eastAsia="Arial" w:hAnsi="Arial"/>
                <w:sz w:val="12"/>
                <w:szCs w:val="12"/>
                <w:color w:val="auto"/>
              </w:rPr>
              <w:t>ABC</w:t>
            </w:r>
          </w:p>
        </w:tc>
        <w:tc>
          <w:tcPr>
            <w:tcW w:w="1760" w:type="dxa"/>
            <w:vAlign w:val="bottom"/>
          </w:tcPr>
          <w:p>
            <w:pPr>
              <w:jc w:val="center"/>
              <w:spacing w:after="0"/>
              <w:rPr>
                <w:sz w:val="20"/>
                <w:szCs w:val="20"/>
                <w:color w:val="auto"/>
              </w:rPr>
            </w:pPr>
            <w:r>
              <w:rPr>
                <w:rFonts w:ascii="Arial" w:cs="Arial" w:eastAsia="Arial" w:hAnsi="Arial"/>
                <w:sz w:val="12"/>
                <w:szCs w:val="12"/>
                <w:color w:val="auto"/>
              </w:rPr>
              <w:t>Aug. 1, 2014</w:t>
            </w:r>
          </w:p>
        </w:tc>
        <w:tc>
          <w:tcPr>
            <w:tcW w:w="1800" w:type="dxa"/>
            <w:vAlign w:val="bottom"/>
          </w:tcPr>
          <w:p>
            <w:pPr>
              <w:jc w:val="center"/>
              <w:ind w:left="38"/>
              <w:spacing w:after="0"/>
              <w:rPr>
                <w:sz w:val="20"/>
                <w:szCs w:val="20"/>
                <w:color w:val="auto"/>
              </w:rPr>
            </w:pPr>
            <w:r>
              <w:rPr>
                <w:rFonts w:ascii="Arial" w:cs="Arial" w:eastAsia="Arial" w:hAnsi="Arial"/>
                <w:sz w:val="12"/>
                <w:szCs w:val="12"/>
                <w:color w:val="auto"/>
              </w:rPr>
              <w:t>Dec. 31, 2015</w:t>
            </w:r>
          </w:p>
        </w:tc>
        <w:tc>
          <w:tcPr>
            <w:tcW w:w="1240" w:type="dxa"/>
            <w:vAlign w:val="bottom"/>
          </w:tcPr>
          <w:p>
            <w:pPr>
              <w:jc w:val="center"/>
              <w:ind w:left="558"/>
              <w:spacing w:after="0"/>
              <w:rPr>
                <w:sz w:val="20"/>
                <w:szCs w:val="20"/>
                <w:color w:val="auto"/>
              </w:rPr>
            </w:pPr>
            <w:r>
              <w:rPr>
                <w:rFonts w:ascii="Arial" w:cs="Arial" w:eastAsia="Arial" w:hAnsi="Arial"/>
                <w:sz w:val="12"/>
                <w:szCs w:val="12"/>
                <w:color w:val="auto"/>
              </w:rPr>
              <w:t>11</w:t>
            </w:r>
          </w:p>
        </w:tc>
      </w:tr>
      <w:tr>
        <w:trPr>
          <w:trHeight w:val="236"/>
        </w:trPr>
        <w:tc>
          <w:tcPr>
            <w:tcW w:w="2700" w:type="dxa"/>
            <w:vAlign w:val="bottom"/>
          </w:tcPr>
          <w:p>
            <w:pPr>
              <w:spacing w:after="0"/>
              <w:rPr>
                <w:sz w:val="20"/>
                <w:szCs w:val="20"/>
                <w:color w:val="auto"/>
              </w:rPr>
            </w:pPr>
            <w:r>
              <w:rPr>
                <w:rFonts w:ascii="Arial" w:cs="Arial" w:eastAsia="Arial" w:hAnsi="Arial"/>
                <w:sz w:val="12"/>
                <w:szCs w:val="12"/>
                <w:color w:val="auto"/>
              </w:rPr>
              <w:t>WJXT, Jacksonville, FL, 1947</w:t>
            </w:r>
          </w:p>
        </w:tc>
        <w:tc>
          <w:tcPr>
            <w:tcW w:w="1820" w:type="dxa"/>
            <w:vAlign w:val="bottom"/>
          </w:tcPr>
          <w:p>
            <w:pPr>
              <w:jc w:val="center"/>
              <w:ind w:left="38"/>
              <w:spacing w:after="0"/>
              <w:rPr>
                <w:sz w:val="20"/>
                <w:szCs w:val="20"/>
                <w:color w:val="auto"/>
              </w:rPr>
            </w:pPr>
            <w:r>
              <w:rPr>
                <w:rFonts w:ascii="Arial" w:cs="Arial" w:eastAsia="Arial" w:hAnsi="Arial"/>
                <w:sz w:val="12"/>
                <w:szCs w:val="12"/>
                <w:color w:val="auto"/>
              </w:rPr>
              <w:t>50th</w:t>
            </w:r>
          </w:p>
        </w:tc>
        <w:tc>
          <w:tcPr>
            <w:tcW w:w="1620" w:type="dxa"/>
            <w:vAlign w:val="bottom"/>
          </w:tcPr>
          <w:p>
            <w:pPr>
              <w:jc w:val="center"/>
              <w:spacing w:after="0"/>
              <w:rPr>
                <w:sz w:val="20"/>
                <w:szCs w:val="20"/>
                <w:color w:val="auto"/>
              </w:rPr>
            </w:pPr>
            <w:r>
              <w:rPr>
                <w:rFonts w:ascii="Arial" w:cs="Arial" w:eastAsia="Arial" w:hAnsi="Arial"/>
                <w:sz w:val="12"/>
                <w:szCs w:val="12"/>
                <w:color w:val="auto"/>
              </w:rPr>
              <w:t>None</w:t>
            </w:r>
          </w:p>
        </w:tc>
        <w:tc>
          <w:tcPr>
            <w:tcW w:w="1760" w:type="dxa"/>
            <w:vAlign w:val="bottom"/>
          </w:tcPr>
          <w:p>
            <w:pPr>
              <w:jc w:val="center"/>
              <w:spacing w:after="0"/>
              <w:rPr>
                <w:sz w:val="20"/>
                <w:szCs w:val="20"/>
                <w:color w:val="auto"/>
              </w:rPr>
            </w:pPr>
            <w:r>
              <w:rPr>
                <w:rFonts w:ascii="Arial" w:cs="Arial" w:eastAsia="Arial" w:hAnsi="Arial"/>
                <w:sz w:val="12"/>
                <w:szCs w:val="12"/>
                <w:color w:val="auto"/>
              </w:rPr>
              <w:t>Feb. 1, 2013</w:t>
            </w:r>
          </w:p>
        </w:tc>
        <w:tc>
          <w:tcPr>
            <w:tcW w:w="1800" w:type="dxa"/>
            <w:vAlign w:val="bottom"/>
          </w:tcPr>
          <w:p>
            <w:pPr>
              <w:jc w:val="center"/>
              <w:ind w:left="58"/>
              <w:spacing w:after="0"/>
              <w:rPr>
                <w:sz w:val="20"/>
                <w:szCs w:val="20"/>
                <w:color w:val="auto"/>
              </w:rPr>
            </w:pPr>
            <w:r>
              <w:rPr>
                <w:rFonts w:ascii="Arial" w:cs="Arial" w:eastAsia="Arial" w:hAnsi="Arial"/>
                <w:sz w:val="12"/>
                <w:szCs w:val="12"/>
                <w:color w:val="auto"/>
                <w:w w:val="99"/>
              </w:rPr>
              <w:t>—</w:t>
            </w:r>
          </w:p>
        </w:tc>
        <w:tc>
          <w:tcPr>
            <w:tcW w:w="1240" w:type="dxa"/>
            <w:vAlign w:val="bottom"/>
          </w:tcPr>
          <w:p>
            <w:pPr>
              <w:jc w:val="center"/>
              <w:ind w:left="538"/>
              <w:spacing w:after="0"/>
              <w:rPr>
                <w:sz w:val="20"/>
                <w:szCs w:val="20"/>
                <w:color w:val="auto"/>
              </w:rPr>
            </w:pPr>
            <w:r>
              <w:rPr>
                <w:rFonts w:ascii="Arial" w:cs="Arial" w:eastAsia="Arial" w:hAnsi="Arial"/>
                <w:sz w:val="12"/>
                <w:szCs w:val="12"/>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234061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0610" cy="7620"/>
                    </a:xfrm>
                    <a:prstGeom prst="rect">
                      <a:avLst/>
                    </a:prstGeom>
                    <a:noFill/>
                  </pic:spPr>
                </pic:pic>
              </a:graphicData>
            </a:graphic>
          </wp:anchor>
        </w:drawing>
      </w:r>
    </w:p>
    <w:p>
      <w:pPr>
        <w:spacing w:after="0" w:line="153" w:lineRule="exact"/>
        <w:rPr>
          <w:sz w:val="20"/>
          <w:szCs w:val="20"/>
          <w:color w:val="auto"/>
        </w:rPr>
      </w:pPr>
    </w:p>
    <w:p>
      <w:pPr>
        <w:ind w:left="289" w:hanging="289"/>
        <w:spacing w:after="0"/>
        <w:tabs>
          <w:tab w:leader="none" w:pos="289" w:val="left"/>
        </w:tabs>
        <w:numPr>
          <w:ilvl w:val="0"/>
          <w:numId w:val="3"/>
        </w:numPr>
        <w:rPr>
          <w:rFonts w:ascii="Arial" w:cs="Arial" w:eastAsia="Arial" w:hAnsi="Arial"/>
          <w:sz w:val="12"/>
          <w:szCs w:val="12"/>
          <w:color w:val="auto"/>
        </w:rPr>
      </w:pPr>
      <w:r>
        <w:rPr>
          <w:rFonts w:ascii="Arial" w:cs="Arial" w:eastAsia="Arial" w:hAnsi="Arial"/>
          <w:sz w:val="12"/>
          <w:szCs w:val="12"/>
          <w:color w:val="auto"/>
        </w:rPr>
        <w:t>Source: 2012/2013 DMA Market Rankings, Nielsen Media Research, fall 2012, based on television homes in DMA (see note (c) below).</w:t>
      </w:r>
    </w:p>
    <w:p>
      <w:pPr>
        <w:ind w:left="289" w:hanging="289"/>
        <w:spacing w:after="0" w:line="237" w:lineRule="auto"/>
        <w:tabs>
          <w:tab w:leader="none" w:pos="289" w:val="left"/>
        </w:tabs>
        <w:numPr>
          <w:ilvl w:val="0"/>
          <w:numId w:val="3"/>
        </w:numPr>
        <w:rPr>
          <w:rFonts w:ascii="Arial" w:cs="Arial" w:eastAsia="Arial" w:hAnsi="Arial"/>
          <w:sz w:val="12"/>
          <w:szCs w:val="12"/>
          <w:color w:val="auto"/>
        </w:rPr>
      </w:pPr>
      <w:r>
        <w:rPr>
          <w:rFonts w:ascii="Arial" w:cs="Arial" w:eastAsia="Arial" w:hAnsi="Arial"/>
          <w:sz w:val="12"/>
          <w:szCs w:val="12"/>
          <w:color w:val="auto"/>
        </w:rPr>
        <w:t>License renewal applications were timely filed for WPLG, WKMG, and WJXT.</w:t>
      </w:r>
    </w:p>
    <w:p>
      <w:pPr>
        <w:ind w:left="289" w:hanging="289"/>
        <w:spacing w:after="0"/>
        <w:tabs>
          <w:tab w:leader="none" w:pos="289" w:val="left"/>
        </w:tabs>
        <w:numPr>
          <w:ilvl w:val="0"/>
          <w:numId w:val="3"/>
        </w:numPr>
        <w:rPr>
          <w:rFonts w:ascii="Arial" w:cs="Arial" w:eastAsia="Arial" w:hAnsi="Arial"/>
          <w:sz w:val="12"/>
          <w:szCs w:val="12"/>
          <w:color w:val="auto"/>
        </w:rPr>
      </w:pPr>
      <w:r>
        <w:rPr>
          <w:rFonts w:ascii="Arial" w:cs="Arial" w:eastAsia="Arial" w:hAnsi="Arial"/>
          <w:sz w:val="12"/>
          <w:szCs w:val="12"/>
          <w:color w:val="auto"/>
        </w:rPr>
        <w:t>Designated Market Area (“DMA”) is a market designation of A.C. Nielsen that defines each television market exclusive of another, based on measured viewing patterns.</w:t>
      </w:r>
    </w:p>
    <w:p>
      <w:pPr>
        <w:spacing w:after="0" w:line="184"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Revenue from broadcasting operations is derived primarily from the sale of advertising time to local, regional and national advertisers. In 2012, adverti revenue accounted for 89% of the total for PNS’s operations. Advertising revenue is sensitive to a number of factors, some specific to a particular stati market and others more general in nature. Some examples include a station’s audience share and market ranking; seasonal fluctuations in demand fo time; annual or biannual events, such as sporting events and political elections; and broader economic trends.</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Regulation of Broadcasting and Related Matters</w:t>
      </w:r>
    </w:p>
    <w:p>
      <w:pPr>
        <w:spacing w:after="0" w:line="197" w:lineRule="exact"/>
        <w:rPr>
          <w:sz w:val="20"/>
          <w:szCs w:val="20"/>
          <w:color w:val="auto"/>
        </w:rPr>
      </w:pPr>
    </w:p>
    <w:p>
      <w:pPr>
        <w:jc w:val="both"/>
        <w:ind w:left="9" w:right="20"/>
        <w:spacing w:after="0" w:line="233" w:lineRule="auto"/>
        <w:rPr>
          <w:sz w:val="20"/>
          <w:szCs w:val="20"/>
          <w:color w:val="auto"/>
        </w:rPr>
      </w:pPr>
      <w:r>
        <w:rPr>
          <w:rFonts w:ascii="Arial" w:cs="Arial" w:eastAsia="Arial" w:hAnsi="Arial"/>
          <w:sz w:val="17"/>
          <w:szCs w:val="17"/>
          <w:color w:val="auto"/>
        </w:rPr>
        <w:t>PNS’s television broadcasting operations are subject to the jurisdiction of the FCC under the Communications Act. The FCC assigns frequency bands broadcast and other uses; manages broadcast licensing; regulates equipment used by stations; and adopts and implements regulations and policies t directly or indirectly affect the ownership, operations and profitability of broadcasting stations, among other things.</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17"/>
          <w:szCs w:val="17"/>
          <w:color w:val="auto"/>
        </w:rPr>
        <w:t>Each PNS television station holds an FCC license that is renewable upon application for an eight-year period.</w:t>
      </w:r>
    </w:p>
    <w:p>
      <w:pPr>
        <w:spacing w:after="0" w:line="157" w:lineRule="exact"/>
        <w:rPr>
          <w:sz w:val="20"/>
          <w:szCs w:val="20"/>
          <w:color w:val="auto"/>
        </w:rPr>
      </w:pPr>
    </w:p>
    <w:p>
      <w:pPr>
        <w:ind w:left="9"/>
        <w:spacing w:after="0" w:line="236" w:lineRule="auto"/>
        <w:rPr>
          <w:sz w:val="20"/>
          <w:szCs w:val="20"/>
          <w:color w:val="auto"/>
        </w:rPr>
      </w:pPr>
      <w:r>
        <w:rPr>
          <w:rFonts w:ascii="Arial" w:cs="Arial" w:eastAsia="Arial" w:hAnsi="Arial"/>
          <w:sz w:val="17"/>
          <w:szCs w:val="17"/>
          <w:b w:val="1"/>
          <w:bCs w:val="1"/>
          <w:i w:val="1"/>
          <w:iCs w:val="1"/>
          <w:color w:val="auto"/>
        </w:rPr>
        <w:t xml:space="preserve">Digital Television (DTV) and Spectrum Issues. </w:t>
      </w:r>
      <w:r>
        <w:rPr>
          <w:rFonts w:ascii="Arial" w:cs="Arial" w:eastAsia="Arial" w:hAnsi="Arial"/>
          <w:sz w:val="17"/>
          <w:szCs w:val="17"/>
          <w:color w:val="auto"/>
        </w:rPr>
        <w:t>Each PNS station (and each full-power television station nationwide) now broadcasts only in digital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format. The digital broadcast format allows transmission of HDTV programming, multiple channels of standard-definition television programming (multicasting), subchannels of programming designed for reception by mobile devices (mobile DTV) and subscription video and data services known a “ancillary and supplementary” services. PNS, along with other broadcasting companies, has been actively pursuing the use of digital spectrum to prov mobile DTV to consumers, in partnership with consumer electronics manufacturers and others.</w:t>
      </w:r>
    </w:p>
    <w:p>
      <w:pPr>
        <w:spacing w:after="0" w:line="176"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Television stations may receive interference from a variety of sources, including interference from other broadcast stations, that is below a threshold established by the FCC. That interference could limit viewers’ ability to receive television stations signals. The amount of interference to stations might increase in the future because of the FCC’s decision to allow electronic devices known as “white space” devices to operate in the television frequency on an unlicensed basis on channels not used by nearby television stations. FCC-approved entities will administer databases with information about television station service areas (to minimize interference caused by white space devices). In December 2012, the FCC authorized database administr to provide service to white space devices throughout the East Coast, and the FCC has stated that it anticipates authorizing database administrators to provide service to white space devices in the rest of the country soon.</w:t>
      </w:r>
    </w:p>
    <w:p>
      <w:pPr>
        <w:spacing w:after="0" w:line="178"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The FCC has proposed and Congress has authorized reallocation of spectrum for use by wireless broadband providers, including substantial amounts spectrum currently in the television broadcast band. Congress has authorized incentive auctions, whereby the FCC would auction spectrum relinquish broadcast television stations in exchange for a share of the auction revenues. The FCC commenced a rulemaking proceeding in October 2012 to cons among other things,</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28" w:name="page29"/>
    <w:bookmarkEnd w:id="28"/>
    <w:p>
      <w:pPr>
        <w:spacing w:after="0" w:line="230" w:lineRule="auto"/>
        <w:rPr>
          <w:sz w:val="20"/>
          <w:szCs w:val="20"/>
          <w:color w:val="auto"/>
        </w:rPr>
      </w:pPr>
      <w:r>
        <w:rPr>
          <w:rFonts w:ascii="Arial" w:cs="Arial" w:eastAsia="Arial" w:hAnsi="Arial"/>
          <w:sz w:val="17"/>
          <w:szCs w:val="17"/>
          <w:color w:val="auto"/>
        </w:rPr>
        <w:t>how the incentive auction process should work and how the FCC should conduct a “repacking,” whereby the FCC would require certain stations to mo new channel allotments so as to free up a nationwide block of spectrum for wireless broadband use. The repacking and incentive auction process are subject to certain requirements established by Congress in legislation enacted in February 2012. The FCC’s implementation of this legislation in the repacking and incentive auction process could have an adverse effect on the Company. For example, a repacking could result in PNS stations having smaller service areas and/or receiving more interference than they do today. Stations moving to new channels also could incur significant expense. Th legislation requires that stations be compensated for the expenses of moving to a new channel from spectrum auction proceeds. The Company canno predict whether a repacking will occur, what effect it will have on the PNS stations’ coverage or whether the PNS stations will be fully compensated for expenses that they incur in connection with a repacking.</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i w:val="1"/>
          <w:iCs w:val="1"/>
          <w:color w:val="auto"/>
        </w:rPr>
        <w:t xml:space="preserve">Carriage of Local Broadcast Signals. </w:t>
      </w:r>
      <w:r>
        <w:rPr>
          <w:rFonts w:ascii="Arial" w:cs="Arial" w:eastAsia="Arial" w:hAnsi="Arial"/>
          <w:sz w:val="17"/>
          <w:szCs w:val="17"/>
          <w:color w:val="auto"/>
        </w:rPr>
        <w:t>The Communications Act and the FCC rules allow a commercial television broadcast station, under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circumstances, to insist on mandatory carriage of its signal on cable systems serving the station’s market area (must carry). Alternatively, stations may at three-year intervals, to forego must-carry rights and allow their signals to be carried by cable systems only pursuant to a “retransmission consent” agreement. For stations that elect must carry, only a single stream of video (that is, a single channel of programming), rather than a television broadca station’s entire signal, is eligible for mandatory carriage by a cable system operator. Thus, a television station currently can obtain carriage of one or m digital multicast streams only through a retransmission consent agreement with a cable operator.</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Stations that elect retransmission consent may negotiate for compensation from cable systems in exchange for the right to carry their signals. Each of PNS’s television stations is being carried on all of the major cable systems in each station’s respective local market, pursuant to retransmission conse agreements.</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Commercial television stations also may elect either mandatory carriage or retransmission consent with respect to the carriage of their signals on DBS systems that choose to provide “local-into-local” service (i.e., to distribute the signals of local television stations to viewers in the local market area). In the FCC ruled that if a DBS operator carries the signal of any television station in a market in HDTV, it will be required to carry all other local stations in HDTV (rather than in a lower resolution format). Recognizing the capacity and technological constraints faced by DBS operators, the FCC established four-year phase-in period, starting in 2009, during which DBS systems must progressively transition their local-into-local markets into compliance with “HD carry-one, carry-all” requirement. DISH Network (DISH) and DirecTV have HDTV local station carriage in all of the PNS stations’ markets, and all stations are carried in HDTV by both of these DBS operators.</w:t>
      </w:r>
    </w:p>
    <w:p>
      <w:pPr>
        <w:spacing w:after="0" w:line="17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As with cable, television stations make DBS carriage elections between mandatory carriage and retransmission consent at three-year intervals. On or to October 1, 2011, the Company elected retransmission consent status for its stations with respect to major cable operators and the two DBS operato These elections apply to the three-year period from January 1, 2012, through December 31, 2014, and the stations are carried by the major cable and operators serving each station’s market pursuant to retransmission consent agreements.</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March 2011, the FCC initiated a rulemaking seeking comments on changes to the FCC’s retransmission consent rules, many of which had been proposed by cable and DBS operators, such as authorization for “interim carriage” of a broadcaster’s signal by cable and DBS operators after the broadcaster’s grant of retransmission consent has expired and limitations on the positions that broadcasters may take during negotiations. This rulem also sought comment on limiting or eliminating the network nonduplication and syndicated exclusivity rules. Broadcasters opposed many of the propos rule changes on which the FCC sought comment, asserting that they would be contrary to the Communications Act and the public interest. Changes t retransmission consent and/or network nonduplication and syndicated exclusivity rules could materially affect the PNS stations’ (and Cable ONE’s cab systems’) bargaining leverage in future retransmission consent negotiations, and the Company cannot predict the net effect that such an order would Congress may also pass legislation that would affect the must-carry/retransmission consent regime.</w:t>
      </w:r>
    </w:p>
    <w:p>
      <w:pPr>
        <w:spacing w:after="0" w:line="173"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In August 2011, the FCC released a report on possible alternatives to the designated market area system and the availability of in-state programming viewers. Also in August 2011, the U.S. Federal Copyright Office released a report assessing possible mechanisms for eliminating the cable and satelli statutory licenses. Finally, in November 2011, the Government Accountability Office released a report on the effect that elimination of the compulsory licenses would have on the industry and viewers. All three reports were required by the U.S. Federal Satellite Television Extension and Localism Act (STELA) and could be the basis for future legislative or regulatory developments on these issues. STELA</w:t>
      </w:r>
    </w:p>
    <w:p>
      <w:pPr>
        <w:spacing w:after="0" w:line="20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29" w:name="page30"/>
    <w:bookmarkEnd w:id="29"/>
    <w:p>
      <w:pPr>
        <w:jc w:val="both"/>
        <w:spacing w:after="0" w:line="233" w:lineRule="auto"/>
        <w:rPr>
          <w:sz w:val="20"/>
          <w:szCs w:val="20"/>
          <w:color w:val="auto"/>
        </w:rPr>
      </w:pPr>
      <w:r>
        <w:rPr>
          <w:rFonts w:ascii="Arial" w:cs="Arial" w:eastAsia="Arial" w:hAnsi="Arial"/>
          <w:sz w:val="17"/>
          <w:szCs w:val="17"/>
          <w:color w:val="auto"/>
        </w:rPr>
        <w:t>also extends the statutory copyright license for satellite carriage of distant broadcast television signals through December 31, 2014. The Company can predict if or how the communications or copyright regimes may change, nor can the Company predict the net effect that changes to these regimes wo have on the Company’s cable and broadcast operations, or on the Company overall.</w:t>
      </w:r>
    </w:p>
    <w:p>
      <w:pPr>
        <w:spacing w:after="0" w:line="155"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 xml:space="preserve">Ownership Limits. </w:t>
      </w:r>
      <w:r>
        <w:rPr>
          <w:rFonts w:ascii="Arial" w:cs="Arial" w:eastAsia="Arial" w:hAnsi="Arial"/>
          <w:sz w:val="17"/>
          <w:szCs w:val="17"/>
          <w:color w:val="auto"/>
        </w:rPr>
        <w:t>The Communications Act and the FCC’s rules limit the number and types of media outlets in which a single person or entity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attributable interest. Among other restrictions, the FCC’s local television ownership rule (also referred to as the “duopoly rule”) generally prohibits o company from owning two television stations in the same market unless there would remain at least eight independently owned full-power television st in that market (including noncommercial stations and counting co-owned stations as one), and at least one of the commonly owned stations is not am the top-four-ranked television stations in that market. In addition, by statute, a single person or entity may have an attributable interest in an unlimited number of television stations nationwide, as long as the aggregate audience reach of such stations does not exceed 39% of nationwide television households and as long as the interest complies with the FCC’s other ownership restrictions.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FCC also restricts so-called “cross-ownership” of newspapers and broadcast stations within a market. In its 2008 ownership rules review order, th liberalized its daily newspaper/broadcast cross-ownership rule to presumptively allow newspaper/broadcast combinations in the 20 largest markets, su to several fairly rigorous economic hardship and public interest criteria.</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A number of media companies and public interest groups challenged the FCC’s modification of the daily newspaper/broadcast cross-ownership rule a retention of the other ownership rules. In July 2011, a court rejected a challenge to the FCC's retention of the local television ownership rule, but rema the FCC's relaxation of the newspaper/broadcast rule back to the FCC for its failure to comply with statutory notice requirements.</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addition, the FCC has commenced another rulemaking proceeding regarding the media ownership rules. The Communications Act requires the FC review its ownership rules periodically and to repeal or modify any rule that it determines is no longer in the public interest. In December 2011, the FC issued a notice of proposed rulemaking, proposing to retain the local television ownership rule, seeking comment on a possible waiver standard for sm markets and proposing a modest relaxation of the newspaper/broadcast rule (similar to the rule that the FCC adopted during the last ownership review was rejected in court). The notice also addresses the FCC’s radio ownership and radio/television cross-ownership rules, and it asks about shared serv agreements and local news agreements, including whether such arrangements should be attributable for purposes of the ownership rules. The procee is pending, and it is not possible to predict its outcome, but changes to the FCC’s ownership rules could affect PNS’s operations.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b w:val="1"/>
          <w:bCs w:val="1"/>
          <w:i w:val="1"/>
          <w:iCs w:val="1"/>
          <w:color w:val="auto"/>
        </w:rPr>
        <w:t xml:space="preserve">Programming. </w:t>
      </w:r>
      <w:r>
        <w:rPr>
          <w:rFonts w:ascii="Arial" w:cs="Arial" w:eastAsia="Arial" w:hAnsi="Arial"/>
          <w:sz w:val="16"/>
          <w:szCs w:val="16"/>
          <w:color w:val="auto"/>
        </w:rPr>
        <w:t>Five of PNS’s six stations are affiliated with one or more of the national television networks, which provide a substantial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programming to their television station affiliates. The expiration dates of these affiliation agreements are set forth at the beginning of the Television Broadcasting section. PNS’s Jacksonville station, WJXT, has operated as an independent station since 2002. In addition, each of the Company’s stati receives programming from syndicators and other third-party programming providers. PNS’s performance depends, in part, on the quality and availabi third-party programming, and any substantial decline in the quality or availability of this programming could materially affect PNS’s operations.</w:t>
      </w:r>
    </w:p>
    <w:p>
      <w:pPr>
        <w:spacing w:after="0" w:line="14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i w:val="1"/>
          <w:iCs w:val="1"/>
          <w:color w:val="auto"/>
        </w:rPr>
        <w:t xml:space="preserve">Public Interest Obligations. </w:t>
      </w:r>
      <w:r>
        <w:rPr>
          <w:rFonts w:ascii="Arial" w:cs="Arial" w:eastAsia="Arial" w:hAnsi="Arial"/>
          <w:sz w:val="17"/>
          <w:szCs w:val="17"/>
          <w:color w:val="auto"/>
        </w:rPr>
        <w:t>To satisfy FCC requirements, stations generally are expected to air a specified number of hours of programming intende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 the educational and informational needs of children and to complete reports on a quarterly basis concerning children’s programming. In addition FCC requires stations to limit the amount of advertising that appears during certain children’s programs. In October 2009, the FCC initiated a proceedi consider changes to its children’s programming rules in light of technological developments and changes in the video marketplace, but no specific cha to the children’s programming requirements have yet been adopted.</w:t>
      </w:r>
    </w:p>
    <w:p>
      <w:pPr>
        <w:spacing w:after="0" w:line="17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November 2011, the FCC started a proceeding to seek comment on proposals that would require television broadcasters to make standardized disclosures regarding the programs they air and certain other matters. This proceeding is pending, and it is not possible to predict its outcome, but cha to this rule could affect PNS’s operations and regulatory compliance costs.</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30" w:name="page31"/>
    <w:bookmarkEnd w:id="30"/>
    <w:p>
      <w:pPr>
        <w:jc w:val="both"/>
        <w:spacing w:after="0" w:line="247" w:lineRule="auto"/>
        <w:rPr>
          <w:sz w:val="20"/>
          <w:szCs w:val="20"/>
          <w:color w:val="auto"/>
        </w:rPr>
      </w:pPr>
      <w:r>
        <w:rPr>
          <w:rFonts w:ascii="Arial" w:cs="Arial" w:eastAsia="Arial" w:hAnsi="Arial"/>
          <w:sz w:val="16"/>
          <w:szCs w:val="16"/>
          <w:color w:val="auto"/>
        </w:rPr>
        <w:t>In April 2012, the FCC adopted a rule that requires television stations to submit electronically most of their public inspection files to the FCC, for hostin the FCC’s website. The FCC rejected a proposal, however, to expand the categories of documents to be included in the public file, including joint oper agreements and sponsorship identification information. The National Association of Broadcasters has challenged the rule in the U.S. Court of Appeals the D.C. Circuit. The D.C. Circuit has not yet ruled on the merits of the case, but in August 2012, it denied the NAB’s emergency motion to stay the rul The case remains pending. The changes went into effect in August 2012 and could affect PNS’s operations and regulatory compliance costs.</w:t>
      </w:r>
    </w:p>
    <w:p>
      <w:pPr>
        <w:spacing w:after="0" w:line="170"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a separate “localism” proceeding that was opened in late 2007, the FCC received comments on whether to adopt additional proposals, including lic renewal guidelines that would establish minimum amounts of locally oriented programming, require broadcasters to establish permanent community advisory boards and require stations to locate their main studios in their communities of license. The localism proceeding remains pending at the FCC not possible to predict what, if any, effect adoption of the proposed new obligations would have on PNS’s operations, but a substantial increase in programming obligations could adversely affect PNS.</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FCC has other regulations and policies to ensure that broadcast licensees operate in the public interest, including rules requiring the closed-capti of programming to assist television viewing by the hearing impaired and the equal employment opportunities rule requiring station licensees to provide opportunity in employment to all qualified job applicants and prohibiting discrimination against any person based on race, color, religion, national origin gender. In addition, pursuant to the U.S. Federal Twenty-First Century Communications and Video Accessibility Act (CVAA), the FCC has adopted vid description rules to assist television viewing by the visually impaired. Thus, (1) television stations affiliated with one of the four highest ranking televisio networks in the top 25 markets must provide 50 hours per calendar quarter of audio description of key visual elements in programming aired during pr time or children’s programming and (2) television stations affiliated with any television network must pass through video descriptions when the network provides them. The FCC began requiring compliance with the new rules on July 1, 2012, and the rules could impose additional costs on the PNS stati that could affect PNS’s operations. In January 2012, the FCC adopted rules under the CVAA requiring captioned programs that are shown on TV also captioned when re-shown on the Internet. The rules went into effect for pre-recorded video programming that is not edited for the Internet on Septemb 2012. The rules will apply to live and near-live Internet programming on March 30, 2013, and for pre-recorded video programming that is substantially for the Internet on September 30, 2013. The CVAA also directs the FCC to adopt rules to help ensure that certain video programming distributors conv emergency information in a manner that is accessible to persons who are blind or visually impaired. The FCC launched a rulemaking on this issue in 2 and the CVAA requires the FCC to issue rules by April 9, 2013. The Company cannot predict the compliance deadline that the FCC will establish or th content of the rules it will adopt. The FCC also has issued rules designed to maintain a consistent loudness between programming and commercial advertisements, which became effective in December 2012. Compliance with new rules on captioning programming delivered over the Internet, on emergency information accessibility and on commercial loudness could impose additional costs on the PNS stations that could affect PNS’s operation</w:t>
      </w:r>
    </w:p>
    <w:p>
      <w:pPr>
        <w:spacing w:after="0" w:line="16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i w:val="1"/>
          <w:iCs w:val="1"/>
          <w:color w:val="auto"/>
        </w:rPr>
        <w:t xml:space="preserve">Political Advertising. </w:t>
      </w:r>
      <w:r>
        <w:rPr>
          <w:rFonts w:ascii="Arial" w:cs="Arial" w:eastAsia="Arial" w:hAnsi="Arial"/>
          <w:sz w:val="17"/>
          <w:szCs w:val="17"/>
          <w:color w:val="auto"/>
        </w:rPr>
        <w:t>The FCC regulates the sale of advertising by PNS’s stations to candidates for public office and imposes other restrictions on 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broadcast of political announcements more generally. The application of these regulations may limit the advertising revenues of PNS’s television statio during the periods preceding elections.</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 xml:space="preserve">Broadcast Indecency. </w:t>
      </w:r>
      <w:r>
        <w:rPr>
          <w:rFonts w:ascii="Arial" w:cs="Arial" w:eastAsia="Arial" w:hAnsi="Arial"/>
          <w:sz w:val="17"/>
          <w:szCs w:val="17"/>
          <w:color w:val="auto"/>
        </w:rPr>
        <w:t>The FCC’s policies prohibit the broadcast of indecent and profane material during certain hours of the day, and the FCC regul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imposes monetary forfeitures when it determines that a television station violated that policy. Many broadcasters have argued, among other things, tha FCC has failed to justify its indecency decisions adequately, that the FCC’s policy is too subjective to guide broadcasters’ programming decisions and its enforcement approach otherwise violates the First Amendment.</w:t>
      </w:r>
    </w:p>
    <w:p>
      <w:pPr>
        <w:spacing w:after="0" w:line="15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In 2009, the U.S. Supreme Court issued a decision, </w:t>
      </w:r>
      <w:r>
        <w:rPr>
          <w:rFonts w:ascii="Arial" w:cs="Arial" w:eastAsia="Arial" w:hAnsi="Arial"/>
          <w:sz w:val="16"/>
          <w:szCs w:val="16"/>
          <w:i w:val="1"/>
          <w:iCs w:val="1"/>
          <w:color w:val="auto"/>
        </w:rPr>
        <w:t>Fox Television Stations, Inc</w:t>
      </w:r>
      <w:r>
        <w:rPr>
          <w:rFonts w:ascii="Arial" w:cs="Arial" w:eastAsia="Arial" w:hAnsi="Arial"/>
          <w:sz w:val="16"/>
          <w:szCs w:val="16"/>
          <w:color w:val="auto"/>
        </w:rPr>
        <w:t xml:space="preserve">. v. </w:t>
      </w:r>
      <w:r>
        <w:rPr>
          <w:rFonts w:ascii="Arial" w:cs="Arial" w:eastAsia="Arial" w:hAnsi="Arial"/>
          <w:sz w:val="16"/>
          <w:szCs w:val="16"/>
          <w:i w:val="1"/>
          <w:iCs w:val="1"/>
          <w:color w:val="auto"/>
        </w:rPr>
        <w:t>FCC</w:t>
      </w:r>
      <w:r>
        <w:rPr>
          <w:rFonts w:ascii="Arial" w:cs="Arial" w:eastAsia="Arial" w:hAnsi="Arial"/>
          <w:sz w:val="16"/>
          <w:szCs w:val="16"/>
          <w:color w:val="auto"/>
        </w:rPr>
        <w:t xml:space="preserve">, in which it reversed a decision by the U.S. Court of Appeals f Second Circuit. The Second Circuit decision had held that the FCC violated its procedural obligations when it found that certain television stations’ broadcasts of so-called “fleeting expletives” were indecent. Following the U.S. Supreme Court’s reversal and remand of the decision, the Second Circ invalidated the FCC’s indecency policy on another basis, finding that the FCC’s policy was unconstitutionally vague. Following that decision, in </w:t>
      </w:r>
      <w:r>
        <w:rPr>
          <w:rFonts w:ascii="Arial" w:cs="Arial" w:eastAsia="Arial" w:hAnsi="Arial"/>
          <w:sz w:val="16"/>
          <w:szCs w:val="16"/>
          <w:i w:val="1"/>
          <w:iCs w:val="1"/>
          <w:color w:val="auto"/>
        </w:rPr>
        <w:t>ABC, I</w:t>
      </w:r>
      <w:r>
        <w:rPr>
          <w:rFonts w:ascii="Arial" w:cs="Arial" w:eastAsia="Arial" w:hAnsi="Arial"/>
          <w:sz w:val="16"/>
          <w:szCs w:val="16"/>
          <w:color w:val="auto"/>
        </w:rPr>
        <w:t xml:space="preserve"> </w:t>
      </w:r>
      <w:r>
        <w:rPr>
          <w:rFonts w:ascii="Arial" w:cs="Arial" w:eastAsia="Arial" w:hAnsi="Arial"/>
          <w:sz w:val="16"/>
          <w:szCs w:val="16"/>
          <w:i w:val="1"/>
          <w:iCs w:val="1"/>
          <w:color w:val="auto"/>
        </w:rPr>
        <w:t>FCC</w:t>
      </w:r>
      <w:r>
        <w:rPr>
          <w:rFonts w:ascii="Arial" w:cs="Arial" w:eastAsia="Arial" w:hAnsi="Arial"/>
          <w:sz w:val="16"/>
          <w:szCs w:val="16"/>
          <w:color w:val="auto"/>
        </w:rPr>
        <w:t>, the Second Circuit vacated a monetary forfeiture issued by the FCC against 52 television stations affiliated with the ABC network (including PNS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station KSAT) based on the broadcast of an allegedly indecent scene in an episode of </w:t>
      </w:r>
      <w:r>
        <w:rPr>
          <w:rFonts w:ascii="Arial" w:cs="Arial" w:eastAsia="Arial" w:hAnsi="Arial"/>
          <w:sz w:val="16"/>
          <w:szCs w:val="16"/>
          <w:i w:val="1"/>
          <w:iCs w:val="1"/>
          <w:color w:val="auto"/>
        </w:rPr>
        <w:t>NYPD Blue</w:t>
      </w:r>
      <w:r>
        <w:rPr>
          <w:rFonts w:ascii="Arial" w:cs="Arial" w:eastAsia="Arial" w:hAnsi="Arial"/>
          <w:sz w:val="16"/>
          <w:szCs w:val="16"/>
          <w:color w:val="auto"/>
        </w:rPr>
        <w:t xml:space="preserve">. The Second Circuit found that there was “no signifi distinction” between the FCC policy that it found unconstitutional in its second Fox decision and the policy that the FCC applied with respect to </w:t>
      </w:r>
      <w:r>
        <w:rPr>
          <w:rFonts w:ascii="Arial" w:cs="Arial" w:eastAsia="Arial" w:hAnsi="Arial"/>
          <w:sz w:val="16"/>
          <w:szCs w:val="16"/>
          <w:i w:val="1"/>
          <w:iCs w:val="1"/>
          <w:color w:val="auto"/>
        </w:rPr>
        <w:t>NYPD</w:t>
      </w:r>
    </w:p>
    <w:p>
      <w:pPr>
        <w:spacing w:after="0" w:line="19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31" w:name="page32"/>
    <w:bookmarkEnd w:id="31"/>
    <w:p>
      <w:pPr>
        <w:jc w:val="both"/>
        <w:spacing w:after="0" w:line="237" w:lineRule="auto"/>
        <w:rPr>
          <w:sz w:val="20"/>
          <w:szCs w:val="20"/>
          <w:color w:val="auto"/>
        </w:rPr>
      </w:pPr>
      <w:r>
        <w:rPr>
          <w:rFonts w:ascii="Arial" w:cs="Arial" w:eastAsia="Arial" w:hAnsi="Arial"/>
          <w:sz w:val="17"/>
          <w:szCs w:val="17"/>
          <w:i w:val="1"/>
          <w:iCs w:val="1"/>
          <w:color w:val="auto"/>
        </w:rPr>
        <w:t>Blue</w:t>
      </w:r>
      <w:r>
        <w:rPr>
          <w:rFonts w:ascii="Arial" w:cs="Arial" w:eastAsia="Arial" w:hAnsi="Arial"/>
          <w:sz w:val="17"/>
          <w:szCs w:val="17"/>
          <w:color w:val="auto"/>
        </w:rPr>
        <w:t>. Accordingly, the court held the forfeiture against KSAT invalid. The FCC asked the U.S. Supreme Court to review both the Fox and ABC cases,</w:t>
      </w:r>
      <w:r>
        <w:rPr>
          <w:rFonts w:ascii="Arial" w:cs="Arial" w:eastAsia="Arial" w:hAnsi="Arial"/>
          <w:sz w:val="17"/>
          <w:szCs w:val="17"/>
          <w:i w:val="1"/>
          <w:iCs w:val="1"/>
          <w:color w:val="auto"/>
        </w:rPr>
        <w:t xml:space="preserve"> </w:t>
      </w:r>
      <w:r>
        <w:rPr>
          <w:rFonts w:ascii="Arial" w:cs="Arial" w:eastAsia="Arial" w:hAnsi="Arial"/>
          <w:sz w:val="17"/>
          <w:szCs w:val="17"/>
          <w:color w:val="auto"/>
        </w:rPr>
        <w:t>the U.S. Supreme Court held oral argument on the combined cases in January 2012. In June 2012, the U.S. Supreme Court ruled that the fines in this were unconstitutional because the FCC had failed to provide advance notice to broadcasters of what the FCC deemed to be indecent, but it also uphe FCC’s authority to regulate broadcast decency. This ruling could result in additional regulatory risks.</w:t>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i w:val="1"/>
          <w:iCs w:val="1"/>
          <w:color w:val="auto"/>
        </w:rPr>
        <w:t xml:space="preserve">Sponsorship Identification. </w:t>
      </w:r>
      <w:r>
        <w:rPr>
          <w:rFonts w:ascii="Arial" w:cs="Arial" w:eastAsia="Arial" w:hAnsi="Arial"/>
          <w:sz w:val="17"/>
          <w:szCs w:val="17"/>
          <w:color w:val="auto"/>
        </w:rPr>
        <w:t>The FCC’s rules require that broadcast stations make announcements in connection with certain broadcasts for which 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received payment or other consideration. During 2006 and 2007, three PNS stations responded to FCC complaints alleging that they, along with numerous other television stations and cable networks, violated this requirement by broadcasting material in their newscasts without disclosing its sou The stations responded to these complaints by asserting that they did not receive any consideration in exchange for the relevant broadcasts and that t broadcasts did not violate FCC rules. Although the FCC took enforcement action in 2007 against a cable operator in connection with the same set of complaints, it has not taken any action with respect to the affected PNS stations.</w:t>
      </w:r>
    </w:p>
    <w:p>
      <w:pPr>
        <w:spacing w:after="0" w:line="17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FCC is conducting proceedings concerning various matters in addition to those described in this section. The outcome of these FCC proceedings other matters described in this section could adversely affect the profitability of PNS’s television broadcasting operations.</w:t>
      </w:r>
    </w:p>
    <w:p>
      <w:pPr>
        <w:spacing w:after="0" w:line="156"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Other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WaPo Labs</w:t>
      </w:r>
    </w:p>
    <w:p>
      <w:pPr>
        <w:spacing w:after="0" w:line="197"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 xml:space="preserve">WaPo Labs is an innovative digital team focusing on experimenting with emerging technologies. In 2012, WaPo Labs launched several projects in partnership with the Company’s media properties: (1) Personal Post, a feature on </w:t>
      </w:r>
      <w:r>
        <w:rPr>
          <w:rFonts w:ascii="Arial" w:cs="Arial" w:eastAsia="Arial" w:hAnsi="Arial"/>
          <w:sz w:val="17"/>
          <w:szCs w:val="17"/>
          <w:i w:val="1"/>
          <w:iCs w:val="1"/>
          <w:color w:val="auto"/>
        </w:rPr>
        <w:t>washingtonpost.com</w:t>
      </w:r>
      <w:r>
        <w:rPr>
          <w:rFonts w:ascii="Arial" w:cs="Arial" w:eastAsia="Arial" w:hAnsi="Arial"/>
          <w:sz w:val="17"/>
          <w:szCs w:val="17"/>
          <w:color w:val="auto"/>
        </w:rPr>
        <w:t xml:space="preserve"> that delivers personalized article recommenda based on a user’s interests and past reading behavior; (2) The Fold, a video news program available on </w:t>
      </w:r>
      <w:r>
        <w:rPr>
          <w:rFonts w:ascii="Arial" w:cs="Arial" w:eastAsia="Arial" w:hAnsi="Arial"/>
          <w:sz w:val="17"/>
          <w:szCs w:val="17"/>
          <w:i w:val="1"/>
          <w:iCs w:val="1"/>
          <w:color w:val="auto"/>
        </w:rPr>
        <w:t>washingtonpost.com</w:t>
      </w:r>
      <w:r>
        <w:rPr>
          <w:rFonts w:ascii="Arial" w:cs="Arial" w:eastAsia="Arial" w:hAnsi="Arial"/>
          <w:sz w:val="17"/>
          <w:szCs w:val="17"/>
          <w:color w:val="auto"/>
        </w:rPr>
        <w:t>, Google TV and Android tablets; and (3) The Root 100, which comprises 100 Android apps aggregating content about the Root 100 honorees, chosen for their impact and influ within the African-American community. In addition to working closely with the Company’s news websites, WaPo Labs oversees Washington Post Soc Reader (Social Reader) and Trove. Social Reader is a Facebook-connected website that delivers news articles based on a user’s interests and what t friends are reading. Social Reader aggregates content from the Post, Slate, Foreign Policy, Express, the Root and more than 90 other content partner create a social stream of articles. Launched in September 2011, more than 32 million people have downloaded Social Reader. Trove is a personalized site that aggregates news from more than 15,000 sources across the Web and allows users to customize channels based on their interests. Trove technology powers Social Reader.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Social Code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Social Code LLC (Social Code) is a marketing solutions company helping Fortune 500 brands maximize their marketing efforts on social media platfor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Celtic Healthcare, Inc.</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Celtic Healthcare, Inc. (Celtic) is a Medicare-certified provider of home health and hospice services headquartered in Mars, PA. Through its subsidiarie Celtic is licensed to provide home health and hospice services throughout Pennsylvania and Maryland. These services include skilled nursing, physica therapy, occupational therapy, speech therapy, social work, nutrition, chaplain and aid services. In addition, Celtic provides virtual care services to pati throughout its service territories. Celtic derives 74% of its revenue from Medicare, with the remaining sources of revenue being Medicaid, commercial insurance and private payors.</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divested its interest in Avenue100 Media Solutions Inc., a digital marketing company headquartered in Woburn, MA, in 2012. In addition Company sold its interest in the Bowater Mersey Paper Company Limited to the Province of Nova Scotia in 2012.</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4" w:right="139" w:bottom="1440" w:gutter="0" w:footer="0" w:header="0"/>
        </w:sectPr>
      </w:pPr>
    </w:p>
    <w:bookmarkStart w:id="32" w:name="page33"/>
    <w:bookmarkEnd w:id="32"/>
    <w:p>
      <w:pPr>
        <w:ind w:left="4520"/>
        <w:spacing w:after="0"/>
        <w:rPr>
          <w:sz w:val="20"/>
          <w:szCs w:val="20"/>
          <w:color w:val="auto"/>
        </w:rPr>
      </w:pPr>
      <w:r>
        <w:rPr>
          <w:rFonts w:ascii="Arial" w:cs="Arial" w:eastAsia="Arial" w:hAnsi="Arial"/>
          <w:sz w:val="17"/>
          <w:szCs w:val="17"/>
          <w:b w:val="1"/>
          <w:bCs w:val="1"/>
          <w:color w:val="auto"/>
        </w:rPr>
        <w:t>Production and Raw Materials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and </w:t>
      </w:r>
      <w:r>
        <w:rPr>
          <w:rFonts w:ascii="Arial" w:cs="Arial" w:eastAsia="Arial" w:hAnsi="Arial"/>
          <w:sz w:val="16"/>
          <w:szCs w:val="16"/>
          <w:i w:val="1"/>
          <w:iCs w:val="1"/>
          <w:color w:val="auto"/>
        </w:rPr>
        <w:t>El Tiempo Latino</w:t>
      </w:r>
      <w:r>
        <w:rPr>
          <w:rFonts w:ascii="Arial" w:cs="Arial" w:eastAsia="Arial" w:hAnsi="Arial"/>
          <w:sz w:val="16"/>
          <w:szCs w:val="16"/>
          <w:color w:val="auto"/>
        </w:rPr>
        <w:t xml:space="preserve"> are produced at the printing plant of WP Company in Fairfax County, VA.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 the </w:t>
      </w:r>
      <w:r>
        <w:rPr>
          <w:rFonts w:ascii="Arial" w:cs="Arial" w:eastAsia="Arial" w:hAnsi="Arial"/>
          <w:sz w:val="16"/>
          <w:szCs w:val="16"/>
          <w:i w:val="1"/>
          <w:iCs w:val="1"/>
          <w:color w:val="auto"/>
        </w:rPr>
        <w:t>SCBJ</w:t>
      </w:r>
      <w:r>
        <w:rPr>
          <w:rFonts w:ascii="Arial" w:cs="Arial" w:eastAsia="Arial" w:hAnsi="Arial"/>
          <w:sz w:val="16"/>
          <w:szCs w:val="16"/>
          <w:color w:val="auto"/>
        </w:rPr>
        <w:t xml:space="preserve"> and </w:t>
      </w:r>
      <w:r>
        <w:rPr>
          <w:rFonts w:ascii="Arial" w:cs="Arial" w:eastAsia="Arial" w:hAnsi="Arial"/>
          <w:sz w:val="16"/>
          <w:szCs w:val="16"/>
          <w:i w:val="1"/>
          <w:iCs w:val="1"/>
          <w:color w:val="auto"/>
        </w:rPr>
        <w:t>La Raza del Noro</w:t>
      </w:r>
      <w:r>
        <w:rPr>
          <w:rFonts w:ascii="Arial" w:cs="Arial" w:eastAsia="Arial" w:hAnsi="Arial"/>
          <w:sz w:val="16"/>
          <w:szCs w:val="16"/>
          <w:color w:val="auto"/>
        </w:rPr>
        <w:t xml:space="preserve"> are produced at The Daily Herald Company’s plant in Everett, WA. </w:t>
      </w:r>
      <w:r>
        <w:rPr>
          <w:rFonts w:ascii="Arial" w:cs="Arial" w:eastAsia="Arial" w:hAnsi="Arial"/>
          <w:sz w:val="16"/>
          <w:szCs w:val="16"/>
          <w:i w:val="1"/>
          <w:iCs w:val="1"/>
          <w:color w:val="auto"/>
        </w:rPr>
        <w:t>The Gazette Newspapers, Southern Maryland Newspapers</w:t>
      </w:r>
      <w:r>
        <w:rPr>
          <w:rFonts w:ascii="Arial" w:cs="Arial" w:eastAsia="Arial" w:hAnsi="Arial"/>
          <w:sz w:val="16"/>
          <w:szCs w:val="16"/>
          <w:color w:val="auto"/>
        </w:rPr>
        <w:t xml:space="preserve">,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Fairf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County Times </w:t>
      </w:r>
      <w:r>
        <w:rPr>
          <w:rFonts w:ascii="Arial" w:cs="Arial" w:eastAsia="Arial" w:hAnsi="Arial"/>
          <w:sz w:val="16"/>
          <w:szCs w:val="16"/>
          <w:color w:val="auto"/>
        </w:rPr>
        <w:t>are printed at the commercial printing facilities owned by PNM. Six military papers, one free weekly and one paid weekly from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Maryland are printed at Chesapeake Publishing in Easton, MD. Greater Washington Publishing’s periodicals are produced by independent contract pri</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2012,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and </w:t>
      </w:r>
      <w:r>
        <w:rPr>
          <w:rFonts w:ascii="Arial" w:cs="Arial" w:eastAsia="Arial" w:hAnsi="Arial"/>
          <w:sz w:val="17"/>
          <w:szCs w:val="17"/>
          <w:i w:val="1"/>
          <w:iCs w:val="1"/>
          <w:color w:val="auto"/>
        </w:rPr>
        <w:t>El Tiempo Latino</w:t>
      </w:r>
      <w:r>
        <w:rPr>
          <w:rFonts w:ascii="Arial" w:cs="Arial" w:eastAsia="Arial" w:hAnsi="Arial"/>
          <w:sz w:val="17"/>
          <w:szCs w:val="17"/>
          <w:color w:val="auto"/>
        </w:rPr>
        <w:t xml:space="preserve"> consumed about 60,000 short tons of newsprint in WP Company’s printing plant in Fairfax County, VA. Such newsprint was purchased from a number of suppliers, including Resolute, formerly AbitibiBowater, Inc., which supplied approximately 43% of the 2012 newsprint requirements for these newspapers.</w:t>
      </w:r>
    </w:p>
    <w:p>
      <w:pPr>
        <w:spacing w:after="0" w:line="17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While the price of newsprint has been volatile historically, it has been steady since August of 2010. According to The RISI East Coast Newsprint Price which provides monthly single-price estimates based on marketplace surveys of both buyers and sellers, 27.7 lb. newsprint (the kind of newsprint use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and most of the newspapers published by PNM) has been at $617 per short ton since August 2010. The RISI Index prices do not necessarily correspond with the prices actually paid for newsprint by the Company’s subsidiaries because of quantity discounts and other factors. The Company believes that adequate supplies of newsprint are available to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and the other newspapers published by the Company’s subsidiaries through con with various suppliers. Approximately 77% of the newsprint consumed by WP Company’s printing plant includes recycled content.</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Competition</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Kaplan’s businesses operate in fragmented and competitive markets. KHE competes with both facilities-based and other distance-learning providers o similar educational services, including not-for-profit colleges and universities and for-profit businesses. PACE competes in each of its professional line other companies that provide preparation for exams required for professional licenses, certifications and designations. KTP competes with a variety of regional and national test preparation businesses, with individual tutors and with in-school preparation for standardized tests. Overseas, each of Kapla businesses competes with other for-profit companies and, in certain instances, with government-supported schools and institutions that provide simila training and educational programs. Students choose among providers based on program offerings, convenience, quality of instruction, reputation, plac rates, student services and cost.</w:t>
      </w:r>
    </w:p>
    <w:p>
      <w:pPr>
        <w:spacing w:after="0" w:line="17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Cable television systems operate in a highly competitive environment. In addition to competing with over-the-air reception, cable television systems fa competition from various other forms of video program delivery systems, including DBS services, telephone companies and the Internet. Certain of the Company’s cable television systems have also been partially or substantially overbuilt, using conventional cable system technology, by various small t sized independent telephone companies that typically offer Internet and telephone service, as well as basic cable service. Local telephone companies compete with cable television systems in the delivery of high-speed Internet access by providing DSL service. In addition, on their own or via strategic partnerships with DBS operators that permit telephone companies to package the video programming services of DBS operators with telephone comp own DSL service, some telephone companies are competing with the video programming and Internet services being offered by existing cable televisi systems. Satellite-delivered broadband and high-powered WiMAX services will increasingly provide competition to Cable ONE. Video programming is becoming increasingly available on the Internet, where viewers can watch programming for free, as well as access pay-per-view offerings. Cable ONE distinguishes itself from its competition by providing excellent local customer service and consistently attaining very high levels of customer satisfactio</w:t>
      </w:r>
    </w:p>
    <w:p>
      <w:pPr>
        <w:spacing w:after="0" w:line="15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competes in the Washington, DC, metropolitan area with </w:t>
      </w:r>
      <w:r>
        <w:rPr>
          <w:rFonts w:ascii="Arial" w:cs="Arial" w:eastAsia="Arial" w:hAnsi="Arial"/>
          <w:sz w:val="16"/>
          <w:szCs w:val="16"/>
          <w:i w:val="1"/>
          <w:iCs w:val="1"/>
          <w:color w:val="auto"/>
        </w:rPr>
        <w:t>The Washington Times,</w:t>
      </w:r>
      <w:r>
        <w:rPr>
          <w:rFonts w:ascii="Arial" w:cs="Arial" w:eastAsia="Arial" w:hAnsi="Arial"/>
          <w:sz w:val="16"/>
          <w:szCs w:val="16"/>
          <w:color w:val="auto"/>
        </w:rPr>
        <w:t xml:space="preserve"> a newspaper that has published weekday editions since 19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also encounters competition for advertising revenue and circulation in varying degrees from other newspapers and specialized publications distributed in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s circulation area (including newspapers published in suburban and outlying areas and nationally circulated newspapers), and fr websites, television, radio, magazines and other advertising media, including direct-mail advertising. </w:t>
      </w:r>
      <w:r>
        <w:rPr>
          <w:rFonts w:ascii="Arial" w:cs="Arial" w:eastAsia="Arial" w:hAnsi="Arial"/>
          <w:sz w:val="16"/>
          <w:szCs w:val="16"/>
          <w:i w:val="1"/>
          <w:iCs w:val="1"/>
          <w:color w:val="auto"/>
        </w:rPr>
        <w:t>Express</w:t>
      </w:r>
      <w:r>
        <w:rPr>
          <w:rFonts w:ascii="Arial" w:cs="Arial" w:eastAsia="Arial" w:hAnsi="Arial"/>
          <w:sz w:val="16"/>
          <w:szCs w:val="16"/>
          <w:color w:val="auto"/>
        </w:rPr>
        <w:t xml:space="preserve"> similarly competes with various other advertising media in its service area, including both daily and weekly free-distribution newspapers.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 competes for readers and advertisers bas the quality of its journalism, the demographics and size of its subscriber base, advertising results, rates and customer service.</w:t>
      </w:r>
    </w:p>
    <w:p>
      <w:pPr>
        <w:spacing w:after="0" w:line="37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33" w:name="page34"/>
    <w:bookmarkEnd w:id="33"/>
    <w:p>
      <w:pPr>
        <w:spacing w:after="0" w:line="246" w:lineRule="auto"/>
        <w:rPr>
          <w:sz w:val="20"/>
          <w:szCs w:val="20"/>
          <w:color w:val="auto"/>
        </w:rPr>
      </w:pPr>
      <w:r>
        <w:rPr>
          <w:rFonts w:ascii="Arial" w:cs="Arial" w:eastAsia="Arial" w:hAnsi="Arial"/>
          <w:sz w:val="16"/>
          <w:szCs w:val="16"/>
          <w:i w:val="1"/>
          <w:iCs w:val="1"/>
          <w:color w:val="auto"/>
        </w:rPr>
        <w:t xml:space="preserve">Washingtonpost.com </w:t>
      </w:r>
      <w:r>
        <w:rPr>
          <w:rFonts w:ascii="Arial" w:cs="Arial" w:eastAsia="Arial" w:hAnsi="Arial"/>
          <w:sz w:val="16"/>
          <w:szCs w:val="16"/>
          <w:color w:val="auto"/>
        </w:rPr>
        <w:t>and the websites produced by The Slate Group face competition from many Internet sites that provide news and information, site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cover niche content, sites that aggregate content from different sources and sites where users generate content. The Company’s websites compete fo advertising revenue with these types of websites, as well as with a wide variety of other print publications, online services and social networking sites, other forms of advertising. Display advertising is a key source of revenue for Company websites. With advertising inventory continuing to increase and advertising networks and programmatic buying becoming more prevalent, the online display advertising marketplace is experiencing pricing pressures the Company’s websites are not immune to this trend. The </w:t>
      </w:r>
      <w:r>
        <w:rPr>
          <w:rFonts w:ascii="Arial" w:cs="Arial" w:eastAsia="Arial" w:hAnsi="Arial"/>
          <w:sz w:val="16"/>
          <w:szCs w:val="16"/>
          <w:i w:val="1"/>
          <w:iCs w:val="1"/>
          <w:color w:val="auto"/>
        </w:rPr>
        <w:t>Post’</w:t>
      </w:r>
      <w:r>
        <w:rPr>
          <w:rFonts w:ascii="Arial" w:cs="Arial" w:eastAsia="Arial" w:hAnsi="Arial"/>
          <w:sz w:val="16"/>
          <w:szCs w:val="16"/>
          <w:color w:val="auto"/>
        </w:rPr>
        <w:t xml:space="preserve">s website also relies on classified advertising as a key revenue source. Online classif advertising has become a crowded field, with a number of national and local competitors, often with a vertical focus. For example, </w:t>
      </w:r>
      <w:r>
        <w:rPr>
          <w:rFonts w:ascii="Arial" w:cs="Arial" w:eastAsia="Arial" w:hAnsi="Arial"/>
          <w:sz w:val="16"/>
          <w:szCs w:val="16"/>
          <w:i w:val="1"/>
          <w:iCs w:val="1"/>
          <w:color w:val="auto"/>
        </w:rPr>
        <w:t>Edmunds.com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AutoTrader.com </w:t>
      </w:r>
      <w:r>
        <w:rPr>
          <w:rFonts w:ascii="Arial" w:cs="Arial" w:eastAsia="Arial" w:hAnsi="Arial"/>
          <w:sz w:val="16"/>
          <w:szCs w:val="16"/>
          <w:color w:val="auto"/>
        </w:rPr>
        <w:t>aggregate national car listings;</w:t>
      </w:r>
      <w:r>
        <w:rPr>
          <w:rFonts w:ascii="Arial" w:cs="Arial" w:eastAsia="Arial" w:hAnsi="Arial"/>
          <w:sz w:val="16"/>
          <w:szCs w:val="16"/>
          <w:i w:val="1"/>
          <w:iCs w:val="1"/>
          <w:color w:val="auto"/>
        </w:rPr>
        <w:t xml:space="preserve"> Realtor.com </w:t>
      </w:r>
      <w:r>
        <w:rPr>
          <w:rFonts w:ascii="Arial" w:cs="Arial" w:eastAsia="Arial" w:hAnsi="Arial"/>
          <w:sz w:val="16"/>
          <w:szCs w:val="16"/>
          <w:color w:val="auto"/>
        </w:rPr>
        <w:t>and</w:t>
      </w:r>
      <w:r>
        <w:rPr>
          <w:rFonts w:ascii="Arial" w:cs="Arial" w:eastAsia="Arial" w:hAnsi="Arial"/>
          <w:sz w:val="16"/>
          <w:szCs w:val="16"/>
          <w:i w:val="1"/>
          <w:iCs w:val="1"/>
          <w:color w:val="auto"/>
        </w:rPr>
        <w:t xml:space="preserve"> Zillow.com </w:t>
      </w:r>
      <w:r>
        <w:rPr>
          <w:rFonts w:ascii="Arial" w:cs="Arial" w:eastAsia="Arial" w:hAnsi="Arial"/>
          <w:sz w:val="16"/>
          <w:szCs w:val="16"/>
          <w:color w:val="auto"/>
        </w:rPr>
        <w:t>aggregate national real estate listings; and</w:t>
      </w:r>
      <w:r>
        <w:rPr>
          <w:rFonts w:ascii="Arial" w:cs="Arial" w:eastAsia="Arial" w:hAnsi="Arial"/>
          <w:sz w:val="16"/>
          <w:szCs w:val="16"/>
          <w:i w:val="1"/>
          <w:iCs w:val="1"/>
          <w:color w:val="auto"/>
        </w:rPr>
        <w:t xml:space="preserve"> Monster.com </w:t>
      </w:r>
      <w:r>
        <w:rPr>
          <w:rFonts w:ascii="Arial" w:cs="Arial" w:eastAsia="Arial" w:hAnsi="Arial"/>
          <w:sz w:val="16"/>
          <w:szCs w:val="16"/>
          <w:color w:val="auto"/>
        </w:rPr>
        <w:t>and</w:t>
      </w:r>
      <w:r>
        <w:rPr>
          <w:rFonts w:ascii="Arial" w:cs="Arial" w:eastAsia="Arial" w:hAnsi="Arial"/>
          <w:sz w:val="16"/>
          <w:szCs w:val="16"/>
          <w:i w:val="1"/>
          <w:iCs w:val="1"/>
          <w:color w:val="auto"/>
        </w:rPr>
        <w:t xml:space="preserve"> CareerBuilder.com </w:t>
      </w:r>
      <w:r>
        <w:rPr>
          <w:rFonts w:ascii="Arial" w:cs="Arial" w:eastAsia="Arial" w:hAnsi="Arial"/>
          <w:sz w:val="16"/>
          <w:szCs w:val="16"/>
          <w:color w:val="auto"/>
        </w:rPr>
        <w:t>aggregate employment listings. All of these vertical-niche sites can be searched locally. Several services challenge established bu</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models. Some nationally managed sites, such as Yelp and OpenTable, also offer local information and services. Major search engines have also soug capitalize on access to information about local markets, sometimes in direct competition with services provided by the </w:t>
      </w:r>
      <w:r>
        <w:rPr>
          <w:rFonts w:ascii="Arial" w:cs="Arial" w:eastAsia="Arial" w:hAnsi="Arial"/>
          <w:sz w:val="16"/>
          <w:szCs w:val="16"/>
          <w:i w:val="1"/>
          <w:iCs w:val="1"/>
          <w:color w:val="auto"/>
        </w:rPr>
        <w:t>Post</w:t>
      </w:r>
      <w:r>
        <w:rPr>
          <w:rFonts w:ascii="Arial" w:cs="Arial" w:eastAsia="Arial" w:hAnsi="Arial"/>
          <w:sz w:val="16"/>
          <w:szCs w:val="16"/>
          <w:color w:val="auto"/>
        </w:rPr>
        <w:t>. For example, Google and Yahoo! have launched local services that offer directory information for local markets with enhanced functionality, such as mapping and links to review other information. Daily deal sites have also emerged to compete with traditional forms of local, and increasingly, national advertising. In addition, othe forms of digital distribution, such as smart phones, tablets and e-readers, are also competitive with Company news sites.</w:t>
      </w:r>
    </w:p>
    <w:p>
      <w:pPr>
        <w:spacing w:after="0" w:line="170"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Company’s other print products compete with a variety of newspapers, including regional and national publications, as well as with a wide variety other media outlets, including the Internet, radio, magazines and television (including over-the-air reception, cable, DBS and Internet), for readers and advertising revenue.</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 xml:space="preserve">PNS competes for audiences and advertising revenues with television and radio stations, cable television systems and video services offered by telep companies serving the same or nearby areas; with DBS services; and, to a lesser degree, with other media, such as newspapers and magazines. Cab television systems operate in substantially all of the areas served by the Company’s television stations, where they compete for television viewers by importing out-of-market television signals; by distributing pay-cable, advertiser-supported and other programming that is originated for cable systems; by offering movies and other programming on a pay-per-view basis. In addition, DBS services provide nationwide distribution of television programmin including pay-per-view programming and programming packages unique to DBS, using digital transmission technologies. The Company’s television st may also become subject to increased competition from low-power television stations, wireless cable services and satellite master antenna systems, w can carry pay-cable and similar program material. In addition, movies and television programming are available free of charge on the websites of the TV networks, as well as on the advertising-supported website </w:t>
      </w:r>
      <w:r>
        <w:rPr>
          <w:rFonts w:ascii="Arial" w:cs="Arial" w:eastAsia="Arial" w:hAnsi="Arial"/>
          <w:sz w:val="17"/>
          <w:szCs w:val="17"/>
          <w:i w:val="1"/>
          <w:iCs w:val="1"/>
          <w:color w:val="auto"/>
        </w:rPr>
        <w:t>Hulu</w:t>
      </w:r>
      <w:r>
        <w:rPr>
          <w:rFonts w:ascii="Arial" w:cs="Arial" w:eastAsia="Arial" w:hAnsi="Arial"/>
          <w:sz w:val="17"/>
          <w:szCs w:val="17"/>
          <w:color w:val="auto"/>
        </w:rPr>
        <w:t>.</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home health and hospice industries are extremely competitive and fragmented, consisting of both for-profit and non-profit companies. Celtic comp primarily with privately owned and hospital-operated home health and hospice service providers.</w:t>
      </w:r>
    </w:p>
    <w:p>
      <w:pPr>
        <w:spacing w:after="0" w:line="156" w:lineRule="exact"/>
        <w:rPr>
          <w:sz w:val="20"/>
          <w:szCs w:val="20"/>
          <w:color w:val="auto"/>
        </w:rPr>
      </w:pPr>
    </w:p>
    <w:p>
      <w:pPr>
        <w:ind w:left="4980"/>
        <w:spacing w:after="0"/>
        <w:rPr>
          <w:sz w:val="20"/>
          <w:szCs w:val="20"/>
          <w:color w:val="auto"/>
        </w:rPr>
      </w:pPr>
      <w:r>
        <w:rPr>
          <w:rFonts w:ascii="Arial" w:cs="Arial" w:eastAsia="Arial" w:hAnsi="Arial"/>
          <w:sz w:val="17"/>
          <w:szCs w:val="17"/>
          <w:b w:val="1"/>
          <w:bCs w:val="1"/>
          <w:color w:val="auto"/>
        </w:rPr>
        <w:t>Executive Officers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of the Company, each of whom is elected annually by the Board of Directors, are as follows:</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 xml:space="preserve">Donald E. Graham, age 67, has been Chairman of the Board of the Company since September 1993 and Chief Executive Officer of the Company sinc 1991. Mr. Graham served as President of the Company from May 1991 until September 1993 and prior to that had been a Vice President of the Comp for more than five years. Mr. Graham also served as Publisher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1979 until September 2000 and as Chairman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from Septem 2000 to February 2008.</w:t>
      </w:r>
    </w:p>
    <w:p>
      <w:pPr>
        <w:spacing w:after="0" w:line="175" w:lineRule="exact"/>
        <w:rPr>
          <w:sz w:val="20"/>
          <w:szCs w:val="20"/>
          <w:color w:val="auto"/>
        </w:rPr>
      </w:pPr>
    </w:p>
    <w:p>
      <w:pPr>
        <w:jc w:val="both"/>
        <w:ind w:right="40"/>
        <w:spacing w:after="0" w:line="251" w:lineRule="auto"/>
        <w:rPr>
          <w:sz w:val="20"/>
          <w:szCs w:val="20"/>
          <w:color w:val="auto"/>
        </w:rPr>
      </w:pPr>
      <w:r>
        <w:rPr>
          <w:rFonts w:ascii="Arial" w:cs="Arial" w:eastAsia="Arial" w:hAnsi="Arial"/>
          <w:sz w:val="16"/>
          <w:szCs w:val="16"/>
          <w:color w:val="auto"/>
        </w:rPr>
        <w:t>Veronica Dillon, age 63, became a Senior Vice President of the Company in June 2008 and Vice President, General Counsel and Secretary of the Co in January 2007. Ms. Dillon began her career with the Company in January 1991 as corporate counsel at Kaplan, Inc. She was subsequently named General Counsel at Kaplan in June 1995 and then served as Kaplan’s Chief Administrative Officer beginning in December 2003.</w:t>
      </w:r>
    </w:p>
    <w:p>
      <w:pPr>
        <w:spacing w:after="0" w:line="167"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Hal S. Jones, age 60, became Chief Financial Officer of the Company in January 2009 and Senior Vice President–Finance of the Company in Novem 2008. He had most recently been Chief Executive Officer of Kaplan Professional, responsible for Kaplan’s professional businesses in financial service estate, technology and engineering in the U.S.</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4" w:right="139" w:bottom="1440" w:gutter="0" w:footer="0" w:header="0"/>
        </w:sectPr>
      </w:pPr>
    </w:p>
    <w:bookmarkStart w:id="34" w:name="page35"/>
    <w:bookmarkEnd w:id="34"/>
    <w:p>
      <w:pPr>
        <w:ind w:right="100"/>
        <w:spacing w:after="0" w:line="235" w:lineRule="auto"/>
        <w:rPr>
          <w:sz w:val="20"/>
          <w:szCs w:val="20"/>
          <w:color w:val="auto"/>
        </w:rPr>
      </w:pPr>
      <w:r>
        <w:rPr>
          <w:rFonts w:ascii="Arial" w:cs="Arial" w:eastAsia="Arial" w:hAnsi="Arial"/>
          <w:sz w:val="17"/>
          <w:szCs w:val="17"/>
          <w:color w:val="auto"/>
        </w:rPr>
        <w:t>and the U.K. Mr. Jones has spent 22 years at the Company and Kaplan, serving in a variety of senior management positions with a focus on finance, auditing and accounting.</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 xml:space="preserve">Ann L. McDaniel, age 57, became Senior Vice President–Human Resources of the Company in June 2008 and was formerly Vice President–Human Resources of the Company since September 2001. She served as Managing Director of Newsweek, Inc., from January 2008 until the sale of </w:t>
      </w:r>
      <w:r>
        <w:rPr>
          <w:rFonts w:ascii="Arial" w:cs="Arial" w:eastAsia="Arial" w:hAnsi="Arial"/>
          <w:sz w:val="17"/>
          <w:szCs w:val="17"/>
          <w:i w:val="1"/>
          <w:iCs w:val="1"/>
          <w:color w:val="auto"/>
        </w:rPr>
        <w:t>Newswe</w:t>
      </w:r>
      <w:r>
        <w:rPr>
          <w:rFonts w:ascii="Arial" w:cs="Arial" w:eastAsia="Arial" w:hAnsi="Arial"/>
          <w:sz w:val="17"/>
          <w:szCs w:val="17"/>
          <w:color w:val="auto"/>
        </w:rPr>
        <w:t xml:space="preserve"> magazine in September 2010. Ms. McDaniel had previously served as Senior Director of Human Resources of the Company since January 2001 and that held various editorial positions at </w:t>
      </w:r>
      <w:r>
        <w:rPr>
          <w:rFonts w:ascii="Arial" w:cs="Arial" w:eastAsia="Arial" w:hAnsi="Arial"/>
          <w:sz w:val="17"/>
          <w:szCs w:val="17"/>
          <w:i w:val="1"/>
          <w:iCs w:val="1"/>
          <w:color w:val="auto"/>
        </w:rPr>
        <w:t>Newsweek</w:t>
      </w:r>
      <w:r>
        <w:rPr>
          <w:rFonts w:ascii="Arial" w:cs="Arial" w:eastAsia="Arial" w:hAnsi="Arial"/>
          <w:sz w:val="17"/>
          <w:szCs w:val="17"/>
          <w:color w:val="auto"/>
        </w:rPr>
        <w:t>.</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Gerald M. Rosberg, age 66, became Senior Vice President–Planning and Development of the Company in June 2008 and was formerly Vice Presiden Planning and Development of the Company since February 1999. He had previously served as Vice President–Affiliates at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a position he ass in November 1997. Mr. Rosberg joined the Company in January 1996 as the </w:t>
      </w:r>
      <w:r>
        <w:rPr>
          <w:rFonts w:ascii="Arial" w:cs="Arial" w:eastAsia="Arial" w:hAnsi="Arial"/>
          <w:sz w:val="17"/>
          <w:szCs w:val="17"/>
          <w:i w:val="1"/>
          <w:iCs w:val="1"/>
          <w:color w:val="auto"/>
        </w:rPr>
        <w:t>Post</w:t>
      </w:r>
      <w:r>
        <w:rPr>
          <w:rFonts w:ascii="Arial" w:cs="Arial" w:eastAsia="Arial" w:hAnsi="Arial"/>
          <w:sz w:val="17"/>
          <w:szCs w:val="17"/>
          <w:color w:val="auto"/>
        </w:rPr>
        <w:t>’s Director of Affiliate Relations.</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Wallace R. Cooney, age 50, became Vice President–Finance and Chief Accounting Officer of the Company in June 2008. Mr. Cooney joined the Com in 2001 as Controller and prior to that had been with Gannett Co., Inc. and Price Waterhouse LLP.</w:t>
      </w:r>
    </w:p>
    <w:p>
      <w:pPr>
        <w:spacing w:after="0" w:line="156"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Employees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its subsidiaries employ approximately 17,000 people on a full-time basis.</w:t>
      </w:r>
    </w:p>
    <w:p>
      <w:pPr>
        <w:spacing w:after="0" w:line="17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Worldwide, Kaplan employs approximately 11,000 people on a full-time basis. Kaplan also employs substantial numbers of part-time employees who s in instructional and administrative capacities. During peak seasonal periods, Kaplan’s part-time workforce exceeds 14,000 employees. In the U.S., U.K Canada, an aggregate of 210 Kaplan employees are represented by a union.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Cable ONE has approximately 2,180 full-time employees, none of whom is represented by a union.</w:t>
      </w:r>
    </w:p>
    <w:p>
      <w:pPr>
        <w:spacing w:after="0" w:line="177"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WP Company has approximately 1,809 full-time employees. About 934 of WP Company’s full-time employees and about 261 part-time employees are represented by one of five unions. Collective-bargaining agreements are currently in effect with locals of the following unions covering the full-time and time employees and expiring on the dates indicated: 819 editorial, newsroom and commercial department employees, represented by the Communica Workers of America (July 26, 2013); 27 machinists, represented by the International Association of Machinists (January 11, 2014); 7 photoengravers-platemakers, represented by the Graphic Communications Conference of the International Brotherhood of Teamsters (February 5, 2015); 27 paper ha and general workers, represented by the Graphic Communications Conference of the International Brotherhood of Teamsters (November 15, 2013); 1 electricians, represented by the International Brotherhood of Electrical Workers (March 6, 2015); and 282 mailroom workers represented by the Communications Workers of America (January 27, 2016). The agreement covering 18 engineers, carpenters and painters represented by the Internati Union of Operating Engineers, expired on April 12, 2008; negotiations have yet to produce a successor agreement.</w:t>
      </w:r>
    </w:p>
    <w:p>
      <w:pPr>
        <w:spacing w:after="0" w:line="171"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 xml:space="preserve">Of the approximately 155 full-time and 55 part-time employees at The Daily Herald Company, about 39 full-time and 12 part-time employees are represented by one of three unions. </w:t>
      </w:r>
      <w:r>
        <w:rPr>
          <w:rFonts w:ascii="Arial" w:cs="Arial" w:eastAsia="Arial" w:hAnsi="Arial"/>
          <w:sz w:val="17"/>
          <w:szCs w:val="17"/>
          <w:i w:val="1"/>
          <w:iCs w:val="1"/>
          <w:color w:val="auto"/>
        </w:rPr>
        <w:t>The Herald’</w:t>
      </w:r>
      <w:r>
        <w:rPr>
          <w:rFonts w:ascii="Arial" w:cs="Arial" w:eastAsia="Arial" w:hAnsi="Arial"/>
          <w:sz w:val="17"/>
          <w:szCs w:val="17"/>
          <w:color w:val="auto"/>
        </w:rPr>
        <w:t>s collective-bargaining agreement with the Graphic Communications Conference of the International Brotherhood of Teamsters, which represents press operators, expires on July 26, 2014; its agreement with The Newspaper Guild—Communications Workers of America, which represents printers and mailers, expired on October 31, 2012; and its agreement with the International Brotherhood of Teamsters, which represents bundle haulers, has been extended through December 31, 2013.</w:t>
      </w:r>
    </w:p>
    <w:p>
      <w:pPr>
        <w:spacing w:after="0" w:line="176"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PNS has approximately 883 full-time employees, of whom about 121 are union-represented. Of the seven collective bargaining agreements covering represented employees, two have expired and are being renegotiated. One collective bargaining agreement will expire in 2013.</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PNM has approximately 318 full-time and 128 part-time employees.</w:t>
      </w:r>
    </w:p>
    <w:p>
      <w:pPr>
        <w:spacing w:after="0" w:line="38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35" w:name="page36"/>
    <w:bookmarkEnd w:id="35"/>
    <w:p>
      <w:pPr>
        <w:jc w:val="both"/>
        <w:ind w:left="9"/>
        <w:spacing w:after="0" w:line="233" w:lineRule="auto"/>
        <w:rPr>
          <w:sz w:val="20"/>
          <w:szCs w:val="20"/>
          <w:color w:val="auto"/>
        </w:rPr>
      </w:pPr>
      <w:r>
        <w:rPr>
          <w:rFonts w:ascii="Arial" w:cs="Arial" w:eastAsia="Arial" w:hAnsi="Arial"/>
          <w:sz w:val="17"/>
          <w:szCs w:val="17"/>
          <w:color w:val="auto"/>
        </w:rPr>
        <w:t>The parent Company has approximately 115 full-time employees. Each of the following—The Slate Group, FP Group, Social Code, Robinson Termina Warehouse LLC, Greater Washington Publishing LLC, Express Publications Company and El Tiempo Latino—employs fewer than 100 persons. None these units’ employees is represented by a union.</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17"/>
          <w:szCs w:val="17"/>
          <w:color w:val="auto"/>
        </w:rPr>
        <w:t>Celtic has approximately 245 full-time and 45 part-time employees, none of whom is represented by a union.</w:t>
      </w:r>
    </w:p>
    <w:p>
      <w:pPr>
        <w:spacing w:after="0" w:line="157" w:lineRule="exact"/>
        <w:rPr>
          <w:sz w:val="20"/>
          <w:szCs w:val="20"/>
          <w:color w:val="auto"/>
        </w:rPr>
      </w:pPr>
    </w:p>
    <w:p>
      <w:pPr>
        <w:ind w:left="4569"/>
        <w:spacing w:after="0"/>
        <w:rPr>
          <w:sz w:val="20"/>
          <w:szCs w:val="20"/>
          <w:color w:val="auto"/>
        </w:rPr>
      </w:pPr>
      <w:r>
        <w:rPr>
          <w:rFonts w:ascii="Arial" w:cs="Arial" w:eastAsia="Arial" w:hAnsi="Arial"/>
          <w:sz w:val="17"/>
          <w:szCs w:val="17"/>
          <w:b w:val="1"/>
          <w:bCs w:val="1"/>
          <w:color w:val="auto"/>
        </w:rPr>
        <w:t>Forward-Looking Statements</w:t>
      </w:r>
    </w:p>
    <w:p>
      <w:pPr>
        <w:spacing w:after="0" w:line="197"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All public statements made by the Company and its representatives that are not statements of historical fact, including certain statements in this Annu Report on Form 10-K and elsewhere in the Company’s 2012 Annual Report to Stockholders, are “forward-looking statements” within the meaning of th Private Securities Litigation Reform Act of 1995. Forward-looking statements include comments about the Company’s business strategies and objectiv the prospects for growth in the Company’s various business operations and the Company’s future financial performance. As with any projection or fore forward-looking statements are subject to various risks and uncertainties, including the risks and uncertainties described in Item 1A of this Annual Rep Form 10-K, that could cause actual results or events to differ materially from those anticipated in such statements. Accordingly, undue reliance should placed on any forward-looking statement made by or on behalf of the Company. The Company assumes no obligation to update any forward- looking statement after the date on which such statement is made, even if new information subsequently becomes available.</w:t>
      </w:r>
    </w:p>
    <w:p>
      <w:pPr>
        <w:spacing w:after="0" w:line="153"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Available Information</w:t>
      </w:r>
    </w:p>
    <w:p>
      <w:pPr>
        <w:spacing w:after="0" w:line="179"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 xml:space="preserve">The Company’s Internet address is </w:t>
      </w:r>
      <w:r>
        <w:rPr>
          <w:rFonts w:ascii="Arial" w:cs="Arial" w:eastAsia="Arial" w:hAnsi="Arial"/>
          <w:sz w:val="17"/>
          <w:szCs w:val="17"/>
          <w:i w:val="1"/>
          <w:iCs w:val="1"/>
          <w:color w:val="auto"/>
        </w:rPr>
        <w:t>washpostco.com.</w:t>
      </w:r>
      <w:r>
        <w:rPr>
          <w:rFonts w:ascii="Arial" w:cs="Arial" w:eastAsia="Arial" w:hAnsi="Arial"/>
          <w:sz w:val="17"/>
          <w:szCs w:val="17"/>
          <w:color w:val="auto"/>
        </w:rPr>
        <w:t xml:space="preserve"> The Company makes available free of charge through its website its Annual Report on Form 10-quarterly reports on Form 10-Q, current reports on Form 8-K and amendments to those reports filed or furnished pursuant to Section 13(a) or 15(d) of Exchange Act as soon as reasonably practicable after such documents are electronically filed with the Securities and Exchange Commission. In additi the Company’s Certificate of Incorporation, its Corporate Governance Guidelines, the Charters of the Audit and Compensation Committees of the Company’s Board of Directors and the codes of conduct adopted by the Company and referred to in Item 10 of this Annual Report on Form 10-K are e available on the Company’s website; printed copies of such documents may be obtained by any stockholder upon written request to the Secretary of t Company at 1150 15th Street, NW, Washington, DC 20071.</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Item 1A. Risk Factors.</w:t>
      </w:r>
    </w:p>
    <w:p>
      <w:pPr>
        <w:spacing w:after="0" w:line="197"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The Company faces a number of significant risks and uncertainties in connection with its operations. The most significant of these are described below These risks and uncertainties may not be the only ones facing the Company. Additional risks and uncertainties not presently known, or currently deem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 the Company’s business, financial condition or results of operations.</w:t>
      </w:r>
    </w:p>
    <w:p>
      <w:pPr>
        <w:spacing w:after="0" w:line="156" w:lineRule="exact"/>
        <w:rPr>
          <w:sz w:val="20"/>
          <w:szCs w:val="20"/>
          <w:color w:val="auto"/>
        </w:rPr>
      </w:pPr>
    </w:p>
    <w:p>
      <w:pPr>
        <w:ind w:left="229" w:right="20" w:hanging="229"/>
        <w:spacing w:after="0" w:line="271" w:lineRule="auto"/>
        <w:tabs>
          <w:tab w:leader="none" w:pos="221"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Failure to Comply With Statutory and Regulatory Requirements Could Result in Loss of Access to U.S. Federal Student Loans and Grant Under Title IV, a Requirement to Pay Fines or Monetary Liabilities or Other Sanctions</w:t>
      </w:r>
    </w:p>
    <w:p>
      <w:pPr>
        <w:spacing w:after="0" w:line="38"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To maintain Title IV eligibility, each group of schools combined into an OPEID unit must comply with the extensive statutory and regulatory requiremen the Higher Education Act and other laws relating to its financial aid management, educational programs, financial strength, facilities, recruiting practice various other matters. Failure to comply with these requirements could result in the loss or limitation of the eligibility of one or more of the KHE schools participate in Title IV programs, a requirement to pay fines or to repay Title IV program funds, a denial or refusal by the DOE to consider a school’s application for renewal of its certification to participate in the Title IV programs or for approval to add a new campus or education program, requiring th submission of a letter of credit, civil or criminal penalties or other sanctions. No assurance can be given that the Kaplan schools and programs current participating in Title IV programs will maintain their Title IV eligibility, accreditation and state authorization in the future or that the DOE might not succe assert that one or more of such schools or programs have previously failed to comply with Title IV requirements. The loss of Title IV eligibility by either</w:t>
      </w:r>
    </w:p>
    <w:p>
      <w:pPr>
        <w:spacing w:after="0" w:line="5" w:lineRule="exact"/>
        <w:rPr>
          <w:sz w:val="20"/>
          <w:szCs w:val="20"/>
          <w:color w:val="auto"/>
        </w:rPr>
      </w:pPr>
    </w:p>
    <w:p>
      <w:pPr>
        <w:ind w:left="9" w:right="80" w:hanging="9"/>
        <w:spacing w:after="0" w:line="235" w:lineRule="auto"/>
        <w:tabs>
          <w:tab w:leader="none" w:pos="25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single OPEID unit that includes Kaplan University or (2) a combination of other OPEID units would have a material adverse effect on Kaplan’s operating results.</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36" w:name="page37"/>
    <w:bookmarkEnd w:id="36"/>
    <w:p>
      <w:pPr>
        <w:ind w:left="229" w:hanging="229"/>
        <w:spacing w:after="0" w:line="271" w:lineRule="auto"/>
        <w:tabs>
          <w:tab w:leader="none" w:pos="221"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Program Reviews, Audits, Investigations and Other Reviews of KHE Schools Could Result in Findings of Failure to Comply With Statutor Regulatory Requirements</w:t>
      </w:r>
    </w:p>
    <w:p>
      <w:pPr>
        <w:spacing w:after="0" w:line="3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KHE schools are subject to program reviews, audits, investigations and other compliance reviews conducted by various regulatory agencies and audit including, among others, the DOE, the DOE’s Office of the Inspector General, accrediting bodies and state and various other agencies, as well as ann audits by an independent certified public accountant of each OPEID unit’s compliance with Title IV statutory and regulatory requirements. These comp reviews can result in findings of noncompliance with statutory and regulatory requirements that can, in turn, result in proceedings to impose fines, liabi civil or criminal penalties or other sanctions against the school, including loss or limitation of its eligibility to participate in Title IV programs. Certain KH schools are the subject of ongoing compliance reviews and lawsuits related to their compliance with statutory and regulatory requirements and may be subject to future compliance reviews.</w:t>
      </w:r>
    </w:p>
    <w:p>
      <w:pPr>
        <w:spacing w:after="0" w:line="178" w:lineRule="exact"/>
        <w:rPr>
          <w:sz w:val="20"/>
          <w:szCs w:val="20"/>
          <w:color w:val="auto"/>
        </w:rPr>
      </w:pPr>
    </w:p>
    <w:p>
      <w:pPr>
        <w:ind w:left="9" w:right="60"/>
        <w:spacing w:after="0" w:line="235" w:lineRule="auto"/>
        <w:rPr>
          <w:sz w:val="20"/>
          <w:szCs w:val="20"/>
          <w:color w:val="auto"/>
        </w:rPr>
      </w:pPr>
      <w:r>
        <w:rPr>
          <w:rFonts w:ascii="Arial" w:cs="Arial" w:eastAsia="Arial" w:hAnsi="Arial"/>
          <w:sz w:val="17"/>
          <w:szCs w:val="17"/>
          <w:color w:val="auto"/>
        </w:rPr>
        <w:t>KHE schools also may be subject to complaints and lawsuits by present or former students or employees or other persons related to compliance with statutory, common law and regulatory requirements that, if successful, could result in monetary liabilities or fines or other sanctions.</w:t>
      </w:r>
    </w:p>
    <w:p>
      <w:pPr>
        <w:spacing w:after="0" w:line="156" w:lineRule="exact"/>
        <w:rPr>
          <w:sz w:val="20"/>
          <w:szCs w:val="20"/>
          <w:color w:val="auto"/>
        </w:rPr>
      </w:pPr>
    </w:p>
    <w:p>
      <w:pPr>
        <w:jc w:val="both"/>
        <w:ind w:left="229" w:right="20" w:hanging="229"/>
        <w:spacing w:after="0" w:line="249" w:lineRule="auto"/>
        <w:tabs>
          <w:tab w:leader="none" w:pos="221"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Reductions in the Amount of Funds Available to Students, Including Under Title IV Programs, in KHE Schools, Changes in the Terms on Such Funds Are Made Available or Loss or Limitation of Eligibility to Receive Such Funds, Could Have a Material Adverse Effect on Kapl Business and Operations</w:t>
      </w:r>
    </w:p>
    <w:p>
      <w:pPr>
        <w:spacing w:after="0" w:line="57"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During the Company’s 2012 fiscal year, funds provided under the student financial aid programs created under Title IV accounted for approximately $8 million of the revenues of the schools in KHE. Any legislative, regulatory or other development that has the effect of materially reducing the amount of IV financial assistance or other funds available to the students of those schools would have a material adverse effect on Kaplan’s business and operat In addition, any development that has the effect of making the terms on which Title IV financial assistance or other funds are available to students of th schools materially less attractive could have a material adverse effect on Kaplan’s business and operations.</w:t>
      </w:r>
    </w:p>
    <w:p>
      <w:pPr>
        <w:spacing w:after="0" w:line="156" w:lineRule="exact"/>
        <w:rPr>
          <w:sz w:val="20"/>
          <w:szCs w:val="20"/>
          <w:color w:val="auto"/>
        </w:rPr>
      </w:pPr>
    </w:p>
    <w:p>
      <w:pPr>
        <w:ind w:left="209" w:hanging="209"/>
        <w:spacing w:after="0"/>
        <w:tabs>
          <w:tab w:leader="none" w:pos="209"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Regulatory Changes Could Have a Material Adverse Effect on Kaplan’s Business and Operations</w:t>
      </w:r>
    </w:p>
    <w:p>
      <w:pPr>
        <w:spacing w:after="0" w:line="98"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Regulations went into effect on July 1, 2011, relating to various “program integrity” topics. The topics covered in the regulations include, but are not lim to, the following:</w:t>
      </w:r>
    </w:p>
    <w:p>
      <w:pPr>
        <w:spacing w:after="0" w:line="55" w:lineRule="exact"/>
        <w:rPr>
          <w:sz w:val="20"/>
          <w:szCs w:val="20"/>
          <w:color w:val="auto"/>
        </w:rPr>
      </w:pP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Revisions to the incentive compensation rule;</w:t>
      </w:r>
    </w:p>
    <w:p>
      <w:pPr>
        <w:ind w:left="669" w:right="200" w:hanging="26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Expansion of the notice and approval requirements for adding new academic programs and new reporting and disclosure requirements for academic programs;</w:t>
      </w:r>
    </w:p>
    <w:p>
      <w:pPr>
        <w:ind w:left="669" w:right="100" w:hanging="26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Revision and expansion of the types of activities that are deemed a “substantial misrepresentation” and the ability of the DOE to enforce the provisions;</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Requirement that states authorize institutions and set forth certain minimum requirements to obtain such authorizations;</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Limiting agreements between related institutions;</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Defining a “credit hour”;</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Administration of ability-to-benefit examinations;</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Student attendance requirements;</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Proof of high school graduation;</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Verification of information included on student aid applications;</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academic progress;</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Retaking coursework;</w:t>
      </w:r>
    </w:p>
    <w:p>
      <w:pPr>
        <w:ind w:left="649" w:hanging="244"/>
        <w:spacing w:after="0" w:line="228" w:lineRule="auto"/>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Return of Title IV funds; and</w:t>
      </w:r>
    </w:p>
    <w:p>
      <w:pPr>
        <w:ind w:left="649" w:hanging="244"/>
        <w:spacing w:after="0"/>
        <w:tabs>
          <w:tab w:leader="none" w:pos="649"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Disbursements of Title IV funds.</w:t>
      </w:r>
    </w:p>
    <w:p>
      <w:pPr>
        <w:spacing w:after="0" w:line="65"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The implementation of these regulations required Kaplan to change its practices to comply with these requirements and has increased its administrativ costs. The changes to its practices or its inability to comply with the final regulations could have a material adverse effect on Kaplan’s business and re of operations. Moreover, the DOE could implement new regulations or amend existing regulations in a manner that could have a material adverse effe Kaplan’s business and results of operations.</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37" w:name="page38"/>
    <w:bookmarkEnd w:id="37"/>
    <w:p>
      <w:pPr>
        <w:ind w:left="229" w:right="20" w:hanging="229"/>
        <w:spacing w:after="0" w:line="271" w:lineRule="auto"/>
        <w:tabs>
          <w:tab w:leader="none" w:pos="221"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Compliance With Regulations Regarding Incentive Compensation Can Make It Difficult for Kaplan to Attract Students and Retain Qualifie Personnel</w:t>
      </w:r>
    </w:p>
    <w:p>
      <w:pPr>
        <w:spacing w:after="0" w:line="38"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Under the incentive compensation rule, an institution participating in the Title IV programs may not provide any commission, bonus or other incentive payment to any person or entity engaged in any student recruiting or admission activities or in making decisions regarding the awarding of Title IV fun such payment is based directly or indirectly on success in securing enrollments or financial aid. On July 1, 2011, regulations went into effect that amen the incentive compensation rule by reducing the scope of permissible payments under the rule and expanding the scope of payments and employees subject to the rule. The Company cannot predict how the DOE will interpret and enforce the revised incentive compensation rule or the full effect the ru have on the results of KHE. KHE modified some of its compensation practices as a result of the revisions to the incentive compensation rule. These changes to compensation arrangements can make it difficult to attract students and to provide adequate incentives to promote superior job performan retain qualified personnel, and could have a material adverse effect on Kaplan’s business and results of operations.</w:t>
      </w:r>
    </w:p>
    <w:p>
      <w:pPr>
        <w:spacing w:after="0" w:line="153" w:lineRule="exact"/>
        <w:rPr>
          <w:sz w:val="20"/>
          <w:szCs w:val="20"/>
          <w:color w:val="auto"/>
        </w:rPr>
      </w:pPr>
    </w:p>
    <w:p>
      <w:pPr>
        <w:ind w:left="209" w:hanging="209"/>
        <w:spacing w:after="0"/>
        <w:tabs>
          <w:tab w:leader="none" w:pos="209"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Potential DOE Rules Regarding Gainful Employment Could Have a Material Adverse Effect on Kaplan’s Business and Operations</w:t>
      </w:r>
    </w:p>
    <w:p>
      <w:pPr>
        <w:spacing w:after="0" w:line="98"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June 2011, the DOE issued final regulations that tie an education program’s Title IV eligibility to whether the program leads to gainful employment. regulations define an education program that leads to gainful employment as one that complies with gainful employment metrics relating to loan repay rates of program graduates.</w:t>
      </w:r>
    </w:p>
    <w:p>
      <w:pPr>
        <w:spacing w:after="0" w:line="175"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On June 30, 2012, the United States District Court for the District of Columbia overturned most of the final regulations on gainful employment. The DO reviewing the details of the Court’s decision in consultation with the Department of Justice and evaluating their plans, which may include an appeal. As result, the ultimate outcome of gainful employment regulations and their impact on Kaplan’s operations are uncertain. However, if the regulations are reinstated either as originally issued or in some variation thereof, Kaplan’s higher education programs would become subject to gainful employment m This could cause Kaplan to eliminate or limit enrollments in certain educational programs at some or all of its schools, and could have a materially adv effect on its business and operations.</w:t>
      </w:r>
    </w:p>
    <w:p>
      <w:pPr>
        <w:spacing w:after="0" w:line="159" w:lineRule="exact"/>
        <w:rPr>
          <w:sz w:val="20"/>
          <w:szCs w:val="20"/>
          <w:color w:val="auto"/>
        </w:rPr>
      </w:pPr>
    </w:p>
    <w:p>
      <w:pPr>
        <w:ind w:left="229" w:right="320" w:hanging="229"/>
        <w:spacing w:after="0" w:line="271" w:lineRule="auto"/>
        <w:tabs>
          <w:tab w:leader="none" w:pos="221"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Congressional Examination of For-Profit Education Could Lead to Legislation or Other Governmental Action That May Materially and Adversely Affect Kaplan’s Business</w:t>
      </w:r>
    </w:p>
    <w:p>
      <w:pPr>
        <w:spacing w:after="0" w:line="38" w:lineRule="exact"/>
        <w:rPr>
          <w:sz w:val="20"/>
          <w:szCs w:val="20"/>
          <w:color w:val="auto"/>
        </w:rPr>
      </w:pPr>
    </w:p>
    <w:p>
      <w:pPr>
        <w:jc w:val="both"/>
        <w:ind w:left="9"/>
        <w:spacing w:after="0" w:line="246" w:lineRule="auto"/>
        <w:rPr>
          <w:sz w:val="20"/>
          <w:szCs w:val="20"/>
          <w:color w:val="auto"/>
        </w:rPr>
      </w:pPr>
      <w:r>
        <w:rPr>
          <w:rFonts w:ascii="Arial" w:cs="Arial" w:eastAsia="Arial" w:hAnsi="Arial"/>
          <w:sz w:val="16"/>
          <w:szCs w:val="16"/>
          <w:color w:val="auto"/>
        </w:rPr>
        <w:t>There has been increased attention by Congress on the role that for-profit educational institutions play in higher education, including their participation Title IV programs and U.S. Department of Defense oversight of tuition assistance for military service members attending for-profit colleges. Beginning June 2010, the HELP Committee held a series of hearings to examine the for-profit education sector and requested information from various for-profit institutions, including KHE institutions. In July 2012, the Chairman of the HELP Committee issued a final report to conclude the review. The final report included observations and recommendations for federal policy, but did not include or endorse any specific proposed legislation or regulations. The ulti outcome of the HELP Committee review and any implications to the operation of KHE’s institutions are presently unknown.</w:t>
      </w:r>
    </w:p>
    <w:p>
      <w:pPr>
        <w:spacing w:after="0" w:line="172"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Other committees of the Congress have also held hearings into, among other things, the standards and procedures of accrediting agencies, credit hou and program length and the portion of U.S. Federal student financial aid going to for-profit institutions. Several legislators have variously requested the Government Accountability Office to review and make recommendations regarding, among other things, student recruitment practices; educational qu student outcomes; the sufficiency of integrity safeguards against waste, fraud and abuse in Title IV programs; and the percentage of proprietary institu revenue coming from Title IV and other U.S. Federal funding sources. This increased activity, and other current and future activity, may result in legisla further rulemaking affecting participation in Title IV programs and other governmental actions. In addition, concerns generated by congressional or oth activity, or negative media reports, may adversely affect enrollment in for-profit educational institutions.</w:t>
      </w:r>
    </w:p>
    <w:p>
      <w:pPr>
        <w:spacing w:after="0" w:line="174"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Kaplan cannot predict the extent to which these activities could result in further investigations, legislation or rulemaking affecting its participation in Titl programs, other governmental actions and/or actions by state agencies or legislators or by accreditors. If any laws or regulations are adopted that significantly limit Kaplan’s participation in Title IV programs or the amount of student financial aid for which Kaplan’s students are eligible, Kaplan’s res operations and cash flows would be adversely and materially impacted.</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38" w:name="page39"/>
    <w:bookmarkEnd w:id="38"/>
    <w:p>
      <w:pPr>
        <w:ind w:left="209" w:hanging="209"/>
        <w:spacing w:after="0"/>
        <w:tabs>
          <w:tab w:leader="none" w:pos="209"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The Kaplan Commitment Has Materially Impacted Operating Results and Is Expected to Continue to Do So</w:t>
      </w:r>
    </w:p>
    <w:p>
      <w:pPr>
        <w:spacing w:after="0" w:line="98"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In the fourth quarter of 2010, KHE phased in a program called the Kaplan Commitment. Under this program, students of Kaplan University, Kaplan Co and other KHE schools enroll in classes for several weeks and assess whether their educational experience meets their needs and expectations befor incur any significant financial obligation. Kaplan also conducts assessments to help determine whether students are likely to be successful in their cho course of study. Students who choose to withdraw from the program during the risk-free period and students who do not pass the assessment do not to pay for the coursework.</w:t>
      </w:r>
    </w:p>
    <w:p>
      <w:pPr>
        <w:spacing w:after="0" w:line="176" w:lineRule="exact"/>
        <w:rPr>
          <w:sz w:val="20"/>
          <w:szCs w:val="20"/>
          <w:color w:val="auto"/>
        </w:rPr>
      </w:pPr>
    </w:p>
    <w:p>
      <w:pPr>
        <w:jc w:val="both"/>
        <w:ind w:left="9" w:right="40"/>
        <w:spacing w:after="0" w:line="251" w:lineRule="auto"/>
        <w:rPr>
          <w:sz w:val="20"/>
          <w:szCs w:val="20"/>
          <w:color w:val="auto"/>
        </w:rPr>
      </w:pPr>
      <w:r>
        <w:rPr>
          <w:rFonts w:ascii="Arial" w:cs="Arial" w:eastAsia="Arial" w:hAnsi="Arial"/>
          <w:sz w:val="16"/>
          <w:szCs w:val="16"/>
          <w:color w:val="auto"/>
        </w:rPr>
        <w:t>The Kaplan Commitment program, along with generally lower demand, has resulted in declines in new enrollments in 2012. This program and related initiatives will likely continue to have a significant impact on the future operations of KHE, including student enrollment and retention, tuition revenues, operating income and cash flow. The Kaplan Commitment is expected to continue to have a material impact on Kaplan’s operating results.</w:t>
      </w:r>
    </w:p>
    <w:p>
      <w:pPr>
        <w:spacing w:after="0" w:line="147" w:lineRule="exact"/>
        <w:rPr>
          <w:sz w:val="20"/>
          <w:szCs w:val="20"/>
          <w:color w:val="auto"/>
        </w:rPr>
      </w:pPr>
    </w:p>
    <w:p>
      <w:pPr>
        <w:ind w:left="209" w:hanging="209"/>
        <w:spacing w:after="0"/>
        <w:tabs>
          <w:tab w:leader="none" w:pos="209"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Student Loan Defaults Could Result in Loss of Eligibility to Participate in Title IV Programs</w:t>
      </w:r>
    </w:p>
    <w:p>
      <w:pPr>
        <w:spacing w:after="0" w:line="9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A school may lose its eligibility to participate in Title IV programs if student defaults on the repayment of Title IV loans exceed specified rates, referred “cohort default rates.” The DOE calculates a cohort default rate for each of KHE’s OPEID numbers. The schools in an OPEID number whose cohort d rate exceeds 40% for any single year lose their eligibility to participate in the FFEL and Direct Loan programs effective 30 days after notification from t DOE and for at least two fiscal years, except in the event of a successful adjustment or appeal. The schools in an OPEID number whose cohort defau equals or exceeds 25% for three consecutive years lose their Title IV eligibility to participate in FFEL, Direct Loan and U.S. Federal Pell Grant program effective 30 days after notification from the DOE and for at least two fiscal years, except in the event of a successful adjustment or appeal. The school OPEID number whose cohort default rate equals or exceeds 25% in any one of the three most recent fiscal years for which rates have been issued by DOE may be placed on provisional certification by the DOE. One campus (Pittsburgh) has a two-year rate over 25% for 2010. This is the first year that campus has exceeded the threshold.</w:t>
      </w:r>
    </w:p>
    <w:p>
      <w:pPr>
        <w:spacing w:after="0" w:line="176" w:lineRule="exact"/>
        <w:rPr>
          <w:sz w:val="20"/>
          <w:szCs w:val="20"/>
          <w:color w:val="auto"/>
        </w:rPr>
      </w:pPr>
    </w:p>
    <w:p>
      <w:pPr>
        <w:ind w:left="9"/>
        <w:spacing w:after="0" w:line="244" w:lineRule="auto"/>
        <w:rPr>
          <w:sz w:val="20"/>
          <w:szCs w:val="20"/>
          <w:color w:val="auto"/>
        </w:rPr>
      </w:pPr>
      <w:r>
        <w:rPr>
          <w:rFonts w:ascii="Arial" w:cs="Arial" w:eastAsia="Arial" w:hAnsi="Arial"/>
          <w:sz w:val="16"/>
          <w:szCs w:val="16"/>
          <w:color w:val="auto"/>
        </w:rPr>
        <w:t>The enactment in August 2008 of HEOA (which reauthorized the Higher Education Act) changed the methodology that will be used to calculate cohort default rates for future years. Under the revised law, the period of time for which student defaults are tracked and included in the cohort default rate calculation is extended by a year, which is expected to increase the cohort default rates for most institutions. That change became effective with the calculation of institutions’ cohort default rates for the U.S. Federal fiscal year ending September 30, 2009; those rates were issued by the DOE in 2012 DOE will not impose sanctions based on rates calculated under this new methodology until rates for three consecutive years have been calculated, wh expected to occur in 2014. Until that time, the DOE will continue to calculate rates under the old method and impose sanctions based on those rates. revised law also increases the threshold for ending an institution’s participation in certain Title IV programs from 25% to 30% for three consecutive yea effective for three-year cohort default rates issued beginning in fiscal year 2012. The revised law changes the threshold for placement on provisional certification to 30% for two of the three most recent fiscal years for which the DOE has published official three-year cohort default rates. Five KHE cam OPEIDs have three-year rates over 30%, and no Kaplan OPEID had a three-year rate over 40%.</w:t>
      </w:r>
    </w:p>
    <w:p>
      <w:pPr>
        <w:spacing w:after="0" w:line="177" w:lineRule="exact"/>
        <w:rPr>
          <w:sz w:val="20"/>
          <w:szCs w:val="20"/>
          <w:color w:val="auto"/>
        </w:rPr>
      </w:pPr>
    </w:p>
    <w:p>
      <w:pPr>
        <w:ind w:left="9" w:right="60"/>
        <w:spacing w:after="0" w:line="235" w:lineRule="auto"/>
        <w:rPr>
          <w:sz w:val="20"/>
          <w:szCs w:val="20"/>
          <w:color w:val="auto"/>
        </w:rPr>
      </w:pPr>
      <w:r>
        <w:rPr>
          <w:rFonts w:ascii="Arial" w:cs="Arial" w:eastAsia="Arial" w:hAnsi="Arial"/>
          <w:sz w:val="17"/>
          <w:szCs w:val="17"/>
          <w:color w:val="auto"/>
        </w:rPr>
        <w:t>The loss of Title IV eligibility by either (1) the single OPEID unit that includes Kaplan University or (2) a combination of two or more other OPEID units have a material adverse effect on Kaplan’s operating results.</w:t>
      </w:r>
    </w:p>
    <w:p>
      <w:pPr>
        <w:spacing w:after="0" w:line="156" w:lineRule="exact"/>
        <w:rPr>
          <w:sz w:val="20"/>
          <w:szCs w:val="20"/>
          <w:color w:val="auto"/>
        </w:rPr>
      </w:pPr>
    </w:p>
    <w:p>
      <w:pPr>
        <w:ind w:left="209" w:hanging="209"/>
        <w:spacing w:after="0"/>
        <w:tabs>
          <w:tab w:leader="none" w:pos="209"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Title IV Revenues in Excess of U.S. Federally-Set Percentage Could Lead to Loss of Eligibility to Participate in Title IV Programs</w:t>
      </w:r>
    </w:p>
    <w:p>
      <w:pPr>
        <w:spacing w:after="0" w:line="98"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Under regulations referred to as the 90/10 rule, a KHE OPEID unit would lose its eligibility to participate in the Title IV programs for a period of at least fiscal years if it derives more than 90% of its receipts from the Title IV programs for two consecutive fiscal years, commencing with the unit’s first fiscal that ends after August 14, 2008. Any OPEID reporting unit with receipts from the Title IV programs exceeding 90% for a single fiscal year ending after August 14, 2008, would be placed on provisional certification and may be subject to other enforcement measures. The enactment of the U.S. Federal Ensuring Continued Access to Student Loans Act of 2008 increased student loan limits and the maximum amount of Pell Grants, which could result in increase in the percentage of KHE’s receipts from Title IV programs. These increases, and any future increases or changes in the 90/10 calculation fo make it more difficult for institutions to comply with the 90/10 rule. If current trends continue, management estimates that in 2013, 20 of the KHE Camp OPEID units, representing approximately 21% of KHE’s 2012 revenues, could have a 90/10 ratio over 90%.</w:t>
      </w:r>
    </w:p>
    <w:p>
      <w:pPr>
        <w:spacing w:after="0" w:line="19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39" w:name="page40"/>
    <w:bookmarkEnd w:id="39"/>
    <w:p>
      <w:pPr>
        <w:ind w:left="9" w:right="80"/>
        <w:spacing w:after="0" w:line="235" w:lineRule="auto"/>
        <w:rPr>
          <w:sz w:val="20"/>
          <w:szCs w:val="20"/>
          <w:color w:val="auto"/>
        </w:rPr>
      </w:pPr>
      <w:r>
        <w:rPr>
          <w:rFonts w:ascii="Arial" w:cs="Arial" w:eastAsia="Arial" w:hAnsi="Arial"/>
          <w:sz w:val="17"/>
          <w:szCs w:val="17"/>
          <w:color w:val="auto"/>
        </w:rPr>
        <w:t>The loss of Title IV eligibility by either (1) the single OPEID unit that includes Kaplan University or (2) a combination of other OPEID units would have material adverse effect on Kaplan’s operating results.</w:t>
      </w:r>
    </w:p>
    <w:p>
      <w:pPr>
        <w:spacing w:after="0" w:line="156" w:lineRule="exact"/>
        <w:rPr>
          <w:sz w:val="20"/>
          <w:szCs w:val="20"/>
          <w:color w:val="auto"/>
        </w:rPr>
      </w:pPr>
    </w:p>
    <w:p>
      <w:pPr>
        <w:ind w:left="209" w:hanging="209"/>
        <w:spacing w:after="0"/>
        <w:tabs>
          <w:tab w:leader="none" w:pos="209"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Failure to Maintain Institutional Accreditation Could Lead to Loss of Ability to Participate in Title IV Programs</w:t>
      </w:r>
    </w:p>
    <w:p>
      <w:pPr>
        <w:spacing w:after="0" w:line="98"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KHE’s online university and all of its ground campuses are institutionally accredited by one or another of a number of national and regional accreditors recognized by the DOE. Accreditation by an accrediting agency recognized by the DOE is required for an institution to become and remain eligible to participate in Title IV programs. In March 2011, Kaplan University’s institutional accreditor, HLC, sent Kaplan University a request for information askin documents and a report detailing Kaplan University’s admissions practices and describing the University’s compliance with HLC Core Components an policies. In addition, in June 2012, the Accrediting Commission of Career Schools and Colleges (ACCSC), a KHE accreditor, issued a notice to three campuses (Baltimore, Dayton and Indianapolis Northwest), to “show cause” as to why their accreditation should not be withdrawn for failure to meet c student achievement threshold requirements. The loss of accreditation at these or other schools would, among other things, render the affected Kapla schools and programs ineligible to participate in Title IV programs and would have a material adverse effect on their business and operations.</w:t>
      </w:r>
    </w:p>
    <w:p>
      <w:pPr>
        <w:spacing w:after="0" w:line="153" w:lineRule="exact"/>
        <w:rPr>
          <w:sz w:val="20"/>
          <w:szCs w:val="20"/>
          <w:color w:val="auto"/>
        </w:rPr>
      </w:pPr>
    </w:p>
    <w:p>
      <w:pPr>
        <w:ind w:left="229" w:hanging="229"/>
        <w:spacing w:after="0" w:line="271" w:lineRule="auto"/>
        <w:tabs>
          <w:tab w:leader="none" w:pos="221"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Failure to Maintain Programmatic Accreditation Could Lead to Loss of Ability to Provide Certain Education Programs and Failure to Obta Programmatic Accreditation May Lead to Declines in Enrollments in Unaccredited Programs</w:t>
      </w:r>
    </w:p>
    <w:p>
      <w:pPr>
        <w:spacing w:after="0" w:line="38"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Programmatic accreditation is the process through which specific programs are reviewed and approved by industry</w:t>
      </w:r>
      <w:r>
        <w:rPr>
          <w:rFonts w:ascii="Arial" w:cs="Arial" w:eastAsia="Arial" w:hAnsi="Arial"/>
          <w:sz w:val="17"/>
          <w:szCs w:val="17"/>
          <w:color w:val="1F497D"/>
        </w:rPr>
        <w:t>-</w:t>
      </w:r>
      <w:r>
        <w:rPr>
          <w:rFonts w:ascii="Arial" w:cs="Arial" w:eastAsia="Arial" w:hAnsi="Arial"/>
          <w:sz w:val="17"/>
          <w:szCs w:val="17"/>
          <w:color w:val="auto"/>
        </w:rPr>
        <w:t xml:space="preserve"> and program</w:t>
      </w:r>
      <w:r>
        <w:rPr>
          <w:rFonts w:ascii="Arial" w:cs="Arial" w:eastAsia="Arial" w:hAnsi="Arial"/>
          <w:sz w:val="17"/>
          <w:szCs w:val="17"/>
          <w:color w:val="1F497D"/>
        </w:rPr>
        <w:t>-</w:t>
      </w:r>
      <w:r>
        <w:rPr>
          <w:rFonts w:ascii="Arial" w:cs="Arial" w:eastAsia="Arial" w:hAnsi="Arial"/>
          <w:sz w:val="17"/>
          <w:szCs w:val="17"/>
          <w:color w:val="auto"/>
        </w:rPr>
        <w:t>specific accrediting entities. Although programmatic accreditation is not generally necessary for Title IV eligibility, such accreditation may be required to allow students to s certain licensure exams or to work in a particular profession or career. Failure to obtain or maintain such programmatic accreditation may lead schools discontinue programs that would not provide appropriate outcomes without that accreditation or may lead to a decline in enrollments in programs due perceived or real reduction in program value.</w:t>
      </w:r>
    </w:p>
    <w:p>
      <w:pPr>
        <w:spacing w:after="0" w:line="156" w:lineRule="exact"/>
        <w:rPr>
          <w:sz w:val="20"/>
          <w:szCs w:val="20"/>
          <w:color w:val="auto"/>
        </w:rPr>
      </w:pPr>
    </w:p>
    <w:p>
      <w:pPr>
        <w:ind w:left="209" w:hanging="209"/>
        <w:spacing w:after="0"/>
        <w:tabs>
          <w:tab w:leader="none" w:pos="209"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Failure to Maintain State Authorizations Could Cause Loss of Ability to Operate and to Participate in Title IV Programs in Some States</w:t>
      </w:r>
    </w:p>
    <w:p>
      <w:pPr>
        <w:spacing w:after="0" w:line="109"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KHE’s ground campuses and online university are subject to state-level regulation and oversight by state licensing agencies, whose approval is neces to allow an institution to operate and grant degrees or diplomas in the state. Institutions that participate in Title IV programs must be legally authorized operate in the state in which the institution is physically located. The loss of such authorization would preclude the campuses or online university from offering postsecondary education and render students ineligible to participate in Title IV programs. Loss of authorization at those state campus locatio in states that require it, for Kaplan University online, could have a material adverse effect on KHE’s business and operations.</w:t>
      </w:r>
    </w:p>
    <w:p>
      <w:pPr>
        <w:spacing w:after="0" w:line="170" w:lineRule="exact"/>
        <w:rPr>
          <w:sz w:val="20"/>
          <w:szCs w:val="20"/>
          <w:color w:val="auto"/>
        </w:rPr>
      </w:pPr>
    </w:p>
    <w:p>
      <w:pPr>
        <w:ind w:left="9" w:right="40"/>
        <w:spacing w:after="0" w:line="231" w:lineRule="auto"/>
        <w:rPr>
          <w:sz w:val="20"/>
          <w:szCs w:val="20"/>
          <w:color w:val="auto"/>
        </w:rPr>
      </w:pPr>
      <w:r>
        <w:rPr>
          <w:rFonts w:ascii="Arial" w:cs="Arial" w:eastAsia="Arial" w:hAnsi="Arial"/>
          <w:sz w:val="17"/>
          <w:szCs w:val="17"/>
          <w:color w:val="auto"/>
        </w:rPr>
        <w:t>Some states have sought to assert jurisdiction over online education institutions that offer education services to residents in the state or to institutions advertise or recruit in the state, notwithstanding the lack of a physical location in the state. State regulatory requirements for online education vary am the states, are not well developed in many states, are imprecise or unclear in some states and are subject to change. If KHE is found not to be in compliance with an applicable state regulation and a state seeks to restrict one or more of its business activities within its boundaries, KHE may not b to recruit or enroll students in that state and may have to cease providing services and advertising in that state.</w:t>
      </w:r>
    </w:p>
    <w:p>
      <w:pPr>
        <w:spacing w:after="0" w:line="176"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DOE regulations went into effect on July 1, 2011, that expanded the requirements for an institution to be considered legally authorized in the state in w is physically located for Title IV purposes. In some cases, the regulations require states to revise their current requirements and/or to license schools i order for institutions to be deemed legally authorized in those states and, in turn, to participate in the Title IV programs. If the states do not amend thei requirements where necessary and if schools do not receive approvals where necessary that comply with these requirements, then the institution coul deemed to lack the state authorization necessary to participate in the Title IV programs, which could have a material adverse effect on Kaplan’s busine and operations.</w:t>
      </w:r>
    </w:p>
    <w:p>
      <w:pPr>
        <w:spacing w:after="0" w:line="179"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In addition, DOE rules currently under judicial review may require institutions offering postsecondary education to students through distance education state in which the institution is not physically located or in which it is otherwise subject to state jurisdiction, as determined by the state, to meet any sta requirements for it to legally offer postsecondary distance education in that state. The regulations require an institution to document upon request by th DOE that it has the</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40" w:name="page41"/>
    <w:bookmarkEnd w:id="40"/>
    <w:p>
      <w:pPr>
        <w:ind w:left="9"/>
        <w:spacing w:after="0" w:line="233" w:lineRule="auto"/>
        <w:rPr>
          <w:sz w:val="20"/>
          <w:szCs w:val="20"/>
          <w:color w:val="auto"/>
        </w:rPr>
      </w:pPr>
      <w:r>
        <w:rPr>
          <w:rFonts w:ascii="Arial" w:cs="Arial" w:eastAsia="Arial" w:hAnsi="Arial"/>
          <w:sz w:val="17"/>
          <w:szCs w:val="17"/>
          <w:color w:val="auto"/>
        </w:rPr>
        <w:t>applicable state approval. As a result, some of KHE’s schools and distance-education programs may be required to obtain additional or revised state authorizations. If KHE is unable to obtain the required approvals, its students in the affected schools or programs may be unable to receive Title IV fun which could have a material adverse effect on its business and operations.</w:t>
      </w:r>
    </w:p>
    <w:p>
      <w:pPr>
        <w:spacing w:after="0" w:line="155" w:lineRule="exact"/>
        <w:rPr>
          <w:sz w:val="20"/>
          <w:szCs w:val="20"/>
          <w:color w:val="auto"/>
        </w:rPr>
      </w:pPr>
    </w:p>
    <w:p>
      <w:pPr>
        <w:ind w:left="229" w:right="80" w:hanging="229"/>
        <w:spacing w:after="0" w:line="271" w:lineRule="auto"/>
        <w:tabs>
          <w:tab w:leader="none" w:pos="221"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Failure to Correctly Calculate or Timely Return Title IV Funds for Students Who Withdraw Prior to Completing Programs Could Result in Requirement to Post a Letter of Credit or Other Sanctions</w:t>
      </w:r>
    </w:p>
    <w:p>
      <w:pPr>
        <w:spacing w:after="0" w:line="38" w:lineRule="exact"/>
        <w:rPr>
          <w:sz w:val="20"/>
          <w:szCs w:val="20"/>
          <w:color w:val="auto"/>
        </w:rPr>
      </w:pPr>
    </w:p>
    <w:p>
      <w:pPr>
        <w:jc w:val="both"/>
        <w:ind w:left="9" w:right="20"/>
        <w:spacing w:after="0" w:line="246" w:lineRule="auto"/>
        <w:rPr>
          <w:sz w:val="20"/>
          <w:szCs w:val="20"/>
          <w:color w:val="auto"/>
        </w:rPr>
      </w:pPr>
      <w:r>
        <w:rPr>
          <w:rFonts w:ascii="Arial" w:cs="Arial" w:eastAsia="Arial" w:hAnsi="Arial"/>
          <w:sz w:val="16"/>
          <w:szCs w:val="16"/>
          <w:color w:val="auto"/>
        </w:rPr>
        <w:t>DOE regulations require schools participating in Title IV programs to calculate correctly and return on a timely basis unearned Title IV funds disbursed students who withdraw from a program of study prior to completion. These funds must be returned in a timely manner, generally within 45 days of the the school determines that the student has withdrawn. Under DOE regulations, failure to make timely returns of Title IV program funds for 5% or more students sampled in a school’s annual compliance audit could result in a requirement that the school post a letter of credit in an amount equal to 25% prior-year returns of Title IV program funds. If unearned funds are not properly calculated and returned in a timely manner, an institution may be subje monetary liabilities, fines or other sanctions by the DOE that could have a material adverse effect on Kaplan’s results of operations.</w:t>
      </w:r>
    </w:p>
    <w:p>
      <w:pPr>
        <w:spacing w:after="0" w:line="152" w:lineRule="exact"/>
        <w:rPr>
          <w:sz w:val="20"/>
          <w:szCs w:val="20"/>
          <w:color w:val="auto"/>
        </w:rPr>
      </w:pPr>
    </w:p>
    <w:p>
      <w:pPr>
        <w:ind w:left="229" w:right="40" w:hanging="229"/>
        <w:spacing w:after="0" w:line="271" w:lineRule="auto"/>
        <w:tabs>
          <w:tab w:leader="none" w:pos="221"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Failure to Demonstrate Financial Responsibility Could Result in a Requirement to Submit Letters of Credit to the DOE, Loss of Eligibility Participate in Title IV Programs or Other Sanctions</w:t>
      </w:r>
    </w:p>
    <w:p>
      <w:pPr>
        <w:spacing w:after="0" w:line="38"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An institution participating in the Title IV programs must comply with certain measures of financial responsibility under the Higher Education Act and u DOE regulations. Among other things, the applicable regulations require an institution to achieve a composite score of at least 1.5, as calculated unde regulations, based on data in annual financial statements submitted to the DOE. If an institution fails to achieve a composite score of 1.5 or fails to co with other financial responsibility standards, the DOE may place conditions on the institution’s participation in the Title IV programs and may require th institution to submit to the DOE a letter of credit in an amount of at least 10% to 50% of the institution’s annual Title IV participation for its most recent year. The DOE has measured the compliance of KHE schools, based on the composite score of the division. If one or more of the institutions in KHE f meet the composite score standard or any of the other financial responsibility standards, those institutions may be required to post a letter of credit in f of the DOE and possibly may be subject to other sanctions, including limitation or termination of their participation in Title IV programs. A requirement a letter of credit or the imposition of any one or more other sanctions by the DOE could have a material adverse effect on Kaplan’s results of operation</w:t>
      </w:r>
    </w:p>
    <w:p>
      <w:pPr>
        <w:spacing w:after="0" w:line="151" w:lineRule="exact"/>
        <w:rPr>
          <w:sz w:val="20"/>
          <w:szCs w:val="20"/>
          <w:color w:val="auto"/>
        </w:rPr>
      </w:pPr>
    </w:p>
    <w:p>
      <w:pPr>
        <w:ind w:left="209" w:hanging="209"/>
        <w:spacing w:after="0"/>
        <w:tabs>
          <w:tab w:leader="none" w:pos="209"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Failure to Demonstrate Administrative Capability Could Result in Loss of Eligibility to Participate in Title IV Programs or Other Sanctions</w:t>
      </w:r>
    </w:p>
    <w:p>
      <w:pPr>
        <w:spacing w:after="0" w:line="109"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DOE regulations specify extensive criteria that an institution must satisfy to establish that it has the required “administrative capability” to participate in IV programs. These criteria include, but are not limited to, requirements relating to the institution’s compliance with all applicable Title IV requirements; institution’s administration of Title IV programs; the institution’s compliance with certain reporting, disclosure and record-keeping obligations; and the institution’s ability to maintain cohort default rates below prescribed thresholds. Failure to comply with these criteria could result in the loss or limitation eligibility of one or more of the schools in KHE to participate in the Title IV programs, a requirement to pay fines or to repay Title IV program funds, a d or refusal by the DOE to consider a school’s application for renewal of its certification to participate in the Title IV programs, civil or criminal penalties o other sanctions. Any one or more of these actions by the DOE could have a material adverse effect on Kaplan’s results of operations.</w:t>
      </w:r>
    </w:p>
    <w:p>
      <w:pPr>
        <w:spacing w:after="0" w:line="154" w:lineRule="exact"/>
        <w:rPr>
          <w:sz w:val="20"/>
          <w:szCs w:val="20"/>
          <w:color w:val="auto"/>
        </w:rPr>
      </w:pPr>
    </w:p>
    <w:p>
      <w:pPr>
        <w:ind w:left="229" w:hanging="229"/>
        <w:spacing w:after="0" w:line="271" w:lineRule="auto"/>
        <w:tabs>
          <w:tab w:leader="none" w:pos="221"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Failure to Obtain Regulatory Approval of Transactions Involving a Change of Control May Result in Loss of Ability to Operate Schools or Participate in U.S. Federal Student Financial Aid Programs</w:t>
      </w:r>
    </w:p>
    <w:p>
      <w:pPr>
        <w:spacing w:after="0" w:line="38" w:lineRule="exact"/>
        <w:rPr>
          <w:sz w:val="20"/>
          <w:szCs w:val="20"/>
          <w:color w:val="auto"/>
        </w:rPr>
      </w:pPr>
    </w:p>
    <w:p>
      <w:pPr>
        <w:jc w:val="both"/>
        <w:ind w:left="9" w:right="20"/>
        <w:spacing w:after="0" w:line="248" w:lineRule="auto"/>
        <w:rPr>
          <w:sz w:val="20"/>
          <w:szCs w:val="20"/>
          <w:color w:val="auto"/>
        </w:rPr>
      </w:pPr>
      <w:r>
        <w:rPr>
          <w:rFonts w:ascii="Arial" w:cs="Arial" w:eastAsia="Arial" w:hAnsi="Arial"/>
          <w:sz w:val="16"/>
          <w:szCs w:val="16"/>
          <w:color w:val="auto"/>
        </w:rPr>
        <w:t>If one or more of KHE’s schools experiences a change of control under the standards of applicable state agencies, accrediting agencies or the DOE, t schools governed by such agencies must seek the approval of the relevant agencies. Failure of any of KHE’s schools to reestablish its state authoriza accreditation or DOE certification following a change of control as defined by the applicable agency could result in a suspension of operating authority suspension or loss of U.S. Federal student financial aid funding, which could have a material adverse effect on KHE’s student population and revenue</w:t>
      </w:r>
    </w:p>
    <w:p>
      <w:pPr>
        <w:spacing w:after="0" w:line="38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41" w:name="page42"/>
    <w:bookmarkEnd w:id="41"/>
    <w:p>
      <w:pPr>
        <w:ind w:left="229" w:hanging="229"/>
        <w:spacing w:after="0" w:line="271" w:lineRule="auto"/>
        <w:tabs>
          <w:tab w:leader="none" w:pos="221"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Actions of Other Postsecondary Education Institutions and Related Media Coverage May Negatively Influence the Regulatory Environme and Kaplan’s Reputation</w:t>
      </w:r>
    </w:p>
    <w:p>
      <w:pPr>
        <w:spacing w:after="0" w:line="38"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The HELP Committee hearings, along with other recent investigations and lawsuits, have included allegations of, among other things, deceptive trade practices, false claims against the U.S. and noncompliance with state and DOE regulations. These allegations have attracted significant adverse medi coverage. Allegations against the overall student lending and postsecondary education sectors may impact general public perceptions of private-secto educational institutions, including Kaplan, in a negative manner. Adverse media coverage regarding other educational institutions or regarding Kaplan directly could damage Kaplan’s reputation, reduce student demand for Kaplan programs, adversely impact its revenues and operating profit or result i increased regulatory scrutiny.</w:t>
      </w:r>
    </w:p>
    <w:p>
      <w:pPr>
        <w:spacing w:after="0" w:line="159" w:lineRule="exact"/>
        <w:rPr>
          <w:sz w:val="20"/>
          <w:szCs w:val="20"/>
          <w:color w:val="auto"/>
        </w:rPr>
      </w:pPr>
    </w:p>
    <w:p>
      <w:pPr>
        <w:ind w:left="229" w:hanging="229"/>
        <w:spacing w:after="0" w:line="271" w:lineRule="auto"/>
        <w:tabs>
          <w:tab w:leader="none" w:pos="221"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Changes in the Extent to Which Standardized Tests Are Used in the Admissions Process by Colleges or Graduate Schools Could Reduce Demand for KTP Offerings</w:t>
      </w:r>
    </w:p>
    <w:p>
      <w:pPr>
        <w:spacing w:after="0" w:line="38" w:lineRule="exact"/>
        <w:rPr>
          <w:sz w:val="20"/>
          <w:szCs w:val="20"/>
          <w:color w:val="auto"/>
        </w:rPr>
      </w:pPr>
    </w:p>
    <w:p>
      <w:pPr>
        <w:ind w:left="9" w:right="40"/>
        <w:spacing w:after="0" w:line="247" w:lineRule="auto"/>
        <w:rPr>
          <w:sz w:val="20"/>
          <w:szCs w:val="20"/>
          <w:color w:val="auto"/>
        </w:rPr>
      </w:pPr>
      <w:r>
        <w:rPr>
          <w:rFonts w:ascii="Arial" w:cs="Arial" w:eastAsia="Arial" w:hAnsi="Arial"/>
          <w:sz w:val="16"/>
          <w:szCs w:val="16"/>
          <w:color w:val="auto"/>
        </w:rPr>
        <w:t>A substantial portion of Kaplan’s revenue is generated by KTP. The source of this income is fees charged for courses that prepare students for a broa range of admissions examinations that are required for admission to colleges and graduate schools. Historically, colleges and graduate schools have required standardized tests as part of the admissions process. There has been some movement away from this historical reliance on standardized admissions tests among a small number of colleges that have adopted “test-optional” admissions policies. Any significant reduction in the use of standardized tests in the college or graduate school admissions process could have an adverse effect on Kaplan’s operating results.</w:t>
      </w:r>
    </w:p>
    <w:p>
      <w:pPr>
        <w:spacing w:after="0" w:line="150" w:lineRule="exact"/>
        <w:rPr>
          <w:sz w:val="20"/>
          <w:szCs w:val="20"/>
          <w:color w:val="auto"/>
        </w:rPr>
      </w:pPr>
    </w:p>
    <w:p>
      <w:pPr>
        <w:ind w:left="229" w:right="40" w:hanging="229"/>
        <w:spacing w:after="0" w:line="271" w:lineRule="auto"/>
        <w:tabs>
          <w:tab w:leader="none" w:pos="221"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Changes in the Extent to Which Licensing and Proficiency Examinations Are Used to Qualify Individuals to Pursue Certain Careers Coul Reduce Demand for Kaplan Offerings</w:t>
      </w:r>
    </w:p>
    <w:p>
      <w:pPr>
        <w:spacing w:after="0" w:line="38" w:lineRule="exact"/>
        <w:rPr>
          <w:sz w:val="20"/>
          <w:szCs w:val="20"/>
          <w:color w:val="auto"/>
        </w:rPr>
      </w:pPr>
    </w:p>
    <w:p>
      <w:pPr>
        <w:ind w:left="9" w:right="40"/>
        <w:spacing w:after="0" w:line="233" w:lineRule="auto"/>
        <w:rPr>
          <w:sz w:val="20"/>
          <w:szCs w:val="20"/>
          <w:color w:val="auto"/>
        </w:rPr>
      </w:pPr>
      <w:r>
        <w:rPr>
          <w:rFonts w:ascii="Arial" w:cs="Arial" w:eastAsia="Arial" w:hAnsi="Arial"/>
          <w:sz w:val="17"/>
          <w:szCs w:val="17"/>
          <w:color w:val="auto"/>
        </w:rPr>
        <w:t>A substantial portion of PACE and Kaplan International’s revenue comes from preparing individuals for licensing or technical proficiency examinations various fields. Any significant relaxation or elimination of licensing or technical proficiency requirements in those fields served by PACE and Kaplan International’s businesses could negatively impact Kaplan’s operating results.</w:t>
      </w:r>
    </w:p>
    <w:p>
      <w:pPr>
        <w:spacing w:after="0" w:line="155" w:lineRule="exact"/>
        <w:rPr>
          <w:sz w:val="20"/>
          <w:szCs w:val="20"/>
          <w:color w:val="auto"/>
        </w:rPr>
      </w:pPr>
    </w:p>
    <w:p>
      <w:pPr>
        <w:ind w:left="209" w:hanging="209"/>
        <w:spacing w:after="0"/>
        <w:tabs>
          <w:tab w:leader="none" w:pos="209"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System Disruptions and Security Threats to the Company’s Technology Infrastructure Could Have a Material Adverse Effect on Its Busin</w:t>
      </w:r>
    </w:p>
    <w:p>
      <w:pPr>
        <w:spacing w:after="0" w:line="109"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Kaplan’s reputation and ability to attract and retain students is highly dependent on the performance and reliability of its information technology platfor with respect to its online and campus-based education offerings. Kaplan’s delivery of these programs could be negatively affected due to events beyo control, including natural disasters and network and telecommunications failures. Any such computer system error or failure could result in a significan outage that materially disrupts Kaplan’s online and on-ground operations.</w:t>
      </w:r>
    </w:p>
    <w:p>
      <w:pPr>
        <w:spacing w:after="0" w:line="175"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The Company’s computer networks may also be vulnerable to unauthorized access, computer hackers, computer viruses and other security threats. T Company has expended, and will continue to expend, significant resources to protect against the threat of security breaches, but its systems may still vulnerable to these threats. A user who circumvents security measures could misappropriate proprietary information or cause disruptions or malfunctio operations. Any of these events could have a material adverse effect on the Company’s business and results of operations.</w:t>
      </w:r>
    </w:p>
    <w:p>
      <w:pPr>
        <w:spacing w:after="0" w:line="150" w:lineRule="exact"/>
        <w:rPr>
          <w:sz w:val="20"/>
          <w:szCs w:val="20"/>
          <w:color w:val="auto"/>
        </w:rPr>
      </w:pPr>
    </w:p>
    <w:p>
      <w:pPr>
        <w:ind w:left="149" w:hanging="149"/>
        <w:spacing w:after="0"/>
        <w:tabs>
          <w:tab w:leader="none" w:pos="149"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Failure to Successfully Assimilate Acquired Businesses Could Negatively Affect Kaplan’s Business</w:t>
      </w:r>
    </w:p>
    <w:p>
      <w:pPr>
        <w:spacing w:after="0" w:line="98"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The Company’s Kaplan subsidiary has historically been an active acquirer of businesses that provide educational services. Although during 2012 Kapl only completed three acquisitions, historically it has acquired several businesses each year, and we expect that trend to continue. Acquisitions involve various inherent risks and uncertainties, including difficulties in efficiently integrating the service offerings, accounting and other administrative systems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possible failure of the due diligence process to identify significant business risks or undisclosed liabilities associated with the acquired business. A fail effectively manage growth and integrate acquired businesses could have a material adverse effect on Kaplan’s operating results.</w:t>
      </w:r>
    </w:p>
    <w:p>
      <w:pPr>
        <w:spacing w:after="0" w:line="385"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42" w:name="page43"/>
    <w:bookmarkEnd w:id="42"/>
    <w:p>
      <w:pPr>
        <w:ind w:left="209" w:hanging="209"/>
        <w:spacing w:after="0"/>
        <w:tabs>
          <w:tab w:leader="none" w:pos="209"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Difficulties of Managing Foreign Operations Could Negatively Affect Kaplan’s Business</w:t>
      </w:r>
    </w:p>
    <w:p>
      <w:pPr>
        <w:spacing w:after="0" w:line="98"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Kaplan has operations and investments in a growing number of foreign countries, including Canada, Mexico, the U.K., Ireland, France, Australia, New Zealand, Singapore, India and China. Operating in foreign countries presents a number of inherent risks, including the difficulties of complying with unfamiliar laws and regulations, effectively managing and staffing foreign operations, successfully navigating local customs and practices, preparing fo potential political and economic instability and adapting to currency exchange rate fluctuations. Failure to effectively manage these risks could have a material adverse effect on Kaplan’s operating results.</w:t>
      </w:r>
    </w:p>
    <w:p>
      <w:pPr>
        <w:spacing w:after="0" w:line="156" w:lineRule="exact"/>
        <w:rPr>
          <w:sz w:val="20"/>
          <w:szCs w:val="20"/>
          <w:color w:val="auto"/>
        </w:rPr>
      </w:pPr>
    </w:p>
    <w:p>
      <w:pPr>
        <w:ind w:left="209" w:hanging="209"/>
        <w:spacing w:after="0"/>
        <w:tabs>
          <w:tab w:leader="none" w:pos="209"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Changes in International Regulatory and Physical Environments Could Negatively Affect International Student Enrollments</w:t>
      </w:r>
    </w:p>
    <w:p>
      <w:pPr>
        <w:spacing w:after="0" w:line="98" w:lineRule="exact"/>
        <w:rPr>
          <w:sz w:val="20"/>
          <w:szCs w:val="20"/>
          <w:color w:val="auto"/>
        </w:rPr>
      </w:pPr>
    </w:p>
    <w:p>
      <w:pPr>
        <w:ind w:left="9"/>
        <w:spacing w:after="0" w:line="246" w:lineRule="auto"/>
        <w:rPr>
          <w:sz w:val="20"/>
          <w:szCs w:val="20"/>
          <w:color w:val="auto"/>
        </w:rPr>
      </w:pPr>
      <w:r>
        <w:rPr>
          <w:rFonts w:ascii="Arial" w:cs="Arial" w:eastAsia="Arial" w:hAnsi="Arial"/>
          <w:sz w:val="16"/>
          <w:szCs w:val="16"/>
          <w:color w:val="auto"/>
        </w:rPr>
        <w:t>A substantial portion of Kaplan International’s revenue comes from programs that prepare international students to study and travel to English-speakin countries, principally the U.S., the U.K., Australia and Singapore. Kaplan International’s ability to enroll students in these programs is directly depende its ability to comply with complex regulatory environments. A recent example of this is the immigration regulatory changes in the U.K., which impose recruitment quotas and stringent progress criteria as requirements for the maintenance of certain overseas student recruitment licenses. Any significa changes to the regulatory environment or a natural disaster or pandemic in either the students’ countries of origin or the countries to which they desire travel or study could negatively affect Kaplan’s ability to attract and retain such students, which could negatively impact Kaplan’s operating results.</w:t>
      </w:r>
    </w:p>
    <w:p>
      <w:pPr>
        <w:spacing w:after="0" w:line="152" w:lineRule="exact"/>
        <w:rPr>
          <w:sz w:val="20"/>
          <w:szCs w:val="20"/>
          <w:color w:val="auto"/>
        </w:rPr>
      </w:pPr>
    </w:p>
    <w:p>
      <w:pPr>
        <w:ind w:left="209" w:hanging="209"/>
        <w:spacing w:after="0"/>
        <w:tabs>
          <w:tab w:leader="none" w:pos="209" w:val="left"/>
        </w:tabs>
        <w:numPr>
          <w:ilvl w:val="0"/>
          <w:numId w:val="30"/>
        </w:numPr>
        <w:rPr>
          <w:rFonts w:ascii="Arial" w:cs="Arial" w:eastAsia="Arial" w:hAnsi="Arial"/>
          <w:sz w:val="17"/>
          <w:szCs w:val="17"/>
          <w:color w:val="auto"/>
        </w:rPr>
      </w:pPr>
      <w:r>
        <w:rPr>
          <w:rFonts w:ascii="Arial" w:cs="Arial" w:eastAsia="Arial" w:hAnsi="Arial"/>
          <w:sz w:val="17"/>
          <w:szCs w:val="17"/>
          <w:b w:val="1"/>
          <w:bCs w:val="1"/>
          <w:color w:val="auto"/>
        </w:rPr>
        <w:t>Failure to Comply with Regulations Applicable to International Operations Could Negatively Impact Kaplan’s Business</w:t>
      </w:r>
    </w:p>
    <w:p>
      <w:pPr>
        <w:spacing w:after="0" w:line="98"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Kaplan is subject to a wide range of regulations relating to its international operations. These include domestic laws such as the U.S. Foreign Corrupt Practices Act, as well as the local regulatory schemes of the countries in which Kaplan operates. Compliance with these regulations requires utmost vigilance. Failure to comply can result in the imposition of significant penalties or revocation of Kaplan’s authority to operate in the applicable jurisdictio each of which could have a material adverse effect on Kaplan’s operating results.</w:t>
      </w:r>
    </w:p>
    <w:p>
      <w:pPr>
        <w:spacing w:after="0" w:line="155" w:lineRule="exact"/>
        <w:rPr>
          <w:sz w:val="20"/>
          <w:szCs w:val="20"/>
          <w:color w:val="auto"/>
        </w:rPr>
      </w:pPr>
    </w:p>
    <w:p>
      <w:pPr>
        <w:ind w:left="209" w:hanging="209"/>
        <w:spacing w:after="0"/>
        <w:tabs>
          <w:tab w:leader="none" w:pos="209" w:val="left"/>
        </w:tabs>
        <w:numPr>
          <w:ilvl w:val="0"/>
          <w:numId w:val="31"/>
        </w:numPr>
        <w:rPr>
          <w:rFonts w:ascii="Arial" w:cs="Arial" w:eastAsia="Arial" w:hAnsi="Arial"/>
          <w:sz w:val="17"/>
          <w:szCs w:val="17"/>
          <w:color w:val="auto"/>
        </w:rPr>
      </w:pPr>
      <w:r>
        <w:rPr>
          <w:rFonts w:ascii="Arial" w:cs="Arial" w:eastAsia="Arial" w:hAnsi="Arial"/>
          <w:sz w:val="17"/>
          <w:szCs w:val="17"/>
          <w:b w:val="1"/>
          <w:bCs w:val="1"/>
          <w:color w:val="auto"/>
        </w:rPr>
        <w:t>Changing Preferences of Readers or Viewers Away From Traditional Media Outlets</w:t>
      </w:r>
    </w:p>
    <w:p>
      <w:pPr>
        <w:spacing w:after="0" w:line="98"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The rates that the Company’s print publishing and television broadcasting businesses can charge for advertising are directly related to the number of readers and viewers of its publications and broadcasts. There is tremendous competition for readers and viewers from other media. The Company’s publishing and television broadcasting businesses will be adversely affected to the extent that individuals decide to obtain news, entertainment, classif listings and local shopping information from Internet-based or other media to the exclusion of the Company’s digital media offerings, print publications broadcasts.</w:t>
      </w:r>
    </w:p>
    <w:p>
      <w:pPr>
        <w:spacing w:after="0" w:line="156" w:lineRule="exact"/>
        <w:rPr>
          <w:sz w:val="20"/>
          <w:szCs w:val="20"/>
          <w:color w:val="auto"/>
        </w:rPr>
      </w:pPr>
    </w:p>
    <w:p>
      <w:pPr>
        <w:ind w:left="209" w:hanging="209"/>
        <w:spacing w:after="0"/>
        <w:tabs>
          <w:tab w:leader="none" w:pos="209"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Changing Perceptions About the Effectiveness of Publishing and Television Broadcasting in Delivering Advertising</w:t>
      </w:r>
    </w:p>
    <w:p>
      <w:pPr>
        <w:spacing w:after="0" w:line="98"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Historically, newspaper publishing and television broadcasting have been viewed as cost-effective methods of delivering various forms of advertising. can be no guarantee that this historical perception will guide future decisions by advertisers. To the extent that advertisers shift advertising expenditure other media outlets, the profitability of the Company’s publishing and television broadcasting businesses will suffer.</w:t>
      </w:r>
    </w:p>
    <w:p>
      <w:pPr>
        <w:spacing w:after="0" w:line="155" w:lineRule="exact"/>
        <w:rPr>
          <w:sz w:val="20"/>
          <w:szCs w:val="20"/>
          <w:color w:val="auto"/>
        </w:rPr>
      </w:pPr>
    </w:p>
    <w:p>
      <w:pPr>
        <w:ind w:left="209" w:hanging="209"/>
        <w:spacing w:after="0"/>
        <w:tabs>
          <w:tab w:leader="none" w:pos="209"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Increased Competition Resulting From Technological Innovations in News, Information and Video Programming Distribution Systems</w:t>
      </w:r>
    </w:p>
    <w:p>
      <w:pPr>
        <w:spacing w:after="0" w:line="109" w:lineRule="exact"/>
        <w:rPr>
          <w:sz w:val="20"/>
          <w:szCs w:val="20"/>
          <w:color w:val="auto"/>
        </w:rPr>
      </w:pPr>
    </w:p>
    <w:p>
      <w:pPr>
        <w:ind w:left="9" w:right="20"/>
        <w:spacing w:after="0" w:line="232" w:lineRule="auto"/>
        <w:rPr>
          <w:sz w:val="20"/>
          <w:szCs w:val="20"/>
          <w:color w:val="auto"/>
        </w:rPr>
      </w:pPr>
      <w:r>
        <w:rPr>
          <w:rFonts w:ascii="Arial" w:cs="Arial" w:eastAsia="Arial" w:hAnsi="Arial"/>
          <w:sz w:val="17"/>
          <w:szCs w:val="17"/>
          <w:color w:val="auto"/>
        </w:rPr>
        <w:t>The development of DBS systems has significantly increased the competition faced by the Company’s cable television systems. The continuing growt technological expansion of Internet-based services has increased competitive pressure on the Company’s media businesses. The development and deployment of new technologies have the potential to negatively and dramatically affect the Company’s businesses in ways that cannot now be reliabl predicted and that may have a material adverse effect on the Company’s operating results.</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43" w:name="page44"/>
    <w:bookmarkEnd w:id="43"/>
    <w:p>
      <w:pPr>
        <w:ind w:left="209" w:hanging="209"/>
        <w:spacing w:after="0"/>
        <w:tabs>
          <w:tab w:leader="none" w:pos="209"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Changes in the Nature and Extent of Government Regulations of Television Broadcasting, Cable Television and VoIP Services</w:t>
      </w:r>
    </w:p>
    <w:p>
      <w:pPr>
        <w:spacing w:after="0" w:line="98" w:lineRule="exact"/>
        <w:rPr>
          <w:sz w:val="20"/>
          <w:szCs w:val="20"/>
          <w:color w:val="auto"/>
        </w:rPr>
      </w:pPr>
    </w:p>
    <w:p>
      <w:pPr>
        <w:jc w:val="both"/>
        <w:ind w:left="9"/>
        <w:spacing w:after="0" w:line="246" w:lineRule="auto"/>
        <w:rPr>
          <w:sz w:val="20"/>
          <w:szCs w:val="20"/>
          <w:color w:val="auto"/>
        </w:rPr>
      </w:pPr>
      <w:r>
        <w:rPr>
          <w:rFonts w:ascii="Arial" w:cs="Arial" w:eastAsia="Arial" w:hAnsi="Arial"/>
          <w:sz w:val="16"/>
          <w:szCs w:val="16"/>
          <w:color w:val="auto"/>
        </w:rPr>
        <w:t>The Company’s television broadcasting and cable television businesses operate in highly regulated environments. The Company’s VoIP services busi also is subject to a growing degree of regulation. Complying with applicable regulations has significantly increased, and may continue to increase, the and has reduced the revenues of these businesses. Changes in regulations have the potential to further negatively impact those businesses, not only increasing compliance costs and reducing revenues through restrictions on certain types of advertising, limitations on pricing flexibility or other means, also by possibly creating more favorable regulatory environments for the providers of competing services. More generally, all of the Company’s busine could have their profitability or their competitive positions adversely affected by significant changes in applicable regulations.</w:t>
      </w:r>
    </w:p>
    <w:p>
      <w:pPr>
        <w:spacing w:after="0" w:line="152" w:lineRule="exact"/>
        <w:rPr>
          <w:sz w:val="20"/>
          <w:szCs w:val="20"/>
          <w:color w:val="auto"/>
        </w:rPr>
      </w:pPr>
    </w:p>
    <w:p>
      <w:pPr>
        <w:ind w:left="209" w:hanging="209"/>
        <w:spacing w:after="0"/>
        <w:tabs>
          <w:tab w:leader="none" w:pos="209"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Potential Liability for Intellectual Property Infringement Could Adversely Affect the Company’s Businesses</w:t>
      </w:r>
    </w:p>
    <w:p>
      <w:pPr>
        <w:spacing w:after="0" w:line="98" w:lineRule="exact"/>
        <w:rPr>
          <w:sz w:val="20"/>
          <w:szCs w:val="20"/>
          <w:color w:val="auto"/>
        </w:rPr>
      </w:pPr>
    </w:p>
    <w:p>
      <w:pPr>
        <w:jc w:val="both"/>
        <w:ind w:left="9"/>
        <w:spacing w:after="0" w:line="229" w:lineRule="auto"/>
        <w:rPr>
          <w:sz w:val="20"/>
          <w:szCs w:val="20"/>
          <w:color w:val="auto"/>
        </w:rPr>
      </w:pPr>
      <w:r>
        <w:rPr>
          <w:rFonts w:ascii="Arial" w:cs="Arial" w:eastAsia="Arial" w:hAnsi="Arial"/>
          <w:sz w:val="17"/>
          <w:szCs w:val="17"/>
          <w:color w:val="auto"/>
        </w:rPr>
        <w:t>The Company periodically receives claims from third parties alleging that the Company’s businesses infringe the intellectual property rights of others. I likely that the Company will continue to be subject to similar claims, particularly as they relate to its media and cable businesses. For example, provide services similar to those offered by Cable ONE have been the target of patent infringement claims from time to time, relating to such matters as cable system architecture, electronic program guides, cable modem technology and VoIP services. Other parts of the Company’s business could also be su to such claims. Addressing intellectual product claims is a time-consuming and expensive endeavor, regardless of the merits of the claims. In order to resolve such a claim, the Company could determine the need to change its method of doing business, enter into a licensing agreement or incur substa monetary liability. It is also possible that one of the Company’s businesses could be enjoined from using the intellectual property at issue, causing it to significantly alter its operations. Although the Company cannot predict the impact at this time, if any such claims are successful, then the outcome wou likely affect the businesses utilizing the intellectual property at issue and could have a material adverse effect on those businesses’ operating results o prospects.</w:t>
      </w:r>
    </w:p>
    <w:p>
      <w:pPr>
        <w:spacing w:after="0" w:line="162" w:lineRule="exact"/>
        <w:rPr>
          <w:sz w:val="20"/>
          <w:szCs w:val="20"/>
          <w:color w:val="auto"/>
        </w:rPr>
      </w:pPr>
    </w:p>
    <w:p>
      <w:pPr>
        <w:ind w:left="209" w:hanging="209"/>
        <w:spacing w:after="0"/>
        <w:tabs>
          <w:tab w:leader="none" w:pos="209"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Failure to Comply With Privacy Laws or Regulations Could Have an Adverse Effect on the Company’s Business</w:t>
      </w:r>
    </w:p>
    <w:p>
      <w:pPr>
        <w:spacing w:after="0" w:line="98"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Various federal, state and international laws and regulations govern the collection, use, retention, sharing and security of consumer data. This area of law is evolving, and interpretations of applicable laws and regulations differ. Legislative activity in the privacy area may result in new laws that are rele the Company’s operations, for example, use of consumer data for marketing or advertising. Claims of failure to comply with the Company’s privacy pol or applicable laws or regulations could form the basis of governmental or private-party actions against the Company. Such claims and actions may cau damage to the Company’s reputation and could have an adverse effect on the Company’s business.</w:t>
      </w:r>
    </w:p>
    <w:p>
      <w:pPr>
        <w:spacing w:after="0" w:line="156" w:lineRule="exact"/>
        <w:rPr>
          <w:sz w:val="20"/>
          <w:szCs w:val="20"/>
          <w:color w:val="auto"/>
        </w:rPr>
      </w:pPr>
    </w:p>
    <w:p>
      <w:pPr>
        <w:ind w:left="209" w:hanging="209"/>
        <w:spacing w:after="0"/>
        <w:tabs>
          <w:tab w:leader="none" w:pos="209"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Changes in the Cost or Availability of Raw Materials, Particularly Newsprint</w:t>
      </w:r>
    </w:p>
    <w:p>
      <w:pPr>
        <w:spacing w:after="0" w:line="98"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Company’s newspaper publishing businesses collectively spend significant amounts each year on newsprint. Increases in the cost of newsprint or significant disruptions in the supply of newsprint could have a material adverse effect on the operating results of the Company’s newspaper publishing businesses.</w:t>
      </w:r>
    </w:p>
    <w:p>
      <w:pPr>
        <w:spacing w:after="0" w:line="155" w:lineRule="exact"/>
        <w:rPr>
          <w:sz w:val="20"/>
          <w:szCs w:val="20"/>
          <w:color w:val="auto"/>
        </w:rPr>
      </w:pPr>
    </w:p>
    <w:p>
      <w:pPr>
        <w:ind w:left="209" w:hanging="209"/>
        <w:spacing w:after="0"/>
        <w:tabs>
          <w:tab w:leader="none" w:pos="209"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Extensive Regulation of Health Care Industry Could Adversely Affect Celtic’s Business and Results of Operations</w:t>
      </w:r>
    </w:p>
    <w:p>
      <w:pPr>
        <w:spacing w:after="0" w:line="98" w:lineRule="exact"/>
        <w:rPr>
          <w:sz w:val="20"/>
          <w:szCs w:val="20"/>
          <w:color w:val="auto"/>
        </w:rPr>
      </w:pPr>
    </w:p>
    <w:p>
      <w:pPr>
        <w:ind w:left="9"/>
        <w:spacing w:after="0" w:line="244" w:lineRule="auto"/>
        <w:rPr>
          <w:sz w:val="20"/>
          <w:szCs w:val="20"/>
          <w:color w:val="auto"/>
        </w:rPr>
      </w:pPr>
      <w:r>
        <w:rPr>
          <w:rFonts w:ascii="Arial" w:cs="Arial" w:eastAsia="Arial" w:hAnsi="Arial"/>
          <w:sz w:val="16"/>
          <w:szCs w:val="16"/>
          <w:color w:val="auto"/>
        </w:rPr>
        <w:t>The home health and hospice industries are subject to extensive federal, state and local laws with regulations affecting matters including licensure and certification, quality of services, qualifications of personnel, confidentiality and security of medical records, relationships with physicians and other refe sources, operating policies and procedures, and billing and coding practices. These laws and regulations and the manner in which they are interpreted subject to change. The Affordable Care Act and the overall trend toward cost containment could result in insurers lowering payment rates, limiting serv coverage and engaging in other measures to reduce costs. Reimbursement for services by third-party payers including Medicare, Medicaid and privat health insurance providers, may not be available or may be reduced as a result of changing regulations and policies. Managed-care organizations, hospitals, physician practices and other third-party payers continue to consolidate in response to the evolving regulatory environment, thereby enhanc their ability to influence the delivery of health care services and decreasing the number of organizations serving patients. This consolidation could adv impact Celtic’s business if it is unable to maintain its ability to participate in established networks. Changes in existing laws or regulations, in their interpretation and enforcement, and the enactment of new laws or regulations could have a material adverse effect on Celtic’s business operations.</w:t>
      </w:r>
    </w:p>
    <w:p>
      <w:pPr>
        <w:spacing w:after="0" w:line="20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9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Directly or through its subsidiaries, Kaplan owns a total of eight properties: a 30,000-square-foot, six-story building located at 131 West 56th Street in York City, which serves as an education center primarily for international students; a redeveloped 47,410-square-foot, four-story brick building in Linco NE, which is used by Kaplan University; a 4,000-square-foot office condominium in Chapel Hill, NC, which it utilizes for its KTP business; a 15,000-squ foot, three-story building in Berkeley, CA, used for its KTP and English-language businesses; a 131,000-square-foot, five-story brick building in Manch NH, used by Hesser College; a 25,000-square-foot building in Hammond, IN, used by Kaplan Career College (formerly Sawyer College); a 45,000-squ foot, three-story brick building in Houston, TX, used by the Texas School of Business; and an 18,000-square-foot building in Dayton, OH, which is curr being marketed for sale. Kaplan, Inc. and Kaplan University maintain corporate offices, together with a data center, call center and employee-training facilities, in two 97,000-square-foot leased buildings located on adjacent lots in Fort Lauderdale, FL. Both of those leases will expire in 2017. KHE leas 76,500 square feet of corporate office space in Chicago, IL, for a lease term that expires in 2022. As of December 31, 2012, this location has been ent subleased through the remainder of the lease term. In December 2008, Kaplan University entered into an agreement to lease a two-story, 124,500-sq foot building in Orlando, FL, to house an additional support center. Kaplan is currently marketing 47,000 square feet for sublease in the Orlando facility June 2009, Kaplan, Inc. and KHE began sharing corporate office space in a 78,000-square-foot office building in Alpharetta, GA, under a lease that ex in 2019. In October 2009, Kaplan University entered into an agreement to lease 88,800 square feet of corporate office space in Plantation, FL. This le expires in 2021. In December 2010, Kaplan, Inc. and its New York-based KTP business relocated to consolidated space at 395 Hudson Street, occupy two floors and approximately 159,540 square feet of space. Overseas, Dublin Business School’s facilities in Dublin, Ireland, are located in six building aggregating approximately 83,000 square feet of space that are rented under leases expiring between 2016 and 2029. Kaplan Publishing has an offic distribution warehouse in Wokingham, Berkshire, U.K., of 27,000 square feet, under a lease expiring in 2016. Kaplan Financial’s largest leaseholds ar office and instructional space in London, U.K., of 33,000 square feet (expiring in 2033), 21,500 square feet (expiring in 2015) and 35,800 square feet (comprising seven separate leases, expiring in 2015); office and instructional space in Birmingham, U.K., of 23,600 square feet (expiring in 2017); offic instructional space in Manchester, U.K., of 26,900 square feet (comprising five separate leases, expiring in 2022); office and instructional space in Wa U.K., of 34,000 square feet (on an open-ended lease with termination on 12 months’ notice); and office and instructional space in Singapore of 67,000 square feet (comprising two separate leases, expiring in 2013), 101,700 square feet (comprising two separate leases, expiring in 2019) and 51,000 sq feet (comprising two separate leases, expiring in 2015). Kaplan Law School has 20,200 square feet of space in London, U.K. (comprising four separat leases, expiring in 2017). In addition, Kaplan has entered into two separate leases in Glasgow, Scotland, for 58,000 square feet and 22,400 square fe respectively, of dormitory space that were constructed and opened to students in 2012. These leases will expire in 2032. In addition, Kaplan has signe agreement for the lease of approximately 143,000 square feet of dormitory space as the main tenant of a new student residential building to be constr in Nottingham, U.K., which is expected to be completed in 2014. In Australia, Carrick leases three locations in Melbourne with an aggregate of approximately 118,600 square feet, two locations in Sydney with an aggregate of 113,200 square feet, two locations in Adelaide with an aggregate of 27,200 square feet; and one location in Brisbane with an aggregate of 39,000 square feet. These leases expire at various times from 2013 through 20 Bradford College, in Adelaide, Australia, leases a 23,200-square-foot facility, whose lease expires in 2020. All other Kaplan facilities in the U.S. and overseas (including administrative offices and instructional locations) occupy leased premises that are for less space than those listed above.</w:t>
      </w:r>
    </w:p>
    <w:p>
      <w:pPr>
        <w:spacing w:after="0" w:line="18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headquarters offices of Cable ONE are located in a three-story office building in Phoenix, AZ, that was purchased by Cable ONE in 1998. Cable O purchased an adjoining two-story office building in 2005; that building is currently unused. In 2012, Cable ONE purchased a six-story office building in Phoenix, which it is renovating, and plans to use as its new corporate headquarters. The majority of the offices and head-end facilities of the division’s individual cable systems are located in buildings owned by Cable ONE. Most of the tower sites used by the division are leased. In addition, the divisio houses call-center operations in 60,000 square feet of rented space in Phoenix under a lease that will expire in 2013 (but was renewed in part in 2012 portion of that call-center operation will relocate to the new headquarters building.</w:t>
      </w:r>
    </w:p>
    <w:p>
      <w:pPr>
        <w:spacing w:after="0" w:line="39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45" w:name="page46"/>
    <w:bookmarkEnd w:id="45"/>
    <w:p>
      <w:pPr>
        <w:jc w:val="both"/>
        <w:spacing w:after="0" w:line="235" w:lineRule="auto"/>
        <w:rPr>
          <w:sz w:val="20"/>
          <w:szCs w:val="20"/>
          <w:color w:val="auto"/>
        </w:rPr>
      </w:pPr>
      <w:r>
        <w:rPr>
          <w:rFonts w:ascii="Arial" w:cs="Arial" w:eastAsia="Arial" w:hAnsi="Arial"/>
          <w:sz w:val="17"/>
          <w:szCs w:val="17"/>
          <w:color w:val="auto"/>
        </w:rPr>
        <w:t xml:space="preserve">WP Company owns the principal offices of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 in downtown Washington, DC, including both a seven-story building in use since 1950 and a conn nine-story office building, on contiguous property, completed in 1972, in which the Company’s principal executive offices are located. WP Company als owns and occupies a small office building on L Street that is connected to the </w:t>
      </w:r>
      <w:r>
        <w:rPr>
          <w:rFonts w:ascii="Arial" w:cs="Arial" w:eastAsia="Arial" w:hAnsi="Arial"/>
          <w:sz w:val="17"/>
          <w:szCs w:val="17"/>
          <w:i w:val="1"/>
          <w:iCs w:val="1"/>
          <w:color w:val="auto"/>
        </w:rPr>
        <w:t>Post</w:t>
      </w:r>
      <w:r>
        <w:rPr>
          <w:rFonts w:ascii="Arial" w:cs="Arial" w:eastAsia="Arial" w:hAnsi="Arial"/>
          <w:sz w:val="17"/>
          <w:szCs w:val="17"/>
          <w:color w:val="auto"/>
        </w:rPr>
        <w:t xml:space="preserve">’s office building. Additionally, WP Company owns land on the corne 15th and L Streets, NW, in Washington, DC, adjacent to the </w:t>
      </w:r>
      <w:r>
        <w:rPr>
          <w:rFonts w:ascii="Arial" w:cs="Arial" w:eastAsia="Arial" w:hAnsi="Arial"/>
          <w:sz w:val="17"/>
          <w:szCs w:val="17"/>
          <w:i w:val="1"/>
          <w:iCs w:val="1"/>
          <w:color w:val="auto"/>
        </w:rPr>
        <w:t>Post</w:t>
      </w:r>
      <w:r>
        <w:rPr>
          <w:rFonts w:ascii="Arial" w:cs="Arial" w:eastAsia="Arial" w:hAnsi="Arial"/>
          <w:sz w:val="17"/>
          <w:szCs w:val="17"/>
          <w:color w:val="auto"/>
        </w:rPr>
        <w:t>’s office building. This land is leased on a long-term basis to the owner of a multistory building that was constructed on the site in 1982.</w:t>
      </w:r>
    </w:p>
    <w:p>
      <w:pPr>
        <w:spacing w:after="0" w:line="178"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WP Company owns a printing plant in Fairfax County, VA, which was built in 1980 and expanded in 1998. That facility is located on 19 acres of land o by WP Company.</w:t>
      </w:r>
    </w:p>
    <w:p>
      <w:pPr>
        <w:spacing w:after="0" w:line="176"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Daily Herald Company owns its plant and office building in Everett, WA; it also owns two warehouses and a small rental building adjacent to its pl These properties are being marketed for sale.</w:t>
      </w:r>
    </w:p>
    <w:p>
      <w:pPr>
        <w:spacing w:after="0" w:line="176" w:lineRule="exact"/>
        <w:rPr>
          <w:sz w:val="20"/>
          <w:szCs w:val="20"/>
          <w:color w:val="auto"/>
        </w:rPr>
      </w:pPr>
    </w:p>
    <w:p>
      <w:pPr>
        <w:jc w:val="both"/>
        <w:ind w:right="60"/>
        <w:spacing w:after="0" w:line="233" w:lineRule="auto"/>
        <w:rPr>
          <w:sz w:val="20"/>
          <w:szCs w:val="20"/>
          <w:color w:val="auto"/>
        </w:rPr>
      </w:pPr>
      <w:r>
        <w:rPr>
          <w:rFonts w:ascii="Arial" w:cs="Arial" w:eastAsia="Arial" w:hAnsi="Arial"/>
          <w:sz w:val="17"/>
          <w:szCs w:val="17"/>
          <w:color w:val="auto"/>
        </w:rPr>
        <w:t>PNM owns a two-story combination office building and printing plant on a seven-acre plot in Laurel, MD. PNM also owns a one-story brick building in St. Mary’s County, MD, used by editorial and sales staff, and office space in Montgomery and Charles counties, MD. In addition, PNM leases editorial sales office space in Frederick and Calvert counties, MD, and Fairfax County, VA.</w:t>
      </w:r>
    </w:p>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The headquarters offices of the Company’s broadcasting operations are located in Detroit, MI, in the same facilities that house the offices and studios WDIV. That facility and those that house the operations of each of the Company’s other television stations are all owned by subsidiaries of the Compa are the related tower sites (except in Houston, Orlando, Jacksonville and Miami, where the tower sites are 50% owned).</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Robinson Terminal Warehouse LLC (Robinson), a wholly-owned subsidiary of the Company, owns two wharves and several warehouses in Alexandria These facilities, which are adjacent to the business district and occupy approximately seven acres of land, are being marketed for sale. Robinson also two partially developed tracts of land in Fairfax County, VA, aggregating about 20 acres. These tracts are near the </w:t>
      </w:r>
      <w:r>
        <w:rPr>
          <w:rFonts w:ascii="Arial" w:cs="Arial" w:eastAsia="Arial" w:hAnsi="Arial"/>
          <w:sz w:val="16"/>
          <w:szCs w:val="16"/>
          <w:i w:val="1"/>
          <w:iCs w:val="1"/>
          <w:color w:val="auto"/>
        </w:rPr>
        <w:t>Post</w:t>
      </w:r>
      <w:r>
        <w:rPr>
          <w:rFonts w:ascii="Arial" w:cs="Arial" w:eastAsia="Arial" w:hAnsi="Arial"/>
          <w:sz w:val="16"/>
          <w:szCs w:val="16"/>
          <w:color w:val="auto"/>
        </w:rPr>
        <w:t>’s Virginia printing plant and inc several warehouses. Robinson also owns 23 acres of undeveloped land on the Potomac River in Charles County, MD.</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WP Company has assumed the lease of approximately 85,000 square feet of office space in Arlington, VA, that will expire in 2015. The space has bee subleased. WP Company also leases office space in New York City, Chicago, Los Angeles and San Francisco. The Slate Group leases office space in Washington, DC. Social Code leases office space in Washington, DC; New York City; San Francisco, CA; and Seattle, WA.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Greater Washington Publishing’s offices are located in leased space in Vienna, VA; El Tiempo Latino’s offices are located in leased space in Arlington,</w:t>
      </w:r>
    </w:p>
    <w:p>
      <w:pPr>
        <w:spacing w:after="0" w:line="18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Celtic’s headquarters office is located in leased space in Mars, PA. This lease expires in 2017. In addition to its headquarters, Celtic leases ten small o spaces in its various service territories: Carlisle, PA; Perryopolis, PA; Harrisburg, PA; Kingston, PA; New Castle, PA; Rockville, MD; and Owings Mills, Celtic also leases space for hospice inpatient units in Dunmore, PA, and Wilkes-Barre, PA.</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 purported class-action complaint was filed against the Company, Donald E. Graham and Hal S. Jones on October 28, 2010, in the U.S. District Cour the District of Columbia, by the Plumbers Local #200 Pension Fund. The complaint alleged that the Company and certain of its officers made materiall and misleading statements or failed to disclose material facts relating to KHE, in violation of the U.S. Federal securities laws. The complaint sought damages, attorneys’ fees, costs and equitable/injunctive relief. The Company moved to dismiss the complaint, and on December 23, 2011, the court g the Company’s motion and dismissed the case with prejudice. On January 25, 2012, the Plaintiff filed a motion seeking leave to amend or alter that fin judgment, which the court granted in part on March 13, 2012, by allowing the Plaintiff to file an amended complaint. On May 11, 2012, the Company m to dismiss the amended complaint. The parties await a ruling on the motion to dismiss.</w:t>
      </w:r>
    </w:p>
    <w:p>
      <w:pPr>
        <w:spacing w:after="0" w:line="178"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February 6, 2008, a purported class-action lawsuit was filed in the U.S. District Court for the Central District of California by purchasers of BAR/BR review courses, from July 2006 onward, alleging antitrust claims against Kaplan and West Publishing Corporation, BAR/BRI’s former owner. On April 1 2008, the court granted defendants’ motion to</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4" w:right="139" w:bottom="1440" w:gutter="0" w:footer="0" w:header="0"/>
        </w:sectPr>
      </w:pPr>
    </w:p>
    <w:bookmarkStart w:id="46" w:name="page47"/>
    <w:bookmarkEnd w:id="46"/>
    <w:p>
      <w:pPr>
        <w:jc w:val="both"/>
        <w:spacing w:after="0" w:line="233" w:lineRule="auto"/>
        <w:rPr>
          <w:sz w:val="20"/>
          <w:szCs w:val="20"/>
          <w:color w:val="auto"/>
        </w:rPr>
      </w:pPr>
      <w:r>
        <w:rPr>
          <w:rFonts w:ascii="Arial" w:cs="Arial" w:eastAsia="Arial" w:hAnsi="Arial"/>
          <w:sz w:val="17"/>
          <w:szCs w:val="17"/>
          <w:color w:val="auto"/>
        </w:rPr>
        <w:t>dismiss, a decision that was reversed by the Ninth Circuit Court of Appeals on November 7, 2011. The Ninth Circuit also referred the matter to a medi for the purpose of exploring a settlement. In the fourth quarter of 2012, the parties reached a comprehensive agreement to settle the matter. The settle is expected to be presented to the District Court for approval in the first quarter of 2013.</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On or about January 17, 2008, an Assistant U.S. Attorney in the Civil Division of the U.S. Attorney’s Office for the Eastern District of Pennsylvania con KHE’s CHI-Broomall campus and made inquiries about the Surgical Technology program, including the program’s eligibility for Title IV U.S. Federal fin aid, the program’s student loan defaults, licensing and accreditation. Kaplan responded to the information requests and fully cooperated with the inquir DOE also conducted a Program Review at the CHI-Broomall campus, and Kaplan likewise cooperated with the Program Review. On July 22, 2011, th Attorney’s Office for the Eastern District of Pennsylvania announced that it had entered into a comprehensive settlement agreement with Kaplan that resolved the U.S. Attorney’s inquiry, provided for the conclusion of the DOE’s program review and also settled a previously sealed U.S. Federal False Claims Act (False Claims Act) complaint that had been filed by a former employee of the CHI-Broomall campus. The total amount of all required paym by CHI-Broomall under the agreements was $1.6 million. Pursuant to the comprehensive settlement agreement, the U.S. Attorney inquiry has been cl the False Claims Act complaint (</w:t>
      </w:r>
      <w:r>
        <w:rPr>
          <w:rFonts w:ascii="Arial" w:cs="Arial" w:eastAsia="Arial" w:hAnsi="Arial"/>
          <w:sz w:val="16"/>
          <w:szCs w:val="16"/>
          <w:i w:val="1"/>
          <w:iCs w:val="1"/>
          <w:color w:val="auto"/>
        </w:rPr>
        <w:t>United States of America</w:t>
      </w:r>
      <w:r>
        <w:rPr>
          <w:rFonts w:ascii="Arial" w:cs="Arial" w:eastAsia="Arial" w:hAnsi="Arial"/>
          <w:sz w:val="16"/>
          <w:szCs w:val="16"/>
          <w:color w:val="auto"/>
        </w:rPr>
        <w:t xml:space="preserve"> ex rel. </w:t>
      </w:r>
      <w:r>
        <w:rPr>
          <w:rFonts w:ascii="Arial" w:cs="Arial" w:eastAsia="Arial" w:hAnsi="Arial"/>
          <w:sz w:val="16"/>
          <w:szCs w:val="16"/>
          <w:i w:val="1"/>
          <w:iCs w:val="1"/>
          <w:color w:val="auto"/>
        </w:rPr>
        <w:t>David Goodstein</w:t>
      </w:r>
      <w:r>
        <w:rPr>
          <w:rFonts w:ascii="Arial" w:cs="Arial" w:eastAsia="Arial" w:hAnsi="Arial"/>
          <w:sz w:val="16"/>
          <w:szCs w:val="16"/>
          <w:color w:val="auto"/>
        </w:rPr>
        <w:t xml:space="preserve"> v. </w:t>
      </w:r>
      <w:r>
        <w:rPr>
          <w:rFonts w:ascii="Arial" w:cs="Arial" w:eastAsia="Arial" w:hAnsi="Arial"/>
          <w:sz w:val="16"/>
          <w:szCs w:val="16"/>
          <w:i w:val="1"/>
          <w:iCs w:val="1"/>
          <w:color w:val="auto"/>
        </w:rPr>
        <w:t>Kaplan, Inc.</w:t>
      </w:r>
      <w:r>
        <w:rPr>
          <w:rFonts w:ascii="Arial" w:cs="Arial" w:eastAsia="Arial" w:hAnsi="Arial"/>
          <w:sz w:val="16"/>
          <w:szCs w:val="16"/>
          <w:color w:val="auto"/>
        </w:rPr>
        <w:t xml:space="preserve"> et al.) was dismissed with prejudice, and the DOE wi issue a final program review determination. At this time, Kaplan cannot predict the contents of the pending final program review determination or the u impact the proceedings may have on the CHI-Broomall campus or the KHE business generally.</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 xml:space="preserve">Several Kaplan subsidiaries were or are subject to four other unsealed cases filed by former employees that include, among other allegations, claims the False Claims Act relating to eligibility for Title IV funding. The U.S. Government declined to intervene in all cases, and, as previously reported, cour decisions in 2011 either dismissed the cases in their entirety or narrowed the scope of their allegations. The four cases are captioned: </w:t>
      </w:r>
      <w:r>
        <w:rPr>
          <w:rFonts w:ascii="Arial" w:cs="Arial" w:eastAsia="Arial" w:hAnsi="Arial"/>
          <w:sz w:val="17"/>
          <w:szCs w:val="17"/>
          <w:i w:val="1"/>
          <w:iCs w:val="1"/>
          <w:color w:val="auto"/>
        </w:rPr>
        <w:t>United States 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Carlos Urquilla-Diaz </w:t>
      </w:r>
      <w:r>
        <w:rPr>
          <w:rFonts w:ascii="Arial" w:cs="Arial" w:eastAsia="Arial" w:hAnsi="Arial"/>
          <w:sz w:val="17"/>
          <w:szCs w:val="17"/>
          <w:color w:val="auto"/>
        </w:rPr>
        <w:t>et al</w:t>
      </w:r>
      <w:r>
        <w:rPr>
          <w:rFonts w:ascii="Arial" w:cs="Arial" w:eastAsia="Arial" w:hAnsi="Arial"/>
          <w:sz w:val="17"/>
          <w:szCs w:val="17"/>
          <w:i w:val="1"/>
          <w:iCs w:val="1"/>
          <w:color w:val="auto"/>
        </w:rPr>
        <w:t xml:space="preserve">. </w:t>
      </w:r>
      <w:r>
        <w:rPr>
          <w:rFonts w:ascii="Arial" w:cs="Arial" w:eastAsia="Arial" w:hAnsi="Arial"/>
          <w:sz w:val="17"/>
          <w:szCs w:val="17"/>
          <w:color w:val="auto"/>
        </w:rPr>
        <w:t>v</w:t>
      </w:r>
      <w:r>
        <w:rPr>
          <w:rFonts w:ascii="Arial" w:cs="Arial" w:eastAsia="Arial" w:hAnsi="Arial"/>
          <w:sz w:val="17"/>
          <w:szCs w:val="17"/>
          <w:i w:val="1"/>
          <w:iCs w:val="1"/>
          <w:color w:val="auto"/>
        </w:rPr>
        <w:t xml:space="preserve">. Kaplan University </w:t>
      </w:r>
      <w:r>
        <w:rPr>
          <w:rFonts w:ascii="Arial" w:cs="Arial" w:eastAsia="Arial" w:hAnsi="Arial"/>
          <w:sz w:val="17"/>
          <w:szCs w:val="17"/>
          <w:color w:val="auto"/>
        </w:rPr>
        <w:t>et al. (unsealed March 25,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Jorge Torres </w:t>
      </w:r>
      <w:r>
        <w:rPr>
          <w:rFonts w:ascii="Arial" w:cs="Arial" w:eastAsia="Arial" w:hAnsi="Arial"/>
          <w:sz w:val="17"/>
          <w:szCs w:val="17"/>
          <w:color w:val="auto"/>
        </w:rPr>
        <w:t>v.</w:t>
      </w:r>
      <w:r>
        <w:rPr>
          <w:rFonts w:ascii="Arial" w:cs="Arial" w:eastAsia="Arial" w:hAnsi="Arial"/>
          <w:sz w:val="17"/>
          <w:szCs w:val="17"/>
          <w:i w:val="1"/>
          <w:iCs w:val="1"/>
          <w:color w:val="auto"/>
        </w:rPr>
        <w:t xml:space="preserve"> Kapl Higher Education Corp. </w:t>
      </w:r>
      <w:r>
        <w:rPr>
          <w:rFonts w:ascii="Arial" w:cs="Arial" w:eastAsia="Arial" w:hAnsi="Arial"/>
          <w:sz w:val="17"/>
          <w:szCs w:val="17"/>
          <w:color w:val="auto"/>
        </w:rPr>
        <w:t>(unsealed April 7,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Victoria Gatsiopoulos </w:t>
      </w:r>
      <w:r>
        <w:rPr>
          <w:rFonts w:ascii="Arial" w:cs="Arial" w:eastAsia="Arial" w:hAnsi="Arial"/>
          <w:sz w:val="17"/>
          <w:szCs w:val="17"/>
          <w:color w:val="auto"/>
        </w:rPr>
        <w:t>et al. v.</w:t>
      </w:r>
      <w:r>
        <w:rPr>
          <w:rFonts w:ascii="Arial" w:cs="Arial" w:eastAsia="Arial" w:hAnsi="Arial"/>
          <w:sz w:val="17"/>
          <w:szCs w:val="17"/>
          <w:i w:val="1"/>
          <w:iCs w:val="1"/>
          <w:color w:val="auto"/>
        </w:rPr>
        <w:t xml:space="preserve"> ICM School of Business &amp; Medical Ca </w:t>
      </w:r>
      <w:r>
        <w:rPr>
          <w:rFonts w:ascii="Arial" w:cs="Arial" w:eastAsia="Arial" w:hAnsi="Arial"/>
          <w:sz w:val="17"/>
          <w:szCs w:val="17"/>
          <w:color w:val="auto"/>
        </w:rPr>
        <w:t xml:space="preserve">et al. (unsealed September 2, 2008); and </w:t>
      </w:r>
      <w:r>
        <w:rPr>
          <w:rFonts w:ascii="Arial" w:cs="Arial" w:eastAsia="Arial" w:hAnsi="Arial"/>
          <w:sz w:val="17"/>
          <w:szCs w:val="17"/>
          <w:i w:val="1"/>
          <w:iCs w:val="1"/>
          <w:color w:val="auto"/>
        </w:rPr>
        <w:t>United States of America</w:t>
      </w:r>
      <w:r>
        <w:rPr>
          <w:rFonts w:ascii="Arial" w:cs="Arial" w:eastAsia="Arial" w:hAnsi="Arial"/>
          <w:sz w:val="17"/>
          <w:szCs w:val="17"/>
          <w:color w:val="auto"/>
        </w:rPr>
        <w:t xml:space="preserve"> ex rel. </w:t>
      </w:r>
      <w:r>
        <w:rPr>
          <w:rFonts w:ascii="Arial" w:cs="Arial" w:eastAsia="Arial" w:hAnsi="Arial"/>
          <w:sz w:val="17"/>
          <w:szCs w:val="17"/>
          <w:i w:val="1"/>
          <w:iCs w:val="1"/>
          <w:color w:val="auto"/>
        </w:rPr>
        <w:t>Charles Jajdelski</w:t>
      </w:r>
      <w:r>
        <w:rPr>
          <w:rFonts w:ascii="Arial" w:cs="Arial" w:eastAsia="Arial" w:hAnsi="Arial"/>
          <w:sz w:val="17"/>
          <w:szCs w:val="17"/>
          <w:color w:val="auto"/>
        </w:rPr>
        <w:t xml:space="preserve"> v</w:t>
      </w:r>
      <w:r>
        <w:rPr>
          <w:rFonts w:ascii="Arial" w:cs="Arial" w:eastAsia="Arial" w:hAnsi="Arial"/>
          <w:sz w:val="17"/>
          <w:szCs w:val="17"/>
          <w:i w:val="1"/>
          <w:iCs w:val="1"/>
          <w:color w:val="auto"/>
        </w:rPr>
        <w:t>. Kaplan Higher Education Corp</w:t>
      </w:r>
      <w:r>
        <w:rPr>
          <w:rFonts w:ascii="Arial" w:cs="Arial" w:eastAsia="Arial" w:hAnsi="Arial"/>
          <w:sz w:val="17"/>
          <w:szCs w:val="17"/>
          <w:color w:val="auto"/>
        </w:rPr>
        <w:t>. et al. (unsealed January 2009).</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On August 17, 2011, the U.S. District Court for the Southern District of Florida issued a series of rulings in the Diaz case, which included three separat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Claims Act allegations regarding compliance with the U.S. Federal Rehabilitation Act. On October 31, 2012, the court entered summary judgment in fa the Company as to the sole remaining employment claim in the Diaz complaint. The Gillespie complaint is proceeding to the discovery and dispositive motion phases.</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On August 23, 2011, the U.S. District Court for the Southern District of Florida dismissed the Torres complaint in its entirety and entered a final judgme favor of Kaplan. That case was appealed to the U.S. Court of Appeals for the Eleventh Judicial Circuit, but the appeal was subsequently dismissed for of prosecution.</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On August 9, 2011, the U.S. District Court for the Southern District of Florida granted in part Kaplan’s motion to dismiss the Gatsiopoulos complaint, w limited the allegations in that case to alleged violations of U.S. Federal incentive compensation regulations and so-called “70 percent rules,” and an individual employment claim and limited the time frame applicable to these claims. Thereafter, the relators voluntarily dismissed the “false claims” alleg and the remaining employment claim was settled. The case was dismissed in the first quarter of 2012.</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On July 7, 2011, the U.S. District Court for the District of Nevada dismissed the Jajdelski complaint in its entirety and entered a final judgment in favor Kaplan. On February 13, 2013, the U.S. Circuit Court for the Ninth Judicial Circuit affirmed the dismissal in part, and reversed the dismissal on one allegation under the False Claims Act relating to eligibility for Title IV funding based on claims of false attendance. Kaplan is evaluating the decision an options for next steps, including seeking a re-hearing in the appellate court.</w:t>
      </w:r>
    </w:p>
    <w:p>
      <w:pPr>
        <w:spacing w:after="0" w:line="175"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On October 21, 2010, Kaplan Higher Education Corporation received a subpoena from the office of the Florida Attorney General. The subpoena soug information pertaining to the online and on-campus schools operated by KHE in and outside of Florida. KHE has cooperated with the Florida Attorney General and provided the information requested in the</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47" w:name="page48"/>
    <w:bookmarkEnd w:id="47"/>
    <w:p>
      <w:pPr>
        <w:ind w:right="40"/>
        <w:spacing w:after="0" w:line="235" w:lineRule="auto"/>
        <w:rPr>
          <w:sz w:val="20"/>
          <w:szCs w:val="20"/>
          <w:color w:val="auto"/>
        </w:rPr>
      </w:pPr>
      <w:r>
        <w:rPr>
          <w:rFonts w:ascii="Arial" w:cs="Arial" w:eastAsia="Arial" w:hAnsi="Arial"/>
          <w:sz w:val="17"/>
          <w:szCs w:val="17"/>
          <w:color w:val="auto"/>
        </w:rPr>
        <w:t>subpoena. Although KHE may receive further requests for information from the Florida Attorney General, there has been no such further corresponde date. The Company cannot predict the outcome of this inquiry.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December 21, 2010, the U.S. Equal Employment Opportunity Commission filed suit against Kaplan Higher Education Corporation in the U.S. Distri Court for the Northern District of Ohio alleging racial bias by Kaplan in requesting credit scores of job applicants seeking financial positions. In March 2 the court granted in part the Company’s motion to dismiss the complaint. On January 28, 2013, the court entered summary judgment in favor of Kapla Higher Education Corporation and against the EEOC, terminating the case in its entirety. The EEOC will have 60 days in which to file an appeal.</w:t>
      </w:r>
    </w:p>
    <w:p>
      <w:pPr>
        <w:spacing w:after="0" w:line="17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February 7, 2011, Kaplan Higher Education Corporation received a Civil Investigative Demand from the Office of the Attorney General of the State Illinois. The demand primarily sought information pertaining to Kaplan University’s online students who are residents of Illinois. KHE has cooperated w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April 30, 2011, Kaplan Higher Education Corporation received a Civil Investigative Demand from the Office of the Attorney General of the State of Massachusetts. The demand primarily sought information pertaining to KHE Campuses’ students who are residents of Massachusetts. KHE has coop with the Massachusetts Attorney General and provided the requested information. Although KHE may receive further requests for information from the Massachusetts Attorney General, there has been no such further correspondence to date. The Company cannot predict the outcome of this inquiry.</w:t>
      </w:r>
    </w:p>
    <w:p>
      <w:pPr>
        <w:spacing w:after="0" w:line="170"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July 20, 2011, Kaplan Higher Education Corporation received a subpoena from the Office of the Attorney General of the State of Delaware. The de primarily sought information pertaining to Kaplan University’s online students and KHE Campuses’ students who are residents of Delaware. KHE has cooperated with the Delaware Attorney General and provided the information requested in the subpoena. Although KHE may receive further requests information from the Delaware Attorney General, there has been no such further correspondence to date. The Company cannot predict the outcome o inquiry.</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Company and its subsidiaries are also subject to complaints and administrative proceedings and are defendants in various other civil lawsuits tha arisen in the ordinary course of their businesses, including contract disputes; actions alleging negligence, libel, invasion of privacy; trademark, copyrig patent infringement; False Claims Act violations; violations of applicable wage and hour laws; and statutory or common law claims involving current an former students and employees. While it is not possible to predict the outcomes of these lawsuits, in the opinion of management, their ultimate disposi should not have a material adverse effect on the Company’s business, financial condition,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7"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PART II</w:t>
      </w:r>
    </w:p>
    <w:p>
      <w:pPr>
        <w:spacing w:after="0" w:line="177" w:lineRule="exact"/>
        <w:rPr>
          <w:sz w:val="20"/>
          <w:szCs w:val="20"/>
          <w:color w:val="auto"/>
        </w:rPr>
      </w:pPr>
    </w:p>
    <w:p>
      <w:pPr>
        <w:ind w:right="1280"/>
        <w:spacing w:after="0" w:line="469" w:lineRule="auto"/>
        <w:rPr>
          <w:sz w:val="20"/>
          <w:szCs w:val="20"/>
          <w:color w:val="auto"/>
        </w:rPr>
      </w:pPr>
      <w:r>
        <w:rPr>
          <w:rFonts w:ascii="Arial" w:cs="Arial" w:eastAsia="Arial" w:hAnsi="Arial"/>
          <w:sz w:val="17"/>
          <w:szCs w:val="17"/>
          <w:b w:val="1"/>
          <w:bCs w:val="1"/>
          <w:color w:val="auto"/>
        </w:rPr>
        <w:t xml:space="preserve">Item 5. Market for the Registrant’s Common Equity, Related Stockholder Matters and Issuer Purchases of Equity Securities. </w:t>
      </w:r>
      <w:r>
        <w:rPr>
          <w:rFonts w:ascii="Arial" w:cs="Arial" w:eastAsia="Arial" w:hAnsi="Arial"/>
          <w:sz w:val="17"/>
          <w:szCs w:val="17"/>
          <w:b w:val="1"/>
          <w:bCs w:val="1"/>
          <w:i w:val="1"/>
          <w:iCs w:val="1"/>
          <w:color w:val="auto"/>
        </w:rPr>
        <w:t>Market Information and Holders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 Company’s Class B Common Stock is traded on the New York Stock Exchange under the symbol “WPO.” The Company’s Class A Common Stoc not publicly traded.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high and low sales prices of the Company’s Class B Common Stock during the last two years were: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180" w:type="dxa"/>
            <w:vAlign w:val="bottom"/>
          </w:tcPr>
          <w:p>
            <w:pPr>
              <w:jc w:val="right"/>
              <w:ind w:right="50"/>
              <w:spacing w:after="0"/>
              <w:rPr>
                <w:sz w:val="20"/>
                <w:szCs w:val="20"/>
                <w:color w:val="auto"/>
              </w:rPr>
            </w:pPr>
            <w:r>
              <w:rPr>
                <w:rFonts w:ascii="Arial" w:cs="Arial" w:eastAsia="Arial" w:hAnsi="Arial"/>
                <w:sz w:val="12"/>
                <w:szCs w:val="12"/>
                <w:b w:val="1"/>
                <w:bCs w:val="1"/>
                <w:color w:val="auto"/>
              </w:rPr>
              <w:t>2012</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jc w:val="right"/>
              <w:ind w:right="232"/>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38"/>
        </w:trPr>
        <w:tc>
          <w:tcPr>
            <w:tcW w:w="7320" w:type="dxa"/>
            <w:vAlign w:val="bottom"/>
            <w:vMerge w:val="restart"/>
          </w:tcPr>
          <w:p>
            <w:pPr>
              <w:ind w:left="3140"/>
              <w:spacing w:after="0"/>
              <w:rPr>
                <w:sz w:val="20"/>
                <w:szCs w:val="20"/>
                <w:color w:val="auto"/>
              </w:rPr>
            </w:pPr>
            <w:r>
              <w:rPr>
                <w:rFonts w:ascii="Arial" w:cs="Arial" w:eastAsia="Arial" w:hAnsi="Arial"/>
                <w:sz w:val="12"/>
                <w:szCs w:val="12"/>
                <w:b w:val="1"/>
                <w:bCs w:val="1"/>
                <w:color w:val="auto"/>
              </w:rPr>
              <w:t>Quarter</w:t>
            </w:r>
          </w:p>
        </w:tc>
        <w:tc>
          <w:tcPr>
            <w:tcW w:w="1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7320" w:type="dxa"/>
            <w:vAlign w:val="bottom"/>
            <w:tcBorders>
              <w:bottom w:val="single" w:sz="8" w:color="auto"/>
            </w:tcBorders>
            <w:vMerge w:val="continue"/>
          </w:tcPr>
          <w:p>
            <w:pPr>
              <w:spacing w:after="0"/>
              <w:rPr>
                <w:sz w:val="11"/>
                <w:szCs w:val="11"/>
                <w:color w:val="auto"/>
              </w:rPr>
            </w:pPr>
          </w:p>
        </w:tc>
        <w:tc>
          <w:tcPr>
            <w:tcW w:w="1180" w:type="dxa"/>
            <w:vAlign w:val="bottom"/>
            <w:tcBorders>
              <w:bottom w:val="single" w:sz="8" w:color="auto"/>
            </w:tcBorders>
          </w:tcPr>
          <w:p>
            <w:pPr>
              <w:jc w:val="right"/>
              <w:ind w:right="610"/>
              <w:spacing w:after="0" w:line="129" w:lineRule="exact"/>
              <w:rPr>
                <w:sz w:val="20"/>
                <w:szCs w:val="20"/>
                <w:color w:val="auto"/>
              </w:rPr>
            </w:pPr>
            <w:r>
              <w:rPr>
                <w:rFonts w:ascii="Arial" w:cs="Arial" w:eastAsia="Arial" w:hAnsi="Arial"/>
                <w:sz w:val="12"/>
                <w:szCs w:val="12"/>
                <w:b w:val="1"/>
                <w:bCs w:val="1"/>
                <w:color w:val="auto"/>
              </w:rPr>
              <w:t>High</w:t>
            </w:r>
          </w:p>
        </w:tc>
        <w:tc>
          <w:tcPr>
            <w:tcW w:w="960" w:type="dxa"/>
            <w:vAlign w:val="bottom"/>
            <w:tcBorders>
              <w:bottom w:val="single" w:sz="8" w:color="auto"/>
            </w:tcBorders>
          </w:tcPr>
          <w:p>
            <w:pPr>
              <w:jc w:val="right"/>
              <w:ind w:right="428"/>
              <w:spacing w:after="0" w:line="129" w:lineRule="exact"/>
              <w:rPr>
                <w:sz w:val="20"/>
                <w:szCs w:val="20"/>
                <w:color w:val="auto"/>
              </w:rPr>
            </w:pPr>
            <w:r>
              <w:rPr>
                <w:rFonts w:ascii="Arial" w:cs="Arial" w:eastAsia="Arial" w:hAnsi="Arial"/>
                <w:sz w:val="12"/>
                <w:szCs w:val="12"/>
                <w:b w:val="1"/>
                <w:bCs w:val="1"/>
                <w:color w:val="auto"/>
              </w:rPr>
              <w:t>Low</w:t>
            </w:r>
          </w:p>
        </w:tc>
        <w:tc>
          <w:tcPr>
            <w:tcW w:w="86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2"/>
                <w:szCs w:val="12"/>
                <w:color w:val="auto"/>
              </w:rPr>
              <w:t>High</w:t>
            </w: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320" w:type="dxa"/>
            <w:vAlign w:val="bottom"/>
          </w:tcPr>
          <w:p>
            <w:pPr>
              <w:spacing w:after="0" w:line="150" w:lineRule="exact"/>
              <w:rPr>
                <w:sz w:val="20"/>
                <w:szCs w:val="20"/>
                <w:color w:val="auto"/>
              </w:rPr>
            </w:pPr>
            <w:r>
              <w:rPr>
                <w:rFonts w:ascii="Arial" w:cs="Arial" w:eastAsia="Arial" w:hAnsi="Arial"/>
                <w:sz w:val="15"/>
                <w:szCs w:val="15"/>
                <w:color w:val="auto"/>
              </w:rPr>
              <w:t>January–March</w:t>
            </w:r>
          </w:p>
        </w:tc>
        <w:tc>
          <w:tcPr>
            <w:tcW w:w="1180" w:type="dxa"/>
            <w:vAlign w:val="bottom"/>
          </w:tcPr>
          <w:p>
            <w:pPr>
              <w:jc w:val="right"/>
              <w:ind w:right="450"/>
              <w:spacing w:after="0" w:line="150" w:lineRule="exact"/>
              <w:rPr>
                <w:sz w:val="20"/>
                <w:szCs w:val="20"/>
                <w:color w:val="auto"/>
              </w:rPr>
            </w:pPr>
            <w:r>
              <w:rPr>
                <w:rFonts w:ascii="Arial" w:cs="Arial" w:eastAsia="Arial" w:hAnsi="Arial"/>
                <w:sz w:val="15"/>
                <w:szCs w:val="15"/>
                <w:b w:val="1"/>
                <w:bCs w:val="1"/>
                <w:color w:val="auto"/>
              </w:rPr>
              <w:t>$  405</w:t>
            </w:r>
          </w:p>
        </w:tc>
        <w:tc>
          <w:tcPr>
            <w:tcW w:w="960" w:type="dxa"/>
            <w:vAlign w:val="bottom"/>
          </w:tcPr>
          <w:p>
            <w:pPr>
              <w:jc w:val="right"/>
              <w:ind w:right="248"/>
              <w:spacing w:after="0" w:line="150" w:lineRule="exact"/>
              <w:rPr>
                <w:sz w:val="20"/>
                <w:szCs w:val="20"/>
                <w:color w:val="auto"/>
              </w:rPr>
            </w:pPr>
            <w:r>
              <w:rPr>
                <w:rFonts w:ascii="Arial" w:cs="Arial" w:eastAsia="Arial" w:hAnsi="Arial"/>
                <w:sz w:val="15"/>
                <w:szCs w:val="15"/>
                <w:b w:val="1"/>
                <w:bCs w:val="1"/>
                <w:color w:val="auto"/>
              </w:rPr>
              <w:t>$  364</w:t>
            </w:r>
          </w:p>
        </w:tc>
        <w:tc>
          <w:tcPr>
            <w:tcW w:w="860" w:type="dxa"/>
            <w:vAlign w:val="bottom"/>
          </w:tcPr>
          <w:p>
            <w:pPr>
              <w:jc w:val="right"/>
              <w:spacing w:after="0" w:line="150" w:lineRule="exact"/>
              <w:rPr>
                <w:sz w:val="20"/>
                <w:szCs w:val="20"/>
                <w:color w:val="auto"/>
              </w:rPr>
            </w:pPr>
            <w:r>
              <w:rPr>
                <w:rFonts w:ascii="Arial" w:cs="Arial" w:eastAsia="Arial" w:hAnsi="Arial"/>
                <w:sz w:val="15"/>
                <w:szCs w:val="15"/>
                <w:color w:val="auto"/>
              </w:rPr>
              <w:t>$  456</w:t>
            </w:r>
          </w:p>
        </w:tc>
        <w:tc>
          <w:tcPr>
            <w:tcW w:w="62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April–June</w:t>
            </w:r>
          </w:p>
        </w:tc>
        <w:tc>
          <w:tcPr>
            <w:tcW w:w="1180" w:type="dxa"/>
            <w:vAlign w:val="bottom"/>
          </w:tcPr>
          <w:p>
            <w:pPr>
              <w:jc w:val="right"/>
              <w:ind w:right="450"/>
              <w:spacing w:after="0"/>
              <w:rPr>
                <w:sz w:val="20"/>
                <w:szCs w:val="20"/>
                <w:color w:val="auto"/>
              </w:rPr>
            </w:pPr>
            <w:r>
              <w:rPr>
                <w:rFonts w:ascii="Arial" w:cs="Arial" w:eastAsia="Arial" w:hAnsi="Arial"/>
                <w:sz w:val="15"/>
                <w:szCs w:val="15"/>
                <w:b w:val="1"/>
                <w:bCs w:val="1"/>
                <w:color w:val="auto"/>
              </w:rPr>
              <w:t>391</w:t>
            </w:r>
          </w:p>
        </w:tc>
        <w:tc>
          <w:tcPr>
            <w:tcW w:w="960" w:type="dxa"/>
            <w:vAlign w:val="bottom"/>
          </w:tcPr>
          <w:p>
            <w:pPr>
              <w:jc w:val="right"/>
              <w:ind w:right="248"/>
              <w:spacing w:after="0"/>
              <w:rPr>
                <w:sz w:val="20"/>
                <w:szCs w:val="20"/>
                <w:color w:val="auto"/>
              </w:rPr>
            </w:pPr>
            <w:r>
              <w:rPr>
                <w:rFonts w:ascii="Arial" w:cs="Arial" w:eastAsia="Arial" w:hAnsi="Arial"/>
                <w:sz w:val="15"/>
                <w:szCs w:val="15"/>
                <w:b w:val="1"/>
                <w:bCs w:val="1"/>
                <w:color w:val="auto"/>
              </w:rPr>
              <w:t>328</w:t>
            </w:r>
          </w:p>
        </w:tc>
        <w:tc>
          <w:tcPr>
            <w:tcW w:w="860" w:type="dxa"/>
            <w:vAlign w:val="bottom"/>
          </w:tcPr>
          <w:p>
            <w:pPr>
              <w:jc w:val="right"/>
              <w:spacing w:after="0"/>
              <w:rPr>
                <w:sz w:val="20"/>
                <w:szCs w:val="20"/>
                <w:color w:val="auto"/>
              </w:rPr>
            </w:pPr>
            <w:r>
              <w:rPr>
                <w:rFonts w:ascii="Arial" w:cs="Arial" w:eastAsia="Arial" w:hAnsi="Arial"/>
                <w:sz w:val="15"/>
                <w:szCs w:val="15"/>
                <w:color w:val="auto"/>
              </w:rPr>
              <w:t>454</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July–September</w:t>
            </w:r>
          </w:p>
        </w:tc>
        <w:tc>
          <w:tcPr>
            <w:tcW w:w="1180" w:type="dxa"/>
            <w:vAlign w:val="bottom"/>
          </w:tcPr>
          <w:p>
            <w:pPr>
              <w:jc w:val="right"/>
              <w:ind w:right="450"/>
              <w:spacing w:after="0"/>
              <w:rPr>
                <w:sz w:val="20"/>
                <w:szCs w:val="20"/>
                <w:color w:val="auto"/>
              </w:rPr>
            </w:pPr>
            <w:r>
              <w:rPr>
                <w:rFonts w:ascii="Arial" w:cs="Arial" w:eastAsia="Arial" w:hAnsi="Arial"/>
                <w:sz w:val="15"/>
                <w:szCs w:val="15"/>
                <w:b w:val="1"/>
                <w:bCs w:val="1"/>
                <w:color w:val="auto"/>
              </w:rPr>
              <w:t>381</w:t>
            </w:r>
          </w:p>
        </w:tc>
        <w:tc>
          <w:tcPr>
            <w:tcW w:w="960" w:type="dxa"/>
            <w:vAlign w:val="bottom"/>
          </w:tcPr>
          <w:p>
            <w:pPr>
              <w:jc w:val="right"/>
              <w:ind w:right="248"/>
              <w:spacing w:after="0"/>
              <w:rPr>
                <w:sz w:val="20"/>
                <w:szCs w:val="20"/>
                <w:color w:val="auto"/>
              </w:rPr>
            </w:pPr>
            <w:r>
              <w:rPr>
                <w:rFonts w:ascii="Arial" w:cs="Arial" w:eastAsia="Arial" w:hAnsi="Arial"/>
                <w:sz w:val="15"/>
                <w:szCs w:val="15"/>
                <w:b w:val="1"/>
                <w:bCs w:val="1"/>
                <w:color w:val="auto"/>
              </w:rPr>
              <w:t>328</w:t>
            </w:r>
          </w:p>
        </w:tc>
        <w:tc>
          <w:tcPr>
            <w:tcW w:w="860" w:type="dxa"/>
            <w:vAlign w:val="bottom"/>
          </w:tcPr>
          <w:p>
            <w:pPr>
              <w:jc w:val="right"/>
              <w:spacing w:after="0"/>
              <w:rPr>
                <w:sz w:val="20"/>
                <w:szCs w:val="20"/>
                <w:color w:val="auto"/>
              </w:rPr>
            </w:pPr>
            <w:r>
              <w:rPr>
                <w:rFonts w:ascii="Arial" w:cs="Arial" w:eastAsia="Arial" w:hAnsi="Arial"/>
                <w:sz w:val="15"/>
                <w:szCs w:val="15"/>
                <w:color w:val="auto"/>
              </w:rPr>
              <w:t>430</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320" w:type="dxa"/>
            <w:vAlign w:val="bottom"/>
          </w:tcPr>
          <w:p>
            <w:pPr>
              <w:spacing w:after="0"/>
              <w:rPr>
                <w:sz w:val="20"/>
                <w:szCs w:val="20"/>
                <w:color w:val="auto"/>
              </w:rPr>
            </w:pPr>
            <w:r>
              <w:rPr>
                <w:rFonts w:ascii="Arial" w:cs="Arial" w:eastAsia="Arial" w:hAnsi="Arial"/>
                <w:sz w:val="15"/>
                <w:szCs w:val="15"/>
                <w:color w:val="auto"/>
              </w:rPr>
              <w:t>October–December</w:t>
            </w:r>
          </w:p>
        </w:tc>
        <w:tc>
          <w:tcPr>
            <w:tcW w:w="1180" w:type="dxa"/>
            <w:vAlign w:val="bottom"/>
          </w:tcPr>
          <w:p>
            <w:pPr>
              <w:jc w:val="right"/>
              <w:ind w:right="450"/>
              <w:spacing w:after="0"/>
              <w:rPr>
                <w:sz w:val="20"/>
                <w:szCs w:val="20"/>
                <w:color w:val="auto"/>
              </w:rPr>
            </w:pPr>
            <w:r>
              <w:rPr>
                <w:rFonts w:ascii="Arial" w:cs="Arial" w:eastAsia="Arial" w:hAnsi="Arial"/>
                <w:sz w:val="15"/>
                <w:szCs w:val="15"/>
                <w:b w:val="1"/>
                <w:bCs w:val="1"/>
                <w:color w:val="auto"/>
              </w:rPr>
              <w:t>383</w:t>
            </w:r>
          </w:p>
        </w:tc>
        <w:tc>
          <w:tcPr>
            <w:tcW w:w="960" w:type="dxa"/>
            <w:vAlign w:val="bottom"/>
          </w:tcPr>
          <w:p>
            <w:pPr>
              <w:jc w:val="right"/>
              <w:ind w:right="248"/>
              <w:spacing w:after="0"/>
              <w:rPr>
                <w:sz w:val="20"/>
                <w:szCs w:val="20"/>
                <w:color w:val="auto"/>
              </w:rPr>
            </w:pPr>
            <w:r>
              <w:rPr>
                <w:rFonts w:ascii="Arial" w:cs="Arial" w:eastAsia="Arial" w:hAnsi="Arial"/>
                <w:sz w:val="15"/>
                <w:szCs w:val="15"/>
                <w:b w:val="1"/>
                <w:bCs w:val="1"/>
                <w:color w:val="auto"/>
              </w:rPr>
              <w:t>328</w:t>
            </w:r>
          </w:p>
        </w:tc>
        <w:tc>
          <w:tcPr>
            <w:tcW w:w="860" w:type="dxa"/>
            <w:vAlign w:val="bottom"/>
          </w:tcPr>
          <w:p>
            <w:pPr>
              <w:jc w:val="right"/>
              <w:spacing w:after="0"/>
              <w:rPr>
                <w:sz w:val="20"/>
                <w:szCs w:val="20"/>
                <w:color w:val="auto"/>
              </w:rPr>
            </w:pPr>
            <w:r>
              <w:rPr>
                <w:rFonts w:ascii="Arial" w:cs="Arial" w:eastAsia="Arial" w:hAnsi="Arial"/>
                <w:sz w:val="15"/>
                <w:szCs w:val="15"/>
                <w:color w:val="auto"/>
              </w:rPr>
              <w:t>394</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48" w:name="page49"/>
    <w:bookmarkEnd w:id="48"/>
    <w:p>
      <w:pPr>
        <w:ind w:left="9" w:right="80"/>
        <w:spacing w:after="0" w:line="235" w:lineRule="auto"/>
        <w:rPr>
          <w:sz w:val="20"/>
          <w:szCs w:val="20"/>
          <w:color w:val="auto"/>
        </w:rPr>
      </w:pPr>
      <w:r>
        <w:rPr>
          <w:rFonts w:ascii="Arial" w:cs="Arial" w:eastAsia="Arial" w:hAnsi="Arial"/>
          <w:sz w:val="17"/>
          <w:szCs w:val="17"/>
          <w:color w:val="auto"/>
        </w:rPr>
        <w:t>At January 31, 2013, there were 28 holders of record of the Company’s Class A Common Stock and 736 holders of record of the Company’s Class B Common Stock.</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Dividend Information</w:t>
      </w:r>
    </w:p>
    <w:p>
      <w:pPr>
        <w:spacing w:after="0" w:line="197" w:lineRule="exact"/>
        <w:rPr>
          <w:sz w:val="20"/>
          <w:szCs w:val="20"/>
          <w:color w:val="auto"/>
        </w:rPr>
      </w:pPr>
    </w:p>
    <w:p>
      <w:pPr>
        <w:ind w:left="9"/>
        <w:spacing w:after="0" w:line="251" w:lineRule="auto"/>
        <w:rPr>
          <w:sz w:val="20"/>
          <w:szCs w:val="20"/>
          <w:color w:val="auto"/>
        </w:rPr>
      </w:pPr>
      <w:r>
        <w:rPr>
          <w:rFonts w:ascii="Arial" w:cs="Arial" w:eastAsia="Arial" w:hAnsi="Arial"/>
          <w:sz w:val="16"/>
          <w:szCs w:val="16"/>
          <w:color w:val="auto"/>
        </w:rPr>
        <w:t>Both classes of the Company’s Common Stock participate equally as to dividends. Quarterly dividends were paid at the rate of $2.45 and $2.35 per sh during 2012 and 2011, respectively. In December 2012, the Company declared and paid an accelerated cash dividend totaling $9.80 per share of outstanding common stock, in lieu of regular quarterly dividends that the Company otherwise would have declared and paid in calendar year 2013.</w:t>
      </w:r>
    </w:p>
    <w:p>
      <w:pPr>
        <w:spacing w:after="0" w:line="147"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Securities Authorized for Issuance Under Equity Compensation Plans</w:t>
      </w:r>
    </w:p>
    <w:p>
      <w:pPr>
        <w:spacing w:after="0" w:line="197"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The following table and the footnote thereto set forth certain information as of December 31, 2012, concerning compensation plans of the Company u which equity securities of the Company are authorized to be issued.</w:t>
      </w:r>
    </w:p>
    <w:p>
      <w:pPr>
        <w:spacing w:after="0" w:line="236" w:lineRule="exact"/>
        <w:rPr>
          <w:sz w:val="20"/>
          <w:szCs w:val="20"/>
          <w:color w:val="auto"/>
        </w:rPr>
      </w:pPr>
    </w:p>
    <w:tbl>
      <w:tblPr>
        <w:tblLayout w:type="fixed"/>
        <w:tblInd w:w="9"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tcPr>
          <w:p>
            <w:pPr>
              <w:jc w:val="center"/>
              <w:ind w:left="414"/>
              <w:spacing w:after="0"/>
              <w:rPr>
                <w:sz w:val="20"/>
                <w:szCs w:val="20"/>
                <w:color w:val="auto"/>
              </w:rPr>
            </w:pPr>
            <w:r>
              <w:rPr>
                <w:rFonts w:ascii="Arial" w:cs="Arial" w:eastAsia="Arial" w:hAnsi="Arial"/>
                <w:sz w:val="12"/>
                <w:szCs w:val="12"/>
                <w:b w:val="1"/>
                <w:bCs w:val="1"/>
                <w:color w:val="auto"/>
              </w:rPr>
              <w:t>Number of Securities</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2"/>
                <w:szCs w:val="12"/>
                <w:b w:val="1"/>
                <w:bCs w:val="1"/>
                <w:color w:val="auto"/>
              </w:rPr>
              <w:t>Number of Securities</w:t>
            </w:r>
          </w:p>
        </w:tc>
        <w:tc>
          <w:tcPr>
            <w:tcW w:w="8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Arial" w:cs="Arial" w:eastAsia="Arial" w:hAnsi="Arial"/>
                <w:sz w:val="12"/>
                <w:szCs w:val="12"/>
                <w:b w:val="1"/>
                <w:bCs w:val="1"/>
                <w:color w:val="auto"/>
              </w:rPr>
              <w:t>Remaining Available fo</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to Be Issued Upon</w:t>
            </w:r>
          </w:p>
        </w:tc>
        <w:tc>
          <w:tcPr>
            <w:tcW w:w="19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rPr>
              <w:t>Weighted Average</w:t>
            </w:r>
          </w:p>
        </w:tc>
        <w:tc>
          <w:tcPr>
            <w:tcW w:w="1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Future Issuance Under</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Exercise of</w:t>
            </w:r>
          </w:p>
        </w:tc>
        <w:tc>
          <w:tcPr>
            <w:tcW w:w="19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rPr>
              <w:t>Exercise Price of</w:t>
            </w:r>
          </w:p>
        </w:tc>
        <w:tc>
          <w:tcPr>
            <w:tcW w:w="18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Equity Compensation Pla</w:t>
            </w: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0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Outstanding Options,</w:t>
            </w:r>
          </w:p>
        </w:tc>
        <w:tc>
          <w:tcPr>
            <w:tcW w:w="196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rPr>
              <w:t>Outstanding Options,</w:t>
            </w:r>
          </w:p>
        </w:tc>
        <w:tc>
          <w:tcPr>
            <w:tcW w:w="1800" w:type="dxa"/>
            <w:vAlign w:val="bottom"/>
          </w:tcPr>
          <w:p>
            <w:pPr>
              <w:jc w:val="center"/>
              <w:ind w:left="434"/>
              <w:spacing w:after="0" w:line="137" w:lineRule="exact"/>
              <w:rPr>
                <w:sz w:val="20"/>
                <w:szCs w:val="20"/>
                <w:color w:val="auto"/>
              </w:rPr>
            </w:pPr>
            <w:r>
              <w:rPr>
                <w:rFonts w:ascii="Arial" w:cs="Arial" w:eastAsia="Arial" w:hAnsi="Arial"/>
                <w:sz w:val="12"/>
                <w:szCs w:val="12"/>
                <w:b w:val="1"/>
                <w:bCs w:val="1"/>
                <w:color w:val="auto"/>
              </w:rPr>
              <w:t>(Excluding Securities</w:t>
            </w:r>
          </w:p>
        </w:tc>
        <w:tc>
          <w:tcPr>
            <w:tcW w:w="0" w:type="dxa"/>
            <w:vAlign w:val="bottom"/>
          </w:tcPr>
          <w:p>
            <w:pPr>
              <w:spacing w:after="0"/>
              <w:rPr>
                <w:sz w:val="1"/>
                <w:szCs w:val="1"/>
                <w:color w:val="auto"/>
              </w:rPr>
            </w:pPr>
          </w:p>
        </w:tc>
      </w:tr>
      <w:tr>
        <w:trPr>
          <w:trHeight w:val="151"/>
        </w:trPr>
        <w:tc>
          <w:tcPr>
            <w:tcW w:w="5160" w:type="dxa"/>
            <w:vAlign w:val="bottom"/>
            <w:vMerge w:val="restart"/>
          </w:tcPr>
          <w:p>
            <w:pPr>
              <w:ind w:left="2160"/>
              <w:spacing w:after="0"/>
              <w:rPr>
                <w:sz w:val="20"/>
                <w:szCs w:val="20"/>
                <w:color w:val="auto"/>
              </w:rPr>
            </w:pPr>
            <w:r>
              <w:rPr>
                <w:rFonts w:ascii="Arial" w:cs="Arial" w:eastAsia="Arial" w:hAnsi="Arial"/>
                <w:sz w:val="12"/>
                <w:szCs w:val="12"/>
                <w:b w:val="1"/>
                <w:bCs w:val="1"/>
                <w:color w:val="auto"/>
              </w:rPr>
              <w:t>Plan Category</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Warrants and Rights</w:t>
            </w:r>
          </w:p>
        </w:tc>
        <w:tc>
          <w:tcPr>
            <w:tcW w:w="19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Warrants and Rights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Reflected in Column (a)</w:t>
            </w:r>
          </w:p>
        </w:tc>
        <w:tc>
          <w:tcPr>
            <w:tcW w:w="0" w:type="dxa"/>
            <w:vAlign w:val="bottom"/>
          </w:tcPr>
          <w:p>
            <w:pPr>
              <w:spacing w:after="0"/>
              <w:rPr>
                <w:sz w:val="1"/>
                <w:szCs w:val="1"/>
                <w:color w:val="auto"/>
              </w:rPr>
            </w:pPr>
          </w:p>
        </w:tc>
      </w:tr>
      <w:tr>
        <w:trPr>
          <w:trHeight w:val="129"/>
        </w:trPr>
        <w:tc>
          <w:tcPr>
            <w:tcW w:w="5160" w:type="dxa"/>
            <w:vAlign w:val="bottom"/>
            <w:tcBorders>
              <w:bottom w:val="single" w:sz="8" w:color="auto"/>
            </w:tcBorders>
            <w:vMerge w:val="continue"/>
          </w:tcPr>
          <w:p>
            <w:pPr>
              <w:spacing w:after="0"/>
              <w:rPr>
                <w:sz w:val="11"/>
                <w:szCs w:val="11"/>
                <w:color w:val="auto"/>
              </w:rPr>
            </w:pPr>
          </w:p>
        </w:tc>
        <w:tc>
          <w:tcPr>
            <w:tcW w:w="20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95"/>
              </w:rPr>
              <w:t>(a)</w:t>
            </w:r>
          </w:p>
        </w:tc>
        <w:tc>
          <w:tcPr>
            <w:tcW w:w="8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769"/>
              <w:spacing w:after="0" w:line="129" w:lineRule="exact"/>
              <w:rPr>
                <w:sz w:val="20"/>
                <w:szCs w:val="20"/>
                <w:color w:val="auto"/>
              </w:rPr>
            </w:pPr>
            <w:r>
              <w:rPr>
                <w:rFonts w:ascii="Arial" w:cs="Arial" w:eastAsia="Arial" w:hAnsi="Arial"/>
                <w:sz w:val="12"/>
                <w:szCs w:val="12"/>
                <w:b w:val="1"/>
                <w:bCs w:val="1"/>
                <w:color w:val="auto"/>
              </w:rPr>
              <w:t>(b)</w:t>
            </w:r>
          </w:p>
        </w:tc>
        <w:tc>
          <w:tcPr>
            <w:tcW w:w="1800" w:type="dxa"/>
            <w:vAlign w:val="bottom"/>
            <w:tcBorders>
              <w:bottom w:val="single" w:sz="8" w:color="auto"/>
            </w:tcBorders>
          </w:tcPr>
          <w:p>
            <w:pPr>
              <w:jc w:val="center"/>
              <w:ind w:left="414"/>
              <w:spacing w:after="0" w:line="129" w:lineRule="exact"/>
              <w:rPr>
                <w:sz w:val="20"/>
                <w:szCs w:val="20"/>
                <w:color w:val="auto"/>
              </w:rPr>
            </w:pPr>
            <w:r>
              <w:rPr>
                <w:rFonts w:ascii="Arial" w:cs="Arial" w:eastAsia="Arial" w:hAnsi="Arial"/>
                <w:sz w:val="12"/>
                <w:szCs w:val="12"/>
                <w:b w:val="1"/>
                <w:bCs w:val="1"/>
                <w:color w:val="auto"/>
              </w:rPr>
              <w:t>(c)</w:t>
            </w:r>
          </w:p>
        </w:tc>
        <w:tc>
          <w:tcPr>
            <w:tcW w:w="0" w:type="dxa"/>
            <w:vAlign w:val="bottom"/>
          </w:tcPr>
          <w:p>
            <w:pPr>
              <w:spacing w:after="0"/>
              <w:rPr>
                <w:sz w:val="1"/>
                <w:szCs w:val="1"/>
                <w:color w:val="auto"/>
              </w:rPr>
            </w:pPr>
          </w:p>
        </w:tc>
      </w:tr>
      <w:tr>
        <w:trPr>
          <w:trHeight w:val="168"/>
        </w:trPr>
        <w:tc>
          <w:tcPr>
            <w:tcW w:w="5160" w:type="dxa"/>
            <w:vAlign w:val="bottom"/>
          </w:tcPr>
          <w:p>
            <w:pPr>
              <w:spacing w:after="0" w:line="168" w:lineRule="exact"/>
              <w:rPr>
                <w:sz w:val="20"/>
                <w:szCs w:val="20"/>
                <w:color w:val="auto"/>
              </w:rPr>
            </w:pPr>
            <w:r>
              <w:rPr>
                <w:rFonts w:ascii="Arial" w:cs="Arial" w:eastAsia="Arial" w:hAnsi="Arial"/>
                <w:sz w:val="15"/>
                <w:szCs w:val="15"/>
                <w:color w:val="auto"/>
              </w:rPr>
              <w:t>Equity compensation plans approved by security holders</w:t>
            </w:r>
          </w:p>
        </w:tc>
        <w:tc>
          <w:tcPr>
            <w:tcW w:w="2020" w:type="dxa"/>
            <w:vAlign w:val="bottom"/>
          </w:tcPr>
          <w:p>
            <w:pPr>
              <w:jc w:val="right"/>
              <w:ind w:right="494"/>
              <w:spacing w:after="0" w:line="168" w:lineRule="exact"/>
              <w:rPr>
                <w:sz w:val="20"/>
                <w:szCs w:val="20"/>
                <w:color w:val="auto"/>
              </w:rPr>
            </w:pPr>
            <w:r>
              <w:rPr>
                <w:rFonts w:ascii="Arial" w:cs="Arial" w:eastAsia="Arial" w:hAnsi="Arial"/>
                <w:sz w:val="15"/>
                <w:szCs w:val="15"/>
                <w:color w:val="auto"/>
              </w:rPr>
              <w:t>125,694</w:t>
            </w:r>
          </w:p>
        </w:tc>
        <w:tc>
          <w:tcPr>
            <w:tcW w:w="8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409"/>
              <w:spacing w:after="0" w:line="168" w:lineRule="exact"/>
              <w:rPr>
                <w:sz w:val="20"/>
                <w:szCs w:val="20"/>
                <w:color w:val="auto"/>
              </w:rPr>
            </w:pPr>
            <w:r>
              <w:rPr>
                <w:rFonts w:ascii="Arial" w:cs="Arial" w:eastAsia="Arial" w:hAnsi="Arial"/>
                <w:sz w:val="15"/>
                <w:szCs w:val="15"/>
                <w:color w:val="auto"/>
              </w:rPr>
              <w:t>478.32</w:t>
            </w:r>
          </w:p>
        </w:tc>
        <w:tc>
          <w:tcPr>
            <w:tcW w:w="1800" w:type="dxa"/>
            <w:vAlign w:val="bottom"/>
          </w:tcPr>
          <w:p>
            <w:pPr>
              <w:jc w:val="right"/>
              <w:ind w:right="174"/>
              <w:spacing w:after="0" w:line="168" w:lineRule="exact"/>
              <w:rPr>
                <w:sz w:val="20"/>
                <w:szCs w:val="20"/>
                <w:color w:val="auto"/>
              </w:rPr>
            </w:pPr>
            <w:r>
              <w:rPr>
                <w:rFonts w:ascii="Arial" w:cs="Arial" w:eastAsia="Arial" w:hAnsi="Arial"/>
                <w:sz w:val="15"/>
                <w:szCs w:val="15"/>
                <w:color w:val="auto"/>
              </w:rPr>
              <w:t>225,981</w:t>
            </w:r>
          </w:p>
        </w:tc>
        <w:tc>
          <w:tcPr>
            <w:tcW w:w="0" w:type="dxa"/>
            <w:vAlign w:val="bottom"/>
          </w:tcPr>
          <w:p>
            <w:pPr>
              <w:spacing w:after="0"/>
              <w:rPr>
                <w:sz w:val="1"/>
                <w:szCs w:val="1"/>
                <w:color w:val="auto"/>
              </w:rPr>
            </w:pPr>
          </w:p>
        </w:tc>
      </w:tr>
      <w:tr>
        <w:trPr>
          <w:trHeight w:val="172"/>
        </w:trPr>
        <w:tc>
          <w:tcPr>
            <w:tcW w:w="5160" w:type="dxa"/>
            <w:vAlign w:val="bottom"/>
          </w:tcPr>
          <w:p>
            <w:pPr>
              <w:spacing w:after="0"/>
              <w:rPr>
                <w:sz w:val="20"/>
                <w:szCs w:val="20"/>
                <w:color w:val="auto"/>
              </w:rPr>
            </w:pPr>
            <w:r>
              <w:rPr>
                <w:rFonts w:ascii="Arial" w:cs="Arial" w:eastAsia="Arial" w:hAnsi="Arial"/>
                <w:sz w:val="15"/>
                <w:szCs w:val="15"/>
                <w:color w:val="auto"/>
              </w:rPr>
              <w:t>Equity compensation plans not approved by security holders</w:t>
            </w:r>
          </w:p>
        </w:tc>
        <w:tc>
          <w:tcPr>
            <w:tcW w:w="202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9"/>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auto"/>
            </w:tcBorders>
          </w:tcPr>
          <w:p>
            <w:pPr>
              <w:jc w:val="right"/>
              <w:ind w:right="17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16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020" w:type="dxa"/>
            <w:vAlign w:val="bottom"/>
            <w:tcBorders>
              <w:bottom w:val="single" w:sz="8" w:color="auto"/>
            </w:tcBorders>
          </w:tcPr>
          <w:p>
            <w:pPr>
              <w:jc w:val="right"/>
              <w:ind w:right="494"/>
              <w:spacing w:after="0" w:line="167" w:lineRule="exact"/>
              <w:rPr>
                <w:sz w:val="20"/>
                <w:szCs w:val="20"/>
                <w:color w:val="auto"/>
              </w:rPr>
            </w:pPr>
            <w:r>
              <w:rPr>
                <w:rFonts w:ascii="Arial" w:cs="Arial" w:eastAsia="Arial" w:hAnsi="Arial"/>
                <w:sz w:val="15"/>
                <w:szCs w:val="15"/>
                <w:color w:val="auto"/>
              </w:rPr>
              <w:t>125,694</w:t>
            </w: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09"/>
              <w:spacing w:after="0" w:line="167" w:lineRule="exact"/>
              <w:rPr>
                <w:sz w:val="20"/>
                <w:szCs w:val="20"/>
                <w:color w:val="auto"/>
              </w:rPr>
            </w:pPr>
            <w:r>
              <w:rPr>
                <w:rFonts w:ascii="Arial" w:cs="Arial" w:eastAsia="Arial" w:hAnsi="Arial"/>
                <w:sz w:val="15"/>
                <w:szCs w:val="15"/>
                <w:color w:val="auto"/>
              </w:rPr>
              <w:t>478.32</w:t>
            </w:r>
          </w:p>
        </w:tc>
        <w:tc>
          <w:tcPr>
            <w:tcW w:w="1800" w:type="dxa"/>
            <w:vAlign w:val="bottom"/>
            <w:tcBorders>
              <w:bottom w:val="single" w:sz="8" w:color="auto"/>
            </w:tcBorders>
          </w:tcPr>
          <w:p>
            <w:pPr>
              <w:jc w:val="right"/>
              <w:ind w:right="174"/>
              <w:spacing w:after="0" w:line="167" w:lineRule="exact"/>
              <w:rPr>
                <w:sz w:val="20"/>
                <w:szCs w:val="20"/>
                <w:color w:val="auto"/>
              </w:rPr>
            </w:pPr>
            <w:r>
              <w:rPr>
                <w:rFonts w:ascii="Arial" w:cs="Arial" w:eastAsia="Arial" w:hAnsi="Arial"/>
                <w:sz w:val="15"/>
                <w:szCs w:val="15"/>
                <w:color w:val="auto"/>
              </w:rPr>
              <w:t>225,981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9"/>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jc w:val="both"/>
        <w:ind w:left="9"/>
        <w:spacing w:after="0" w:line="241" w:lineRule="auto"/>
        <w:rPr>
          <w:sz w:val="20"/>
          <w:szCs w:val="20"/>
          <w:color w:val="auto"/>
        </w:rPr>
      </w:pPr>
      <w:r>
        <w:rPr>
          <w:rFonts w:ascii="Arial" w:cs="Arial" w:eastAsia="Arial" w:hAnsi="Arial"/>
          <w:sz w:val="12"/>
          <w:szCs w:val="12"/>
          <w:color w:val="auto"/>
        </w:rPr>
        <w:t>This table does not include information relating to restricted stock grants awarded under The Washington Post Company Incentive Compensation Plan, which plan has been approved by the stockhold the Company. At December 31, 2012, there were 17,825 shares of restricted stock outstanding under the 2009–2012 Award Cycle, 29,568 shares of restricted stock outstanding under the 2011–2014 Cycle, and 54,220 shares of restricted stock outstanding under the 2012–2016 Award Cycle that had been awarded to employees of the Company and its subsidiaries under that Plan. In addition, the Company has from time to time awarded special discretionary grants of restricted stock to employees of the Company and its subsidiaries. At December 31, 2012, there were a total of 106,304 shares restricted stock outstanding under special discretionary grants approved by the Compensation Committee of the Board of Directors. At December 31, 2012, a total of 94,138 shares of restricted stock w available for future awards.</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During the quarter ended December 31, 2012, the Company purchased shares of its Class B Common Stock as set forth in the following table:</w:t>
      </w:r>
    </w:p>
    <w:p>
      <w:pPr>
        <w:spacing w:after="0" w:line="211"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rPr>
              <w:t>Total Number</w:t>
            </w:r>
          </w:p>
        </w:tc>
        <w:tc>
          <w:tcPr>
            <w:tcW w:w="480" w:type="dxa"/>
            <w:vAlign w:val="bottom"/>
          </w:tcPr>
          <w:p>
            <w:pPr>
              <w:spacing w:after="0"/>
              <w:rPr>
                <w:sz w:val="12"/>
                <w:szCs w:val="12"/>
                <w:color w:val="auto"/>
              </w:rPr>
            </w:pPr>
          </w:p>
        </w:tc>
        <w:tc>
          <w:tcPr>
            <w:tcW w:w="1000" w:type="dxa"/>
            <w:vAlign w:val="bottom"/>
          </w:tcPr>
          <w:p>
            <w:pPr>
              <w:jc w:val="center"/>
              <w:ind w:right="291"/>
              <w:spacing w:after="0"/>
              <w:rPr>
                <w:sz w:val="20"/>
                <w:szCs w:val="20"/>
                <w:color w:val="auto"/>
              </w:rPr>
            </w:pPr>
            <w:r>
              <w:rPr>
                <w:rFonts w:ascii="Arial" w:cs="Arial" w:eastAsia="Arial" w:hAnsi="Arial"/>
                <w:sz w:val="12"/>
                <w:szCs w:val="12"/>
                <w:b w:val="1"/>
                <w:bCs w:val="1"/>
                <w:color w:val="auto"/>
              </w:rPr>
              <w:t>Average</w:t>
            </w:r>
          </w:p>
        </w:tc>
        <w:tc>
          <w:tcPr>
            <w:tcW w:w="2160" w:type="dxa"/>
            <w:vAlign w:val="bottom"/>
          </w:tcPr>
          <w:p>
            <w:pPr>
              <w:jc w:val="center"/>
              <w:ind w:left="31"/>
              <w:spacing w:after="0"/>
              <w:rPr>
                <w:sz w:val="20"/>
                <w:szCs w:val="20"/>
                <w:color w:val="auto"/>
              </w:rPr>
            </w:pPr>
            <w:r>
              <w:rPr>
                <w:rFonts w:ascii="Arial" w:cs="Arial" w:eastAsia="Arial" w:hAnsi="Arial"/>
                <w:sz w:val="12"/>
                <w:szCs w:val="12"/>
                <w:b w:val="1"/>
                <w:bCs w:val="1"/>
                <w:color w:val="auto"/>
              </w:rPr>
              <w:t>Total Number of Shares</w:t>
            </w:r>
          </w:p>
        </w:tc>
        <w:tc>
          <w:tcPr>
            <w:tcW w:w="2360" w:type="dxa"/>
            <w:vAlign w:val="bottom"/>
          </w:tcPr>
          <w:p>
            <w:pPr>
              <w:jc w:val="right"/>
              <w:spacing w:after="0"/>
              <w:rPr>
                <w:sz w:val="20"/>
                <w:szCs w:val="20"/>
                <w:color w:val="auto"/>
              </w:rPr>
            </w:pPr>
            <w:r>
              <w:rPr>
                <w:rFonts w:ascii="Arial" w:cs="Arial" w:eastAsia="Arial" w:hAnsi="Arial"/>
                <w:sz w:val="12"/>
                <w:szCs w:val="12"/>
                <w:b w:val="1"/>
                <w:bCs w:val="1"/>
                <w:color w:val="auto"/>
              </w:rPr>
              <w:t>Maximum Number of Shares T</w:t>
            </w: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16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of Shares</w:t>
            </w:r>
          </w:p>
        </w:tc>
        <w:tc>
          <w:tcPr>
            <w:tcW w:w="480" w:type="dxa"/>
            <w:vAlign w:val="bottom"/>
          </w:tcPr>
          <w:p>
            <w:pPr>
              <w:spacing w:after="0"/>
              <w:rPr>
                <w:sz w:val="11"/>
                <w:szCs w:val="11"/>
                <w:color w:val="auto"/>
              </w:rPr>
            </w:pPr>
          </w:p>
        </w:tc>
        <w:tc>
          <w:tcPr>
            <w:tcW w:w="1000" w:type="dxa"/>
            <w:vAlign w:val="bottom"/>
          </w:tcPr>
          <w:p>
            <w:pPr>
              <w:jc w:val="center"/>
              <w:ind w:right="291"/>
              <w:spacing w:after="0" w:line="137" w:lineRule="exact"/>
              <w:rPr>
                <w:sz w:val="20"/>
                <w:szCs w:val="20"/>
                <w:color w:val="auto"/>
              </w:rPr>
            </w:pPr>
            <w:r>
              <w:rPr>
                <w:rFonts w:ascii="Arial" w:cs="Arial" w:eastAsia="Arial" w:hAnsi="Arial"/>
                <w:sz w:val="12"/>
                <w:szCs w:val="12"/>
                <w:b w:val="1"/>
                <w:bCs w:val="1"/>
                <w:color w:val="auto"/>
              </w:rPr>
              <w:t>Price Paid</w:t>
            </w:r>
          </w:p>
        </w:tc>
        <w:tc>
          <w:tcPr>
            <w:tcW w:w="2160" w:type="dxa"/>
            <w:vAlign w:val="bottom"/>
          </w:tcPr>
          <w:p>
            <w:pPr>
              <w:jc w:val="center"/>
              <w:ind w:left="51"/>
              <w:spacing w:after="0" w:line="137" w:lineRule="exact"/>
              <w:rPr>
                <w:sz w:val="20"/>
                <w:szCs w:val="20"/>
                <w:color w:val="auto"/>
              </w:rPr>
            </w:pPr>
            <w:r>
              <w:rPr>
                <w:rFonts w:ascii="Arial" w:cs="Arial" w:eastAsia="Arial" w:hAnsi="Arial"/>
                <w:sz w:val="12"/>
                <w:szCs w:val="12"/>
                <w:b w:val="1"/>
                <w:bCs w:val="1"/>
                <w:color w:val="auto"/>
              </w:rPr>
              <w:t>Purchased as Part of</w:t>
            </w:r>
          </w:p>
        </w:tc>
        <w:tc>
          <w:tcPr>
            <w:tcW w:w="2360" w:type="dxa"/>
            <w:vAlign w:val="bottom"/>
          </w:tcPr>
          <w:p>
            <w:pPr>
              <w:jc w:val="right"/>
              <w:ind w:right="92"/>
              <w:spacing w:after="0" w:line="137" w:lineRule="exact"/>
              <w:rPr>
                <w:sz w:val="20"/>
                <w:szCs w:val="20"/>
                <w:color w:val="auto"/>
              </w:rPr>
            </w:pPr>
            <w:r>
              <w:rPr>
                <w:rFonts w:ascii="Arial" w:cs="Arial" w:eastAsia="Arial" w:hAnsi="Arial"/>
                <w:sz w:val="12"/>
                <w:szCs w:val="12"/>
                <w:b w:val="1"/>
                <w:bCs w:val="1"/>
                <w:color w:val="auto"/>
              </w:rPr>
              <w:t>May Yet Be Purchased</w:t>
            </w:r>
          </w:p>
        </w:tc>
        <w:tc>
          <w:tcPr>
            <w:tcW w:w="0" w:type="dxa"/>
            <w:vAlign w:val="bottom"/>
          </w:tcPr>
          <w:p>
            <w:pPr>
              <w:spacing w:after="0"/>
              <w:rPr>
                <w:sz w:val="1"/>
                <w:szCs w:val="1"/>
                <w:color w:val="auto"/>
              </w:rPr>
            </w:pPr>
          </w:p>
        </w:tc>
      </w:tr>
      <w:tr>
        <w:trPr>
          <w:trHeight w:val="151"/>
        </w:trPr>
        <w:tc>
          <w:tcPr>
            <w:tcW w:w="3320" w:type="dxa"/>
            <w:vAlign w:val="bottom"/>
            <w:tcBorders>
              <w:bottom w:val="single" w:sz="8" w:color="auto"/>
            </w:tcBorders>
          </w:tcPr>
          <w:p>
            <w:pPr>
              <w:ind w:left="1460"/>
              <w:spacing w:after="0"/>
              <w:rPr>
                <w:sz w:val="20"/>
                <w:szCs w:val="20"/>
                <w:color w:val="auto"/>
              </w:rPr>
            </w:pPr>
            <w:r>
              <w:rPr>
                <w:rFonts w:ascii="Arial" w:cs="Arial" w:eastAsia="Arial" w:hAnsi="Arial"/>
                <w:sz w:val="12"/>
                <w:szCs w:val="12"/>
                <w:b w:val="1"/>
                <w:bCs w:val="1"/>
                <w:color w:val="auto"/>
              </w:rPr>
              <w:t>Period</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Purchased</w:t>
            </w:r>
          </w:p>
        </w:tc>
        <w:tc>
          <w:tcPr>
            <w:tcW w:w="4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91"/>
              <w:spacing w:after="0"/>
              <w:rPr>
                <w:sz w:val="20"/>
                <w:szCs w:val="20"/>
                <w:color w:val="auto"/>
              </w:rPr>
            </w:pPr>
            <w:r>
              <w:rPr>
                <w:rFonts w:ascii="Arial" w:cs="Arial" w:eastAsia="Arial" w:hAnsi="Arial"/>
                <w:sz w:val="12"/>
                <w:szCs w:val="12"/>
                <w:b w:val="1"/>
                <w:bCs w:val="1"/>
                <w:color w:val="auto"/>
              </w:rPr>
              <w:t>per Share</w:t>
            </w:r>
          </w:p>
        </w:tc>
        <w:tc>
          <w:tcPr>
            <w:tcW w:w="2160" w:type="dxa"/>
            <w:vAlign w:val="bottom"/>
            <w:tcBorders>
              <w:bottom w:val="single" w:sz="8" w:color="auto"/>
            </w:tcBorders>
          </w:tcPr>
          <w:p>
            <w:pPr>
              <w:jc w:val="center"/>
              <w:ind w:left="31"/>
              <w:spacing w:after="0"/>
              <w:rPr>
                <w:sz w:val="20"/>
                <w:szCs w:val="20"/>
                <w:color w:val="auto"/>
              </w:rPr>
            </w:pPr>
            <w:r>
              <w:rPr>
                <w:rFonts w:ascii="Arial" w:cs="Arial" w:eastAsia="Arial" w:hAnsi="Arial"/>
                <w:sz w:val="12"/>
                <w:szCs w:val="12"/>
                <w:b w:val="1"/>
                <w:bCs w:val="1"/>
                <w:color w:val="auto"/>
              </w:rPr>
              <w:t>Publicly Announced Plan*</w:t>
            </w:r>
          </w:p>
        </w:tc>
        <w:tc>
          <w:tcPr>
            <w:tcW w:w="236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Under the Plan*</w:t>
            </w:r>
          </w:p>
        </w:tc>
        <w:tc>
          <w:tcPr>
            <w:tcW w:w="0" w:type="dxa"/>
            <w:vAlign w:val="bottom"/>
          </w:tcPr>
          <w:p>
            <w:pPr>
              <w:spacing w:after="0"/>
              <w:rPr>
                <w:sz w:val="1"/>
                <w:szCs w:val="1"/>
                <w:color w:val="auto"/>
              </w:rPr>
            </w:pPr>
          </w:p>
        </w:tc>
      </w:tr>
      <w:tr>
        <w:trPr>
          <w:trHeight w:val="168"/>
        </w:trPr>
        <w:tc>
          <w:tcPr>
            <w:tcW w:w="3320" w:type="dxa"/>
            <w:vAlign w:val="bottom"/>
          </w:tcPr>
          <w:p>
            <w:pPr>
              <w:spacing w:after="0" w:line="168" w:lineRule="exact"/>
              <w:rPr>
                <w:sz w:val="20"/>
                <w:szCs w:val="20"/>
                <w:color w:val="auto"/>
              </w:rPr>
            </w:pPr>
            <w:r>
              <w:rPr>
                <w:rFonts w:ascii="Arial" w:cs="Arial" w:eastAsia="Arial" w:hAnsi="Arial"/>
                <w:sz w:val="15"/>
                <w:szCs w:val="15"/>
                <w:color w:val="auto"/>
              </w:rPr>
              <w:t>Oct. 1 - Oct. 31, 2012</w:t>
            </w:r>
          </w:p>
        </w:tc>
        <w:tc>
          <w:tcPr>
            <w:tcW w:w="1620" w:type="dxa"/>
            <w:vAlign w:val="bottom"/>
          </w:tcPr>
          <w:p>
            <w:pPr>
              <w:jc w:val="right"/>
              <w:ind w:right="311"/>
              <w:spacing w:after="0" w:line="168" w:lineRule="exact"/>
              <w:rPr>
                <w:sz w:val="20"/>
                <w:szCs w:val="20"/>
                <w:color w:val="auto"/>
              </w:rPr>
            </w:pPr>
            <w:r>
              <w:rPr>
                <w:rFonts w:ascii="Arial" w:cs="Arial" w:eastAsia="Arial" w:hAnsi="Arial"/>
                <w:sz w:val="15"/>
                <w:szCs w:val="15"/>
                <w:color w:val="auto"/>
              </w:rPr>
              <w:t>―</w:t>
            </w:r>
          </w:p>
        </w:tc>
        <w:tc>
          <w:tcPr>
            <w:tcW w:w="4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000" w:type="dxa"/>
            <w:vAlign w:val="bottom"/>
          </w:tcPr>
          <w:p>
            <w:pPr>
              <w:jc w:val="right"/>
              <w:ind w:right="311"/>
              <w:spacing w:after="0" w:line="168" w:lineRule="exact"/>
              <w:rPr>
                <w:sz w:val="20"/>
                <w:szCs w:val="20"/>
                <w:color w:val="auto"/>
              </w:rPr>
            </w:pPr>
            <w:r>
              <w:rPr>
                <w:rFonts w:ascii="Arial" w:cs="Arial" w:eastAsia="Arial" w:hAnsi="Arial"/>
                <w:sz w:val="15"/>
                <w:szCs w:val="15"/>
                <w:color w:val="auto"/>
              </w:rPr>
              <w:t>―</w:t>
            </w:r>
          </w:p>
        </w:tc>
        <w:tc>
          <w:tcPr>
            <w:tcW w:w="2160" w:type="dxa"/>
            <w:vAlign w:val="bottom"/>
          </w:tcPr>
          <w:p>
            <w:pPr>
              <w:jc w:val="right"/>
              <w:ind w:right="651"/>
              <w:spacing w:after="0" w:line="168" w:lineRule="exact"/>
              <w:rPr>
                <w:sz w:val="20"/>
                <w:szCs w:val="20"/>
                <w:color w:val="auto"/>
              </w:rPr>
            </w:pPr>
            <w:r>
              <w:rPr>
                <w:rFonts w:ascii="Arial" w:cs="Arial" w:eastAsia="Arial" w:hAnsi="Arial"/>
                <w:sz w:val="15"/>
                <w:szCs w:val="15"/>
                <w:color w:val="auto"/>
              </w:rPr>
              <w:t>―</w:t>
            </w:r>
          </w:p>
        </w:tc>
        <w:tc>
          <w:tcPr>
            <w:tcW w:w="2360" w:type="dxa"/>
            <w:vAlign w:val="bottom"/>
          </w:tcPr>
          <w:p>
            <w:pPr>
              <w:jc w:val="right"/>
              <w:ind w:right="392"/>
              <w:spacing w:after="0" w:line="168" w:lineRule="exact"/>
              <w:rPr>
                <w:sz w:val="20"/>
                <w:szCs w:val="20"/>
                <w:color w:val="auto"/>
              </w:rPr>
            </w:pPr>
            <w:r>
              <w:rPr>
                <w:rFonts w:ascii="Arial" w:cs="Arial" w:eastAsia="Arial" w:hAnsi="Arial"/>
                <w:sz w:val="15"/>
                <w:szCs w:val="15"/>
                <w:color w:val="auto"/>
              </w:rPr>
              <w:t>208,924</w:t>
            </w:r>
          </w:p>
        </w:tc>
        <w:tc>
          <w:tcPr>
            <w:tcW w:w="0" w:type="dxa"/>
            <w:vAlign w:val="bottom"/>
          </w:tcPr>
          <w:p>
            <w:pPr>
              <w:spacing w:after="0"/>
              <w:rPr>
                <w:sz w:val="1"/>
                <w:szCs w:val="1"/>
                <w:color w:val="auto"/>
              </w:rPr>
            </w:pPr>
          </w:p>
        </w:tc>
      </w:tr>
      <w:tr>
        <w:trPr>
          <w:trHeight w:val="174"/>
        </w:trPr>
        <w:tc>
          <w:tcPr>
            <w:tcW w:w="3320" w:type="dxa"/>
            <w:vAlign w:val="bottom"/>
          </w:tcPr>
          <w:p>
            <w:pPr>
              <w:spacing w:after="0"/>
              <w:rPr>
                <w:sz w:val="20"/>
                <w:szCs w:val="20"/>
                <w:color w:val="auto"/>
              </w:rPr>
            </w:pPr>
            <w:r>
              <w:rPr>
                <w:rFonts w:ascii="Arial" w:cs="Arial" w:eastAsia="Arial" w:hAnsi="Arial"/>
                <w:sz w:val="15"/>
                <w:szCs w:val="15"/>
                <w:color w:val="auto"/>
              </w:rPr>
              <w:t>Nov. 1 - Nov. 30, 2012</w:t>
            </w:r>
          </w:p>
        </w:tc>
        <w:tc>
          <w:tcPr>
            <w:tcW w:w="1620" w:type="dxa"/>
            <w:vAlign w:val="bottom"/>
          </w:tcPr>
          <w:p>
            <w:pPr>
              <w:jc w:val="right"/>
              <w:ind w:right="311"/>
              <w:spacing w:after="0"/>
              <w:rPr>
                <w:sz w:val="20"/>
                <w:szCs w:val="20"/>
                <w:color w:val="auto"/>
              </w:rPr>
            </w:pPr>
            <w:r>
              <w:rPr>
                <w:rFonts w:ascii="Arial" w:cs="Arial" w:eastAsia="Arial" w:hAnsi="Arial"/>
                <w:sz w:val="15"/>
                <w:szCs w:val="15"/>
                <w:color w:val="auto"/>
              </w:rPr>
              <w:t>16,681</w:t>
            </w:r>
          </w:p>
        </w:tc>
        <w:tc>
          <w:tcPr>
            <w:tcW w:w="480" w:type="dxa"/>
            <w:vAlign w:val="bottom"/>
          </w:tcPr>
          <w:p>
            <w:pPr>
              <w:spacing w:after="0"/>
              <w:rPr>
                <w:sz w:val="15"/>
                <w:szCs w:val="15"/>
                <w:color w:val="auto"/>
              </w:rPr>
            </w:pPr>
          </w:p>
        </w:tc>
        <w:tc>
          <w:tcPr>
            <w:tcW w:w="1000" w:type="dxa"/>
            <w:vAlign w:val="bottom"/>
          </w:tcPr>
          <w:p>
            <w:pPr>
              <w:jc w:val="right"/>
              <w:ind w:right="311"/>
              <w:spacing w:after="0"/>
              <w:rPr>
                <w:sz w:val="20"/>
                <w:szCs w:val="20"/>
                <w:color w:val="auto"/>
              </w:rPr>
            </w:pPr>
            <w:r>
              <w:rPr>
                <w:rFonts w:ascii="Arial" w:cs="Arial" w:eastAsia="Arial" w:hAnsi="Arial"/>
                <w:sz w:val="15"/>
                <w:szCs w:val="15"/>
                <w:color w:val="auto"/>
              </w:rPr>
              <w:t>338.71</w:t>
            </w:r>
          </w:p>
        </w:tc>
        <w:tc>
          <w:tcPr>
            <w:tcW w:w="2160" w:type="dxa"/>
            <w:vAlign w:val="bottom"/>
          </w:tcPr>
          <w:p>
            <w:pPr>
              <w:jc w:val="right"/>
              <w:ind w:right="651"/>
              <w:spacing w:after="0"/>
              <w:rPr>
                <w:sz w:val="20"/>
                <w:szCs w:val="20"/>
                <w:color w:val="auto"/>
              </w:rPr>
            </w:pPr>
            <w:r>
              <w:rPr>
                <w:rFonts w:ascii="Arial" w:cs="Arial" w:eastAsia="Arial" w:hAnsi="Arial"/>
                <w:sz w:val="15"/>
                <w:szCs w:val="15"/>
                <w:color w:val="auto"/>
              </w:rPr>
              <w:t>16,681</w:t>
            </w:r>
          </w:p>
        </w:tc>
        <w:tc>
          <w:tcPr>
            <w:tcW w:w="2360" w:type="dxa"/>
            <w:vAlign w:val="bottom"/>
          </w:tcPr>
          <w:p>
            <w:pPr>
              <w:jc w:val="right"/>
              <w:ind w:right="392"/>
              <w:spacing w:after="0"/>
              <w:rPr>
                <w:sz w:val="20"/>
                <w:szCs w:val="20"/>
                <w:color w:val="auto"/>
              </w:rPr>
            </w:pPr>
            <w:r>
              <w:rPr>
                <w:rFonts w:ascii="Arial" w:cs="Arial" w:eastAsia="Arial" w:hAnsi="Arial"/>
                <w:sz w:val="15"/>
                <w:szCs w:val="15"/>
                <w:color w:val="auto"/>
              </w:rPr>
              <w:t>192,243</w:t>
            </w:r>
          </w:p>
        </w:tc>
        <w:tc>
          <w:tcPr>
            <w:tcW w:w="0" w:type="dxa"/>
            <w:vAlign w:val="bottom"/>
          </w:tcPr>
          <w:p>
            <w:pPr>
              <w:spacing w:after="0"/>
              <w:rPr>
                <w:sz w:val="1"/>
                <w:szCs w:val="1"/>
                <w:color w:val="auto"/>
              </w:rPr>
            </w:pPr>
          </w:p>
        </w:tc>
      </w:tr>
      <w:tr>
        <w:trPr>
          <w:trHeight w:val="172"/>
        </w:trPr>
        <w:tc>
          <w:tcPr>
            <w:tcW w:w="3320" w:type="dxa"/>
            <w:vAlign w:val="bottom"/>
          </w:tcPr>
          <w:p>
            <w:pPr>
              <w:spacing w:after="0"/>
              <w:rPr>
                <w:sz w:val="20"/>
                <w:szCs w:val="20"/>
                <w:color w:val="auto"/>
              </w:rPr>
            </w:pPr>
            <w:r>
              <w:rPr>
                <w:rFonts w:ascii="Arial" w:cs="Arial" w:eastAsia="Arial" w:hAnsi="Arial"/>
                <w:sz w:val="15"/>
                <w:szCs w:val="15"/>
                <w:color w:val="auto"/>
              </w:rPr>
              <w:t>Dec. 1 - Dec. 31, 2012</w:t>
            </w:r>
          </w:p>
        </w:tc>
        <w:tc>
          <w:tcPr>
            <w:tcW w:w="162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color w:val="auto"/>
              </w:rPr>
              <w:t>―</w:t>
            </w:r>
          </w:p>
        </w:tc>
        <w:tc>
          <w:tcPr>
            <w:tcW w:w="2160" w:type="dxa"/>
            <w:vAlign w:val="bottom"/>
            <w:tcBorders>
              <w:bottom w:val="single" w:sz="8" w:color="auto"/>
            </w:tcBorders>
          </w:tcPr>
          <w:p>
            <w:pPr>
              <w:jc w:val="right"/>
              <w:ind w:right="651"/>
              <w:spacing w:after="0"/>
              <w:rPr>
                <w:sz w:val="20"/>
                <w:szCs w:val="20"/>
                <w:color w:val="auto"/>
              </w:rPr>
            </w:pPr>
            <w:r>
              <w:rPr>
                <w:rFonts w:ascii="Arial" w:cs="Arial" w:eastAsia="Arial" w:hAnsi="Arial"/>
                <w:sz w:val="15"/>
                <w:szCs w:val="15"/>
                <w:color w:val="auto"/>
              </w:rPr>
              <w:t>―</w:t>
            </w:r>
          </w:p>
        </w:tc>
        <w:tc>
          <w:tcPr>
            <w:tcW w:w="2360" w:type="dxa"/>
            <w:vAlign w:val="bottom"/>
          </w:tcPr>
          <w:p>
            <w:pPr>
              <w:jc w:val="right"/>
              <w:ind w:right="392"/>
              <w:spacing w:after="0"/>
              <w:rPr>
                <w:sz w:val="20"/>
                <w:szCs w:val="20"/>
                <w:color w:val="auto"/>
              </w:rPr>
            </w:pPr>
            <w:r>
              <w:rPr>
                <w:rFonts w:ascii="Arial" w:cs="Arial" w:eastAsia="Arial" w:hAnsi="Arial"/>
                <w:sz w:val="15"/>
                <w:szCs w:val="15"/>
                <w:color w:val="auto"/>
              </w:rPr>
              <w:t>192,243</w:t>
            </w:r>
          </w:p>
        </w:tc>
        <w:tc>
          <w:tcPr>
            <w:tcW w:w="0" w:type="dxa"/>
            <w:vAlign w:val="bottom"/>
          </w:tcPr>
          <w:p>
            <w:pPr>
              <w:spacing w:after="0"/>
              <w:rPr>
                <w:sz w:val="1"/>
                <w:szCs w:val="1"/>
                <w:color w:val="auto"/>
              </w:rPr>
            </w:pPr>
          </w:p>
        </w:tc>
      </w:tr>
      <w:tr>
        <w:trPr>
          <w:trHeight w:val="166"/>
        </w:trPr>
        <w:tc>
          <w:tcPr>
            <w:tcW w:w="332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1620" w:type="dxa"/>
            <w:vAlign w:val="bottom"/>
            <w:tcBorders>
              <w:bottom w:val="single" w:sz="8" w:color="auto"/>
            </w:tcBorders>
          </w:tcPr>
          <w:p>
            <w:pPr>
              <w:jc w:val="right"/>
              <w:ind w:right="311"/>
              <w:spacing w:after="0" w:line="167" w:lineRule="exact"/>
              <w:rPr>
                <w:sz w:val="20"/>
                <w:szCs w:val="20"/>
                <w:color w:val="auto"/>
              </w:rPr>
            </w:pPr>
            <w:r>
              <w:rPr>
                <w:rFonts w:ascii="Arial" w:cs="Arial" w:eastAsia="Arial" w:hAnsi="Arial"/>
                <w:sz w:val="15"/>
                <w:szCs w:val="15"/>
                <w:color w:val="auto"/>
              </w:rPr>
              <w:t>16,681</w:t>
            </w: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311"/>
              <w:spacing w:after="0" w:line="167" w:lineRule="exact"/>
              <w:rPr>
                <w:sz w:val="20"/>
                <w:szCs w:val="20"/>
                <w:color w:val="auto"/>
              </w:rPr>
            </w:pPr>
            <w:r>
              <w:rPr>
                <w:rFonts w:ascii="Arial" w:cs="Arial" w:eastAsia="Arial" w:hAnsi="Arial"/>
                <w:sz w:val="15"/>
                <w:szCs w:val="15"/>
                <w:color w:val="auto"/>
              </w:rPr>
              <w:t>338.71</w:t>
            </w:r>
          </w:p>
        </w:tc>
        <w:tc>
          <w:tcPr>
            <w:tcW w:w="2160" w:type="dxa"/>
            <w:vAlign w:val="bottom"/>
            <w:tcBorders>
              <w:bottom w:val="single" w:sz="8" w:color="auto"/>
            </w:tcBorders>
          </w:tcPr>
          <w:p>
            <w:pPr>
              <w:jc w:val="right"/>
              <w:ind w:right="651"/>
              <w:spacing w:after="0" w:line="167" w:lineRule="exact"/>
              <w:rPr>
                <w:sz w:val="20"/>
                <w:szCs w:val="20"/>
                <w:color w:val="auto"/>
              </w:rPr>
            </w:pPr>
            <w:r>
              <w:rPr>
                <w:rFonts w:ascii="Arial" w:cs="Arial" w:eastAsia="Arial" w:hAnsi="Arial"/>
                <w:sz w:val="15"/>
                <w:szCs w:val="15"/>
                <w:color w:val="auto"/>
              </w:rPr>
              <w:t>16,681</w:t>
            </w: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Arial" w:cs="Arial" w:eastAsia="Arial" w:hAnsi="Arial"/>
                <w:sz w:val="12"/>
                <w:szCs w:val="12"/>
                <w:color w:val="auto"/>
              </w:rPr>
              <w:t>____________</w:t>
            </w:r>
          </w:p>
        </w:tc>
        <w:tc>
          <w:tcPr>
            <w:tcW w:w="1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332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9" w:right="40" w:hanging="9"/>
        <w:spacing w:after="0" w:line="255" w:lineRule="auto"/>
        <w:tabs>
          <w:tab w:leader="none" w:pos="92" w:val="left"/>
        </w:tabs>
        <w:numPr>
          <w:ilvl w:val="0"/>
          <w:numId w:val="39"/>
        </w:numPr>
        <w:rPr>
          <w:rFonts w:ascii="Arial" w:cs="Arial" w:eastAsia="Arial" w:hAnsi="Arial"/>
          <w:sz w:val="12"/>
          <w:szCs w:val="12"/>
          <w:color w:val="auto"/>
        </w:rPr>
      </w:pPr>
      <w:r>
        <w:rPr>
          <w:rFonts w:ascii="Arial" w:cs="Arial" w:eastAsia="Arial" w:hAnsi="Arial"/>
          <w:sz w:val="12"/>
          <w:szCs w:val="12"/>
          <w:color w:val="auto"/>
        </w:rPr>
        <w:t>On September 8, 2011, the Company’s Board of Directors authorized the Company to purchase, on the open market or otherwise, up to 750,000 shares of its Class B Common Stock. There is no ex date for that authorization. All purchases made during the quarter ended December 31, 2012 were open market transactions.</w:t>
      </w:r>
    </w:p>
    <w:p>
      <w:pPr>
        <w:spacing w:after="0" w:line="146" w:lineRule="exact"/>
        <w:rPr>
          <w:sz w:val="20"/>
          <w:szCs w:val="20"/>
          <w:color w:val="auto"/>
        </w:rPr>
      </w:pPr>
    </w:p>
    <w:p>
      <w:pPr>
        <w:ind w:left="9"/>
        <w:spacing w:after="0"/>
        <w:rPr>
          <w:sz w:val="20"/>
          <w:szCs w:val="20"/>
          <w:color w:val="auto"/>
        </w:rPr>
      </w:pPr>
      <w:r>
        <w:rPr>
          <w:rFonts w:ascii="Arial" w:cs="Arial" w:eastAsia="Arial" w:hAnsi="Arial"/>
          <w:sz w:val="17"/>
          <w:szCs w:val="17"/>
          <w:b w:val="1"/>
          <w:bCs w:val="1"/>
          <w:i w:val="1"/>
          <w:iCs w:val="1"/>
          <w:color w:val="auto"/>
        </w:rPr>
        <w:t>Performance Graph</w:t>
      </w:r>
    </w:p>
    <w:p>
      <w:pPr>
        <w:spacing w:after="0" w:line="197"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The following graph is a comparison of the yearly percentage change in the Company’s cumulative total shareholder return with the cumulative total re of the Standard &amp; Poor’s 500 Stock Index, the Standard &amp; Poor’s 1500 Publishing Index and a custom peer group index comprised of education comp The Standard &amp; Poor’s 500 Stock Index is comprised of 500 U.S. companies in the industrial, transportation, utilities and financial industries and is we by market capitalization. The Standard &amp; Poor’s 1500 Publishing Index is comprised of Gannett Co., Inc., The McGraw-Hill</w:t>
      </w:r>
    </w:p>
    <w:p>
      <w:pPr>
        <w:spacing w:after="0" w:line="195"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48" w:right="139" w:bottom="1440" w:gutter="0" w:footer="0" w:header="0"/>
        </w:sectPr>
      </w:pPr>
    </w:p>
    <w:bookmarkStart w:id="49" w:name="page50"/>
    <w:bookmarkEnd w:id="49"/>
    <w:p>
      <w:pPr>
        <w:spacing w:after="0" w:line="229" w:lineRule="auto"/>
        <w:rPr>
          <w:sz w:val="20"/>
          <w:szCs w:val="20"/>
          <w:color w:val="auto"/>
        </w:rPr>
      </w:pPr>
      <w:r>
        <w:rPr>
          <w:rFonts w:ascii="Arial" w:cs="Arial" w:eastAsia="Arial" w:hAnsi="Arial"/>
          <w:sz w:val="17"/>
          <w:szCs w:val="17"/>
          <w:color w:val="auto"/>
        </w:rPr>
        <w:t>Companies, The Meredith Corporation, The New York Times Company, The E.W. Scripps Company, Scholastic Corporation, Valassis Communication John Wiley &amp; Sons, Inc. and The Washington Post Company and also is weighted by market capitalization. The custom peer group of education comp includes American Public Education, Apollo Group Inc., Bridgepoint Education Inc., Capella Education Co., Career Education Corp., Corinthian Colleg Inc., DeVry Inc., Education Management Corp., ITT Educational Services Inc. and Strayer Education Inc. The Company is using a custom peer index education companies because the Company is a diversified education and media company. Its largest business is Kaplan, Inc., a leading global provid educational services to individuals, schools and businesses. The graph reflects the investment of $100 on December 31, 2007, in the Company’s Clas Common Stock, the Standard &amp; Poor’s 500 Stock Index, the Standard &amp; Poor’s 1500 Publishing Index and the custom peer group index of education companies. For purposes of this graph, it has been assumed that dividends were reinvested on the date paid in the case of the Company and on a qu basis in the case of the Standard &amp; Poor’s 500 Index, the Standard &amp; Poor’s 1500 Publishing Index and the custom peer group index of education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1002665</wp:posOffset>
            </wp:positionH>
            <wp:positionV relativeFrom="paragraph">
              <wp:posOffset>116205</wp:posOffset>
            </wp:positionV>
            <wp:extent cx="4184650" cy="25057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84650" cy="2505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December 31</w:t>
            </w:r>
          </w:p>
        </w:tc>
        <w:tc>
          <w:tcPr>
            <w:tcW w:w="2360" w:type="dxa"/>
            <w:vAlign w:val="bottom"/>
            <w:tcBorders>
              <w:bottom w:val="single" w:sz="8" w:color="auto"/>
            </w:tcBorders>
          </w:tcPr>
          <w:p>
            <w:pPr>
              <w:ind w:left="1560"/>
              <w:spacing w:after="0"/>
              <w:rPr>
                <w:sz w:val="20"/>
                <w:szCs w:val="20"/>
                <w:color w:val="auto"/>
              </w:rPr>
            </w:pPr>
            <w:r>
              <w:rPr>
                <w:rFonts w:ascii="Arial" w:cs="Arial" w:eastAsia="Arial" w:hAnsi="Arial"/>
                <w:sz w:val="12"/>
                <w:szCs w:val="12"/>
                <w:color w:val="auto"/>
              </w:rPr>
              <w:t>2007</w:t>
            </w: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color w:val="auto"/>
              </w:rPr>
              <w:t>2008</w:t>
            </w: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color w:val="auto"/>
              </w:rPr>
              <w:t>2009</w:t>
            </w: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color w:val="auto"/>
              </w:rPr>
              <w:t>2010</w:t>
            </w:r>
          </w:p>
        </w:tc>
        <w:tc>
          <w:tcPr>
            <w:tcW w:w="1480" w:type="dxa"/>
            <w:vAlign w:val="bottom"/>
            <w:tcBorders>
              <w:bottom w:val="single" w:sz="8" w:color="auto"/>
            </w:tcBorders>
          </w:tcPr>
          <w:p>
            <w:pPr>
              <w:jc w:val="right"/>
              <w:ind w:right="788"/>
              <w:spacing w:after="0"/>
              <w:rPr>
                <w:sz w:val="20"/>
                <w:szCs w:val="20"/>
                <w:color w:val="auto"/>
              </w:rPr>
            </w:pPr>
            <w:r>
              <w:rPr>
                <w:rFonts w:ascii="Arial" w:cs="Arial" w:eastAsia="Arial" w:hAnsi="Arial"/>
                <w:sz w:val="12"/>
                <w:szCs w:val="12"/>
                <w:color w:val="auto"/>
              </w:rPr>
              <w:t>2011</w:t>
            </w:r>
          </w:p>
        </w:tc>
      </w:tr>
      <w:tr>
        <w:trPr>
          <w:trHeight w:val="168"/>
        </w:trPr>
        <w:tc>
          <w:tcPr>
            <w:tcW w:w="3660" w:type="dxa"/>
            <w:vAlign w:val="bottom"/>
          </w:tcPr>
          <w:p>
            <w:pPr>
              <w:spacing w:after="0" w:line="168" w:lineRule="exact"/>
              <w:rPr>
                <w:sz w:val="20"/>
                <w:szCs w:val="20"/>
                <w:color w:val="auto"/>
              </w:rPr>
            </w:pPr>
            <w:r>
              <w:rPr>
                <w:rFonts w:ascii="Arial" w:cs="Arial" w:eastAsia="Arial" w:hAnsi="Arial"/>
                <w:sz w:val="15"/>
                <w:szCs w:val="15"/>
                <w:color w:val="auto"/>
              </w:rPr>
              <w:t>The Washington Post Company</w:t>
            </w:r>
          </w:p>
        </w:tc>
        <w:tc>
          <w:tcPr>
            <w:tcW w:w="2360" w:type="dxa"/>
            <w:vAlign w:val="bottom"/>
          </w:tcPr>
          <w:p>
            <w:pPr>
              <w:ind w:left="1560"/>
              <w:spacing w:after="0" w:line="168" w:lineRule="exact"/>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line="168" w:lineRule="exact"/>
              <w:rPr>
                <w:sz w:val="20"/>
                <w:szCs w:val="20"/>
                <w:color w:val="auto"/>
              </w:rPr>
            </w:pPr>
            <w:r>
              <w:rPr>
                <w:rFonts w:ascii="Arial" w:cs="Arial" w:eastAsia="Arial" w:hAnsi="Arial"/>
                <w:sz w:val="15"/>
                <w:szCs w:val="15"/>
                <w:color w:val="auto"/>
              </w:rPr>
              <w:t>50.04</w:t>
            </w:r>
          </w:p>
        </w:tc>
        <w:tc>
          <w:tcPr>
            <w:tcW w:w="1140" w:type="dxa"/>
            <w:vAlign w:val="bottom"/>
          </w:tcPr>
          <w:p>
            <w:pPr>
              <w:jc w:val="right"/>
              <w:ind w:right="248"/>
              <w:spacing w:after="0" w:line="168" w:lineRule="exact"/>
              <w:rPr>
                <w:sz w:val="20"/>
                <w:szCs w:val="20"/>
                <w:color w:val="auto"/>
              </w:rPr>
            </w:pPr>
            <w:r>
              <w:rPr>
                <w:rFonts w:ascii="Arial" w:cs="Arial" w:eastAsia="Arial" w:hAnsi="Arial"/>
                <w:sz w:val="15"/>
                <w:szCs w:val="15"/>
                <w:color w:val="auto"/>
              </w:rPr>
              <w:t>57.52</w:t>
            </w:r>
          </w:p>
        </w:tc>
        <w:tc>
          <w:tcPr>
            <w:tcW w:w="1140" w:type="dxa"/>
            <w:vAlign w:val="bottom"/>
          </w:tcPr>
          <w:p>
            <w:pPr>
              <w:jc w:val="right"/>
              <w:ind w:right="268"/>
              <w:spacing w:after="0" w:line="168" w:lineRule="exact"/>
              <w:rPr>
                <w:sz w:val="20"/>
                <w:szCs w:val="20"/>
                <w:color w:val="auto"/>
              </w:rPr>
            </w:pPr>
            <w:r>
              <w:rPr>
                <w:rFonts w:ascii="Arial" w:cs="Arial" w:eastAsia="Arial" w:hAnsi="Arial"/>
                <w:sz w:val="15"/>
                <w:szCs w:val="15"/>
                <w:color w:val="auto"/>
              </w:rPr>
              <w:t>58.70</w:t>
            </w:r>
          </w:p>
        </w:tc>
        <w:tc>
          <w:tcPr>
            <w:tcW w:w="1480" w:type="dxa"/>
            <w:vAlign w:val="bottom"/>
          </w:tcPr>
          <w:p>
            <w:pPr>
              <w:jc w:val="right"/>
              <w:ind w:right="628"/>
              <w:spacing w:after="0" w:line="168" w:lineRule="exact"/>
              <w:rPr>
                <w:sz w:val="20"/>
                <w:szCs w:val="20"/>
                <w:color w:val="auto"/>
              </w:rPr>
            </w:pPr>
            <w:r>
              <w:rPr>
                <w:rFonts w:ascii="Arial" w:cs="Arial" w:eastAsia="Arial" w:hAnsi="Arial"/>
                <w:sz w:val="15"/>
                <w:szCs w:val="15"/>
                <w:color w:val="auto"/>
              </w:rPr>
              <w:t>51.53</w:t>
            </w:r>
          </w:p>
        </w:tc>
      </w:tr>
      <w:tr>
        <w:trPr>
          <w:trHeight w:val="174"/>
        </w:trPr>
        <w:tc>
          <w:tcPr>
            <w:tcW w:w="3660" w:type="dxa"/>
            <w:vAlign w:val="bottom"/>
          </w:tcPr>
          <w:p>
            <w:pPr>
              <w:spacing w:after="0"/>
              <w:rPr>
                <w:sz w:val="20"/>
                <w:szCs w:val="20"/>
                <w:color w:val="auto"/>
              </w:rPr>
            </w:pPr>
            <w:r>
              <w:rPr>
                <w:rFonts w:ascii="Arial" w:cs="Arial" w:eastAsia="Arial" w:hAnsi="Arial"/>
                <w:sz w:val="15"/>
                <w:szCs w:val="15"/>
                <w:color w:val="auto"/>
              </w:rPr>
              <w:t>S&amp;P 500 Index</w:t>
            </w:r>
          </w:p>
        </w:tc>
        <w:tc>
          <w:tcPr>
            <w:tcW w:w="2360" w:type="dxa"/>
            <w:vAlign w:val="bottom"/>
          </w:tcPr>
          <w:p>
            <w:pPr>
              <w:ind w:left="1560"/>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rPr>
                <w:sz w:val="20"/>
                <w:szCs w:val="20"/>
                <w:color w:val="auto"/>
              </w:rPr>
            </w:pPr>
            <w:r>
              <w:rPr>
                <w:rFonts w:ascii="Arial" w:cs="Arial" w:eastAsia="Arial" w:hAnsi="Arial"/>
                <w:sz w:val="15"/>
                <w:szCs w:val="15"/>
                <w:color w:val="auto"/>
              </w:rPr>
              <w:t>63.00</w:t>
            </w:r>
          </w:p>
        </w:tc>
        <w:tc>
          <w:tcPr>
            <w:tcW w:w="1140" w:type="dxa"/>
            <w:vAlign w:val="bottom"/>
          </w:tcPr>
          <w:p>
            <w:pPr>
              <w:jc w:val="right"/>
              <w:ind w:right="248"/>
              <w:spacing w:after="0"/>
              <w:rPr>
                <w:sz w:val="20"/>
                <w:szCs w:val="20"/>
                <w:color w:val="auto"/>
              </w:rPr>
            </w:pPr>
            <w:r>
              <w:rPr>
                <w:rFonts w:ascii="Arial" w:cs="Arial" w:eastAsia="Arial" w:hAnsi="Arial"/>
                <w:sz w:val="15"/>
                <w:szCs w:val="15"/>
                <w:color w:val="auto"/>
              </w:rPr>
              <w:t>79.67</w:t>
            </w:r>
          </w:p>
        </w:tc>
        <w:tc>
          <w:tcPr>
            <w:tcW w:w="1140" w:type="dxa"/>
            <w:vAlign w:val="bottom"/>
          </w:tcPr>
          <w:p>
            <w:pPr>
              <w:jc w:val="right"/>
              <w:ind w:right="268"/>
              <w:spacing w:after="0"/>
              <w:rPr>
                <w:sz w:val="20"/>
                <w:szCs w:val="20"/>
                <w:color w:val="auto"/>
              </w:rPr>
            </w:pPr>
            <w:r>
              <w:rPr>
                <w:rFonts w:ascii="Arial" w:cs="Arial" w:eastAsia="Arial" w:hAnsi="Arial"/>
                <w:sz w:val="15"/>
                <w:szCs w:val="15"/>
                <w:color w:val="auto"/>
              </w:rPr>
              <w:t>91.68</w:t>
            </w:r>
          </w:p>
        </w:tc>
        <w:tc>
          <w:tcPr>
            <w:tcW w:w="1480" w:type="dxa"/>
            <w:vAlign w:val="bottom"/>
          </w:tcPr>
          <w:p>
            <w:pPr>
              <w:jc w:val="right"/>
              <w:ind w:right="628"/>
              <w:spacing w:after="0"/>
              <w:rPr>
                <w:sz w:val="20"/>
                <w:szCs w:val="20"/>
                <w:color w:val="auto"/>
              </w:rPr>
            </w:pPr>
            <w:r>
              <w:rPr>
                <w:rFonts w:ascii="Arial" w:cs="Arial" w:eastAsia="Arial" w:hAnsi="Arial"/>
                <w:sz w:val="15"/>
                <w:szCs w:val="15"/>
                <w:color w:val="auto"/>
              </w:rPr>
              <w:t>93.61</w:t>
            </w:r>
          </w:p>
        </w:tc>
      </w:tr>
      <w:tr>
        <w:trPr>
          <w:trHeight w:val="174"/>
        </w:trPr>
        <w:tc>
          <w:tcPr>
            <w:tcW w:w="3660" w:type="dxa"/>
            <w:vAlign w:val="bottom"/>
          </w:tcPr>
          <w:p>
            <w:pPr>
              <w:spacing w:after="0"/>
              <w:rPr>
                <w:sz w:val="20"/>
                <w:szCs w:val="20"/>
                <w:color w:val="auto"/>
              </w:rPr>
            </w:pPr>
            <w:r>
              <w:rPr>
                <w:rFonts w:ascii="Arial" w:cs="Arial" w:eastAsia="Arial" w:hAnsi="Arial"/>
                <w:sz w:val="15"/>
                <w:szCs w:val="15"/>
                <w:color w:val="auto"/>
              </w:rPr>
              <w:t>S&amp;P 1500 Publishing Index</w:t>
            </w:r>
          </w:p>
        </w:tc>
        <w:tc>
          <w:tcPr>
            <w:tcW w:w="2360" w:type="dxa"/>
            <w:vAlign w:val="bottom"/>
          </w:tcPr>
          <w:p>
            <w:pPr>
              <w:ind w:left="1560"/>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rPr>
                <w:sz w:val="20"/>
                <w:szCs w:val="20"/>
                <w:color w:val="auto"/>
              </w:rPr>
            </w:pPr>
            <w:r>
              <w:rPr>
                <w:rFonts w:ascii="Arial" w:cs="Arial" w:eastAsia="Arial" w:hAnsi="Arial"/>
                <w:sz w:val="15"/>
                <w:szCs w:val="15"/>
                <w:color w:val="auto"/>
              </w:rPr>
              <w:t>43.92</w:t>
            </w:r>
          </w:p>
        </w:tc>
        <w:tc>
          <w:tcPr>
            <w:tcW w:w="1140" w:type="dxa"/>
            <w:vAlign w:val="bottom"/>
          </w:tcPr>
          <w:p>
            <w:pPr>
              <w:jc w:val="right"/>
              <w:ind w:right="248"/>
              <w:spacing w:after="0"/>
              <w:rPr>
                <w:sz w:val="20"/>
                <w:szCs w:val="20"/>
                <w:color w:val="auto"/>
              </w:rPr>
            </w:pPr>
            <w:r>
              <w:rPr>
                <w:rFonts w:ascii="Arial" w:cs="Arial" w:eastAsia="Arial" w:hAnsi="Arial"/>
                <w:sz w:val="15"/>
                <w:szCs w:val="15"/>
                <w:color w:val="auto"/>
              </w:rPr>
              <w:t>66.41</w:t>
            </w:r>
          </w:p>
        </w:tc>
        <w:tc>
          <w:tcPr>
            <w:tcW w:w="1140" w:type="dxa"/>
            <w:vAlign w:val="bottom"/>
          </w:tcPr>
          <w:p>
            <w:pPr>
              <w:jc w:val="right"/>
              <w:ind w:right="268"/>
              <w:spacing w:after="0"/>
              <w:rPr>
                <w:sz w:val="20"/>
                <w:szCs w:val="20"/>
                <w:color w:val="auto"/>
              </w:rPr>
            </w:pPr>
            <w:r>
              <w:rPr>
                <w:rFonts w:ascii="Arial" w:cs="Arial" w:eastAsia="Arial" w:hAnsi="Arial"/>
                <w:sz w:val="15"/>
                <w:szCs w:val="15"/>
                <w:color w:val="auto"/>
              </w:rPr>
              <w:t>71.41</w:t>
            </w:r>
          </w:p>
        </w:tc>
        <w:tc>
          <w:tcPr>
            <w:tcW w:w="1480" w:type="dxa"/>
            <w:vAlign w:val="bottom"/>
          </w:tcPr>
          <w:p>
            <w:pPr>
              <w:jc w:val="right"/>
              <w:ind w:right="628"/>
              <w:spacing w:after="0"/>
              <w:rPr>
                <w:sz w:val="20"/>
                <w:szCs w:val="20"/>
                <w:color w:val="auto"/>
              </w:rPr>
            </w:pPr>
            <w:r>
              <w:rPr>
                <w:rFonts w:ascii="Arial" w:cs="Arial" w:eastAsia="Arial" w:hAnsi="Arial"/>
                <w:sz w:val="15"/>
                <w:szCs w:val="15"/>
                <w:color w:val="auto"/>
              </w:rPr>
              <w:t>76.32</w:t>
            </w:r>
          </w:p>
        </w:tc>
      </w:tr>
      <w:tr>
        <w:trPr>
          <w:trHeight w:val="179"/>
        </w:trPr>
        <w:tc>
          <w:tcPr>
            <w:tcW w:w="3660" w:type="dxa"/>
            <w:vAlign w:val="bottom"/>
          </w:tcPr>
          <w:p>
            <w:pPr>
              <w:spacing w:after="0"/>
              <w:rPr>
                <w:sz w:val="20"/>
                <w:szCs w:val="20"/>
                <w:color w:val="auto"/>
              </w:rPr>
            </w:pPr>
            <w:r>
              <w:rPr>
                <w:rFonts w:ascii="Arial" w:cs="Arial" w:eastAsia="Arial" w:hAnsi="Arial"/>
                <w:sz w:val="15"/>
                <w:szCs w:val="15"/>
                <w:color w:val="auto"/>
              </w:rPr>
              <w:t>Education Peer Group</w:t>
            </w:r>
          </w:p>
        </w:tc>
        <w:tc>
          <w:tcPr>
            <w:tcW w:w="2360" w:type="dxa"/>
            <w:vAlign w:val="bottom"/>
          </w:tcPr>
          <w:p>
            <w:pPr>
              <w:ind w:left="1560"/>
              <w:spacing w:after="0"/>
              <w:rPr>
                <w:sz w:val="20"/>
                <w:szCs w:val="20"/>
                <w:color w:val="auto"/>
              </w:rPr>
            </w:pPr>
            <w:r>
              <w:rPr>
                <w:rFonts w:ascii="Arial" w:cs="Arial" w:eastAsia="Arial" w:hAnsi="Arial"/>
                <w:sz w:val="15"/>
                <w:szCs w:val="15"/>
                <w:color w:val="auto"/>
              </w:rPr>
              <w:t>100.00</w:t>
            </w:r>
          </w:p>
        </w:tc>
        <w:tc>
          <w:tcPr>
            <w:tcW w:w="1160" w:type="dxa"/>
            <w:vAlign w:val="bottom"/>
          </w:tcPr>
          <w:p>
            <w:pPr>
              <w:jc w:val="right"/>
              <w:ind w:right="268"/>
              <w:spacing w:after="0"/>
              <w:rPr>
                <w:sz w:val="20"/>
                <w:szCs w:val="20"/>
                <w:color w:val="auto"/>
              </w:rPr>
            </w:pPr>
            <w:r>
              <w:rPr>
                <w:rFonts w:ascii="Arial" w:cs="Arial" w:eastAsia="Arial" w:hAnsi="Arial"/>
                <w:sz w:val="15"/>
                <w:szCs w:val="15"/>
                <w:color w:val="auto"/>
              </w:rPr>
              <w:t>106.57</w:t>
            </w:r>
          </w:p>
        </w:tc>
        <w:tc>
          <w:tcPr>
            <w:tcW w:w="1140" w:type="dxa"/>
            <w:vAlign w:val="bottom"/>
          </w:tcPr>
          <w:p>
            <w:pPr>
              <w:jc w:val="right"/>
              <w:ind w:right="248"/>
              <w:spacing w:after="0"/>
              <w:rPr>
                <w:sz w:val="20"/>
                <w:szCs w:val="20"/>
                <w:color w:val="auto"/>
              </w:rPr>
            </w:pPr>
            <w:r>
              <w:rPr>
                <w:rFonts w:ascii="Arial" w:cs="Arial" w:eastAsia="Arial" w:hAnsi="Arial"/>
                <w:sz w:val="15"/>
                <w:szCs w:val="15"/>
                <w:color w:val="auto"/>
              </w:rPr>
              <w:t>100.39</w:t>
            </w:r>
          </w:p>
        </w:tc>
        <w:tc>
          <w:tcPr>
            <w:tcW w:w="1140" w:type="dxa"/>
            <w:vAlign w:val="bottom"/>
          </w:tcPr>
          <w:p>
            <w:pPr>
              <w:jc w:val="right"/>
              <w:ind w:right="268"/>
              <w:spacing w:after="0"/>
              <w:rPr>
                <w:sz w:val="20"/>
                <w:szCs w:val="20"/>
                <w:color w:val="auto"/>
              </w:rPr>
            </w:pPr>
            <w:r>
              <w:rPr>
                <w:rFonts w:ascii="Arial" w:cs="Arial" w:eastAsia="Arial" w:hAnsi="Arial"/>
                <w:sz w:val="15"/>
                <w:szCs w:val="15"/>
                <w:color w:val="auto"/>
              </w:rPr>
              <w:t>75.18</w:t>
            </w:r>
          </w:p>
        </w:tc>
        <w:tc>
          <w:tcPr>
            <w:tcW w:w="1480" w:type="dxa"/>
            <w:vAlign w:val="bottom"/>
          </w:tcPr>
          <w:p>
            <w:pPr>
              <w:jc w:val="right"/>
              <w:ind w:right="628"/>
              <w:spacing w:after="0"/>
              <w:rPr>
                <w:sz w:val="20"/>
                <w:szCs w:val="20"/>
                <w:color w:val="auto"/>
              </w:rPr>
            </w:pPr>
            <w:r>
              <w:rPr>
                <w:rFonts w:ascii="Arial" w:cs="Arial" w:eastAsia="Arial" w:hAnsi="Arial"/>
                <w:sz w:val="15"/>
                <w:szCs w:val="15"/>
                <w:color w:val="auto"/>
              </w:rPr>
              <w:t>76.63</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19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See the information for the years 2008 through 2012 contained in the table titled “Five-Year Summary of Selected Historical Financial Data,” which is included in this Annual Report on Form 10-K and listed in the index to financial information on page 52 hereof (with only the information for such years deemed filed as part of this Annual Report on Form 10-K).</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See the information contained under the heading “Management’s Discussion and Analysis of Results of Operations and Financial Condition,” which is included in this Annual Report on Form 10-K and listed in the index to financial information on page 52 hereof.</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97"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 to equity price risk; to its borrowing and cash-management activities, which are subject to interest rate risk; and to its non-U.S. business operations, w are subject to foreign exchange rate risk.</w:t>
      </w:r>
    </w:p>
    <w:p>
      <w:pPr>
        <w:spacing w:after="0" w:line="155"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b w:val="1"/>
          <w:bCs w:val="1"/>
          <w:i w:val="1"/>
          <w:iCs w:val="1"/>
          <w:color w:val="auto"/>
        </w:rPr>
        <w:t xml:space="preserve">Equity Price Risk. </w:t>
      </w:r>
      <w:r>
        <w:rPr>
          <w:rFonts w:ascii="Arial" w:cs="Arial" w:eastAsia="Arial" w:hAnsi="Arial"/>
          <w:sz w:val="17"/>
          <w:szCs w:val="17"/>
          <w:color w:val="auto"/>
        </w:rPr>
        <w:t>The Company has common stock investments in several publicly traded companies (as discussed in Note 4 to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Financial Statements) that are subject to market price volatility. The fair value of these common stock investments totaled $380.1 million December 31, 2012.</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Interest Rate Risk. </w:t>
      </w:r>
      <w:r>
        <w:rPr>
          <w:rFonts w:ascii="Arial" w:cs="Arial" w:eastAsia="Arial" w:hAnsi="Arial"/>
          <w:sz w:val="16"/>
          <w:szCs w:val="16"/>
          <w:color w:val="auto"/>
        </w:rPr>
        <w:t>The Company’s long-term debt consists of $400 million principal amount of 7.25% unsecured notes due February 1, 2019 (the 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December 31, 2012, the aggregate fair value of the Notes, based upon quoted market prices, was $ 481.4 million.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 rate applicable to the Notes was 100 basis points higher than the Notes’ stated interest rate of 7.25%, the fair value of the Notes at December 31, 201 would have been approximately $381.1 million. Conversely, if the market interest rate applicable to the Notes was 100 basis points lower than the Not stated interest rate, the fair value of the Notes at such date would have been approximately $419.9 million.</w:t>
      </w:r>
    </w:p>
    <w:p>
      <w:pPr>
        <w:spacing w:after="0" w:line="168"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September 7, 2011, the Company borrowed AUD 50 million under its revolving credit facility. On the same date, the Company entered into interest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 of 4.5275%. These interest rate swap agreements were entered into to convert the variable rate Australian dollar borrowing under the revolving credit into a fixed rate borrowing.</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 xml:space="preserve">Foreign Exchange Rate Risk. </w:t>
      </w:r>
      <w:r>
        <w:rPr>
          <w:rFonts w:ascii="Arial" w:cs="Arial" w:eastAsia="Arial" w:hAnsi="Arial"/>
          <w:sz w:val="17"/>
          <w:szCs w:val="17"/>
          <w:color w:val="auto"/>
        </w:rPr>
        <w:t>The Company is exposed to foreign exchange rate risk at its Kaplan international operations and its Corporate 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primary exposure relates to the exchange rate between the U.S. dollar and both the British pound and the Australian dollar. This exposure include British pound and Australian dollar denominated intercompany loans on U.S. based Kaplan entities with a functional currency in U.S. dollars, and the 50 million borrowing. Net unrealized foreign currency gains on intercompany loans and the AUD 50 million borrowing of $3.1 million were recorded in In 2011, the Company reported unrealized foreign currency losses of $3.3 million. In 2010, the Company reported unrealized foreign currency gains of million.</w:t>
      </w:r>
    </w:p>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the values of the British pound and the Australian dollar relative to the U.S. dollar had been 10% lower than the values that prevailed during 2012, th Company’s pre-tax income for fiscal 2012 would have been approximately $15 million lower. Conversely, if such values had been 10% higher, the Company’s reported pre-tax income for fiscal 2012 would have been approximately $15 million higher.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See the Company’s Consolidated Financial Statements at December 31, 2012, and for the periods then ended, together with the report of PricewaterhouseCoopers LLP thereon and the information contained in Note 19 to said Consolidated Financial Statements titled “Summary of Quarter Operating Results and Comprehensive Income (Unaudited),” which are included in this Annual Report on Form 10-K and listed in the index to financia information on page 52 hereof.</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9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 executive officer) and the Company’s Senior Vice President–Finance (the Company’s principal financial officer), of the effectiveness of the Company’s disclosure controls and procedures (as defined in Exchange Act Rules 13a-15(e) and 15d-15(e)), as of December 31, 2012. Based on that evaluation,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 Exchange Act is recorded, processed, summarized and reported within the time periods specified in the Securities and Exchange Commission’s rules forms and is accumulated and communicated to management, including the Chief Executive Officer and Senior Vice President–Finance, in a manner t allows timely decisions regarding required disclosure.</w:t>
      </w:r>
    </w:p>
    <w:p>
      <w:pPr>
        <w:spacing w:after="0" w:line="157" w:lineRule="exact"/>
        <w:rPr>
          <w:sz w:val="20"/>
          <w:szCs w:val="20"/>
          <w:color w:val="auto"/>
        </w:rPr>
      </w:pPr>
    </w:p>
    <w:p>
      <w:pPr>
        <w:ind w:right="5220"/>
        <w:spacing w:after="0" w:line="465" w:lineRule="auto"/>
        <w:rPr>
          <w:sz w:val="20"/>
          <w:szCs w:val="20"/>
          <w:color w:val="auto"/>
        </w:rPr>
      </w:pPr>
      <w:r>
        <w:rPr>
          <w:rFonts w:ascii="Arial" w:cs="Arial" w:eastAsia="Arial" w:hAnsi="Arial"/>
          <w:sz w:val="17"/>
          <w:szCs w:val="17"/>
          <w:b w:val="1"/>
          <w:bCs w:val="1"/>
          <w:i w:val="1"/>
          <w:iCs w:val="1"/>
          <w:color w:val="auto"/>
        </w:rPr>
        <w:t xml:space="preserve">Management’s Report on Internal Control Over Financial Reporting </w:t>
      </w:r>
      <w:r>
        <w:rPr>
          <w:rFonts w:ascii="Arial" w:cs="Arial" w:eastAsia="Arial" w:hAnsi="Arial"/>
          <w:sz w:val="17"/>
          <w:szCs w:val="17"/>
          <w:color w:val="auto"/>
        </w:rPr>
        <w:t xml:space="preserve">Management’s report set forth on page 73 is incorporated herein by reference. </w:t>
      </w:r>
      <w:r>
        <w:rPr>
          <w:rFonts w:ascii="Arial" w:cs="Arial" w:eastAsia="Arial" w:hAnsi="Arial"/>
          <w:sz w:val="17"/>
          <w:szCs w:val="17"/>
          <w:b w:val="1"/>
          <w:bCs w:val="1"/>
          <w:i w:val="1"/>
          <w:iCs w:val="1"/>
          <w:color w:val="auto"/>
        </w:rPr>
        <w:t>Changes in Internal Control Over Financial Reporting</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There has been no change in the Company’s internal control over financial reporting during the quarter ended December 31, 2012, that has materially affected, or is reasonably likely to materially affect, the Company’s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57"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PART III</w:t>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9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information contained under the heading “Executive Officers” in Item 1 hereof and the information contained under the headings “Nominees for El by Class A Shareholders,” “Nominees for Election by Class B Shareholders,” “Audit Committee” and “Section 16(a) Beneficial Ownership Reporting Compliance” in the definitive Proxy Statement for the Company’s 2013 Annual Meeting of Stockholders is incorporated herein by reference thereto.</w:t>
      </w:r>
    </w:p>
    <w:p>
      <w:pPr>
        <w:spacing w:after="0" w:line="16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The Company has adopted codes of conduct that constitute “codes of ethics” as that term is defined in paragraph (b) of Item 406 of Regulation S-K an apply to the Company’s principal executive officer, principal financial officer, principal accounting officer or controller and to any persons performing si functions. Such codes of conduct are posted on the Company’s Internet website, the address of which is </w:t>
      </w:r>
      <w:r>
        <w:rPr>
          <w:rFonts w:ascii="Arial" w:cs="Arial" w:eastAsia="Arial" w:hAnsi="Arial"/>
          <w:sz w:val="16"/>
          <w:szCs w:val="16"/>
          <w:i w:val="1"/>
          <w:iCs w:val="1"/>
          <w:color w:val="auto"/>
        </w:rPr>
        <w:t>www.washpostco.com,</w:t>
      </w:r>
      <w:r>
        <w:rPr>
          <w:rFonts w:ascii="Arial" w:cs="Arial" w:eastAsia="Arial" w:hAnsi="Arial"/>
          <w:sz w:val="16"/>
          <w:szCs w:val="16"/>
          <w:color w:val="auto"/>
        </w:rPr>
        <w:t xml:space="preserve"> and the Company int to satisfy the disclosure requirements under Item 5.05 of Form 8-K with respect to certain amendments to, and waivers of the requirements of, the provisions of such codes of conduct applicable to the officers and persons referred to above by posting the required information on its Internet website</w:t>
      </w:r>
    </w:p>
    <w:p>
      <w:pPr>
        <w:spacing w:after="0" w:line="17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addition to the certifications of the Company’s Chief Executive Officer and Chief Financial Officer filed as exhibits to this Annual Report on Form 10-June 11, 2012, the Company’s Chief Executive Officer submitted to the New York Stock Exchange the annual certification regarding compliance with t NYSE’s corporate governance listing standards required by Section 303A.12(a) of the NYSE Listed Company Manual.</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97"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The information contained under the headings “Director Compensation,” “Compensation Committee Interlocks and Insider Participation,” “Executive Compensation” and “Compensation Committee Report” in the definitive Proxy Statement for the Company’s 2013 Annual Meeting of Stockholders is incorporated herein by reference thereto.</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9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information contained under the heading “Stock Holdings of Certain Beneficial Owners and Management” in the definitive Proxy Statement for the Company’s 2013 Annual Meeting of Stockholders is incorporated herein by reference thereto.</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information contained under the headings “Transactions with Related Persons, Promoters and Certain Control Persons” and “Controlled Compan the definitive Proxy Statement for the Company’s 2013 Annual Meeting of Stockholders is incorporated herein by reference thereto.</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97" w:lineRule="exact"/>
        <w:rPr>
          <w:sz w:val="20"/>
          <w:szCs w:val="20"/>
          <w:color w:val="auto"/>
        </w:rPr>
      </w:pPr>
    </w:p>
    <w:p>
      <w:pPr>
        <w:ind w:right="140"/>
        <w:spacing w:after="0" w:line="235" w:lineRule="auto"/>
        <w:rPr>
          <w:sz w:val="20"/>
          <w:szCs w:val="20"/>
          <w:color w:val="auto"/>
        </w:rPr>
      </w:pPr>
      <w:r>
        <w:rPr>
          <w:rFonts w:ascii="Arial" w:cs="Arial" w:eastAsia="Arial" w:hAnsi="Arial"/>
          <w:sz w:val="17"/>
          <w:szCs w:val="17"/>
          <w:color w:val="auto"/>
        </w:rPr>
        <w:t>The information contained under the heading “Audit Committee Report” in the definitive Proxy Statement for the Company’s 2013 Annual Meeting of Stockholders is incorporated herein by reference thereto.</w:t>
      </w:r>
    </w:p>
    <w:p>
      <w:pPr>
        <w:spacing w:after="0" w:line="317"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PART IV</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report:</w:t>
      </w:r>
    </w:p>
    <w:p>
      <w:pPr>
        <w:spacing w:after="0" w:line="157" w:lineRule="exact"/>
        <w:rPr>
          <w:sz w:val="20"/>
          <w:szCs w:val="20"/>
          <w:color w:val="auto"/>
        </w:rPr>
      </w:pPr>
    </w:p>
    <w:p>
      <w:pPr>
        <w:ind w:left="760" w:hanging="364"/>
        <w:spacing w:after="0"/>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Financial Statements. </w:t>
      </w:r>
      <w:r>
        <w:rPr>
          <w:rFonts w:ascii="Arial" w:cs="Arial" w:eastAsia="Arial" w:hAnsi="Arial"/>
          <w:sz w:val="17"/>
          <w:szCs w:val="17"/>
          <w:color w:val="auto"/>
        </w:rPr>
        <w:t>As listed in the index to financial information on page 52 hereof.</w:t>
      </w:r>
    </w:p>
    <w:p>
      <w:pPr>
        <w:spacing w:after="0" w:line="176" w:lineRule="exact"/>
        <w:rPr>
          <w:rFonts w:ascii="Arial" w:cs="Arial" w:eastAsia="Arial" w:hAnsi="Arial"/>
          <w:sz w:val="17"/>
          <w:szCs w:val="17"/>
          <w:color w:val="auto"/>
        </w:rPr>
      </w:pPr>
    </w:p>
    <w:p>
      <w:pPr>
        <w:ind w:left="760" w:hanging="365"/>
        <w:spacing w:after="0"/>
        <w:tabs>
          <w:tab w:leader="none" w:pos="76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Exhibits.  </w:t>
      </w:r>
      <w:r>
        <w:rPr>
          <w:rFonts w:ascii="Arial" w:cs="Arial" w:eastAsia="Arial" w:hAnsi="Arial"/>
          <w:sz w:val="17"/>
          <w:szCs w:val="17"/>
          <w:color w:val="auto"/>
        </w:rPr>
        <w:t>As listed in the index to exhibits on page 121 hereof.</w:t>
      </w:r>
    </w:p>
    <w:p>
      <w:pPr>
        <w:spacing w:after="0" w:line="23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center"/>
        <w:ind w:left="1160"/>
        <w:spacing w:after="0"/>
        <w:rPr>
          <w:sz w:val="20"/>
          <w:szCs w:val="20"/>
          <w:color w:val="auto"/>
        </w:rPr>
      </w:pPr>
      <w:r>
        <w:rPr>
          <w:rFonts w:ascii="Arial" w:cs="Arial" w:eastAsia="Arial" w:hAnsi="Arial"/>
          <w:sz w:val="17"/>
          <w:szCs w:val="17"/>
          <w:b w:val="1"/>
          <w:bCs w:val="1"/>
          <w:color w:val="auto"/>
        </w:rPr>
        <w:t>SIGNATURES</w:t>
      </w:r>
    </w:p>
    <w:p>
      <w:pPr>
        <w:spacing w:after="0" w:line="19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behalf by the undersigned, thereunto duly authorized, on February 27, 2013.</w:t>
      </w:r>
    </w:p>
    <w:p>
      <w:pPr>
        <w:spacing w:after="0" w:line="352" w:lineRule="exact"/>
        <w:rPr>
          <w:sz w:val="20"/>
          <w:szCs w:val="20"/>
          <w:color w:val="auto"/>
        </w:rPr>
      </w:pPr>
    </w:p>
    <w:p>
      <w:pPr>
        <w:jc w:val="center"/>
        <w:ind w:left="8480"/>
        <w:spacing w:after="0"/>
        <w:rPr>
          <w:sz w:val="20"/>
          <w:szCs w:val="20"/>
          <w:color w:val="auto"/>
        </w:rPr>
      </w:pPr>
      <w:r>
        <w:rPr>
          <w:rFonts w:ascii="Arial" w:cs="Arial" w:eastAsia="Arial" w:hAnsi="Arial"/>
          <w:sz w:val="17"/>
          <w:szCs w:val="17"/>
          <w:color w:val="auto"/>
        </w:rPr>
        <w:t>THE WASHINGTON POST COMPANY</w:t>
      </w:r>
    </w:p>
    <w:p>
      <w:pPr>
        <w:jc w:val="center"/>
        <w:ind w:left="8480"/>
        <w:spacing w:after="0"/>
        <w:rPr>
          <w:sz w:val="20"/>
          <w:szCs w:val="20"/>
          <w:color w:val="auto"/>
        </w:rPr>
      </w:pPr>
      <w:r>
        <w:rPr>
          <w:rFonts w:ascii="Arial" w:cs="Arial" w:eastAsia="Arial" w:hAnsi="Arial"/>
          <w:sz w:val="17"/>
          <w:szCs w:val="17"/>
          <w:color w:val="auto"/>
        </w:rPr>
        <w:t>(Registrant)</w:t>
      </w:r>
    </w:p>
    <w:p>
      <w:pPr>
        <w:spacing w:after="0" w:line="214" w:lineRule="exact"/>
        <w:rPr>
          <w:sz w:val="20"/>
          <w:szCs w:val="20"/>
          <w:color w:val="auto"/>
        </w:rPr>
      </w:pPr>
    </w:p>
    <w:p>
      <w:pPr>
        <w:ind w:left="6980"/>
        <w:spacing w:after="0"/>
        <w:tabs>
          <w:tab w:leader="none" w:pos="87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-5080</wp:posOffset>
            </wp:positionV>
            <wp:extent cx="23037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03780" cy="7620"/>
                    </a:xfrm>
                    <a:prstGeom prst="rect">
                      <a:avLst/>
                    </a:prstGeom>
                    <a:noFill/>
                  </pic:spPr>
                </pic:pic>
              </a:graphicData>
            </a:graphic>
          </wp:anchor>
        </w:drawing>
      </w:r>
    </w:p>
    <w:p>
      <w:pPr>
        <w:spacing w:after="0" w:line="95" w:lineRule="exact"/>
        <w:rPr>
          <w:sz w:val="20"/>
          <w:szCs w:val="20"/>
          <w:color w:val="auto"/>
        </w:rPr>
      </w:pPr>
    </w:p>
    <w:p>
      <w:pPr>
        <w:jc w:val="center"/>
        <w:ind w:left="8480"/>
        <w:spacing w:after="0"/>
        <w:rPr>
          <w:sz w:val="20"/>
          <w:szCs w:val="20"/>
          <w:color w:val="auto"/>
        </w:rPr>
      </w:pPr>
      <w:r>
        <w:rPr>
          <w:rFonts w:ascii="Arial" w:cs="Arial" w:eastAsia="Arial" w:hAnsi="Arial"/>
          <w:sz w:val="17"/>
          <w:szCs w:val="17"/>
          <w:color w:val="auto"/>
        </w:rPr>
        <w:t>Hal S. Jones</w:t>
      </w:r>
    </w:p>
    <w:p>
      <w:pPr>
        <w:spacing w:after="0" w:line="3" w:lineRule="exact"/>
        <w:rPr>
          <w:sz w:val="20"/>
          <w:szCs w:val="20"/>
          <w:color w:val="auto"/>
        </w:rPr>
      </w:pPr>
    </w:p>
    <w:p>
      <w:pPr>
        <w:jc w:val="center"/>
        <w:ind w:left="8480"/>
        <w:spacing w:after="0"/>
        <w:rPr>
          <w:sz w:val="20"/>
          <w:szCs w:val="20"/>
          <w:color w:val="auto"/>
        </w:rPr>
      </w:pPr>
      <w:r>
        <w:rPr>
          <w:rFonts w:ascii="Arial" w:cs="Arial" w:eastAsia="Arial" w:hAnsi="Arial"/>
          <w:sz w:val="17"/>
          <w:szCs w:val="17"/>
          <w:color w:val="auto"/>
        </w:rPr>
        <w:t>Senior Vice President - Finance</w:t>
      </w:r>
    </w:p>
    <w:p>
      <w:pPr>
        <w:spacing w:after="0" w:line="36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 and in the capacities indicated on February 27, 2013:</w:t>
      </w:r>
    </w:p>
    <w:p>
      <w:pPr>
        <w:spacing w:after="0" w:line="266" w:lineRule="exact"/>
        <w:rPr>
          <w:sz w:val="20"/>
          <w:szCs w:val="20"/>
          <w:color w:val="auto"/>
        </w:rPr>
      </w:pPr>
    </w:p>
    <w:tbl>
      <w:tblPr>
        <w:tblLayout w:type="fixed"/>
        <w:tblInd w:w="1060" w:type="dxa"/>
        <w:tblCellMar>
          <w:top w:w="0" w:type="dxa"/>
          <w:left w:w="0" w:type="dxa"/>
          <w:bottom w:w="0" w:type="dxa"/>
          <w:right w:w="0" w:type="dxa"/>
        </w:tblCellMar>
      </w:tblPr>
      <w:tr>
        <w:trPr>
          <w:trHeight w:val="195"/>
        </w:trPr>
        <w:tc>
          <w:tcPr>
            <w:tcW w:w="2820" w:type="dxa"/>
            <w:vAlign w:val="bottom"/>
          </w:tcPr>
          <w:p>
            <w:pPr>
              <w:jc w:val="center"/>
              <w:ind w:right="977"/>
              <w:spacing w:after="0"/>
              <w:rPr>
                <w:sz w:val="20"/>
                <w:szCs w:val="20"/>
                <w:color w:val="auto"/>
              </w:rPr>
            </w:pPr>
            <w:r>
              <w:rPr>
                <w:rFonts w:ascii="Arial" w:cs="Arial" w:eastAsia="Arial" w:hAnsi="Arial"/>
                <w:sz w:val="17"/>
                <w:szCs w:val="17"/>
                <w:color w:val="auto"/>
                <w:w w:val="96"/>
              </w:rPr>
              <w:t>Donald E. Graham</w:t>
            </w:r>
          </w:p>
        </w:tc>
        <w:tc>
          <w:tcPr>
            <w:tcW w:w="4080" w:type="dxa"/>
            <w:vAlign w:val="bottom"/>
          </w:tcPr>
          <w:p>
            <w:pPr>
              <w:jc w:val="center"/>
              <w:ind w:left="977"/>
              <w:spacing w:after="0"/>
              <w:rPr>
                <w:sz w:val="20"/>
                <w:szCs w:val="20"/>
                <w:color w:val="auto"/>
              </w:rPr>
            </w:pPr>
            <w:r>
              <w:rPr>
                <w:rFonts w:ascii="Arial" w:cs="Arial" w:eastAsia="Arial" w:hAnsi="Arial"/>
                <w:sz w:val="17"/>
                <w:szCs w:val="17"/>
                <w:color w:val="auto"/>
                <w:w w:val="97"/>
              </w:rPr>
              <w:t>Chairman of the Board, Chief Executive</w:t>
            </w:r>
          </w:p>
        </w:tc>
      </w:tr>
      <w:tr>
        <w:trPr>
          <w:trHeight w:val="186"/>
        </w:trPr>
        <w:tc>
          <w:tcPr>
            <w:tcW w:w="2820" w:type="dxa"/>
            <w:vAlign w:val="bottom"/>
          </w:tcPr>
          <w:p>
            <w:pPr>
              <w:spacing w:after="0"/>
              <w:rPr>
                <w:sz w:val="16"/>
                <w:szCs w:val="16"/>
                <w:color w:val="auto"/>
              </w:rPr>
            </w:pPr>
          </w:p>
        </w:tc>
        <w:tc>
          <w:tcPr>
            <w:tcW w:w="4080" w:type="dxa"/>
            <w:vAlign w:val="bottom"/>
          </w:tcPr>
          <w:p>
            <w:pPr>
              <w:jc w:val="center"/>
              <w:ind w:left="997"/>
              <w:spacing w:after="0" w:line="186" w:lineRule="exact"/>
              <w:rPr>
                <w:sz w:val="20"/>
                <w:szCs w:val="20"/>
                <w:color w:val="auto"/>
              </w:rPr>
            </w:pPr>
            <w:r>
              <w:rPr>
                <w:rFonts w:ascii="Arial" w:cs="Arial" w:eastAsia="Arial" w:hAnsi="Arial"/>
                <w:sz w:val="17"/>
                <w:szCs w:val="17"/>
                <w:color w:val="auto"/>
                <w:w w:val="96"/>
              </w:rPr>
              <w:t>Officer (Principal Executive Officer) and</w:t>
            </w:r>
          </w:p>
        </w:tc>
      </w:tr>
      <w:tr>
        <w:trPr>
          <w:trHeight w:val="198"/>
        </w:trPr>
        <w:tc>
          <w:tcPr>
            <w:tcW w:w="2820" w:type="dxa"/>
            <w:vAlign w:val="bottom"/>
          </w:tcPr>
          <w:p>
            <w:pPr>
              <w:spacing w:after="0"/>
              <w:rPr>
                <w:sz w:val="17"/>
                <w:szCs w:val="17"/>
                <w:color w:val="auto"/>
              </w:rPr>
            </w:pPr>
          </w:p>
        </w:tc>
        <w:tc>
          <w:tcPr>
            <w:tcW w:w="4080" w:type="dxa"/>
            <w:vAlign w:val="bottom"/>
          </w:tcPr>
          <w:p>
            <w:pPr>
              <w:jc w:val="center"/>
              <w:ind w:left="977"/>
              <w:spacing w:after="0"/>
              <w:rPr>
                <w:sz w:val="20"/>
                <w:szCs w:val="20"/>
                <w:color w:val="auto"/>
              </w:rPr>
            </w:pPr>
            <w:r>
              <w:rPr>
                <w:rFonts w:ascii="Arial" w:cs="Arial" w:eastAsia="Arial" w:hAnsi="Arial"/>
                <w:sz w:val="17"/>
                <w:szCs w:val="17"/>
                <w:color w:val="auto"/>
                <w:w w:val="97"/>
              </w:rPr>
              <w:t>Director</w:t>
            </w:r>
          </w:p>
        </w:tc>
      </w:tr>
      <w:tr>
        <w:trPr>
          <w:trHeight w:val="398"/>
        </w:trPr>
        <w:tc>
          <w:tcPr>
            <w:tcW w:w="2820" w:type="dxa"/>
            <w:vAlign w:val="bottom"/>
          </w:tcPr>
          <w:p>
            <w:pPr>
              <w:jc w:val="center"/>
              <w:ind w:right="977"/>
              <w:spacing w:after="0"/>
              <w:rPr>
                <w:sz w:val="20"/>
                <w:szCs w:val="20"/>
                <w:color w:val="auto"/>
              </w:rPr>
            </w:pPr>
            <w:r>
              <w:rPr>
                <w:rFonts w:ascii="Arial" w:cs="Arial" w:eastAsia="Arial" w:hAnsi="Arial"/>
                <w:sz w:val="17"/>
                <w:szCs w:val="17"/>
                <w:color w:val="auto"/>
                <w:w w:val="95"/>
              </w:rPr>
              <w:t>Hal S. Jones</w:t>
            </w:r>
          </w:p>
        </w:tc>
        <w:tc>
          <w:tcPr>
            <w:tcW w:w="4080" w:type="dxa"/>
            <w:vAlign w:val="bottom"/>
          </w:tcPr>
          <w:p>
            <w:pPr>
              <w:jc w:val="center"/>
              <w:ind w:left="997"/>
              <w:spacing w:after="0"/>
              <w:rPr>
                <w:sz w:val="20"/>
                <w:szCs w:val="20"/>
                <w:color w:val="auto"/>
              </w:rPr>
            </w:pPr>
            <w:r>
              <w:rPr>
                <w:rFonts w:ascii="Arial" w:cs="Arial" w:eastAsia="Arial" w:hAnsi="Arial"/>
                <w:sz w:val="17"/>
                <w:szCs w:val="17"/>
                <w:color w:val="auto"/>
                <w:w w:val="97"/>
              </w:rPr>
              <w:t>Senior Vice President–Finance (Principal</w:t>
            </w:r>
          </w:p>
        </w:tc>
      </w:tr>
      <w:tr>
        <w:trPr>
          <w:trHeight w:val="198"/>
        </w:trPr>
        <w:tc>
          <w:tcPr>
            <w:tcW w:w="2820" w:type="dxa"/>
            <w:vAlign w:val="bottom"/>
          </w:tcPr>
          <w:p>
            <w:pPr>
              <w:spacing w:after="0"/>
              <w:rPr>
                <w:sz w:val="17"/>
                <w:szCs w:val="17"/>
                <w:color w:val="auto"/>
              </w:rPr>
            </w:pPr>
          </w:p>
        </w:tc>
        <w:tc>
          <w:tcPr>
            <w:tcW w:w="4080" w:type="dxa"/>
            <w:vAlign w:val="bottom"/>
          </w:tcPr>
          <w:p>
            <w:pPr>
              <w:jc w:val="center"/>
              <w:ind w:left="997"/>
              <w:spacing w:after="0"/>
              <w:rPr>
                <w:sz w:val="20"/>
                <w:szCs w:val="20"/>
                <w:color w:val="auto"/>
              </w:rPr>
            </w:pPr>
            <w:r>
              <w:rPr>
                <w:rFonts w:ascii="Arial" w:cs="Arial" w:eastAsia="Arial" w:hAnsi="Arial"/>
                <w:sz w:val="17"/>
                <w:szCs w:val="17"/>
                <w:color w:val="auto"/>
                <w:w w:val="96"/>
              </w:rPr>
              <w:t>Financial Officer)</w:t>
            </w:r>
          </w:p>
        </w:tc>
      </w:tr>
      <w:tr>
        <w:trPr>
          <w:trHeight w:val="434"/>
        </w:trPr>
        <w:tc>
          <w:tcPr>
            <w:tcW w:w="2820" w:type="dxa"/>
            <w:vAlign w:val="bottom"/>
          </w:tcPr>
          <w:p>
            <w:pPr>
              <w:jc w:val="center"/>
              <w:ind w:right="977"/>
              <w:spacing w:after="0"/>
              <w:rPr>
                <w:sz w:val="20"/>
                <w:szCs w:val="20"/>
                <w:color w:val="auto"/>
              </w:rPr>
            </w:pPr>
            <w:r>
              <w:rPr>
                <w:rFonts w:ascii="Arial" w:cs="Arial" w:eastAsia="Arial" w:hAnsi="Arial"/>
                <w:sz w:val="17"/>
                <w:szCs w:val="17"/>
                <w:color w:val="auto"/>
                <w:w w:val="96"/>
              </w:rPr>
              <w:t>Wallace R. Cooney</w:t>
            </w:r>
          </w:p>
        </w:tc>
        <w:tc>
          <w:tcPr>
            <w:tcW w:w="4080" w:type="dxa"/>
            <w:vAlign w:val="bottom"/>
          </w:tcPr>
          <w:p>
            <w:pPr>
              <w:jc w:val="center"/>
              <w:ind w:left="997"/>
              <w:spacing w:after="0"/>
              <w:rPr>
                <w:sz w:val="20"/>
                <w:szCs w:val="20"/>
                <w:color w:val="auto"/>
              </w:rPr>
            </w:pPr>
            <w:r>
              <w:rPr>
                <w:rFonts w:ascii="Arial" w:cs="Arial" w:eastAsia="Arial" w:hAnsi="Arial"/>
                <w:sz w:val="17"/>
                <w:szCs w:val="17"/>
                <w:color w:val="auto"/>
                <w:w w:val="97"/>
              </w:rPr>
              <w:t>Principal Accounting Officer</w:t>
            </w:r>
          </w:p>
        </w:tc>
      </w:tr>
      <w:tr>
        <w:trPr>
          <w:trHeight w:val="398"/>
        </w:trPr>
        <w:tc>
          <w:tcPr>
            <w:tcW w:w="2820" w:type="dxa"/>
            <w:vAlign w:val="bottom"/>
          </w:tcPr>
          <w:p>
            <w:pPr>
              <w:jc w:val="center"/>
              <w:ind w:right="977"/>
              <w:spacing w:after="0"/>
              <w:rPr>
                <w:sz w:val="20"/>
                <w:szCs w:val="20"/>
                <w:color w:val="auto"/>
              </w:rPr>
            </w:pPr>
            <w:r>
              <w:rPr>
                <w:rFonts w:ascii="Arial" w:cs="Arial" w:eastAsia="Arial" w:hAnsi="Arial"/>
                <w:sz w:val="17"/>
                <w:szCs w:val="17"/>
                <w:color w:val="auto"/>
                <w:w w:val="95"/>
              </w:rPr>
              <w:t>Lee C. Bollinger</w:t>
            </w:r>
          </w:p>
        </w:tc>
        <w:tc>
          <w:tcPr>
            <w:tcW w:w="4080" w:type="dxa"/>
            <w:vAlign w:val="bottom"/>
          </w:tcPr>
          <w:p>
            <w:pPr>
              <w:jc w:val="center"/>
              <w:ind w:left="977"/>
              <w:spacing w:after="0"/>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6"/>
              </w:rPr>
              <w:t>Christopher C. Davis</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5"/>
              </w:rPr>
              <w:t>Barry Diller</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8"/>
              </w:rPr>
              <w:t>Thomas S. Gayner</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7"/>
              </w:rPr>
              <w:t>Dave Goldberg</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7"/>
              </w:rPr>
              <w:t>Anne M. Mulcahy</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8"/>
              </w:rPr>
              <w:t>Ronald L. Olson</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6"/>
              </w:rPr>
              <w:t>Larry D. Thompson</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86"/>
        </w:trPr>
        <w:tc>
          <w:tcPr>
            <w:tcW w:w="2820" w:type="dxa"/>
            <w:vAlign w:val="bottom"/>
          </w:tcPr>
          <w:p>
            <w:pPr>
              <w:jc w:val="center"/>
              <w:ind w:right="977"/>
              <w:spacing w:after="0" w:line="186" w:lineRule="exact"/>
              <w:rPr>
                <w:sz w:val="20"/>
                <w:szCs w:val="20"/>
                <w:color w:val="auto"/>
              </w:rPr>
            </w:pPr>
            <w:r>
              <w:rPr>
                <w:rFonts w:ascii="Arial" w:cs="Arial" w:eastAsia="Arial" w:hAnsi="Arial"/>
                <w:sz w:val="17"/>
                <w:szCs w:val="17"/>
                <w:color w:val="auto"/>
                <w:w w:val="96"/>
              </w:rPr>
              <w:t>G. Richard Wagoner, Jr.</w:t>
            </w:r>
          </w:p>
        </w:tc>
        <w:tc>
          <w:tcPr>
            <w:tcW w:w="4080" w:type="dxa"/>
            <w:vAlign w:val="bottom"/>
          </w:tcPr>
          <w:p>
            <w:pPr>
              <w:jc w:val="center"/>
              <w:ind w:left="977"/>
              <w:spacing w:after="0" w:line="186" w:lineRule="exact"/>
              <w:rPr>
                <w:sz w:val="20"/>
                <w:szCs w:val="20"/>
                <w:color w:val="auto"/>
              </w:rPr>
            </w:pPr>
            <w:r>
              <w:rPr>
                <w:rFonts w:ascii="Arial" w:cs="Arial" w:eastAsia="Arial" w:hAnsi="Arial"/>
                <w:sz w:val="17"/>
                <w:szCs w:val="17"/>
                <w:color w:val="auto"/>
                <w:w w:val="97"/>
              </w:rPr>
              <w:t>Director</w:t>
            </w:r>
          </w:p>
        </w:tc>
      </w:tr>
      <w:tr>
        <w:trPr>
          <w:trHeight w:val="198"/>
        </w:trPr>
        <w:tc>
          <w:tcPr>
            <w:tcW w:w="2820" w:type="dxa"/>
            <w:vAlign w:val="bottom"/>
          </w:tcPr>
          <w:p>
            <w:pPr>
              <w:jc w:val="center"/>
              <w:ind w:right="997"/>
              <w:spacing w:after="0"/>
              <w:rPr>
                <w:sz w:val="20"/>
                <w:szCs w:val="20"/>
                <w:color w:val="auto"/>
              </w:rPr>
            </w:pPr>
            <w:r>
              <w:rPr>
                <w:rFonts w:ascii="Arial" w:cs="Arial" w:eastAsia="Arial" w:hAnsi="Arial"/>
                <w:sz w:val="17"/>
                <w:szCs w:val="17"/>
                <w:color w:val="auto"/>
                <w:w w:val="96"/>
              </w:rPr>
              <w:t>Katharine Weymouth</w:t>
            </w:r>
          </w:p>
        </w:tc>
        <w:tc>
          <w:tcPr>
            <w:tcW w:w="4080" w:type="dxa"/>
            <w:vAlign w:val="bottom"/>
          </w:tcPr>
          <w:p>
            <w:pPr>
              <w:jc w:val="center"/>
              <w:ind w:left="977"/>
              <w:spacing w:after="0"/>
              <w:rPr>
                <w:sz w:val="20"/>
                <w:szCs w:val="20"/>
                <w:color w:val="auto"/>
              </w:rPr>
            </w:pPr>
            <w:r>
              <w:rPr>
                <w:rFonts w:ascii="Arial" w:cs="Arial" w:eastAsia="Arial" w:hAnsi="Arial"/>
                <w:sz w:val="17"/>
                <w:szCs w:val="17"/>
                <w:color w:val="auto"/>
                <w:w w:val="97"/>
              </w:rPr>
              <w:t>Director</w:t>
            </w:r>
          </w:p>
        </w:tc>
      </w:tr>
    </w:tbl>
    <w:p>
      <w:pPr>
        <w:spacing w:after="0" w:line="389" w:lineRule="exact"/>
        <w:rPr>
          <w:sz w:val="20"/>
          <w:szCs w:val="20"/>
          <w:color w:val="auto"/>
        </w:rPr>
      </w:pPr>
    </w:p>
    <w:tbl>
      <w:tblPr>
        <w:tblLayout w:type="fixed"/>
        <w:tblInd w:w="6980" w:type="dxa"/>
        <w:tblCellMar>
          <w:top w:w="0" w:type="dxa"/>
          <w:left w:w="0" w:type="dxa"/>
          <w:bottom w:w="0" w:type="dxa"/>
          <w:right w:w="0" w:type="dxa"/>
        </w:tblCellMar>
      </w:tblPr>
      <w:tr>
        <w:trPr>
          <w:trHeight w:val="195"/>
        </w:trPr>
        <w:tc>
          <w:tcPr>
            <w:tcW w:w="340" w:type="dxa"/>
            <w:vAlign w:val="bottom"/>
          </w:tcPr>
          <w:p>
            <w:pPr>
              <w:spacing w:after="0"/>
              <w:rPr>
                <w:sz w:val="20"/>
                <w:szCs w:val="20"/>
                <w:color w:val="auto"/>
              </w:rPr>
            </w:pPr>
            <w:r>
              <w:rPr>
                <w:rFonts w:ascii="Arial" w:cs="Arial" w:eastAsia="Arial" w:hAnsi="Arial"/>
                <w:sz w:val="17"/>
                <w:szCs w:val="17"/>
                <w:color w:val="auto"/>
              </w:rPr>
              <w:t>By</w:t>
            </w:r>
          </w:p>
        </w:tc>
        <w:tc>
          <w:tcPr>
            <w:tcW w:w="3620" w:type="dxa"/>
            <w:vAlign w:val="bottom"/>
            <w:tcBorders>
              <w:bottom w:val="single" w:sz="8" w:color="auto"/>
            </w:tcBorders>
          </w:tcPr>
          <w:p>
            <w:pPr>
              <w:jc w:val="center"/>
              <w:ind w:left="377"/>
              <w:spacing w:after="0"/>
              <w:rPr>
                <w:sz w:val="20"/>
                <w:szCs w:val="20"/>
                <w:color w:val="auto"/>
              </w:rPr>
            </w:pPr>
            <w:r>
              <w:rPr>
                <w:rFonts w:ascii="Arial" w:cs="Arial" w:eastAsia="Arial" w:hAnsi="Arial"/>
                <w:sz w:val="17"/>
                <w:szCs w:val="17"/>
                <w:color w:val="auto"/>
                <w:w w:val="97"/>
              </w:rPr>
              <w:t>/s/ Hal S. Jones</w:t>
            </w:r>
          </w:p>
        </w:tc>
      </w:tr>
      <w:tr>
        <w:trPr>
          <w:trHeight w:val="301"/>
        </w:trPr>
        <w:tc>
          <w:tcPr>
            <w:tcW w:w="340" w:type="dxa"/>
            <w:vAlign w:val="bottom"/>
          </w:tcPr>
          <w:p>
            <w:pPr>
              <w:spacing w:after="0"/>
              <w:rPr>
                <w:sz w:val="24"/>
                <w:szCs w:val="24"/>
                <w:color w:val="auto"/>
              </w:rPr>
            </w:pPr>
          </w:p>
        </w:tc>
        <w:tc>
          <w:tcPr>
            <w:tcW w:w="3620" w:type="dxa"/>
            <w:vAlign w:val="bottom"/>
          </w:tcPr>
          <w:p>
            <w:pPr>
              <w:jc w:val="center"/>
              <w:ind w:left="397"/>
              <w:spacing w:after="0"/>
              <w:rPr>
                <w:sz w:val="20"/>
                <w:szCs w:val="20"/>
                <w:color w:val="auto"/>
              </w:rPr>
            </w:pPr>
            <w:r>
              <w:rPr>
                <w:rFonts w:ascii="Arial" w:cs="Arial" w:eastAsia="Arial" w:hAnsi="Arial"/>
                <w:sz w:val="17"/>
                <w:szCs w:val="17"/>
                <w:color w:val="auto"/>
                <w:w w:val="97"/>
              </w:rPr>
              <w:t>Hal S. Jones</w:t>
            </w:r>
          </w:p>
        </w:tc>
      </w:tr>
      <w:tr>
        <w:trPr>
          <w:trHeight w:val="199"/>
        </w:trPr>
        <w:tc>
          <w:tcPr>
            <w:tcW w:w="340" w:type="dxa"/>
            <w:vAlign w:val="bottom"/>
          </w:tcPr>
          <w:p>
            <w:pPr>
              <w:spacing w:after="0"/>
              <w:rPr>
                <w:sz w:val="17"/>
                <w:szCs w:val="17"/>
                <w:color w:val="auto"/>
              </w:rPr>
            </w:pPr>
          </w:p>
        </w:tc>
        <w:tc>
          <w:tcPr>
            <w:tcW w:w="3620" w:type="dxa"/>
            <w:vAlign w:val="bottom"/>
          </w:tcPr>
          <w:p>
            <w:pPr>
              <w:jc w:val="center"/>
              <w:ind w:left="397"/>
              <w:spacing w:after="0"/>
              <w:rPr>
                <w:sz w:val="20"/>
                <w:szCs w:val="20"/>
                <w:color w:val="auto"/>
              </w:rPr>
            </w:pPr>
            <w:r>
              <w:rPr>
                <w:rFonts w:ascii="Arial" w:cs="Arial" w:eastAsia="Arial" w:hAnsi="Arial"/>
                <w:sz w:val="17"/>
                <w:szCs w:val="17"/>
                <w:color w:val="auto"/>
                <w:w w:val="97"/>
              </w:rPr>
              <w:t>Attorney-in-Fact</w:t>
            </w:r>
          </w:p>
        </w:tc>
      </w:tr>
    </w:tbl>
    <w:p>
      <w:pPr>
        <w:spacing w:after="0" w:line="175"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An original power of attorney authorizing Donald E. Graham, Hal S. Jones and Veronica Dillon, and each of them, to sign all reports required to be file the Registrant pursuant to the Securities Exchange Act of 1934 on behalf of the above-named directors and officers has been filed with the Securities Exchange Commission.</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8" w:right="139" w:bottom="1440" w:gutter="0" w:footer="0" w:header="0"/>
        </w:sectPr>
      </w:pPr>
    </w:p>
    <w:bookmarkStart w:id="55" w:name="page56"/>
    <w:bookmarkEnd w:id="5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p>
      <w:pPr>
        <w:ind w:left="4260"/>
        <w:spacing w:after="0"/>
        <w:rPr>
          <w:sz w:val="20"/>
          <w:szCs w:val="20"/>
          <w:color w:val="auto"/>
        </w:rPr>
      </w:pPr>
      <w:r>
        <w:rPr>
          <w:rFonts w:ascii="Arial" w:cs="Arial" w:eastAsia="Arial" w:hAnsi="Arial"/>
          <w:sz w:val="17"/>
          <w:szCs w:val="17"/>
          <w:b w:val="1"/>
          <w:bCs w:val="1"/>
          <w:color w:val="auto"/>
        </w:rPr>
        <w:t>INDEX TO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156210</wp:posOffset>
            </wp:positionV>
            <wp:extent cx="271843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31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THE WASHINGTON POST COMPANY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Management’s Discussion and Analysis of Results of Operations and Financial Condition (Unaudited)</w:t>
      </w:r>
    </w:p>
    <w:p>
      <w:pPr>
        <w:ind w:left="10760"/>
        <w:spacing w:after="0"/>
        <w:rPr>
          <w:sz w:val="20"/>
          <w:szCs w:val="20"/>
          <w:color w:val="auto"/>
        </w:rPr>
      </w:pPr>
      <w:r>
        <w:rPr>
          <w:rFonts w:ascii="Arial" w:cs="Arial" w:eastAsia="Arial" w:hAnsi="Arial"/>
          <w:sz w:val="17"/>
          <w:szCs w:val="17"/>
          <w:color w:val="auto"/>
        </w:rPr>
        <w:t>53</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Financial Statements:</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Management’s Report on Internal Control Over Financial Reporting</w:t>
      </w:r>
    </w:p>
    <w:p>
      <w:pPr>
        <w:ind w:left="10760"/>
        <w:spacing w:after="0"/>
        <w:rPr>
          <w:sz w:val="20"/>
          <w:szCs w:val="20"/>
          <w:color w:val="auto"/>
        </w:rPr>
      </w:pPr>
      <w:r>
        <w:rPr>
          <w:rFonts w:ascii="Arial" w:cs="Arial" w:eastAsia="Arial" w:hAnsi="Arial"/>
          <w:sz w:val="17"/>
          <w:szCs w:val="17"/>
          <w:color w:val="auto"/>
        </w:rPr>
        <w:t>73</w:t>
      </w:r>
    </w:p>
    <w:p>
      <w:pPr>
        <w:ind w:left="200"/>
        <w:spacing w:after="0" w:line="186" w:lineRule="auto"/>
        <w:rPr>
          <w:sz w:val="20"/>
          <w:szCs w:val="20"/>
          <w:color w:val="auto"/>
        </w:rPr>
      </w:pPr>
      <w:r>
        <w:rPr>
          <w:rFonts w:ascii="Arial" w:cs="Arial" w:eastAsia="Arial" w:hAnsi="Arial"/>
          <w:sz w:val="17"/>
          <w:szCs w:val="17"/>
          <w:color w:val="auto"/>
        </w:rPr>
        <w:t>Report of Independent Registered Public Accounting Firm</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74</w:t>
      </w:r>
    </w:p>
    <w:p>
      <w:pPr>
        <w:ind w:left="200"/>
        <w:spacing w:after="0" w:line="186" w:lineRule="auto"/>
        <w:rPr>
          <w:sz w:val="20"/>
          <w:szCs w:val="20"/>
          <w:color w:val="auto"/>
        </w:rPr>
      </w:pPr>
      <w:r>
        <w:rPr>
          <w:rFonts w:ascii="Arial" w:cs="Arial" w:eastAsia="Arial" w:hAnsi="Arial"/>
          <w:sz w:val="17"/>
          <w:szCs w:val="17"/>
          <w:color w:val="auto"/>
        </w:rPr>
        <w:t>Consolidated Statements of Operations for the Three Fiscal Years Ended December 31, 2012</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75</w:t>
      </w:r>
    </w:p>
    <w:p>
      <w:pPr>
        <w:ind w:left="200"/>
        <w:spacing w:after="0" w:line="186" w:lineRule="auto"/>
        <w:rPr>
          <w:sz w:val="20"/>
          <w:szCs w:val="20"/>
          <w:color w:val="auto"/>
        </w:rPr>
      </w:pPr>
      <w:r>
        <w:rPr>
          <w:rFonts w:ascii="Arial" w:cs="Arial" w:eastAsia="Arial" w:hAnsi="Arial"/>
          <w:sz w:val="17"/>
          <w:szCs w:val="17"/>
          <w:color w:val="auto"/>
        </w:rPr>
        <w:t>Consolidated Statements of Comprehensive Income for the Three Fiscal Years Ended December 31, 2012</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76</w:t>
      </w:r>
    </w:p>
    <w:p>
      <w:pPr>
        <w:ind w:left="200"/>
        <w:spacing w:after="0" w:line="186" w:lineRule="auto"/>
        <w:rPr>
          <w:sz w:val="20"/>
          <w:szCs w:val="20"/>
          <w:color w:val="auto"/>
        </w:rPr>
      </w:pPr>
      <w:r>
        <w:rPr>
          <w:rFonts w:ascii="Arial" w:cs="Arial" w:eastAsia="Arial" w:hAnsi="Arial"/>
          <w:sz w:val="17"/>
          <w:szCs w:val="17"/>
          <w:color w:val="auto"/>
        </w:rPr>
        <w:t>Consolidated Balance Sheets at December 31, 2012 and 2011</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77</w:t>
      </w:r>
    </w:p>
    <w:p>
      <w:pPr>
        <w:ind w:left="200"/>
        <w:spacing w:after="0" w:line="186" w:lineRule="auto"/>
        <w:rPr>
          <w:sz w:val="20"/>
          <w:szCs w:val="20"/>
          <w:color w:val="auto"/>
        </w:rPr>
      </w:pPr>
      <w:r>
        <w:rPr>
          <w:rFonts w:ascii="Arial" w:cs="Arial" w:eastAsia="Arial" w:hAnsi="Arial"/>
          <w:sz w:val="17"/>
          <w:szCs w:val="17"/>
          <w:color w:val="auto"/>
        </w:rPr>
        <w:t>Consolidated Statements of Cash Flows for the Three Fiscal Years Ended December 31, 2012</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78</w:t>
      </w:r>
    </w:p>
    <w:p>
      <w:pPr>
        <w:ind w:left="200"/>
        <w:spacing w:after="0" w:line="232" w:lineRule="auto"/>
        <w:rPr>
          <w:sz w:val="20"/>
          <w:szCs w:val="20"/>
          <w:color w:val="auto"/>
        </w:rPr>
      </w:pPr>
      <w:r>
        <w:rPr>
          <w:rFonts w:ascii="Arial" w:cs="Arial" w:eastAsia="Arial" w:hAnsi="Arial"/>
          <w:sz w:val="17"/>
          <w:szCs w:val="17"/>
          <w:color w:val="auto"/>
        </w:rPr>
        <w:t>Consolidated Statements of Changes in Common Stockholders’ Equity for the Three Fiscal Years Ended December</w:t>
      </w:r>
    </w:p>
    <w:p>
      <w:pPr>
        <w:ind w:left="400"/>
        <w:spacing w:after="0" w:line="183" w:lineRule="auto"/>
        <w:rPr>
          <w:sz w:val="20"/>
          <w:szCs w:val="20"/>
          <w:color w:val="auto"/>
        </w:rPr>
      </w:pPr>
      <w:r>
        <w:rPr>
          <w:rFonts w:ascii="Arial" w:cs="Arial" w:eastAsia="Arial" w:hAnsi="Arial"/>
          <w:sz w:val="17"/>
          <w:szCs w:val="17"/>
          <w:color w:val="auto"/>
        </w:rPr>
        <w:t>31,2012</w:t>
      </w:r>
    </w:p>
    <w:p>
      <w:pPr>
        <w:ind w:left="10760"/>
        <w:spacing w:after="0"/>
        <w:rPr>
          <w:sz w:val="20"/>
          <w:szCs w:val="20"/>
          <w:color w:val="auto"/>
        </w:rPr>
      </w:pPr>
      <w:r>
        <w:rPr>
          <w:rFonts w:ascii="Arial" w:cs="Arial" w:eastAsia="Arial" w:hAnsi="Arial"/>
          <w:sz w:val="17"/>
          <w:szCs w:val="17"/>
          <w:color w:val="auto"/>
        </w:rPr>
        <w:t>79</w:t>
      </w:r>
    </w:p>
    <w:p>
      <w:pPr>
        <w:ind w:left="200"/>
        <w:spacing w:after="0" w:line="186" w:lineRule="auto"/>
        <w:rPr>
          <w:sz w:val="20"/>
          <w:szCs w:val="20"/>
          <w:color w:val="auto"/>
        </w:rPr>
      </w:pPr>
      <w:r>
        <w:rPr>
          <w:rFonts w:ascii="Arial" w:cs="Arial" w:eastAsia="Arial" w:hAnsi="Arial"/>
          <w:sz w:val="17"/>
          <w:szCs w:val="17"/>
          <w:color w:val="auto"/>
        </w:rPr>
        <w:t>Notes to Consolidated Financial Statements</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80</w:t>
      </w:r>
    </w:p>
    <w:p>
      <w:pPr>
        <w:spacing w:after="0" w:line="186" w:lineRule="auto"/>
        <w:rPr>
          <w:sz w:val="20"/>
          <w:szCs w:val="20"/>
          <w:color w:val="auto"/>
        </w:rPr>
      </w:pPr>
      <w:r>
        <w:rPr>
          <w:rFonts w:ascii="Arial" w:cs="Arial" w:eastAsia="Arial" w:hAnsi="Arial"/>
          <w:sz w:val="17"/>
          <w:szCs w:val="17"/>
          <w:color w:val="auto"/>
        </w:rPr>
        <w:t>Five-Year Summary of Selected Historical Financial Data (Unaudited)</w:t>
      </w:r>
    </w:p>
    <w:p>
      <w:pPr>
        <w:spacing w:after="0" w:line="1" w:lineRule="exact"/>
        <w:rPr>
          <w:sz w:val="20"/>
          <w:szCs w:val="20"/>
          <w:color w:val="auto"/>
        </w:rPr>
      </w:pPr>
    </w:p>
    <w:p>
      <w:pPr>
        <w:ind w:left="107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2275840</wp:posOffset>
            </wp:positionH>
            <wp:positionV relativeFrom="paragraph">
              <wp:posOffset>144145</wp:posOffset>
            </wp:positionV>
            <wp:extent cx="271843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2"/>
          <w:szCs w:val="12"/>
          <w:color w:val="auto"/>
        </w:rPr>
        <w:t>All schedules have been omitted either because they are not applicable or because the required information is included in the Consolidated Financial Statements or the notes thereto referred to above.</w:t>
      </w:r>
    </w:p>
    <w:p>
      <w:pPr>
        <w:spacing w:after="0" w:line="20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86995</wp:posOffset>
            </wp:positionV>
            <wp:extent cx="727837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60"/>
          </w:cols>
          <w:pgMar w:left="800" w:top="120" w:right="139" w:bottom="1440" w:gutter="0" w:footer="0" w:header="0"/>
        </w:sectPr>
      </w:pPr>
    </w:p>
    <w:bookmarkStart w:id="57" w:name="page58"/>
    <w:bookmarkEnd w:id="5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ind w:right="980" w:firstLine="1462"/>
        <w:spacing w:after="0" w:line="464" w:lineRule="auto"/>
        <w:rPr>
          <w:sz w:val="20"/>
          <w:szCs w:val="20"/>
          <w:color w:val="auto"/>
        </w:rPr>
      </w:pPr>
      <w:r>
        <w:rPr>
          <w:rFonts w:ascii="Arial" w:cs="Arial" w:eastAsia="Arial" w:hAnsi="Arial"/>
          <w:sz w:val="17"/>
          <w:szCs w:val="17"/>
          <w:b w:val="1"/>
          <w:bCs w:val="1"/>
          <w:color w:val="auto"/>
        </w:rPr>
        <w:t xml:space="preserve">MANAGEMENT’S DISCUSSION AND ANALYSIS OF RESULTS OF OPERATIONS AND FINANCIAL CONDITION </w:t>
      </w:r>
      <w:r>
        <w:rPr>
          <w:rFonts w:ascii="Arial" w:cs="Arial" w:eastAsia="Arial" w:hAnsi="Arial"/>
          <w:sz w:val="17"/>
          <w:szCs w:val="17"/>
          <w:color w:val="auto"/>
        </w:rPr>
        <w:t xml:space="preserve">This analysis should be read in conjunction with the Consolidated Financial Statements and the notes thereto. </w:t>
      </w:r>
      <w:r>
        <w:rPr>
          <w:rFonts w:ascii="Arial" w:cs="Arial" w:eastAsia="Arial" w:hAnsi="Arial"/>
          <w:sz w:val="17"/>
          <w:szCs w:val="17"/>
          <w:b w:val="1"/>
          <w:bCs w:val="1"/>
          <w:color w:val="auto"/>
        </w:rPr>
        <w:t>OVERVIEW</w:t>
      </w:r>
    </w:p>
    <w:p>
      <w:pPr>
        <w:spacing w:after="0" w:line="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Washington Post Company is a diversified education and media company, with education as the largest business. Through its subsidiary Kaplan, the Company provides extensive worldwide education services for individuals, schools and businesses. The Company also operates principally in thre areas of the media industry: cable television, newspaper publishing and television broadcasting. The Company’s business units are diverse and subje different trends and risks.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Company’s education division is the largest operating division of the Company, accounting for about 55% of the Company’s consolidated revenue 2012. The Company has devoted significant resources and attention to this division for many years, given the attractiveness of investment opportuniti growth prospects during this time. In response to student demand levels, Kaplan has formulated and implemented restructuring plans at many of its businesses, resulting in significant costs in order to establish lower cost levels in future periods. These plans will continue to be implemented in 2013, Kaplan may develop additional restructuring plans as management continues to evaluate Kaplan’s cost structure. Kaplan is organized into the followin three operating segments: Kaplan Higher Education (KHE), Kaplan Test Preparation (KTP) and Kaplan International.</w:t>
      </w:r>
    </w:p>
    <w:p>
      <w:pPr>
        <w:spacing w:after="0" w:line="17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KHE is the largest segment of Kaplan, representing 52% of total Kaplan revenues in 2012. KHE’s revenue and operating income were down very substantially in 2012, largely due to enrollment declines arising from generally lower demand, along with significant restructuring activities, including sc closures. KHE’s restructuring costs totaled $23.4 million in 2012.</w:t>
      </w:r>
    </w:p>
    <w:p>
      <w:pPr>
        <w:spacing w:after="0" w:line="175"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Kaplan International reported revenue growth for 2012 due to several acquisitions and enrollment growth in the English-language and Singapore high education programs. Kaplan International results improved in 2012 due to strong results in Singapore, despite overall losses from business acquired i 2011. Restructuring costs totaled $16.4 million in 2012.</w:t>
      </w:r>
    </w:p>
    <w:p>
      <w:pPr>
        <w:spacing w:after="0" w:line="17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Operating results for KTP improved in 2012 and KTP generated positive cash flow in 2012, due largely to lower operating expenses from restructuring activities in prior years. Despite this, KTP recorded a $111.6 million impairment charge on goodwill and other long-lived assets due to a slowdown in enrollment growth in the fourth quarter of 2012, KTP operating loss experience for the past three years, and other factors.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Kaplan made three acquisitions in 2012, five acquisitions in 2011 and four acquisitions in 2010. None of these was individually significant.</w:t>
      </w:r>
    </w:p>
    <w:p>
      <w:pPr>
        <w:spacing w:after="0" w:line="17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cable television division continues to grow in certain service categories and make substantial capital investments. The cable television division continues to experience increased competition from telephony providers and satellite television service providers. Cable telephone subscribers and hi speed data subscribers grew by 3% and 2%, respectively, to approximately 184,500 and 459,200 subscribers, respectively, at the end of 2012. The ca television division’s basic video subscriber base was down in 2012 (decrease of approximately 27,800 subscribers to approximately 593,600 at the en 2012). The cable television division implemented rate increases for many subscribers in June 2012 as they had not raised rates since June 2009. This increase will help the division recover some of the significant programming and retransmission rate increases that it has incurred in recent years.</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Company’s newspaper publishing and television broadcasting divisions derive revenue from advertising and, at the publishing units, circulation an subscriptions. The results of these divisions tend to fluctuate with the overall advertising cycle, among other business factors.</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Like many other large metropolitan newspapers, The Washington Post (the Post) has experienced a significant continued downward trend in print advertising revenue over the past several years, including a 14% decline in 2012. This follows an 11% print advertising decline at the Post in 2011 and decline in 2010. Circulation volume also continued a downward trend, and circulation revenues were down 2% compared to 2011. The Company’s onl publishing activities, primarily at washingtonpost.com and The Slate Group, reported a 5% revenue increase in 2012, following an 8% decline in 2011. Post has implemented many cost-saving initiatives in the past few years, which resulted in significant cost</w:t>
      </w:r>
    </w:p>
    <w:p>
      <w:pPr>
        <w:spacing w:after="0" w:line="20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20" w:right="139" w:bottom="1440" w:gutter="0" w:footer="0" w:header="0"/>
        </w:sectPr>
      </w:pPr>
    </w:p>
    <w:bookmarkStart w:id="59" w:name="page60"/>
    <w:bookmarkEnd w:id="59"/>
    <w:p>
      <w:pPr>
        <w:jc w:val="both"/>
        <w:ind w:left="9"/>
        <w:spacing w:after="0" w:line="235" w:lineRule="auto"/>
        <w:rPr>
          <w:sz w:val="20"/>
          <w:szCs w:val="20"/>
          <w:color w:val="auto"/>
        </w:rPr>
      </w:pPr>
      <w:r>
        <w:rPr>
          <w:rFonts w:ascii="Arial" w:cs="Arial" w:eastAsia="Arial" w:hAnsi="Arial"/>
          <w:sz w:val="17"/>
          <w:szCs w:val="17"/>
          <w:color w:val="auto"/>
        </w:rPr>
        <w:t>reductions in recent years; however, newspaper publishing division operating results declined in 2012 due primarily to revenue reductions and increas restructuring costs incurred in 2012, offset by an overall reduction in costs.</w:t>
      </w:r>
    </w:p>
    <w:p>
      <w:pPr>
        <w:spacing w:after="0" w:line="176"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The Company’s television broadcasting division reported a significant increase in revenues and in operating income in 2012 due primarily to significan political and Olympics-related advertising included in 2012.</w:t>
      </w:r>
    </w:p>
    <w:p>
      <w:pPr>
        <w:spacing w:after="0" w:line="176" w:lineRule="exact"/>
        <w:rPr>
          <w:sz w:val="20"/>
          <w:szCs w:val="20"/>
          <w:color w:val="auto"/>
        </w:rPr>
      </w:pPr>
    </w:p>
    <w:p>
      <w:pPr>
        <w:ind w:left="9" w:right="480"/>
        <w:spacing w:after="0" w:line="235" w:lineRule="auto"/>
        <w:rPr>
          <w:sz w:val="20"/>
          <w:szCs w:val="20"/>
          <w:color w:val="auto"/>
        </w:rPr>
      </w:pPr>
      <w:r>
        <w:rPr>
          <w:rFonts w:ascii="Arial" w:cs="Arial" w:eastAsia="Arial" w:hAnsi="Arial"/>
          <w:sz w:val="17"/>
          <w:szCs w:val="17"/>
          <w:color w:val="auto"/>
        </w:rPr>
        <w:t>The Company generates a significant amount of cash from its businesses that is used to support its operations, pay down debt and fund capital expenditures, share repurchases, dividends, acquisitions and other investments.</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RESULTS OF OPERATIONS — 2012 COMPARED TO 2011</w:t>
      </w:r>
    </w:p>
    <w:p>
      <w:pPr>
        <w:spacing w:after="0" w:line="197"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Net income attributable to common shares was $131.2 million ($17.39 per share) for the fiscal year ended December 31, 2012, compared to $116.2 m ($14.70 per share) for the fiscal year ended December 31, 2011. Net income includes $83.2 million in income ($11.30 per share) and $28.5 million in l ($3.60 per share) from discontinued operations for 2012 and 2011, respectively. Income from continuing operations attributable to common shares wa $48.0 million ($ 6.09 per share) for 2012, compared to $144.7 million ($18.30 per share) for 2011. As a result of the Company’s share repurchases, the were 6% fewer diluted average shares outstanding in 2012.</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2012 are listed below:</w:t>
      </w:r>
    </w:p>
    <w:p>
      <w:pPr>
        <w:spacing w:after="0" w:line="40" w:lineRule="exact"/>
        <w:rPr>
          <w:sz w:val="20"/>
          <w:szCs w:val="20"/>
          <w:color w:val="auto"/>
        </w:rPr>
      </w:pPr>
    </w:p>
    <w:p>
      <w:pPr>
        <w:ind w:left="269" w:hanging="269"/>
        <w:spacing w:after="0"/>
        <w:tabs>
          <w:tab w:leader="none" w:pos="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$111.6 million noncash goodwill and other long-lived assets impairment charge at KTP (after-tax impact of $81.9 million, or $11.33 per share);</w:t>
      </w:r>
    </w:p>
    <w:p>
      <w:pPr>
        <w:spacing w:after="0" w:line="40" w:lineRule="exact"/>
        <w:rPr>
          <w:rFonts w:ascii="Arial" w:cs="Arial" w:eastAsia="Arial" w:hAnsi="Arial"/>
          <w:sz w:val="17"/>
          <w:szCs w:val="17"/>
          <w:color w:val="auto"/>
        </w:rPr>
      </w:pPr>
    </w:p>
    <w:p>
      <w:pPr>
        <w:ind w:left="289" w:right="80" w:hanging="289"/>
        <w:spacing w:after="0" w:line="235" w:lineRule="auto"/>
        <w:tabs>
          <w:tab w:leader="none" w:pos="252" w:val="left"/>
        </w:tabs>
        <w:numPr>
          <w:ilvl w:val="0"/>
          <w:numId w:val="41"/>
        </w:numPr>
        <w:rPr>
          <w:rFonts w:ascii="Arial" w:cs="Arial" w:eastAsia="Arial" w:hAnsi="Arial"/>
          <w:sz w:val="17"/>
          <w:szCs w:val="17"/>
          <w:color w:val="auto"/>
        </w:rPr>
      </w:pPr>
      <w:r>
        <w:rPr>
          <w:rFonts w:ascii="Arial" w:cs="Arial" w:eastAsia="Arial" w:hAnsi="Arial"/>
          <w:sz w:val="17"/>
          <w:szCs w:val="17"/>
          <w:color w:val="auto"/>
        </w:rPr>
        <w:t>$63.7 million in early retirement, severance and other restructuring charges at the education and newspaper publishing divisions (after-tax impact $45.5 million, or $6.18 per share);</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$18.0 million write-down of a marketable equity security (after-tax impact of $11.2 million, or $1.54 per share);</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$5.8 million gain on the sale of a cost method investment (after-tax impact of $3.7 million, or $0.48 per share); and</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1"/>
        </w:numPr>
        <w:rPr>
          <w:rFonts w:ascii="Arial" w:cs="Arial" w:eastAsia="Arial" w:hAnsi="Arial"/>
          <w:sz w:val="17"/>
          <w:szCs w:val="17"/>
          <w:color w:val="auto"/>
        </w:rPr>
      </w:pPr>
      <w:r>
        <w:rPr>
          <w:rFonts w:ascii="Arial" w:cs="Arial" w:eastAsia="Arial" w:hAnsi="Arial"/>
          <w:sz w:val="17"/>
          <w:szCs w:val="17"/>
          <w:color w:val="auto"/>
        </w:rPr>
        <w:t>$3.1 million in non-operating unrealized foreign currency gains (after-tax impact of $2.0 million, or $0.27 per share).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2011 are listed below:</w:t>
      </w:r>
    </w:p>
    <w:p>
      <w:pPr>
        <w:spacing w:after="0" w:line="40" w:lineRule="exact"/>
        <w:rPr>
          <w:sz w:val="20"/>
          <w:szCs w:val="20"/>
          <w:color w:val="auto"/>
        </w:rPr>
      </w:pPr>
    </w:p>
    <w:p>
      <w:pPr>
        <w:ind w:left="289" w:hanging="289"/>
        <w:spacing w:after="0" w:line="235" w:lineRule="auto"/>
        <w:tabs>
          <w:tab w:leader="none" w:pos="252" w:val="left"/>
        </w:tabs>
        <w:numPr>
          <w:ilvl w:val="0"/>
          <w:numId w:val="42"/>
        </w:numPr>
        <w:rPr>
          <w:rFonts w:ascii="Arial" w:cs="Arial" w:eastAsia="Arial" w:hAnsi="Arial"/>
          <w:sz w:val="17"/>
          <w:szCs w:val="17"/>
          <w:color w:val="auto"/>
        </w:rPr>
      </w:pPr>
      <w:r>
        <w:rPr>
          <w:rFonts w:ascii="Arial" w:cs="Arial" w:eastAsia="Arial" w:hAnsi="Arial"/>
          <w:sz w:val="17"/>
          <w:szCs w:val="17"/>
          <w:color w:val="auto"/>
        </w:rPr>
        <w:t>$31.3 million in severance and other restructuring charges at the education and newspaper publishing divisions (after-tax impact of $19.4 million, o $2.46 per share);</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$53.8 million write-down of a marketable equity security (after-tax impact of $34.6 million, or $4.34 per share); and</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$3.3 million in non-operating unrealized foreign currency losses (after-tax impact of $2.1 million, or $0.26 per share).</w:t>
      </w:r>
    </w:p>
    <w:p>
      <w:pPr>
        <w:spacing w:after="0" w:line="177" w:lineRule="exact"/>
        <w:rPr>
          <w:sz w:val="20"/>
          <w:szCs w:val="20"/>
          <w:color w:val="auto"/>
        </w:rPr>
      </w:pPr>
    </w:p>
    <w:p>
      <w:pPr>
        <w:ind w:left="9" w:right="20"/>
        <w:spacing w:after="0" w:line="235" w:lineRule="auto"/>
        <w:rPr>
          <w:sz w:val="20"/>
          <w:szCs w:val="20"/>
          <w:color w:val="auto"/>
        </w:rPr>
      </w:pPr>
      <w:r>
        <w:rPr>
          <w:rFonts w:ascii="Arial" w:cs="Arial" w:eastAsia="Arial" w:hAnsi="Arial"/>
          <w:sz w:val="17"/>
          <w:szCs w:val="17"/>
          <w:color w:val="auto"/>
        </w:rPr>
        <w:t>Revenue for 2012 was $4,017.7 million, down 3% from $4,131.1 million in 2011. Revenues were down at the education and newspaper publishing div partially offset by increases at the television broadcasting and cable television divisions.</w:t>
      </w:r>
    </w:p>
    <w:p>
      <w:pPr>
        <w:spacing w:after="0" w:line="176"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In 2012, education revenue decreased 9%, advertising revenue increased 4%, circulation and subscriber revenue increased 2% and other revenue increased 36%. Revenue declines at Kaplan accounted for the decrease in education revenue. The increase in advertising revenue is due to increase television broadcasting revenue, offset by a decline at the newspaper publishing division. Subscriber revenue increased at the cable television division circulation revenue declined at the Post. The increase in other revenue is largely due to higher sales at Social Code.</w:t>
      </w:r>
    </w:p>
    <w:p>
      <w:pPr>
        <w:spacing w:after="0" w:line="175"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Operating costs and expenses for the year increased 2% to $3,873.1 million in 2012, from $3,805.3 million in 2011. Excluding the noncash goodwill an other-long lived assets impairment charge at Kaplan, overall costs at Kaplan declined in 2012, and expenses were lower at the newspaper publishing division. This was offset by increased costs at the television broadcasting and cable television divisions, along with higher expenses in other business</w:t>
      </w:r>
    </w:p>
    <w:p>
      <w:pPr>
        <w:spacing w:after="0" w:line="167"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Operating income for 2012 decreased to $144.5 million, from $325.9 million in 2011. Operating results declined at all of the Company’s divisions, exce the television broadcasting division.</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DIVISION RESULTS</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Education Division. </w:t>
      </w:r>
      <w:r>
        <w:rPr>
          <w:rFonts w:ascii="Arial" w:cs="Arial" w:eastAsia="Arial" w:hAnsi="Arial"/>
          <w:sz w:val="17"/>
          <w:szCs w:val="17"/>
          <w:color w:val="auto"/>
        </w:rPr>
        <w:t>Education division revenue in 2012 totaled $2,196.5 million, a 9% decline from $2,404.5 million in 2011. Excluding revenue from</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businesses, education division revenue declined 10% in 2012. Kaplan reported an operating loss of $105.4 million for 2012, compared to op income of $96.3 million in 2011. Kaplan’s 2012 operating results were adversely impacted by a significant decline in KHE results; a $ 111.6 million non goodwill and other long-lived assets impairment charge related to KTP; and $45.2 million in restructuring costs. These were offset by improved results KTP and Kaplan International.</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In response to student demand levels, Kaplan has formulated and implemented restructuring plans at its various businesses that have resulted in sign costs in 2012 and 2011, with the objective of establishing lower cost levels in future periods. Across all businesses, restructuring costs totaled $45.2 m in 2012 and $28.9 million in 2011. Kaplan currently expects to incur approximately $25 million in additional restructuring costs in 2013 at KHE and Kap International in conjunction with completing these restructuring plans. Kaplan may also incur additional restructuring charges in 2013 as the Company continues to evaluate its cost structure.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operating results for 2012 compared to 2011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1,149,407</w:t>
            </w: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line="156" w:lineRule="exact"/>
              <w:rPr>
                <w:sz w:val="20"/>
                <w:szCs w:val="20"/>
                <w:color w:val="auto"/>
              </w:rPr>
            </w:pPr>
            <w:r>
              <w:rPr>
                <w:rFonts w:ascii="Arial" w:cs="Arial" w:eastAsia="Arial" w:hAnsi="Arial"/>
                <w:sz w:val="15"/>
                <w:szCs w:val="15"/>
                <w:color w:val="auto"/>
              </w:rPr>
              <w:t>Higher education</w:t>
            </w:r>
          </w:p>
        </w:tc>
        <w:tc>
          <w:tcPr>
            <w:tcW w:w="2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186"/>
              <w:spacing w:after="0" w:line="156" w:lineRule="exact"/>
              <w:rPr>
                <w:sz w:val="20"/>
                <w:szCs w:val="20"/>
                <w:color w:val="auto"/>
              </w:rPr>
            </w:pPr>
            <w:r>
              <w:rPr>
                <w:rFonts w:ascii="Arial" w:cs="Arial" w:eastAsia="Arial" w:hAnsi="Arial"/>
                <w:sz w:val="15"/>
                <w:szCs w:val="15"/>
                <w:color w:val="auto"/>
              </w:rPr>
              <w:t>1,399,583</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284,252</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303,093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764,184</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704,581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4,645</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4,585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(5,992)</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(7,383)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2,196,496</w:t>
            </w:r>
          </w:p>
        </w:tc>
        <w:tc>
          <w:tcPr>
            <w:tcW w:w="4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2,404,459</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40" w:type="dxa"/>
            <w:vAlign w:val="bottom"/>
            <w:vMerge w:val="continue"/>
          </w:tcPr>
          <w:p>
            <w:pPr>
              <w:spacing w:after="0"/>
              <w:rPr>
                <w:sz w:val="13"/>
                <w:szCs w:val="13"/>
                <w:color w:val="auto"/>
              </w:rPr>
            </w:pPr>
          </w:p>
        </w:tc>
        <w:tc>
          <w:tcPr>
            <w:tcW w:w="28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08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27,245</w:t>
            </w: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40" w:type="dxa"/>
            <w:vAlign w:val="bottom"/>
          </w:tcPr>
          <w:p>
            <w:pPr>
              <w:spacing w:after="0" w:line="156" w:lineRule="exact"/>
              <w:rPr>
                <w:sz w:val="20"/>
                <w:szCs w:val="20"/>
                <w:color w:val="auto"/>
              </w:rPr>
            </w:pPr>
            <w:r>
              <w:rPr>
                <w:rFonts w:ascii="Arial" w:cs="Arial" w:eastAsia="Arial" w:hAnsi="Arial"/>
                <w:sz w:val="15"/>
                <w:szCs w:val="15"/>
                <w:color w:val="auto"/>
              </w:rPr>
              <w:t>Higher education</w:t>
            </w:r>
          </w:p>
        </w:tc>
        <w:tc>
          <w:tcPr>
            <w:tcW w:w="2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42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186"/>
              <w:spacing w:after="0" w:line="156" w:lineRule="exact"/>
              <w:rPr>
                <w:sz w:val="20"/>
                <w:szCs w:val="20"/>
                <w:color w:val="auto"/>
              </w:rPr>
            </w:pPr>
            <w:r>
              <w:rPr>
                <w:rFonts w:ascii="Arial" w:cs="Arial" w:eastAsia="Arial" w:hAnsi="Arial"/>
                <w:sz w:val="15"/>
                <w:szCs w:val="15"/>
                <w:color w:val="auto"/>
              </w:rPr>
              <w:t>148,915</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(10,799)</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(28,498)</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49,069</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41,506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(42,617)</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(45,100)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(17,719)</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(19,417)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Impairment of goodwill and other long-lived assets</w:t>
            </w:r>
          </w:p>
        </w:tc>
        <w:tc>
          <w:tcPr>
            <w:tcW w:w="28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5"/>
                <w:szCs w:val="15"/>
                <w:b w:val="1"/>
                <w:bCs w:val="1"/>
                <w:color w:val="auto"/>
              </w:rPr>
              <w:t>(111,593)</w:t>
            </w:r>
          </w:p>
        </w:tc>
        <w:tc>
          <w:tcPr>
            <w:tcW w:w="420" w:type="dxa"/>
            <w:vAlign w:val="bottom"/>
          </w:tcPr>
          <w:p>
            <w:pPr>
              <w:spacing w:after="0"/>
              <w:rPr>
                <w:sz w:val="15"/>
                <w:szCs w:val="15"/>
                <w:color w:val="auto"/>
              </w:rPr>
            </w:pPr>
          </w:p>
        </w:tc>
        <w:tc>
          <w:tcPr>
            <w:tcW w:w="118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1,046</w:t>
            </w:r>
          </w:p>
        </w:tc>
        <w:tc>
          <w:tcPr>
            <w:tcW w:w="4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(1,120)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(105,368)</w:t>
            </w:r>
          </w:p>
        </w:tc>
        <w:tc>
          <w:tcPr>
            <w:tcW w:w="4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96,286</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Kaplan sold Kidum in August 2012, EduNeering in April 2012 and Kaplan Learning Technologies in February 2012. Consequently, the education divisi operating results exclude these businesses.</w:t>
      </w:r>
    </w:p>
    <w:p>
      <w:pPr>
        <w:spacing w:after="0" w:line="176"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KHE includes Kaplan’s domestic postsecondary education businesses, made up of fixed-facility colleges and online postsecondary and career progra KHE also includes the domestic professional training and other continuing education businesses.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In September 2012, KHE announced a plan to consolidate its market presence at certain of its fixed-facility campuses. Under this plan, KHE has ceas new enrollments at nine ground campuses as it considers alternatives for these locations and is in the process of consolidating operations of four othe campuses into existing, nearby locations. Revenues at these campuses represent approximately 4% of KHE’s total revenues. In the fourth quarter of 2 KHE also began implementing plans to consolidate facilities and reduce workforce at its online programs. In connection with these and other plans, KH incurred $23.4 million in restructuring costs from accelerated depreciation, and severance and lease obligations in 2012.</w:t>
      </w:r>
    </w:p>
    <w:p>
      <w:pPr>
        <w:spacing w:after="0" w:line="170"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 2012, KHE revenue declined 18% due largely to declines in average enrollments that reflect weaker market demand over the past year. Operating i decreased 82% for 2012. These declines were due primarily to lower revenue, a decline in operating results from campuses planned for closure and significant restructuring costs noted above that exceed similar charges in 2011. Offsetting the declines were expense reductions associated with lower enrollments and recent restructuring efforts.</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04" w:right="139" w:bottom="1440" w:gutter="0" w:footer="0" w:header="0"/>
        </w:sectPr>
      </w:pPr>
    </w:p>
    <w:bookmarkStart w:id="61" w:name="page62"/>
    <w:bookmarkEnd w:id="61"/>
    <w:p>
      <w:pPr>
        <w:jc w:val="both"/>
        <w:spacing w:after="0" w:line="235" w:lineRule="auto"/>
        <w:rPr>
          <w:sz w:val="20"/>
          <w:szCs w:val="20"/>
          <w:color w:val="auto"/>
        </w:rPr>
      </w:pPr>
      <w:r>
        <w:rPr>
          <w:rFonts w:ascii="Arial" w:cs="Arial" w:eastAsia="Arial" w:hAnsi="Arial"/>
          <w:sz w:val="17"/>
          <w:szCs w:val="17"/>
          <w:color w:val="auto"/>
        </w:rPr>
        <w:t>New student enrollments at Kaplan University and KHE Campuses decreased 1% in 2012. Total students at December 31, 2012 were down 12% com to December 31, 2011,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72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2"/>
                <w:szCs w:val="12"/>
                <w:b w:val="1"/>
                <w:bCs w:val="1"/>
                <w:color w:val="auto"/>
              </w:rPr>
              <w:t>As of December 31,</w:t>
            </w:r>
          </w:p>
        </w:tc>
        <w:tc>
          <w:tcPr>
            <w:tcW w:w="540" w:type="dxa"/>
            <w:vAlign w:val="bottom"/>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371"/>
              <w:spacing w:after="0" w:line="129" w:lineRule="exact"/>
              <w:rPr>
                <w:sz w:val="20"/>
                <w:szCs w:val="20"/>
                <w:color w:val="auto"/>
              </w:rPr>
            </w:pPr>
            <w:r>
              <w:rPr>
                <w:rFonts w:ascii="Arial" w:cs="Arial" w:eastAsia="Arial" w:hAnsi="Arial"/>
                <w:sz w:val="12"/>
                <w:szCs w:val="12"/>
                <w:b w:val="1"/>
                <w:bCs w:val="1"/>
                <w:color w:val="auto"/>
              </w:rPr>
              <w:t>2012</w:t>
            </w:r>
          </w:p>
        </w:tc>
        <w:tc>
          <w:tcPr>
            <w:tcW w:w="76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2"/>
                <w:szCs w:val="12"/>
                <w:color w:val="auto"/>
              </w:rPr>
              <w:t>% C</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960" w:type="dxa"/>
            <w:vAlign w:val="bottom"/>
          </w:tcPr>
          <w:p>
            <w:pPr>
              <w:jc w:val="right"/>
              <w:ind w:right="131"/>
              <w:spacing w:after="0" w:line="150" w:lineRule="exact"/>
              <w:rPr>
                <w:sz w:val="20"/>
                <w:szCs w:val="20"/>
                <w:color w:val="auto"/>
              </w:rPr>
            </w:pPr>
            <w:r>
              <w:rPr>
                <w:rFonts w:ascii="Arial" w:cs="Arial" w:eastAsia="Arial" w:hAnsi="Arial"/>
                <w:sz w:val="15"/>
                <w:szCs w:val="15"/>
                <w:b w:val="1"/>
                <w:bCs w:val="1"/>
                <w:color w:val="auto"/>
              </w:rPr>
              <w:t>44,371</w:t>
            </w:r>
          </w:p>
        </w:tc>
        <w:tc>
          <w:tcPr>
            <w:tcW w:w="760" w:type="dxa"/>
            <w:vAlign w:val="bottom"/>
          </w:tcPr>
          <w:p>
            <w:pPr>
              <w:jc w:val="right"/>
              <w:spacing w:after="0" w:line="150" w:lineRule="exact"/>
              <w:rPr>
                <w:sz w:val="20"/>
                <w:szCs w:val="20"/>
                <w:color w:val="auto"/>
              </w:rPr>
            </w:pPr>
            <w:r>
              <w:rPr>
                <w:rFonts w:ascii="Arial" w:cs="Arial" w:eastAsia="Arial" w:hAnsi="Arial"/>
                <w:sz w:val="15"/>
                <w:szCs w:val="15"/>
                <w:color w:val="auto"/>
              </w:rPr>
              <w:t>50,190</w:t>
            </w:r>
          </w:p>
        </w:tc>
        <w:tc>
          <w:tcPr>
            <w:tcW w:w="540" w:type="dxa"/>
            <w:vAlign w:val="bottom"/>
          </w:tcPr>
          <w:p>
            <w:pPr>
              <w:spacing w:after="0"/>
              <w:rPr>
                <w:sz w:val="13"/>
                <w:szCs w:val="13"/>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KHE Campuses</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5"/>
                <w:szCs w:val="15"/>
                <w:b w:val="1"/>
                <w:bCs w:val="1"/>
                <w:color w:val="auto"/>
              </w:rPr>
              <w:t>21,099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24,360</w:t>
            </w:r>
          </w:p>
        </w:tc>
        <w:tc>
          <w:tcPr>
            <w:tcW w:w="540" w:type="dxa"/>
            <w:vAlign w:val="bottom"/>
          </w:tcPr>
          <w:p>
            <w:pPr>
              <w:spacing w:after="0"/>
              <w:rPr>
                <w:sz w:val="16"/>
                <w:szCs w:val="16"/>
                <w:color w:val="auto"/>
              </w:rPr>
            </w:pPr>
          </w:p>
        </w:tc>
      </w:tr>
      <w:tr>
        <w:trPr>
          <w:trHeight w:val="166"/>
        </w:trPr>
        <w:tc>
          <w:tcPr>
            <w:tcW w:w="8680" w:type="dxa"/>
            <w:vAlign w:val="bottom"/>
          </w:tcPr>
          <w:p>
            <w:pPr>
              <w:spacing w:after="0"/>
              <w:rPr>
                <w:sz w:val="14"/>
                <w:szCs w:val="14"/>
                <w:color w:val="auto"/>
              </w:rPr>
            </w:pPr>
          </w:p>
        </w:tc>
        <w:tc>
          <w:tcPr>
            <w:tcW w:w="960" w:type="dxa"/>
            <w:vAlign w:val="bottom"/>
            <w:tcBorders>
              <w:bottom w:val="single" w:sz="8" w:color="auto"/>
            </w:tcBorders>
          </w:tcPr>
          <w:p>
            <w:pPr>
              <w:jc w:val="right"/>
              <w:ind w:right="131"/>
              <w:spacing w:after="0" w:line="167" w:lineRule="exact"/>
              <w:rPr>
                <w:sz w:val="20"/>
                <w:szCs w:val="20"/>
                <w:color w:val="auto"/>
              </w:rPr>
            </w:pPr>
            <w:r>
              <w:rPr>
                <w:rFonts w:ascii="Arial" w:cs="Arial" w:eastAsia="Arial" w:hAnsi="Arial"/>
                <w:sz w:val="15"/>
                <w:szCs w:val="15"/>
                <w:b w:val="1"/>
                <w:bCs w:val="1"/>
                <w:color w:val="auto"/>
              </w:rPr>
              <w:t>65,470</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74,550</w:t>
            </w:r>
          </w:p>
        </w:tc>
        <w:tc>
          <w:tcPr>
            <w:tcW w:w="540" w:type="dxa"/>
            <w:vAlign w:val="bottom"/>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students included 5,625 and 5,799 campus-based students as of December 31, 2012 and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December 31, 2012 and 2011, by degree and certificate programs,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480" w:type="dxa"/>
            <w:vAlign w:val="bottom"/>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December 3</w:t>
            </w:r>
          </w:p>
        </w:tc>
      </w:tr>
      <w:tr>
        <w:trPr>
          <w:trHeight w:val="129"/>
        </w:trPr>
        <w:tc>
          <w:tcPr>
            <w:tcW w:w="9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09"/>
              <w:spacing w:after="0" w:line="129" w:lineRule="exact"/>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w:t>
            </w:r>
          </w:p>
        </w:tc>
      </w:tr>
      <w:tr>
        <w:trPr>
          <w:trHeight w:val="150"/>
        </w:trPr>
        <w:tc>
          <w:tcPr>
            <w:tcW w:w="948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1060" w:type="dxa"/>
            <w:vAlign w:val="bottom"/>
          </w:tcPr>
          <w:p>
            <w:pPr>
              <w:jc w:val="right"/>
              <w:ind w:right="149"/>
              <w:spacing w:after="0" w:line="150" w:lineRule="exact"/>
              <w:rPr>
                <w:sz w:val="20"/>
                <w:szCs w:val="20"/>
                <w:color w:val="auto"/>
              </w:rPr>
            </w:pPr>
            <w:r>
              <w:rPr>
                <w:rFonts w:ascii="Arial" w:cs="Arial" w:eastAsia="Arial" w:hAnsi="Arial"/>
                <w:sz w:val="15"/>
                <w:szCs w:val="15"/>
                <w:b w:val="1"/>
                <w:bCs w:val="1"/>
                <w:color w:val="auto"/>
              </w:rPr>
              <w:t>23.2 %</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Associate’s</w:t>
            </w:r>
          </w:p>
        </w:tc>
        <w:tc>
          <w:tcPr>
            <w:tcW w:w="1060" w:type="dxa"/>
            <w:vAlign w:val="bottom"/>
          </w:tcPr>
          <w:p>
            <w:pPr>
              <w:jc w:val="right"/>
              <w:ind w:right="149"/>
              <w:spacing w:after="0"/>
              <w:rPr>
                <w:sz w:val="20"/>
                <w:szCs w:val="20"/>
                <w:color w:val="auto"/>
              </w:rPr>
            </w:pPr>
            <w:r>
              <w:rPr>
                <w:rFonts w:ascii="Arial" w:cs="Arial" w:eastAsia="Arial" w:hAnsi="Arial"/>
                <w:sz w:val="15"/>
                <w:szCs w:val="15"/>
                <w:b w:val="1"/>
                <w:bCs w:val="1"/>
                <w:color w:val="auto"/>
              </w:rPr>
              <w:t>29.1 %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Bachelor’s</w:t>
            </w:r>
          </w:p>
        </w:tc>
        <w:tc>
          <w:tcPr>
            <w:tcW w:w="1060" w:type="dxa"/>
            <w:vAlign w:val="bottom"/>
          </w:tcPr>
          <w:p>
            <w:pPr>
              <w:jc w:val="right"/>
              <w:ind w:right="149"/>
              <w:spacing w:after="0"/>
              <w:rPr>
                <w:sz w:val="20"/>
                <w:szCs w:val="20"/>
                <w:color w:val="auto"/>
              </w:rPr>
            </w:pPr>
            <w:r>
              <w:rPr>
                <w:rFonts w:ascii="Arial" w:cs="Arial" w:eastAsia="Arial" w:hAnsi="Arial"/>
                <w:sz w:val="15"/>
                <w:szCs w:val="15"/>
                <w:b w:val="1"/>
                <w:bCs w:val="1"/>
                <w:color w:val="auto"/>
              </w:rPr>
              <w:t>33.8 %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9480" w:type="dxa"/>
            <w:vAlign w:val="bottom"/>
          </w:tcPr>
          <w:p>
            <w:pPr>
              <w:spacing w:after="0"/>
              <w:rPr>
                <w:sz w:val="20"/>
                <w:szCs w:val="20"/>
                <w:color w:val="auto"/>
              </w:rPr>
            </w:pPr>
            <w:r>
              <w:rPr>
                <w:rFonts w:ascii="Arial" w:cs="Arial" w:eastAsia="Arial" w:hAnsi="Arial"/>
                <w:sz w:val="15"/>
                <w:szCs w:val="15"/>
                <w:color w:val="auto"/>
              </w:rPr>
              <w:t>Master’s</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b w:val="1"/>
                <w:bCs w:val="1"/>
                <w:color w:val="auto"/>
              </w:rPr>
              <w:t>13.9 %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480" w:type="dxa"/>
            <w:vAlign w:val="bottom"/>
          </w:tcPr>
          <w:p>
            <w:pPr>
              <w:spacing w:after="0"/>
              <w:rPr>
                <w:sz w:val="14"/>
                <w:szCs w:val="14"/>
                <w:color w:val="auto"/>
              </w:rPr>
            </w:pPr>
          </w:p>
        </w:tc>
        <w:tc>
          <w:tcPr>
            <w:tcW w:w="1060" w:type="dxa"/>
            <w:vAlign w:val="bottom"/>
            <w:tcBorders>
              <w:bottom w:val="single" w:sz="8" w:color="auto"/>
            </w:tcBorders>
          </w:tcPr>
          <w:p>
            <w:pPr>
              <w:jc w:val="right"/>
              <w:ind w:right="149"/>
              <w:spacing w:after="0" w:line="167" w:lineRule="exact"/>
              <w:rPr>
                <w:sz w:val="20"/>
                <w:szCs w:val="20"/>
                <w:color w:val="auto"/>
              </w:rPr>
            </w:pPr>
            <w:r>
              <w:rPr>
                <w:rFonts w:ascii="Arial" w:cs="Arial" w:eastAsia="Arial" w:hAnsi="Arial"/>
                <w:sz w:val="15"/>
                <w:szCs w:val="15"/>
                <w:b w:val="1"/>
                <w:bCs w:val="1"/>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9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KTP includes Kaplan’s standardized test preparation and tutoring offerings. KTP revenue declined 6% in 2012. Enrollment increased 11% for the fisca 2012 driven by strength in pre-college, nursing and bar review programs. Enrollment increases were offset by competitive pricing pressure and a conti shift in demand to lower priced online test preparation offerings. The improvement in KTP operating results in 2012 is largely a result of lower operatin expenses due to restructuring activities in prior years, including $12.5 million in total KTP restructuring costs recorded in 2011.</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While overall results improved at KTP in 2012, Kaplan recorded a $111.6 million noncash goodwill and other long-lived assets impairment charge in connection with KTP in the fourth quarter of 2012. This impairment charge was determined as part of the Company’s annual goodwill and intangible a impairment testing based on KTP operating losses for the past three years and a recent slowdown in enrollment growth. KTP produced positive cash f from operations in 2012.</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 revenue increased 8% in 2012. Excluding revenue from acquired businesses, Kaplan International revenue increased 4% in 2012 due to enrollment g in the English-language and Singapore higher education programs.</w:t>
      </w:r>
    </w:p>
    <w:p>
      <w:pPr>
        <w:spacing w:after="0" w:line="176"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Kaplan International operating income increased in 2012 due largely to strong results in Singapore, offset by combined losses from businesses acquir 2011. These losses occurred primarily at certain businesses in Australia where Kaplan has been consolidating and restructuring its businesses to opti operations. Restructuring costs at Kaplan International totaled $16.4 million in 2012. These restructuring costs were largely in Australia and included l obligations, accelerated depreciation and severance charges.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the fourth quarter of 2012, $2.6 million in restructuring costs is included in amortization of intangible assets, largely from accelerated intangible asse amortization associated with changes to business operations in Australia.</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Cable Television Division. </w:t>
      </w:r>
      <w:r>
        <w:rPr>
          <w:rFonts w:ascii="Arial" w:cs="Arial" w:eastAsia="Arial" w:hAnsi="Arial"/>
          <w:sz w:val="17"/>
          <w:szCs w:val="17"/>
          <w:color w:val="auto"/>
        </w:rPr>
        <w:t>Cable television division revenue for 2012 increased 4% to $787.1 million, from $ 760.2 million in 2011. The revenue resu</w:t>
      </w:r>
      <w:r>
        <w:rPr>
          <w:rFonts w:ascii="Arial" w:cs="Arial" w:eastAsia="Arial" w:hAnsi="Arial"/>
          <w:sz w:val="17"/>
          <w:szCs w:val="17"/>
          <w:b w:val="1"/>
          <w:bCs w:val="1"/>
          <w:color w:val="auto"/>
        </w:rPr>
        <w:t xml:space="preserve"> </w:t>
      </w:r>
      <w:r>
        <w:rPr>
          <w:rFonts w:ascii="Arial" w:cs="Arial" w:eastAsia="Arial" w:hAnsi="Arial"/>
          <w:sz w:val="17"/>
          <w:szCs w:val="17"/>
          <w:color w:val="auto"/>
        </w:rPr>
        <w:t>reflect continued growth of the division’s Internet and telephone service revenues and rate increases for many subscribers in June 2012, offset by a de in basic video subscribers.</w:t>
      </w:r>
    </w:p>
    <w:p>
      <w:pPr>
        <w:spacing w:after="0" w:line="38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24" w:right="139" w:bottom="1440" w:gutter="0" w:footer="0" w:header="0"/>
        </w:sectPr>
      </w:pPr>
    </w:p>
    <w:bookmarkStart w:id="62" w:name="page63"/>
    <w:bookmarkEnd w:id="62"/>
    <w:p>
      <w:pPr>
        <w:jc w:val="both"/>
        <w:ind w:right="20"/>
        <w:spacing w:after="0" w:line="233" w:lineRule="auto"/>
        <w:rPr>
          <w:sz w:val="20"/>
          <w:szCs w:val="20"/>
          <w:color w:val="auto"/>
        </w:rPr>
      </w:pPr>
      <w:r>
        <w:rPr>
          <w:rFonts w:ascii="Arial" w:cs="Arial" w:eastAsia="Arial" w:hAnsi="Arial"/>
          <w:sz w:val="17"/>
          <w:szCs w:val="17"/>
          <w:color w:val="auto"/>
        </w:rPr>
        <w:t>Cable television division operating income in 2012 decreased 1% to $154.6 million, from $ 156.8 million in 2011. The cable television division’s operati income for 2012 declined primarily due to increased programming and depreciation costs, offset partially by increased revenues. Operating margin at cable television division was 20% in 2012 and 21% in 2011.</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At December 31, 2012, Primary Service Units (PSUs) were down 1% from the prior year due to a decline in basic video subscribers, offset by growth i high-speed data and telephony subscribers. A summary of PSUs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60" w:type="dxa"/>
            <w:vAlign w:val="bottom"/>
          </w:tcPr>
          <w:p>
            <w:pPr>
              <w:spacing w:after="0"/>
              <w:rPr>
                <w:sz w:val="13"/>
                <w:szCs w:val="13"/>
                <w:color w:val="auto"/>
              </w:rPr>
            </w:pPr>
          </w:p>
        </w:tc>
        <w:tc>
          <w:tcPr>
            <w:tcW w:w="17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2"/>
                <w:szCs w:val="12"/>
                <w:b w:val="1"/>
                <w:bCs w:val="1"/>
                <w:color w:val="auto"/>
              </w:rPr>
              <w:t>As of December 31,</w:t>
            </w:r>
          </w:p>
        </w:tc>
      </w:tr>
      <w:tr>
        <w:trPr>
          <w:trHeight w:val="129"/>
        </w:trPr>
        <w:tc>
          <w:tcPr>
            <w:tcW w:w="9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50"/>
              <w:spacing w:after="0" w:line="129" w:lineRule="exact"/>
              <w:rPr>
                <w:sz w:val="20"/>
                <w:szCs w:val="20"/>
                <w:color w:val="auto"/>
              </w:rPr>
            </w:pPr>
            <w:r>
              <w:rPr>
                <w:rFonts w:ascii="Arial" w:cs="Arial" w:eastAsia="Arial" w:hAnsi="Arial"/>
                <w:sz w:val="12"/>
                <w:szCs w:val="12"/>
                <w:b w:val="1"/>
                <w:bCs w:val="1"/>
                <w:color w:val="auto"/>
              </w:rPr>
              <w:t>2012</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916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260" w:type="dxa"/>
            <w:vAlign w:val="bottom"/>
          </w:tcPr>
          <w:p>
            <w:pPr>
              <w:jc w:val="right"/>
              <w:ind w:right="210"/>
              <w:spacing w:after="0" w:line="150" w:lineRule="exact"/>
              <w:rPr>
                <w:sz w:val="20"/>
                <w:szCs w:val="20"/>
                <w:color w:val="auto"/>
              </w:rPr>
            </w:pPr>
            <w:r>
              <w:rPr>
                <w:rFonts w:ascii="Arial" w:cs="Arial" w:eastAsia="Arial" w:hAnsi="Arial"/>
                <w:sz w:val="15"/>
                <w:szCs w:val="15"/>
                <w:b w:val="1"/>
                <w:bCs w:val="1"/>
                <w:color w:val="auto"/>
              </w:rPr>
              <w:t>593,615</w:t>
            </w:r>
          </w:p>
        </w:tc>
        <w:tc>
          <w:tcPr>
            <w:tcW w:w="52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9160" w:type="dxa"/>
            <w:vAlign w:val="bottom"/>
          </w:tcPr>
          <w:p>
            <w:pPr>
              <w:spacing w:after="0"/>
              <w:rPr>
                <w:sz w:val="20"/>
                <w:szCs w:val="20"/>
                <w:color w:val="auto"/>
              </w:rPr>
            </w:pPr>
            <w:r>
              <w:rPr>
                <w:rFonts w:ascii="Arial" w:cs="Arial" w:eastAsia="Arial" w:hAnsi="Arial"/>
                <w:sz w:val="15"/>
                <w:szCs w:val="15"/>
                <w:color w:val="auto"/>
              </w:rPr>
              <w:t>High-speed data</w:t>
            </w:r>
          </w:p>
        </w:tc>
        <w:tc>
          <w:tcPr>
            <w:tcW w:w="1260" w:type="dxa"/>
            <w:vAlign w:val="bottom"/>
          </w:tcPr>
          <w:p>
            <w:pPr>
              <w:jc w:val="right"/>
              <w:ind w:right="210"/>
              <w:spacing w:after="0"/>
              <w:rPr>
                <w:sz w:val="20"/>
                <w:szCs w:val="20"/>
                <w:color w:val="auto"/>
              </w:rPr>
            </w:pPr>
            <w:r>
              <w:rPr>
                <w:rFonts w:ascii="Arial" w:cs="Arial" w:eastAsia="Arial" w:hAnsi="Arial"/>
                <w:sz w:val="15"/>
                <w:szCs w:val="15"/>
                <w:b w:val="1"/>
                <w:bCs w:val="1"/>
                <w:color w:val="auto"/>
              </w:rPr>
              <w:t>459,235</w:t>
            </w:r>
          </w:p>
        </w:tc>
        <w:tc>
          <w:tcPr>
            <w:tcW w:w="5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9160" w:type="dxa"/>
            <w:vAlign w:val="bottom"/>
          </w:tcPr>
          <w:p>
            <w:pPr>
              <w:spacing w:after="0"/>
              <w:rPr>
                <w:sz w:val="20"/>
                <w:szCs w:val="20"/>
                <w:color w:val="auto"/>
              </w:rPr>
            </w:pPr>
            <w:r>
              <w:rPr>
                <w:rFonts w:ascii="Arial" w:cs="Arial" w:eastAsia="Arial" w:hAnsi="Arial"/>
                <w:sz w:val="15"/>
                <w:szCs w:val="15"/>
                <w:color w:val="auto"/>
              </w:rPr>
              <w:t>Telephony</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5"/>
                <w:szCs w:val="15"/>
                <w:b w:val="1"/>
                <w:bCs w:val="1"/>
                <w:color w:val="auto"/>
              </w:rPr>
              <w:t>184,528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16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1260" w:type="dxa"/>
            <w:vAlign w:val="bottom"/>
            <w:tcBorders>
              <w:bottom w:val="single" w:sz="8" w:color="auto"/>
            </w:tcBorders>
          </w:tcPr>
          <w:p>
            <w:pPr>
              <w:jc w:val="right"/>
              <w:ind w:right="210"/>
              <w:spacing w:after="0" w:line="167" w:lineRule="exact"/>
              <w:rPr>
                <w:sz w:val="20"/>
                <w:szCs w:val="20"/>
                <w:color w:val="auto"/>
              </w:rPr>
            </w:pPr>
            <w:r>
              <w:rPr>
                <w:rFonts w:ascii="Arial" w:cs="Arial" w:eastAsia="Arial" w:hAnsi="Arial"/>
                <w:sz w:val="15"/>
                <w:szCs w:val="15"/>
                <w:b w:val="1"/>
                <w:bCs w:val="1"/>
                <w:color w:val="auto"/>
              </w:rPr>
              <w:t>1,237,378</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9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PSUs include about 6,000 subscribers who receive free basic cable service, primarily local governments, schools and other organizations as required various franchise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Below are details of the cable television division’s capital expenditures for 2012 and 2011 in the NCTA Standard Reporting Categories: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50"/>
        </w:trPr>
        <w:tc>
          <w:tcPr>
            <w:tcW w:w="9040" w:type="dxa"/>
            <w:vAlign w:val="bottom"/>
          </w:tcPr>
          <w:p>
            <w:pPr>
              <w:spacing w:after="0" w:line="150" w:lineRule="exact"/>
              <w:rPr>
                <w:sz w:val="20"/>
                <w:szCs w:val="20"/>
                <w:color w:val="auto"/>
              </w:rPr>
            </w:pPr>
            <w:r>
              <w:rPr>
                <w:rFonts w:ascii="Arial" w:cs="Arial" w:eastAsia="Arial" w:hAnsi="Arial"/>
                <w:sz w:val="15"/>
                <w:szCs w:val="15"/>
                <w:color w:val="auto"/>
              </w:rPr>
              <w:t>Customer premise equipment</w:t>
            </w:r>
          </w:p>
        </w:tc>
        <w:tc>
          <w:tcPr>
            <w:tcW w:w="280" w:type="dxa"/>
            <w:vAlign w:val="bottom"/>
          </w:tcPr>
          <w:p>
            <w:pPr>
              <w:jc w:val="right"/>
              <w:ind w:right="106"/>
              <w:spacing w:after="0" w:line="150" w:lineRule="exact"/>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ind w:right="127"/>
              <w:spacing w:after="0" w:line="150" w:lineRule="exact"/>
              <w:rPr>
                <w:sz w:val="20"/>
                <w:szCs w:val="20"/>
                <w:color w:val="auto"/>
              </w:rPr>
            </w:pPr>
            <w:r>
              <w:rPr>
                <w:rFonts w:ascii="Arial" w:cs="Arial" w:eastAsia="Arial" w:hAnsi="Arial"/>
                <w:sz w:val="15"/>
                <w:szCs w:val="15"/>
                <w:b w:val="1"/>
                <w:bCs w:val="1"/>
                <w:color w:val="auto"/>
              </w:rPr>
              <w:t>43,629</w:t>
            </w:r>
          </w:p>
        </w:tc>
        <w:tc>
          <w:tcPr>
            <w:tcW w:w="44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Commercial</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4,549</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24,048</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Line extensions</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5,997</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Upgrade/rebuild</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b w:val="1"/>
                <w:bCs w:val="1"/>
                <w:color w:val="auto"/>
              </w:rPr>
              <w:t>16,957</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0"/>
        </w:trPr>
        <w:tc>
          <w:tcPr>
            <w:tcW w:w="9040" w:type="dxa"/>
            <w:vAlign w:val="bottom"/>
          </w:tcPr>
          <w:p>
            <w:pPr>
              <w:spacing w:after="0"/>
              <w:rPr>
                <w:sz w:val="20"/>
                <w:szCs w:val="20"/>
                <w:color w:val="auto"/>
              </w:rPr>
            </w:pPr>
            <w:r>
              <w:rPr>
                <w:rFonts w:ascii="Arial" w:cs="Arial" w:eastAsia="Arial" w:hAnsi="Arial"/>
                <w:sz w:val="15"/>
                <w:szCs w:val="15"/>
                <w:color w:val="auto"/>
              </w:rPr>
              <w:t>Support capital</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55,345</w:t>
            </w:r>
          </w:p>
        </w:tc>
        <w:tc>
          <w:tcPr>
            <w:tcW w:w="4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66"/>
        </w:trPr>
        <w:tc>
          <w:tcPr>
            <w:tcW w:w="90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150,525</w:t>
            </w:r>
          </w:p>
        </w:tc>
        <w:tc>
          <w:tcPr>
            <w:tcW w:w="4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color w:val="auto"/>
        </w:rPr>
        <w:t xml:space="preserve">Newspaper Publishing Division. </w:t>
      </w:r>
      <w:r>
        <w:rPr>
          <w:rFonts w:ascii="Arial" w:cs="Arial" w:eastAsia="Arial" w:hAnsi="Arial"/>
          <w:sz w:val="17"/>
          <w:szCs w:val="17"/>
          <w:color w:val="auto"/>
        </w:rPr>
        <w:t>Newspaper publishing division revenue in 2012 declined 7% to $581.7 million, from $622.5 million in 2011. Print</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revenue at The Washington Post in 2012 declined 14% to $228.2 million, from $264.5 million in 2011. The decline is largely due to reductio general and retail advertising. Revenue generated by the Company’s online publishing activities, primarily washingtonpost.com and Slate, increased 5 $110.6 million, from $105.8 million in 2011. Display online advertising revenue increased 6% in 2012, and online classified advertising revenue decrea 1% in 2012.</w:t>
      </w:r>
    </w:p>
    <w:p>
      <w:pPr>
        <w:spacing w:after="0" w:line="17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In 2012, daily circulation at The Washington Post declined 8.6% and Sunday circulation declined 6.2%; average daily circulation at The Washington P totaled 471,800 and average Sunday circulation totaled 687,200.</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The newspaper publishing division reported an operating loss of $53.7 million in 2012, compared to an operating loss of $21.2 million in 2011, after inc pension expense of $42.4 million and $25.3 million, respectively. Included in pension expense for 2012 was an $8.5 million Voluntary Retirement Incen Program (VRIP) for certain employees and a $0.9 million charge at The Herald in connection with its withdrawal from a multiemployer pension plan.</w:t>
      </w:r>
    </w:p>
    <w:p>
      <w:pPr>
        <w:spacing w:after="0" w:line="2"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Included in pension expense in 2011 was a $ 2.4 million charge at The Herald in connection with its withdrawal from a multiemployer pension plan. In addition, voluntary severance and other early retirement expense of $9.0 million was recorded at The Washington Post in 2012. In February 2013, The Washington Post offered a Voluntary Retirement Incentive Program (VRIP) to certain mailroom workers. The VRIP acceptance period ends in April 20 and the cost will be funded from the assets of the Company’s pension plans.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decline in operating results for 2012 is primarily due to the revenue reductions discussed above and the increase in the combined early retiremen severance and multiemployer pension plan withdrawal expense, offset partially by a decline in other operating expenses. Newsprint expense was dow in 2012 due to a decline in newsprint consumption.</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February 2013, the Company announced that it had signed an agreement to sell The Herald, a daily and Sunday newspaper headquartered in Ever WA; the transaction is expected to close in March 2013.</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63" w:name="page64"/>
    <w:bookmarkEnd w:id="63"/>
    <w:p>
      <w:pPr>
        <w:ind w:right="80"/>
        <w:spacing w:after="0" w:line="255" w:lineRule="auto"/>
        <w:rPr>
          <w:sz w:val="20"/>
          <w:szCs w:val="20"/>
          <w:color w:val="auto"/>
        </w:rPr>
      </w:pPr>
      <w:r>
        <w:rPr>
          <w:rFonts w:ascii="Arial" w:cs="Arial" w:eastAsia="Arial" w:hAnsi="Arial"/>
          <w:sz w:val="17"/>
          <w:szCs w:val="17"/>
          <w:b w:val="1"/>
          <w:bCs w:val="1"/>
          <w:color w:val="auto"/>
        </w:rPr>
        <w:t xml:space="preserve">Television Broadcasting Division. </w:t>
      </w:r>
      <w:r>
        <w:rPr>
          <w:rFonts w:ascii="Arial" w:cs="Arial" w:eastAsia="Arial" w:hAnsi="Arial"/>
          <w:sz w:val="17"/>
          <w:szCs w:val="17"/>
          <w:color w:val="auto"/>
        </w:rPr>
        <w:t>Revenue for the television broadcasting division increased 25% to $ 399.7 million in 2012, from $319.2 million in</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broadcasting division operating income for 2012 increased 64% to $191.6 million, from $117.1 million in 2011.</w:t>
      </w:r>
    </w:p>
    <w:p>
      <w:pPr>
        <w:spacing w:after="0" w:line="163" w:lineRule="exact"/>
        <w:rPr>
          <w:sz w:val="20"/>
          <w:szCs w:val="20"/>
          <w:color w:val="auto"/>
        </w:rPr>
      </w:pPr>
    </w:p>
    <w:p>
      <w:pPr>
        <w:jc w:val="both"/>
        <w:ind w:right="20"/>
        <w:spacing w:after="0" w:line="232" w:lineRule="auto"/>
        <w:rPr>
          <w:sz w:val="20"/>
          <w:szCs w:val="20"/>
          <w:color w:val="auto"/>
        </w:rPr>
      </w:pPr>
      <w:r>
        <w:rPr>
          <w:rFonts w:ascii="Arial" w:cs="Arial" w:eastAsia="Arial" w:hAnsi="Arial"/>
          <w:sz w:val="17"/>
          <w:szCs w:val="17"/>
          <w:color w:val="auto"/>
        </w:rPr>
        <w:t>The increase in revenue and operating income for 2012 reflects improved advertising demand across many product categories. These results include $48.1 million increase in political advertising revenue in 2012; $10.8 million in incremental summer Olympics-related advertising at the Company’s NB affiliates in the third quarter of 2012; and increased retransmission revenues. Operating margin at the television broadcasting division was 48% in 201 37% in 2011.</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Competitive market position remained strong for the Company’s television stations. WDIV in Detroit, KSAT in San Antonio and WJXT in Jacksonville r number one in the November 2012 ratings period, Monday through Friday, sign-on to sign-off; WPLG in Miami tied for the number one rank (Anglo sta and KPRC in Houston and WKMG in Orlando ranked third.</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Other businesses includes the operating results of Social Code, a marketing solutions provider helping companies with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social media platforms; WaPo Labs, a digital team focused on emerging technologies and new product development; and Celtic Healthcare, Inc., a pro of home health care and hospice services in the northeastern and mid-Atlantic regions that was acquired by The Washington Post Company in Novem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Office. </w:t>
      </w:r>
      <w:r>
        <w:rPr>
          <w:rFonts w:ascii="Arial" w:cs="Arial" w:eastAsia="Arial" w:hAnsi="Arial"/>
          <w:sz w:val="17"/>
          <w:szCs w:val="17"/>
          <w:color w:val="auto"/>
        </w:rPr>
        <w:t>Corporate office includes the expenses of the Company’s corporate office as well as a net pension credit.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Equity in Earnings (Losses) of Affiliates. </w:t>
      </w:r>
      <w:r>
        <w:rPr>
          <w:rFonts w:ascii="Arial" w:cs="Arial" w:eastAsia="Arial" w:hAnsi="Arial"/>
          <w:sz w:val="16"/>
          <w:szCs w:val="16"/>
          <w:color w:val="auto"/>
        </w:rPr>
        <w:t>The Company holds a 16.5% interest in Classified Ventures, LLC and interests in several other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fourth quarter of 2012, the Company sold its 49% interest in Bowater Mersey Paper Company for a nominal amount; no gain or loss was recorded as t investment balance had previously been written down to zero. The Company’s equity in earnings of affiliates, net, for 2012 was $14.1 million, compare $5.9 million in 2011. In 2011, a $9.2 million impairment charge was recorded on the Company’s interest in Bowater Mersey Paper Company.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Other Non-Operating (Expense) Income. </w:t>
      </w:r>
      <w:r>
        <w:rPr>
          <w:rFonts w:ascii="Arial" w:cs="Arial" w:eastAsia="Arial" w:hAnsi="Arial"/>
          <w:sz w:val="17"/>
          <w:szCs w:val="17"/>
          <w:color w:val="auto"/>
        </w:rPr>
        <w:t>The Company recorded other non-operating expense, net, of $5.5 million in 2012, compared to other non-operating expense, net, of $55.2 million in 2011.</w:t>
      </w:r>
    </w:p>
    <w:p>
      <w:pPr>
        <w:spacing w:after="0" w:line="16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2012 non-operating expense, net, included an $18.0 million write-down of a marketable equity security, offset by $6.6 million in net gains from cos method investments, $3.1 million in unrealized foreign currency gains and other items. The 2011 non-operating expense, net, included a $53.8 million down of a marketable equity security, $3.3 million in unrealized foreign currency losses and 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During 2012, on an overall basis, the fair value of the Company’s marketable securities appreciated by $32.5 million.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(expense) income for the years ended December 31, 2012 and 2011,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040" w:type="dxa"/>
            <w:vAlign w:val="bottom"/>
          </w:tcPr>
          <w:p>
            <w:pPr>
              <w:spacing w:after="0" w:line="150" w:lineRule="exact"/>
              <w:rPr>
                <w:sz w:val="20"/>
                <w:szCs w:val="20"/>
                <w:color w:val="auto"/>
              </w:rPr>
            </w:pPr>
            <w:r>
              <w:rPr>
                <w:rFonts w:ascii="Arial" w:cs="Arial" w:eastAsia="Arial" w:hAnsi="Arial"/>
                <w:sz w:val="15"/>
                <w:szCs w:val="15"/>
                <w:color w:val="auto"/>
              </w:rPr>
              <w:t>Impairment write-down of a marketable equity security</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128"/>
              <w:spacing w:after="0" w:line="150" w:lineRule="exact"/>
              <w:rPr>
                <w:sz w:val="20"/>
                <w:szCs w:val="20"/>
                <w:color w:val="auto"/>
              </w:rPr>
            </w:pPr>
            <w:r>
              <w:rPr>
                <w:rFonts w:ascii="Arial" w:cs="Arial" w:eastAsia="Arial" w:hAnsi="Arial"/>
                <w:sz w:val="15"/>
                <w:szCs w:val="15"/>
                <w:b w:val="1"/>
                <w:bCs w:val="1"/>
                <w:color w:val="auto"/>
              </w:rPr>
              <w:t>(17,998)</w:t>
            </w:r>
          </w:p>
        </w:tc>
        <w:tc>
          <w:tcPr>
            <w:tcW w:w="4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(5</w:t>
            </w: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Gains (losses) on sales or write-downs of cost method investments</w:t>
            </w:r>
          </w:p>
        </w:tc>
        <w:tc>
          <w:tcPr>
            <w:tcW w:w="22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5"/>
                <w:szCs w:val="15"/>
                <w:b w:val="1"/>
                <w:bCs w:val="1"/>
                <w:color w:val="auto"/>
              </w:rPr>
              <w:t>6,639</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Foreign currency gains (losses), net</w:t>
            </w:r>
          </w:p>
        </w:tc>
        <w:tc>
          <w:tcPr>
            <w:tcW w:w="22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5"/>
                <w:szCs w:val="15"/>
                <w:b w:val="1"/>
                <w:bCs w:val="1"/>
                <w:color w:val="auto"/>
              </w:rPr>
              <w:t>3,132</w:t>
            </w: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9040" w:type="dxa"/>
            <w:vAlign w:val="bottom"/>
          </w:tcPr>
          <w:p>
            <w:pPr>
              <w:spacing w:after="0"/>
              <w:rPr>
                <w:sz w:val="20"/>
                <w:szCs w:val="20"/>
                <w:color w:val="auto"/>
              </w:rPr>
            </w:pPr>
            <w:r>
              <w:rPr>
                <w:rFonts w:ascii="Arial" w:cs="Arial" w:eastAsia="Arial" w:hAnsi="Arial"/>
                <w:sz w:val="15"/>
                <w:szCs w:val="15"/>
                <w:color w:val="auto"/>
              </w:rPr>
              <w:t>Other, net</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b w:val="1"/>
                <w:bCs w:val="1"/>
                <w:color w:val="auto"/>
              </w:rPr>
              <w:t>2,771</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66"/>
        </w:trPr>
        <w:tc>
          <w:tcPr>
            <w:tcW w:w="90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28"/>
              <w:spacing w:after="0" w:line="167" w:lineRule="exact"/>
              <w:rPr>
                <w:sz w:val="20"/>
                <w:szCs w:val="20"/>
                <w:color w:val="auto"/>
              </w:rPr>
            </w:pPr>
            <w:r>
              <w:rPr>
                <w:rFonts w:ascii="Arial" w:cs="Arial" w:eastAsia="Arial" w:hAnsi="Arial"/>
                <w:sz w:val="15"/>
                <w:szCs w:val="15"/>
                <w:b w:val="1"/>
                <w:bCs w:val="1"/>
                <w:color w:val="auto"/>
              </w:rPr>
              <w:t>(5,456)</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w:t>
            </w: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Net Interest Expense. </w:t>
      </w:r>
      <w:r>
        <w:rPr>
          <w:rFonts w:ascii="Arial" w:cs="Arial" w:eastAsia="Arial" w:hAnsi="Arial"/>
          <w:sz w:val="17"/>
          <w:szCs w:val="17"/>
          <w:color w:val="auto"/>
        </w:rPr>
        <w:t>The Company incurred net interest expense of $32.6 million in 2012, compared to $29.1 million in 2011. At December 31, 201</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had $696.7 million in borrowings outstanding at an average interest rate of 5.1%; at December 31, 2011, the Company had $565.2 million in borrowings outstanding at an average interest rate of 5.7%.</w:t>
      </w:r>
    </w:p>
    <w:p>
      <w:pPr>
        <w:spacing w:after="0" w:line="38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64" w:name="page65"/>
    <w:bookmarkEnd w:id="64"/>
    <w:p>
      <w:pPr>
        <w:jc w:val="both"/>
        <w:ind w:left="9"/>
        <w:spacing w:after="0" w:line="26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for income from continuing operations in 2012 was 59.4%. This effective tax rate was adversely impacted by $1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in valuation allowances provided against deferred income tax benefits where realization is doubtful, and $12.8 million from nondeductible good connection with an impairment charge recorded in 2012, offset by tax benefits from lower rates at jurisdictions outside the United States.</w:t>
      </w:r>
    </w:p>
    <w:p>
      <w:pPr>
        <w:spacing w:after="0" w:line="157"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effective tax rate for income from continuing operations in 2011 was 41.2%. This effective tax rate was adversely impacted by $17.8 million in valu allowances provided against deferred income tax benefits where realization is doubtful, offset by tax benefits from lower rates at jurisdictions outside t United States.</w:t>
      </w:r>
    </w:p>
    <w:p>
      <w:pPr>
        <w:spacing w:after="0" w:line="155" w:lineRule="exact"/>
        <w:rPr>
          <w:sz w:val="20"/>
          <w:szCs w:val="20"/>
          <w:color w:val="auto"/>
        </w:rPr>
      </w:pPr>
    </w:p>
    <w:p>
      <w:pPr>
        <w:jc w:val="both"/>
        <w:ind w:left="9" w:right="40"/>
        <w:spacing w:after="0" w:line="242"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Kaplan sold Kidum in August 2012, EduNeering in April 2012 and Kaplan Learning Technologies in February 2012. In ad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divested its interest in Avenue100 Media Solutions on July 31, 2012. Consequently, the Company’s income from continuing operations excludes these businesses, which have been reclassified to discontinued operations, net of tax.</w:t>
      </w:r>
    </w:p>
    <w:p>
      <w:pPr>
        <w:spacing w:after="0" w:line="173"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sale of Kaplan Learning Technologies resulted in a pre-tax loss of $3.1 million, which was recorded in the first quarter of 2012. The sale of EduNe resulted in a pre-tax gain of $29.5 million, which was recorded in the second quarter of 2012. The sale of Kidum resulted in a pre-tax gain of $3.6 milli which was recorded in the third quarter of 2012.</w:t>
      </w:r>
    </w:p>
    <w:p>
      <w:pPr>
        <w:spacing w:after="0" w:line="175" w:lineRule="exact"/>
        <w:rPr>
          <w:sz w:val="20"/>
          <w:szCs w:val="20"/>
          <w:color w:val="auto"/>
        </w:rPr>
      </w:pPr>
    </w:p>
    <w:p>
      <w:pPr>
        <w:jc w:val="both"/>
        <w:ind w:left="9" w:right="2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 recorded $23.2 million of income tax benefits related to the excess of the outside stock tax basis over the net book value of the net assets disposed.</w:t>
      </w:r>
    </w:p>
    <w:p>
      <w:pPr>
        <w:spacing w:after="0" w:line="160"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In connection with the disposal of Avenue100 Media Solutions, Inc., the Company recorded a pre-tax loss of $ 5.7 million in the third quarter of 2012. A income tax benefit of $44.5 million was also recorded in the third quarter of 2012 as the Company determined that Avenue100 Media Solutions, Inc. h value. The income tax benefit is due to the Company’s tax basis in the stock of Avenue100 exceeding its net book value as a result of goodwill and oth intangible asset impairment charges recorded in 2008, 2010 and 2011, for which no tax benefit was previously recorded.</w:t>
      </w:r>
    </w:p>
    <w:p>
      <w:pPr>
        <w:spacing w:after="0" w:line="150"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RESULTS OF OPERATIONS — 2011 COMPARED TO 2010</w:t>
      </w:r>
    </w:p>
    <w:p>
      <w:pPr>
        <w:spacing w:after="0" w:line="197"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Net income attributable to common shares was $116.2 million ($14.70 per share) for the fiscal year ended December 31, 2011, down from net income attributable to common shares of $277.2 million ($31.04 per share) for the fiscal year ended January 2, 2011. Net income includes $28.5 million ($3.6 share) and $77.9 million ($8.72 per share) in losses from discontinued operations for 2011 and 2010, respectively. Income from continuing operations attributable to common shares was $144.7 million ($18.30 per share) for fiscal year 2011, compared to $355.1 million ($39.76 per share) for fiscal yea 2010. As a result of the Company’s share repurchases, there were 11% fewer diluted average shares outstanding in 2011.</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2011 are listed below:</w:t>
      </w:r>
    </w:p>
    <w:p>
      <w:pPr>
        <w:spacing w:after="0" w:line="40" w:lineRule="exact"/>
        <w:rPr>
          <w:sz w:val="20"/>
          <w:szCs w:val="20"/>
          <w:color w:val="auto"/>
        </w:rPr>
      </w:pPr>
    </w:p>
    <w:p>
      <w:pPr>
        <w:ind w:left="289" w:hanging="289"/>
        <w:spacing w:after="0" w:line="235" w:lineRule="auto"/>
        <w:tabs>
          <w:tab w:leader="none" w:pos="2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$31.3 million in severance and other restructuring charges at the education and newspaper publishing divisions (after-tax impact of $19.4 million, o $2.46 per share);</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$53.8 million write-down of a marketable equity security (after-tax impact of $34.6 million, or $4.34 per share); and</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3"/>
        </w:numPr>
        <w:rPr>
          <w:rFonts w:ascii="Arial" w:cs="Arial" w:eastAsia="Arial" w:hAnsi="Arial"/>
          <w:sz w:val="17"/>
          <w:szCs w:val="17"/>
          <w:color w:val="auto"/>
        </w:rPr>
      </w:pPr>
      <w:r>
        <w:rPr>
          <w:rFonts w:ascii="Arial" w:cs="Arial" w:eastAsia="Arial" w:hAnsi="Arial"/>
          <w:sz w:val="17"/>
          <w:szCs w:val="17"/>
          <w:color w:val="auto"/>
        </w:rPr>
        <w:t>$3.3 million in non-operating unrealized foreign currency losses (after-tax impact of $2.1 million, or $0.26 per share).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7"/>
          <w:szCs w:val="17"/>
          <w:color w:val="auto"/>
        </w:rPr>
        <w:t>Items included in the Company’s income from continuing operations for 2010:</w:t>
      </w:r>
    </w:p>
    <w:p>
      <w:pPr>
        <w:spacing w:after="0" w:line="40" w:lineRule="exact"/>
        <w:rPr>
          <w:sz w:val="20"/>
          <w:szCs w:val="20"/>
          <w:color w:val="auto"/>
        </w:rPr>
      </w:pPr>
    </w:p>
    <w:p>
      <w:pPr>
        <w:ind w:left="289" w:right="60" w:hanging="289"/>
        <w:spacing w:after="0" w:line="235" w:lineRule="auto"/>
        <w:tabs>
          <w:tab w:leader="none" w:pos="2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$20.4 million charge recorded at the Post in connection with the withdrawal from a multiemployer pension plan (after-tax impact of $12.7 million, $1.38 per share);</w:t>
      </w:r>
    </w:p>
    <w:p>
      <w:pPr>
        <w:spacing w:after="0" w:line="39" w:lineRule="exact"/>
        <w:rPr>
          <w:rFonts w:ascii="Arial" w:cs="Arial" w:eastAsia="Arial" w:hAnsi="Arial"/>
          <w:sz w:val="17"/>
          <w:szCs w:val="17"/>
          <w:color w:val="auto"/>
        </w:rPr>
      </w:pPr>
    </w:p>
    <w:p>
      <w:pPr>
        <w:ind w:left="269" w:hanging="269"/>
        <w:spacing w:after="0"/>
        <w:tabs>
          <w:tab w:leader="none" w:pos="269" w:val="left"/>
        </w:tabs>
        <w:numPr>
          <w:ilvl w:val="0"/>
          <w:numId w:val="44"/>
        </w:numPr>
        <w:rPr>
          <w:rFonts w:ascii="Arial" w:cs="Arial" w:eastAsia="Arial" w:hAnsi="Arial"/>
          <w:sz w:val="17"/>
          <w:szCs w:val="17"/>
          <w:color w:val="auto"/>
        </w:rPr>
      </w:pPr>
      <w:r>
        <w:rPr>
          <w:rFonts w:ascii="Arial" w:cs="Arial" w:eastAsia="Arial" w:hAnsi="Arial"/>
          <w:sz w:val="17"/>
          <w:szCs w:val="17"/>
          <w:color w:val="auto"/>
        </w:rPr>
        <w:t>$39.0 million in severance and restructuring charges (after-tax impact of $24.2 million, or $2.83 per share); and</w:t>
      </w:r>
    </w:p>
    <w:p>
      <w:pPr>
        <w:spacing w:after="0" w:line="40" w:lineRule="exact"/>
        <w:rPr>
          <w:rFonts w:ascii="Arial" w:cs="Arial" w:eastAsia="Arial" w:hAnsi="Arial"/>
          <w:sz w:val="17"/>
          <w:szCs w:val="17"/>
          <w:color w:val="auto"/>
        </w:rPr>
      </w:pPr>
    </w:p>
    <w:p>
      <w:pPr>
        <w:ind w:left="269" w:hanging="269"/>
        <w:spacing w:after="0"/>
        <w:tabs>
          <w:tab w:leader="none" w:pos="269" w:val="left"/>
        </w:tabs>
        <w:numPr>
          <w:ilvl w:val="0"/>
          <w:numId w:val="44"/>
        </w:numPr>
        <w:rPr>
          <w:rFonts w:ascii="Arial" w:cs="Arial" w:eastAsia="Arial" w:hAnsi="Arial"/>
          <w:sz w:val="17"/>
          <w:szCs w:val="17"/>
          <w:color w:val="auto"/>
        </w:rPr>
      </w:pPr>
      <w:r>
        <w:rPr>
          <w:rFonts w:ascii="Arial" w:cs="Arial" w:eastAsia="Arial" w:hAnsi="Arial"/>
          <w:sz w:val="17"/>
          <w:szCs w:val="17"/>
          <w:color w:val="auto"/>
        </w:rPr>
        <w:t>$6.7 million in non-operating unrealized foreign currency gains (after-tax impact of $4.2 million, or $0.47 per share).</w:t>
      </w:r>
    </w:p>
    <w:p>
      <w:pPr>
        <w:spacing w:after="0" w:line="177"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Revenue for 2011 was $4,131.1 million, down 10% from $4,586.4 million in 2010. Revenues were down at the education, newspaper publishing and television broadcasting divisions, while revenues were up slightly at the cable television division. In 2011, education revenue decreased 14%, advertis revenue decreased 9%, circulation and subscriber</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42" w:right="139" w:bottom="1440" w:gutter="0" w:footer="0" w:header="0"/>
        </w:sectPr>
      </w:pPr>
    </w:p>
    <w:bookmarkStart w:id="65" w:name="page66"/>
    <w:bookmarkEnd w:id="65"/>
    <w:p>
      <w:pPr>
        <w:spacing w:after="0" w:line="233" w:lineRule="auto"/>
        <w:rPr>
          <w:sz w:val="20"/>
          <w:szCs w:val="20"/>
          <w:color w:val="auto"/>
        </w:rPr>
      </w:pPr>
      <w:r>
        <w:rPr>
          <w:rFonts w:ascii="Arial" w:cs="Arial" w:eastAsia="Arial" w:hAnsi="Arial"/>
          <w:sz w:val="17"/>
          <w:szCs w:val="17"/>
          <w:color w:val="auto"/>
        </w:rPr>
        <w:t>revenue was flat and other revenue increased 28%. Revenue declines at Kaplan accounted for the decrease in education revenue. The decrease in advertising revenue is due to declines at the television broadcasting and newspaper publishing divisions. Both subscriber revenue at the cable televisi division and circulation revenue at the Post were even with last year.</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Operating costs and expenses for the year decreased 4% to $3,805.3 million in 2011, from $3,983.6 million in 2010. The decline is due to lower expen the education, television broadcasting and newspaper publishing divisions, offset by increased costs at the cable television division.</w:t>
      </w:r>
    </w:p>
    <w:p>
      <w:pPr>
        <w:spacing w:after="0" w:line="176" w:lineRule="exact"/>
        <w:rPr>
          <w:sz w:val="20"/>
          <w:szCs w:val="20"/>
          <w:color w:val="auto"/>
        </w:rPr>
      </w:pPr>
    </w:p>
    <w:p>
      <w:pPr>
        <w:ind w:right="380"/>
        <w:spacing w:after="0" w:line="444" w:lineRule="auto"/>
        <w:rPr>
          <w:sz w:val="20"/>
          <w:szCs w:val="20"/>
          <w:color w:val="auto"/>
        </w:rPr>
      </w:pPr>
      <w:r>
        <w:rPr>
          <w:rFonts w:ascii="Arial" w:cs="Arial" w:eastAsia="Arial" w:hAnsi="Arial"/>
          <w:sz w:val="17"/>
          <w:szCs w:val="17"/>
          <w:color w:val="auto"/>
        </w:rPr>
        <w:t xml:space="preserve">Operating income for 2011 decreased to $325.9 million, from $602.9 million in 2010. Operating results declined at all of the Company’s divisions. </w:t>
      </w:r>
      <w:r>
        <w:rPr>
          <w:rFonts w:ascii="Arial" w:cs="Arial" w:eastAsia="Arial" w:hAnsi="Arial"/>
          <w:sz w:val="17"/>
          <w:szCs w:val="17"/>
          <w:b w:val="1"/>
          <w:bCs w:val="1"/>
          <w:color w:val="auto"/>
        </w:rPr>
        <w:t>DIVISION RESULTS</w:t>
      </w:r>
    </w:p>
    <w:p>
      <w:pPr>
        <w:spacing w:after="0" w:line="1"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Education Division. </w:t>
      </w:r>
      <w:r>
        <w:rPr>
          <w:rFonts w:ascii="Arial" w:cs="Arial" w:eastAsia="Arial" w:hAnsi="Arial"/>
          <w:sz w:val="17"/>
          <w:szCs w:val="17"/>
          <w:color w:val="auto"/>
        </w:rPr>
        <w:t>Education division revenue in 2011 totaled $2,404.5 million, a 14% decline from revenue of $2,804.8 million in 2010. Excluding</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from acquired businesses, education division revenue declined 17% in 2011. Kaplan reported operating income of $96.3 million for 2011, dow from $359.6 million in 2010.</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light of recent revenue declines and other business challenges, Kaplan has formulated and implemented restructuring plans at its various businesse have resulted in significant costs in 2010 and 2011, with the objective of establishing lower cost levels in future periods. Across all businesses, severa and restructuring costs totaled $28.9 million in 2011 and $27.5 million in 2010.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operating results for 2011 compared to 2010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color w:val="auto"/>
              </w:rPr>
              <w:t>2011</w:t>
            </w: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color w:val="auto"/>
              </w:rPr>
              <w:t>2010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Higher education</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1,399,583</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1,905,038</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303,093</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314,879</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704,581</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587,781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4,585</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5,537</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(7,383)</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(8,395)</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2,404,459</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2,804,840</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4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Higher education</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148,915</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406,880</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Test preparation</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(28,498)</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(32,583)</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international</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41,506</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49,309</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Kaplan corporate</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(45,100)</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(44,586)</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440" w:type="dxa"/>
            <w:vAlign w:val="bottom"/>
          </w:tcPr>
          <w:p>
            <w:pPr>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tcPr>
          <w:p>
            <w:pPr>
              <w:spacing w:after="0"/>
              <w:rPr>
                <w:sz w:val="15"/>
                <w:szCs w:val="15"/>
                <w:color w:val="auto"/>
              </w:rPr>
            </w:pPr>
          </w:p>
        </w:tc>
        <w:tc>
          <w:tcPr>
            <w:tcW w:w="1080" w:type="dxa"/>
            <w:vAlign w:val="bottom"/>
          </w:tcPr>
          <w:p>
            <w:pPr>
              <w:jc w:val="right"/>
              <w:ind w:right="106"/>
              <w:spacing w:after="0"/>
              <w:rPr>
                <w:sz w:val="20"/>
                <w:szCs w:val="20"/>
                <w:color w:val="auto"/>
              </w:rPr>
            </w:pPr>
            <w:r>
              <w:rPr>
                <w:rFonts w:ascii="Arial" w:cs="Arial" w:eastAsia="Arial" w:hAnsi="Arial"/>
                <w:sz w:val="15"/>
                <w:szCs w:val="15"/>
                <w:color w:val="auto"/>
              </w:rPr>
              <w:t>(19,417)</w:t>
            </w:r>
          </w:p>
        </w:tc>
        <w:tc>
          <w:tcPr>
            <w:tcW w:w="400" w:type="dxa"/>
            <w:vAlign w:val="bottom"/>
          </w:tcPr>
          <w:p>
            <w:pPr>
              <w:spacing w:after="0"/>
              <w:rPr>
                <w:sz w:val="15"/>
                <w:szCs w:val="15"/>
                <w:color w:val="auto"/>
              </w:rPr>
            </w:pPr>
          </w:p>
        </w:tc>
        <w:tc>
          <w:tcPr>
            <w:tcW w:w="1160" w:type="dxa"/>
            <w:vAlign w:val="bottom"/>
          </w:tcPr>
          <w:p>
            <w:pPr>
              <w:jc w:val="right"/>
              <w:ind w:right="186"/>
              <w:spacing w:after="0"/>
              <w:rPr>
                <w:sz w:val="20"/>
                <w:szCs w:val="20"/>
                <w:color w:val="auto"/>
              </w:rPr>
            </w:pPr>
            <w:r>
              <w:rPr>
                <w:rFonts w:ascii="Arial" w:cs="Arial" w:eastAsia="Arial" w:hAnsi="Arial"/>
                <w:sz w:val="15"/>
                <w:szCs w:val="15"/>
                <w:color w:val="auto"/>
              </w:rPr>
              <w:t>(19,202)</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440" w:type="dxa"/>
            <w:vAlign w:val="bottom"/>
          </w:tcPr>
          <w:p>
            <w:pPr>
              <w:spacing w:after="0"/>
              <w:rPr>
                <w:sz w:val="20"/>
                <w:szCs w:val="20"/>
                <w:color w:val="auto"/>
              </w:rPr>
            </w:pPr>
            <w:r>
              <w:rPr>
                <w:rFonts w:ascii="Arial" w:cs="Arial" w:eastAsia="Arial" w:hAnsi="Arial"/>
                <w:sz w:val="15"/>
                <w:szCs w:val="15"/>
                <w:color w:val="auto"/>
              </w:rPr>
              <w:t>Intersegment elimination</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(1,120)</w:t>
            </w:r>
          </w:p>
        </w:tc>
        <w:tc>
          <w:tcPr>
            <w:tcW w:w="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(234)</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96,286</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359,584</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sold Kidum in August 2012, EduNeering in April 2012, Kaplan Learning Technology (KLT) in February 2012, Kaplan Compliance Solutions (KC October 2011, Kaplan Virtual Education (KVE) in July 2011 and Education Connection in April 2010. Consequently, the education division’s operating exclude these businesses.</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KHE includes Kaplan’s domestic postsecondary education businesses, made up of fixed-facility colleges and online postsecondary and career progra KHE also includes the Kaplan University School of Professional and Continuing Education. In 2011, KHE revenue declined 27% due to declines in ave enrollments. Operating income decreased 63% in 2011 due to lower revenue, increased regulatory compliance costs and $13.2 million in severance a restructuring costs in 2011. Offsetting the decline were lower advertising costs, other expense reductions associated with lower enrollments, incentive compensation credits recorded in 2011 related to amounts previously accrued and $9.3 million in 2010 severance costs.</w:t>
      </w:r>
    </w:p>
    <w:p>
      <w:pPr>
        <w:spacing w:after="0" w:line="1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KHE has implemented a number of marketing and admissions changes to increase student selectivity and help KHE comply with recent regulations. K also implemented the Kaplan Commitment program, which provides first-time students with a risk-free trial period. Under the program, KHE also monit academic progress and conducts assessments to help determine whether students are likely to be successful in their chosen course of study. Student</w:t>
      </w:r>
    </w:p>
    <w:p>
      <w:pPr>
        <w:spacing w:after="0" w:line="19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66" w:name="page67"/>
    <w:bookmarkEnd w:id="66"/>
    <w:p>
      <w:pPr>
        <w:jc w:val="both"/>
        <w:ind w:right="20"/>
        <w:spacing w:after="0" w:line="231" w:lineRule="auto"/>
        <w:rPr>
          <w:sz w:val="20"/>
          <w:szCs w:val="20"/>
          <w:color w:val="auto"/>
        </w:rPr>
      </w:pPr>
      <w:r>
        <w:rPr>
          <w:rFonts w:ascii="Arial" w:cs="Arial" w:eastAsia="Arial" w:hAnsi="Arial"/>
          <w:sz w:val="17"/>
          <w:szCs w:val="17"/>
          <w:color w:val="auto"/>
        </w:rPr>
        <w:t>withdraw or are subject to dismissal during the risk-free trial period do not incur any significant financial obligation. These changes, along with genera lower demand, have resulted in a 37% decline in new enrollments for 2011 as a whole, in comparison to 2010. Management estimates that without th Kaplan Commitment, the decline for 2011 would have been approximately 20%. Management also estimates that revenue for 2011 would have been approximately $63 million higher if the Kaplan Commitment had not been implemented. KHE does not recognize tuition revenue for students during th free period.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Total students at December 31, 2011 were down 23% compared to December 31, 2010,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680" w:type="dxa"/>
            <w:vAlign w:val="bottom"/>
          </w:tcPr>
          <w:p>
            <w:pPr>
              <w:spacing w:after="0"/>
              <w:rPr>
                <w:sz w:val="12"/>
                <w:szCs w:val="12"/>
                <w:color w:val="auto"/>
              </w:rPr>
            </w:pPr>
          </w:p>
        </w:tc>
        <w:tc>
          <w:tcPr>
            <w:tcW w:w="172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color w:val="auto"/>
              </w:rPr>
              <w:t>As of December 31,</w:t>
            </w:r>
          </w:p>
        </w:tc>
        <w:tc>
          <w:tcPr>
            <w:tcW w:w="540" w:type="dxa"/>
            <w:vAlign w:val="bottom"/>
          </w:tcPr>
          <w:p>
            <w:pPr>
              <w:spacing w:after="0"/>
              <w:rPr>
                <w:sz w:val="12"/>
                <w:szCs w:val="12"/>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ind w:left="240"/>
              <w:spacing w:after="0" w:line="129" w:lineRule="exact"/>
              <w:rPr>
                <w:sz w:val="20"/>
                <w:szCs w:val="20"/>
                <w:color w:val="auto"/>
              </w:rPr>
            </w:pPr>
            <w:r>
              <w:rPr>
                <w:rFonts w:ascii="Arial" w:cs="Arial" w:eastAsia="Arial" w:hAnsi="Arial"/>
                <w:sz w:val="12"/>
                <w:szCs w:val="12"/>
                <w:color w:val="auto"/>
              </w:rPr>
              <w:t>2011</w:t>
            </w:r>
          </w:p>
        </w:tc>
        <w:tc>
          <w:tcPr>
            <w:tcW w:w="760" w:type="dxa"/>
            <w:vAlign w:val="bottom"/>
            <w:tcBorders>
              <w:bottom w:val="single" w:sz="8" w:color="auto"/>
            </w:tcBorders>
          </w:tcPr>
          <w:p>
            <w:pPr>
              <w:jc w:val="right"/>
              <w:ind w:right="209"/>
              <w:spacing w:after="0" w:line="129" w:lineRule="exact"/>
              <w:rPr>
                <w:sz w:val="20"/>
                <w:szCs w:val="20"/>
                <w:color w:val="auto"/>
              </w:rPr>
            </w:pPr>
            <w:r>
              <w:rPr>
                <w:rFonts w:ascii="Arial" w:cs="Arial" w:eastAsia="Arial" w:hAnsi="Arial"/>
                <w:sz w:val="12"/>
                <w:szCs w:val="12"/>
                <w:color w:val="auto"/>
              </w:rPr>
              <w:t>2010</w:t>
            </w:r>
          </w:p>
        </w:tc>
        <w:tc>
          <w:tcPr>
            <w:tcW w:w="540" w:type="dxa"/>
            <w:vAlign w:val="bottom"/>
            <w:tcBorders>
              <w:bottom w:val="single" w:sz="8" w:color="auto"/>
            </w:tcBorders>
          </w:tcPr>
          <w:p>
            <w:pPr>
              <w:ind w:left="280"/>
              <w:spacing w:after="0" w:line="129" w:lineRule="exact"/>
              <w:rPr>
                <w:sz w:val="20"/>
                <w:szCs w:val="20"/>
                <w:color w:val="auto"/>
              </w:rPr>
            </w:pPr>
            <w:r>
              <w:rPr>
                <w:rFonts w:ascii="Arial" w:cs="Arial" w:eastAsia="Arial" w:hAnsi="Arial"/>
                <w:sz w:val="12"/>
                <w:szCs w:val="12"/>
                <w:color w:val="auto"/>
              </w:rPr>
              <w:t>% C</w:t>
            </w: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color w:val="auto"/>
              </w:rPr>
              <w:t>Kaplan University</w:t>
            </w:r>
          </w:p>
        </w:tc>
        <w:tc>
          <w:tcPr>
            <w:tcW w:w="960" w:type="dxa"/>
            <w:vAlign w:val="bottom"/>
          </w:tcPr>
          <w:p>
            <w:pPr>
              <w:ind w:left="300"/>
              <w:spacing w:after="0" w:line="168" w:lineRule="exact"/>
              <w:rPr>
                <w:sz w:val="20"/>
                <w:szCs w:val="20"/>
                <w:color w:val="auto"/>
              </w:rPr>
            </w:pPr>
            <w:r>
              <w:rPr>
                <w:rFonts w:ascii="Arial" w:cs="Arial" w:eastAsia="Arial" w:hAnsi="Arial"/>
                <w:sz w:val="15"/>
                <w:szCs w:val="15"/>
                <w:color w:val="auto"/>
              </w:rPr>
              <w:t>50,190</w:t>
            </w:r>
          </w:p>
        </w:tc>
        <w:tc>
          <w:tcPr>
            <w:tcW w:w="760" w:type="dxa"/>
            <w:vAlign w:val="bottom"/>
          </w:tcPr>
          <w:p>
            <w:pPr>
              <w:jc w:val="right"/>
              <w:spacing w:after="0" w:line="168" w:lineRule="exact"/>
              <w:rPr>
                <w:sz w:val="20"/>
                <w:szCs w:val="20"/>
                <w:color w:val="auto"/>
              </w:rPr>
            </w:pPr>
            <w:r>
              <w:rPr>
                <w:rFonts w:ascii="Arial" w:cs="Arial" w:eastAsia="Arial" w:hAnsi="Arial"/>
                <w:sz w:val="15"/>
                <w:szCs w:val="15"/>
                <w:color w:val="auto"/>
              </w:rPr>
              <w:t>65,643</w:t>
            </w:r>
          </w:p>
        </w:tc>
        <w:tc>
          <w:tcPr>
            <w:tcW w:w="540" w:type="dxa"/>
            <w:vAlign w:val="bottom"/>
          </w:tcPr>
          <w:p>
            <w:pPr>
              <w:spacing w:after="0"/>
              <w:rPr>
                <w:sz w:val="14"/>
                <w:szCs w:val="14"/>
                <w:color w:val="auto"/>
              </w:rPr>
            </w:pPr>
          </w:p>
        </w:tc>
      </w:tr>
      <w:tr>
        <w:trPr>
          <w:trHeight w:val="172"/>
        </w:trPr>
        <w:tc>
          <w:tcPr>
            <w:tcW w:w="8680" w:type="dxa"/>
            <w:vAlign w:val="bottom"/>
          </w:tcPr>
          <w:p>
            <w:pPr>
              <w:spacing w:after="0"/>
              <w:rPr>
                <w:sz w:val="20"/>
                <w:szCs w:val="20"/>
                <w:color w:val="auto"/>
              </w:rPr>
            </w:pPr>
            <w:r>
              <w:rPr>
                <w:rFonts w:ascii="Arial" w:cs="Arial" w:eastAsia="Arial" w:hAnsi="Arial"/>
                <w:sz w:val="15"/>
                <w:szCs w:val="15"/>
                <w:color w:val="auto"/>
              </w:rPr>
              <w:t>KHE Campuses</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5"/>
                <w:szCs w:val="15"/>
                <w:color w:val="auto"/>
              </w:rPr>
              <w:t>24,360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31,058</w:t>
            </w:r>
          </w:p>
        </w:tc>
        <w:tc>
          <w:tcPr>
            <w:tcW w:w="540" w:type="dxa"/>
            <w:vAlign w:val="bottom"/>
          </w:tcPr>
          <w:p>
            <w:pPr>
              <w:spacing w:after="0"/>
              <w:rPr>
                <w:sz w:val="14"/>
                <w:szCs w:val="14"/>
                <w:color w:val="auto"/>
              </w:rPr>
            </w:pPr>
          </w:p>
        </w:tc>
      </w:tr>
      <w:tr>
        <w:trPr>
          <w:trHeight w:val="166"/>
        </w:trPr>
        <w:tc>
          <w:tcPr>
            <w:tcW w:w="8680" w:type="dxa"/>
            <w:vAlign w:val="bottom"/>
          </w:tcPr>
          <w:p>
            <w:pPr>
              <w:spacing w:after="0"/>
              <w:rPr>
                <w:sz w:val="14"/>
                <w:szCs w:val="14"/>
                <w:color w:val="auto"/>
              </w:rPr>
            </w:pPr>
          </w:p>
        </w:tc>
        <w:tc>
          <w:tcPr>
            <w:tcW w:w="960" w:type="dxa"/>
            <w:vAlign w:val="bottom"/>
            <w:tcBorders>
              <w:bottom w:val="single" w:sz="8" w:color="auto"/>
            </w:tcBorders>
          </w:tcPr>
          <w:p>
            <w:pPr>
              <w:ind w:left="300"/>
              <w:spacing w:after="0" w:line="167" w:lineRule="exact"/>
              <w:rPr>
                <w:sz w:val="20"/>
                <w:szCs w:val="20"/>
                <w:color w:val="auto"/>
              </w:rPr>
            </w:pPr>
            <w:r>
              <w:rPr>
                <w:rFonts w:ascii="Arial" w:cs="Arial" w:eastAsia="Arial" w:hAnsi="Arial"/>
                <w:sz w:val="15"/>
                <w:szCs w:val="15"/>
                <w:color w:val="auto"/>
              </w:rPr>
              <w:t>74,550</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96,701</w:t>
            </w:r>
          </w:p>
        </w:tc>
        <w:tc>
          <w:tcPr>
            <w:tcW w:w="540" w:type="dxa"/>
            <w:vAlign w:val="bottom"/>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enrollments included 5,799 and 7,426 campus-based students as of December 31, 2011 and 2010,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December 31, 2011 and 2010, by degree and certificate programs are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480" w:type="dxa"/>
            <w:vAlign w:val="bottom"/>
          </w:tcPr>
          <w:p>
            <w:pPr>
              <w:spacing w:after="0"/>
              <w:rPr>
                <w:sz w:val="12"/>
                <w:szCs w:val="1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As of December 31</w:t>
            </w:r>
          </w:p>
        </w:tc>
      </w:tr>
      <w:tr>
        <w:trPr>
          <w:trHeight w:val="129"/>
        </w:trPr>
        <w:tc>
          <w:tcPr>
            <w:tcW w:w="94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09"/>
              <w:spacing w:after="0" w:line="129" w:lineRule="exact"/>
              <w:rPr>
                <w:sz w:val="20"/>
                <w:szCs w:val="20"/>
                <w:color w:val="auto"/>
              </w:rPr>
            </w:pPr>
            <w:r>
              <w:rPr>
                <w:rFonts w:ascii="Arial" w:cs="Arial" w:eastAsia="Arial" w:hAnsi="Arial"/>
                <w:sz w:val="12"/>
                <w:szCs w:val="12"/>
                <w:color w:val="auto"/>
              </w:rPr>
              <w:t>2011</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w:t>
            </w:r>
          </w:p>
        </w:tc>
      </w:tr>
      <w:tr>
        <w:trPr>
          <w:trHeight w:val="168"/>
        </w:trPr>
        <w:tc>
          <w:tcPr>
            <w:tcW w:w="9480" w:type="dxa"/>
            <w:vAlign w:val="bottom"/>
          </w:tcPr>
          <w:p>
            <w:pPr>
              <w:spacing w:after="0" w:line="168" w:lineRule="exact"/>
              <w:rPr>
                <w:sz w:val="20"/>
                <w:szCs w:val="20"/>
                <w:color w:val="auto"/>
              </w:rPr>
            </w:pPr>
            <w:r>
              <w:rPr>
                <w:rFonts w:ascii="Arial" w:cs="Arial" w:eastAsia="Arial" w:hAnsi="Arial"/>
                <w:sz w:val="15"/>
                <w:szCs w:val="15"/>
                <w:color w:val="auto"/>
              </w:rPr>
              <w:t>Certificate</w:t>
            </w:r>
          </w:p>
        </w:tc>
        <w:tc>
          <w:tcPr>
            <w:tcW w:w="1060" w:type="dxa"/>
            <w:vAlign w:val="bottom"/>
          </w:tcPr>
          <w:p>
            <w:pPr>
              <w:jc w:val="right"/>
              <w:ind w:right="149"/>
              <w:spacing w:after="0" w:line="168" w:lineRule="exact"/>
              <w:rPr>
                <w:sz w:val="20"/>
                <w:szCs w:val="20"/>
                <w:color w:val="auto"/>
              </w:rPr>
            </w:pPr>
            <w:r>
              <w:rPr>
                <w:rFonts w:ascii="Arial" w:cs="Arial" w:eastAsia="Arial" w:hAnsi="Arial"/>
                <w:sz w:val="15"/>
                <w:szCs w:val="15"/>
                <w:color w:val="auto"/>
              </w:rPr>
              <w:t>23.6 %</w:t>
            </w:r>
          </w:p>
        </w:tc>
        <w:tc>
          <w:tcPr>
            <w:tcW w:w="400" w:type="dxa"/>
            <w:vAlign w:val="bottom"/>
          </w:tcPr>
          <w:p>
            <w:pPr>
              <w:jc w:val="right"/>
              <w:spacing w:after="0" w:line="168" w:lineRule="exact"/>
              <w:rPr>
                <w:sz w:val="20"/>
                <w:szCs w:val="20"/>
                <w:color w:val="auto"/>
              </w:rPr>
            </w:pPr>
            <w:r>
              <w:rPr>
                <w:rFonts w:ascii="Arial" w:cs="Arial" w:eastAsia="Arial" w:hAnsi="Arial"/>
                <w:sz w:val="15"/>
                <w:szCs w:val="15"/>
                <w:color w:val="auto"/>
              </w:rPr>
              <w:t>2</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Associate’s</w:t>
            </w:r>
          </w:p>
        </w:tc>
        <w:tc>
          <w:tcPr>
            <w:tcW w:w="1060" w:type="dxa"/>
            <w:vAlign w:val="bottom"/>
          </w:tcPr>
          <w:p>
            <w:pPr>
              <w:jc w:val="right"/>
              <w:ind w:right="149"/>
              <w:spacing w:after="0"/>
              <w:rPr>
                <w:sz w:val="20"/>
                <w:szCs w:val="20"/>
                <w:color w:val="auto"/>
              </w:rPr>
            </w:pPr>
            <w:r>
              <w:rPr>
                <w:rFonts w:ascii="Arial" w:cs="Arial" w:eastAsia="Arial" w:hAnsi="Arial"/>
                <w:sz w:val="15"/>
                <w:szCs w:val="15"/>
                <w:color w:val="auto"/>
              </w:rPr>
              <w:t>30.3 %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9480" w:type="dxa"/>
            <w:vAlign w:val="bottom"/>
          </w:tcPr>
          <w:p>
            <w:pPr>
              <w:spacing w:after="0"/>
              <w:rPr>
                <w:sz w:val="20"/>
                <w:szCs w:val="20"/>
                <w:color w:val="auto"/>
              </w:rPr>
            </w:pPr>
            <w:r>
              <w:rPr>
                <w:rFonts w:ascii="Arial" w:cs="Arial" w:eastAsia="Arial" w:hAnsi="Arial"/>
                <w:sz w:val="15"/>
                <w:szCs w:val="15"/>
                <w:color w:val="auto"/>
              </w:rPr>
              <w:t>Bachelor’s</w:t>
            </w:r>
          </w:p>
        </w:tc>
        <w:tc>
          <w:tcPr>
            <w:tcW w:w="1060" w:type="dxa"/>
            <w:vAlign w:val="bottom"/>
          </w:tcPr>
          <w:p>
            <w:pPr>
              <w:jc w:val="right"/>
              <w:ind w:right="149"/>
              <w:spacing w:after="0"/>
              <w:rPr>
                <w:sz w:val="20"/>
                <w:szCs w:val="20"/>
                <w:color w:val="auto"/>
              </w:rPr>
            </w:pPr>
            <w:r>
              <w:rPr>
                <w:rFonts w:ascii="Arial" w:cs="Arial" w:eastAsia="Arial" w:hAnsi="Arial"/>
                <w:sz w:val="15"/>
                <w:szCs w:val="15"/>
                <w:color w:val="auto"/>
              </w:rPr>
              <w:t>34.6 %</w:t>
            </w:r>
          </w:p>
        </w:tc>
        <w:tc>
          <w:tcPr>
            <w:tcW w:w="4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2"/>
        </w:trPr>
        <w:tc>
          <w:tcPr>
            <w:tcW w:w="9480" w:type="dxa"/>
            <w:vAlign w:val="bottom"/>
          </w:tcPr>
          <w:p>
            <w:pPr>
              <w:spacing w:after="0"/>
              <w:rPr>
                <w:sz w:val="20"/>
                <w:szCs w:val="20"/>
                <w:color w:val="auto"/>
              </w:rPr>
            </w:pPr>
            <w:r>
              <w:rPr>
                <w:rFonts w:ascii="Arial" w:cs="Arial" w:eastAsia="Arial" w:hAnsi="Arial"/>
                <w:sz w:val="15"/>
                <w:szCs w:val="15"/>
                <w:color w:val="auto"/>
              </w:rPr>
              <w:t>Master’s</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11.5 %</w:t>
            </w:r>
          </w:p>
        </w:tc>
        <w:tc>
          <w:tcPr>
            <w:tcW w:w="400" w:type="dxa"/>
            <w:vAlign w:val="bottom"/>
            <w:tcBorders>
              <w:bottom w:val="single" w:sz="8" w:color="auto"/>
            </w:tcBorders>
          </w:tcPr>
          <w:p>
            <w:pPr>
              <w:spacing w:after="0"/>
              <w:rPr>
                <w:sz w:val="14"/>
                <w:szCs w:val="14"/>
                <w:color w:val="auto"/>
              </w:rPr>
            </w:pPr>
          </w:p>
        </w:tc>
      </w:tr>
      <w:tr>
        <w:trPr>
          <w:trHeight w:val="166"/>
        </w:trPr>
        <w:tc>
          <w:tcPr>
            <w:tcW w:w="9480" w:type="dxa"/>
            <w:vAlign w:val="bottom"/>
          </w:tcPr>
          <w:p>
            <w:pPr>
              <w:spacing w:after="0"/>
              <w:rPr>
                <w:sz w:val="14"/>
                <w:szCs w:val="14"/>
                <w:color w:val="auto"/>
              </w:rPr>
            </w:pPr>
          </w:p>
        </w:tc>
        <w:tc>
          <w:tcPr>
            <w:tcW w:w="1060" w:type="dxa"/>
            <w:vAlign w:val="bottom"/>
            <w:tcBorders>
              <w:bottom w:val="single" w:sz="8" w:color="auto"/>
            </w:tcBorders>
          </w:tcPr>
          <w:p>
            <w:pPr>
              <w:jc w:val="right"/>
              <w:ind w:right="149"/>
              <w:spacing w:after="0" w:line="167" w:lineRule="exact"/>
              <w:rPr>
                <w:sz w:val="20"/>
                <w:szCs w:val="20"/>
                <w:color w:val="auto"/>
              </w:rPr>
            </w:pPr>
            <w:r>
              <w:rPr>
                <w:rFonts w:ascii="Arial" w:cs="Arial" w:eastAsia="Arial" w:hAnsi="Arial"/>
                <w:sz w:val="15"/>
                <w:szCs w:val="15"/>
                <w:color w:val="auto"/>
              </w:rPr>
              <w:t>100.0 %</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9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KTP includes Kaplan’s standardized test preparation and tutoring offerings and other businesses. In the first quarter of 2010, the Company discontinu certain offerings of the K12 business; $7.8 million in severance and other closure costs were recorded in the first half of 2010 in connection with this pl the fourth quarter of 2010, KTP began implementing a plan to reorganize its business consistent with the migration of students to Kaplan’s online and test preparation offerings, reducing the number of leased test preparation centers; $10.4 million in costs were incurred, mostly comprised of charges r to early lease termination and property, plant and equipment write-downs. In 2011, implementation of the plan was completed, and $12.5 million in add restructuring and severance costs were incurred.</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KTP revenue declined 4% in 2011. Higher enrollment, particularly in the health and bar review programs, was offset by reduced prices for many progr related to increased competition and a shift in demand to lower priced online test preparation offerings. KTP operating results improved in 2011 due to $5.7 million decline in restructuring costs and lower operating expenses, offset by revenue reductions.</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Kaplan International includes professional training and postsecondary education businesses outside the United States, as well as English-language programs. In May 2011, Kaplan Australia acquired Franklyn Scholar and Carrick Education Group, leading national providers of vocational training an higher education in Australia. In June 2011, Kaplan acquired Structuralia, a provider of e-learning for the engineering and infrastructure sector in Spai Kaplan International revenue increased 20% in 2011. Excluding revenue from acquired businesses, Kaplan International revenue increased 12% in 20 due to favorable exchange rates and enrollment growth in the pathways and English-language programs. Kaplan International operating income declin 2011 due to overall losses from newly acquired businesses, as well as up-front spending for admission and occupancy at its Asian and United Kingdo (U.K.) businesses to support expanding operations. In addition, Kaplan International operating income decreased due to enrollment declines at its U.K professional training schools arising from new pending student visa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Cable Television Division. </w:t>
      </w:r>
      <w:r>
        <w:rPr>
          <w:rFonts w:ascii="Arial" w:cs="Arial" w:eastAsia="Arial" w:hAnsi="Arial"/>
          <w:sz w:val="17"/>
          <w:szCs w:val="17"/>
          <w:color w:val="auto"/>
        </w:rPr>
        <w:t>Cable television division revenue for 2011 increased slightly to $760.2 million, from $759.9 million in 2010. The revenue r</w:t>
      </w:r>
      <w:r>
        <w:rPr>
          <w:rFonts w:ascii="Arial" w:cs="Arial" w:eastAsia="Arial" w:hAnsi="Arial"/>
          <w:sz w:val="17"/>
          <w:szCs w:val="17"/>
          <w:b w:val="1"/>
          <w:bCs w:val="1"/>
          <w:color w:val="auto"/>
        </w:rPr>
        <w:t xml:space="preserve"> </w:t>
      </w:r>
      <w:r>
        <w:rPr>
          <w:rFonts w:ascii="Arial" w:cs="Arial" w:eastAsia="Arial" w:hAnsi="Arial"/>
          <w:sz w:val="17"/>
          <w:szCs w:val="17"/>
          <w:color w:val="auto"/>
        </w:rPr>
        <w:t>reflect continued growth of the division’s Internet and telephone service revenues, offset by an increase in promotional discounts and a decline in basi video subscribers.</w:t>
      </w:r>
    </w:p>
    <w:p>
      <w:pPr>
        <w:spacing w:after="0" w:line="19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67" w:name="page68"/>
    <w:bookmarkEnd w:id="67"/>
    <w:p>
      <w:pPr>
        <w:jc w:val="both"/>
        <w:spacing w:after="0" w:line="233" w:lineRule="auto"/>
        <w:rPr>
          <w:sz w:val="20"/>
          <w:szCs w:val="20"/>
          <w:color w:val="auto"/>
        </w:rPr>
      </w:pPr>
      <w:r>
        <w:rPr>
          <w:rFonts w:ascii="Arial" w:cs="Arial" w:eastAsia="Arial" w:hAnsi="Arial"/>
          <w:sz w:val="17"/>
          <w:szCs w:val="17"/>
          <w:color w:val="auto"/>
        </w:rPr>
        <w:t>Cable television division operating income in 2011 decreased to $156.8 million, from $163.9 million in 2010. The cable television division’s operating in for 2011 declined primarily due to increased programming, technical and sales costs. Operating margin at the cable television division was 21% in 201 22% in 2010.</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At December 31, 2011, Primary Service Units (PSUs) were up 2% from the prior year due to growth in high-speed data and telephony subscribers, off a decrease in basic video subscribers. A summary of PSUs is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160" w:type="dxa"/>
            <w:vAlign w:val="bottom"/>
          </w:tcPr>
          <w:p>
            <w:pPr>
              <w:spacing w:after="0"/>
              <w:rPr>
                <w:sz w:val="12"/>
                <w:szCs w:val="12"/>
                <w:color w:val="auto"/>
              </w:rPr>
            </w:pPr>
          </w:p>
        </w:tc>
        <w:tc>
          <w:tcPr>
            <w:tcW w:w="17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2"/>
                <w:szCs w:val="12"/>
                <w:color w:val="auto"/>
              </w:rPr>
              <w:t>As of December 31,</w:t>
            </w:r>
          </w:p>
        </w:tc>
      </w:tr>
      <w:tr>
        <w:trPr>
          <w:trHeight w:val="129"/>
        </w:trPr>
        <w:tc>
          <w:tcPr>
            <w:tcW w:w="91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550"/>
              <w:spacing w:after="0" w:line="129" w:lineRule="exact"/>
              <w:rPr>
                <w:sz w:val="20"/>
                <w:szCs w:val="20"/>
                <w:color w:val="auto"/>
              </w:rPr>
            </w:pPr>
            <w:r>
              <w:rPr>
                <w:rFonts w:ascii="Arial" w:cs="Arial" w:eastAsia="Arial" w:hAnsi="Arial"/>
                <w:sz w:val="12"/>
                <w:szCs w:val="12"/>
                <w:color w:val="auto"/>
              </w:rPr>
              <w:t>2011</w:t>
            </w: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68"/>
        </w:trPr>
        <w:tc>
          <w:tcPr>
            <w:tcW w:w="9160" w:type="dxa"/>
            <w:vAlign w:val="bottom"/>
          </w:tcPr>
          <w:p>
            <w:pPr>
              <w:spacing w:after="0" w:line="168" w:lineRule="exact"/>
              <w:rPr>
                <w:sz w:val="20"/>
                <w:szCs w:val="20"/>
                <w:color w:val="auto"/>
              </w:rPr>
            </w:pPr>
            <w:r>
              <w:rPr>
                <w:rFonts w:ascii="Arial" w:cs="Arial" w:eastAsia="Arial" w:hAnsi="Arial"/>
                <w:sz w:val="15"/>
                <w:szCs w:val="15"/>
                <w:color w:val="auto"/>
              </w:rPr>
              <w:t>Basic video</w:t>
            </w:r>
          </w:p>
        </w:tc>
        <w:tc>
          <w:tcPr>
            <w:tcW w:w="1260" w:type="dxa"/>
            <w:vAlign w:val="bottom"/>
          </w:tcPr>
          <w:p>
            <w:pPr>
              <w:jc w:val="right"/>
              <w:ind w:right="210"/>
              <w:spacing w:after="0" w:line="168" w:lineRule="exact"/>
              <w:rPr>
                <w:sz w:val="20"/>
                <w:szCs w:val="20"/>
                <w:color w:val="auto"/>
              </w:rPr>
            </w:pPr>
            <w:r>
              <w:rPr>
                <w:rFonts w:ascii="Arial" w:cs="Arial" w:eastAsia="Arial" w:hAnsi="Arial"/>
                <w:sz w:val="15"/>
                <w:szCs w:val="15"/>
                <w:color w:val="auto"/>
              </w:rPr>
              <w:t>621,423</w:t>
            </w:r>
          </w:p>
        </w:tc>
        <w:tc>
          <w:tcPr>
            <w:tcW w:w="520" w:type="dxa"/>
            <w:vAlign w:val="bottom"/>
          </w:tcPr>
          <w:p>
            <w:pPr>
              <w:jc w:val="right"/>
              <w:spacing w:after="0" w:line="168" w:lineRule="exact"/>
              <w:rPr>
                <w:sz w:val="20"/>
                <w:szCs w:val="20"/>
                <w:color w:val="auto"/>
              </w:rPr>
            </w:pPr>
            <w:r>
              <w:rPr>
                <w:rFonts w:ascii="Arial" w:cs="Arial" w:eastAsia="Arial" w:hAnsi="Arial"/>
                <w:sz w:val="15"/>
                <w:szCs w:val="15"/>
                <w:color w:val="auto"/>
              </w:rPr>
              <w:t>6</w:t>
            </w:r>
          </w:p>
        </w:tc>
      </w:tr>
      <w:tr>
        <w:trPr>
          <w:trHeight w:val="174"/>
        </w:trPr>
        <w:tc>
          <w:tcPr>
            <w:tcW w:w="9160" w:type="dxa"/>
            <w:vAlign w:val="bottom"/>
          </w:tcPr>
          <w:p>
            <w:pPr>
              <w:spacing w:after="0"/>
              <w:rPr>
                <w:sz w:val="20"/>
                <w:szCs w:val="20"/>
                <w:color w:val="auto"/>
              </w:rPr>
            </w:pPr>
            <w:r>
              <w:rPr>
                <w:rFonts w:ascii="Arial" w:cs="Arial" w:eastAsia="Arial" w:hAnsi="Arial"/>
                <w:sz w:val="15"/>
                <w:szCs w:val="15"/>
                <w:color w:val="auto"/>
              </w:rPr>
              <w:t>High-speed data</w:t>
            </w:r>
          </w:p>
        </w:tc>
        <w:tc>
          <w:tcPr>
            <w:tcW w:w="1260" w:type="dxa"/>
            <w:vAlign w:val="bottom"/>
          </w:tcPr>
          <w:p>
            <w:pPr>
              <w:jc w:val="right"/>
              <w:ind w:right="210"/>
              <w:spacing w:after="0"/>
              <w:rPr>
                <w:sz w:val="20"/>
                <w:szCs w:val="20"/>
                <w:color w:val="auto"/>
              </w:rPr>
            </w:pPr>
            <w:r>
              <w:rPr>
                <w:rFonts w:ascii="Arial" w:cs="Arial" w:eastAsia="Arial" w:hAnsi="Arial"/>
                <w:sz w:val="15"/>
                <w:szCs w:val="15"/>
                <w:color w:val="auto"/>
              </w:rPr>
              <w:t>451,082</w:t>
            </w:r>
          </w:p>
        </w:tc>
        <w:tc>
          <w:tcPr>
            <w:tcW w:w="5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2"/>
        </w:trPr>
        <w:tc>
          <w:tcPr>
            <w:tcW w:w="9160" w:type="dxa"/>
            <w:vAlign w:val="bottom"/>
          </w:tcPr>
          <w:p>
            <w:pPr>
              <w:spacing w:after="0"/>
              <w:rPr>
                <w:sz w:val="20"/>
                <w:szCs w:val="20"/>
                <w:color w:val="auto"/>
              </w:rPr>
            </w:pPr>
            <w:r>
              <w:rPr>
                <w:rFonts w:ascii="Arial" w:cs="Arial" w:eastAsia="Arial" w:hAnsi="Arial"/>
                <w:sz w:val="15"/>
                <w:szCs w:val="15"/>
                <w:color w:val="auto"/>
              </w:rPr>
              <w:t>Telephony</w:t>
            </w: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5"/>
                <w:szCs w:val="15"/>
                <w:color w:val="auto"/>
              </w:rPr>
              <w:t>179,989</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16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1260" w:type="dxa"/>
            <w:vAlign w:val="bottom"/>
            <w:tcBorders>
              <w:bottom w:val="single" w:sz="8" w:color="auto"/>
            </w:tcBorders>
          </w:tcPr>
          <w:p>
            <w:pPr>
              <w:jc w:val="right"/>
              <w:ind w:right="210"/>
              <w:spacing w:after="0" w:line="167" w:lineRule="exact"/>
              <w:rPr>
                <w:sz w:val="20"/>
                <w:szCs w:val="20"/>
                <w:color w:val="auto"/>
              </w:rPr>
            </w:pPr>
            <w:r>
              <w:rPr>
                <w:rFonts w:ascii="Arial" w:cs="Arial" w:eastAsia="Arial" w:hAnsi="Arial"/>
                <w:sz w:val="15"/>
                <w:szCs w:val="15"/>
                <w:color w:val="auto"/>
              </w:rPr>
              <w:t>1,252,494</w:t>
            </w:r>
          </w:p>
        </w:tc>
        <w:tc>
          <w:tcPr>
            <w:tcW w:w="5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9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PSUs include about 6,300 subscribers who receive free basic cable service, primarily local governments, schools and other organizations as required various franchise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Below are details of the cable television division’s capital expenditures for 2011 and 2010 in the NCTA Standard Reporting Categories: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2"/>
                <w:szCs w:val="12"/>
                <w:color w:val="auto"/>
              </w:rPr>
              <w:t>2011</w:t>
            </w: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68"/>
        </w:trPr>
        <w:tc>
          <w:tcPr>
            <w:tcW w:w="9040" w:type="dxa"/>
            <w:vAlign w:val="bottom"/>
          </w:tcPr>
          <w:p>
            <w:pPr>
              <w:spacing w:after="0" w:line="168" w:lineRule="exact"/>
              <w:rPr>
                <w:sz w:val="20"/>
                <w:szCs w:val="20"/>
                <w:color w:val="auto"/>
              </w:rPr>
            </w:pPr>
            <w:r>
              <w:rPr>
                <w:rFonts w:ascii="Arial" w:cs="Arial" w:eastAsia="Arial" w:hAnsi="Arial"/>
                <w:sz w:val="15"/>
                <w:szCs w:val="15"/>
                <w:color w:val="auto"/>
              </w:rPr>
              <w:t>Customer premise equipment</w:t>
            </w:r>
          </w:p>
        </w:tc>
        <w:tc>
          <w:tcPr>
            <w:tcW w:w="280" w:type="dxa"/>
            <w:vAlign w:val="bottom"/>
          </w:tcPr>
          <w:p>
            <w:pPr>
              <w:jc w:val="right"/>
              <w:ind w:right="106"/>
              <w:spacing w:after="0" w:line="168" w:lineRule="exact"/>
              <w:rPr>
                <w:sz w:val="20"/>
                <w:szCs w:val="20"/>
                <w:color w:val="auto"/>
              </w:rPr>
            </w:pPr>
            <w:r>
              <w:rPr>
                <w:rFonts w:ascii="Arial" w:cs="Arial" w:eastAsia="Arial" w:hAnsi="Arial"/>
                <w:sz w:val="15"/>
                <w:szCs w:val="15"/>
                <w:color w:val="auto"/>
                <w:w w:val="95"/>
              </w:rPr>
              <w:t>$</w:t>
            </w:r>
          </w:p>
        </w:tc>
        <w:tc>
          <w:tcPr>
            <w:tcW w:w="900" w:type="dxa"/>
            <w:vAlign w:val="bottom"/>
          </w:tcPr>
          <w:p>
            <w:pPr>
              <w:jc w:val="right"/>
              <w:ind w:right="127"/>
              <w:spacing w:after="0" w:line="168" w:lineRule="exact"/>
              <w:rPr>
                <w:sz w:val="20"/>
                <w:szCs w:val="20"/>
                <w:color w:val="auto"/>
              </w:rPr>
            </w:pPr>
            <w:r>
              <w:rPr>
                <w:rFonts w:ascii="Arial" w:cs="Arial" w:eastAsia="Arial" w:hAnsi="Arial"/>
                <w:sz w:val="15"/>
                <w:szCs w:val="15"/>
                <w:color w:val="auto"/>
              </w:rPr>
              <w:t>53,139</w:t>
            </w:r>
          </w:p>
        </w:tc>
        <w:tc>
          <w:tcPr>
            <w:tcW w:w="440" w:type="dxa"/>
            <w:vAlign w:val="bottom"/>
          </w:tcPr>
          <w:p>
            <w:pPr>
              <w:jc w:val="right"/>
              <w:ind w:right="106"/>
              <w:spacing w:after="0" w:line="168"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Commercial</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3,487</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34,748</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Line extensions</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6,318</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4"/>
        </w:trPr>
        <w:tc>
          <w:tcPr>
            <w:tcW w:w="9040" w:type="dxa"/>
            <w:vAlign w:val="bottom"/>
          </w:tcPr>
          <w:p>
            <w:pPr>
              <w:spacing w:after="0"/>
              <w:rPr>
                <w:sz w:val="20"/>
                <w:szCs w:val="20"/>
                <w:color w:val="auto"/>
              </w:rPr>
            </w:pPr>
            <w:r>
              <w:rPr>
                <w:rFonts w:ascii="Arial" w:cs="Arial" w:eastAsia="Arial" w:hAnsi="Arial"/>
                <w:sz w:val="15"/>
                <w:szCs w:val="15"/>
                <w:color w:val="auto"/>
              </w:rPr>
              <w:t>Upgrade/rebuild</w:t>
            </w:r>
          </w:p>
        </w:tc>
        <w:tc>
          <w:tcPr>
            <w:tcW w:w="280" w:type="dxa"/>
            <w:vAlign w:val="bottom"/>
          </w:tcPr>
          <w:p>
            <w:pPr>
              <w:spacing w:after="0"/>
              <w:rPr>
                <w:sz w:val="15"/>
                <w:szCs w:val="15"/>
                <w:color w:val="auto"/>
              </w:rPr>
            </w:pPr>
          </w:p>
        </w:tc>
        <w:tc>
          <w:tcPr>
            <w:tcW w:w="900" w:type="dxa"/>
            <w:vAlign w:val="bottom"/>
          </w:tcPr>
          <w:p>
            <w:pPr>
              <w:jc w:val="right"/>
              <w:ind w:right="127"/>
              <w:spacing w:after="0"/>
              <w:rPr>
                <w:sz w:val="20"/>
                <w:szCs w:val="20"/>
                <w:color w:val="auto"/>
              </w:rPr>
            </w:pPr>
            <w:r>
              <w:rPr>
                <w:rFonts w:ascii="Arial" w:cs="Arial" w:eastAsia="Arial" w:hAnsi="Arial"/>
                <w:sz w:val="15"/>
                <w:szCs w:val="15"/>
                <w:color w:val="auto"/>
              </w:rPr>
              <w:t>12,951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2"/>
        </w:trPr>
        <w:tc>
          <w:tcPr>
            <w:tcW w:w="9040" w:type="dxa"/>
            <w:vAlign w:val="bottom"/>
          </w:tcPr>
          <w:p>
            <w:pPr>
              <w:spacing w:after="0"/>
              <w:rPr>
                <w:sz w:val="20"/>
                <w:szCs w:val="20"/>
                <w:color w:val="auto"/>
              </w:rPr>
            </w:pPr>
            <w:r>
              <w:rPr>
                <w:rFonts w:ascii="Arial" w:cs="Arial" w:eastAsia="Arial" w:hAnsi="Arial"/>
                <w:sz w:val="15"/>
                <w:szCs w:val="15"/>
                <w:color w:val="auto"/>
              </w:rPr>
              <w:t>Support capital</w:t>
            </w: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32,582</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r>
      <w:tr>
        <w:trPr>
          <w:trHeight w:val="166"/>
        </w:trPr>
        <w:tc>
          <w:tcPr>
            <w:tcW w:w="90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143,225</w:t>
            </w:r>
          </w:p>
        </w:tc>
        <w:tc>
          <w:tcPr>
            <w:tcW w:w="4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color w:val="auto"/>
        </w:rPr>
        <w:t xml:space="preserve">Newspaper Publishing Division. </w:t>
      </w:r>
      <w:r>
        <w:rPr>
          <w:rFonts w:ascii="Arial" w:cs="Arial" w:eastAsia="Arial" w:hAnsi="Arial"/>
          <w:sz w:val="17"/>
          <w:szCs w:val="17"/>
          <w:color w:val="auto"/>
        </w:rPr>
        <w:t>Newspaper publishing division revenue in 2011 declined 8% to $ 622.5 million, from $675.9 million in 2010. Print</w:t>
      </w:r>
      <w:r>
        <w:rPr>
          <w:rFonts w:ascii="Arial" w:cs="Arial" w:eastAsia="Arial" w:hAnsi="Arial"/>
          <w:sz w:val="17"/>
          <w:szCs w:val="17"/>
          <w:b w:val="1"/>
          <w:bCs w:val="1"/>
          <w:color w:val="auto"/>
        </w:rPr>
        <w:t xml:space="preserve"> </w:t>
      </w:r>
      <w:r>
        <w:rPr>
          <w:rFonts w:ascii="Arial" w:cs="Arial" w:eastAsia="Arial" w:hAnsi="Arial"/>
          <w:sz w:val="17"/>
          <w:szCs w:val="17"/>
          <w:color w:val="auto"/>
        </w:rPr>
        <w:t>advertising revenue at the Post in 2011 declined 11% to $264.5 million, from $297.9 million in 2010. The decline is largely due to reductions in classifi zoned and general advertising. Revenue generated by the Company's newspaper online publishing activities, primarily washingtonpost.com and Slate decreased 8% to $105.8 million, from $114.8 million in 2010. Display online advertising revenue declined 11% in 2011, and online classified advertisin revenue decreased 2% in 2011.</w:t>
      </w:r>
    </w:p>
    <w:p>
      <w:pPr>
        <w:spacing w:after="0" w:line="17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Daily circulation at the Post declined 6.3%, and Sunday circulation declined 4.0% in 2011. For 2011, average daily circulation at the Post totaled 516,2 and average Sunday circulation totaled 732,300.</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newspaper publishing division reported an operating loss of $ 21.2 million in 2011, compared to an operating loss of $11.1 million in 2010. As prev disclosed, The Herald recorded a $2.4 million charge in the fourth quarter of 2011 in connection with its withdrawal from the CWA-ITU Negotiated Pen Plan (CWA-ITU Plan); in 2010, the Post recorded a $ 20.4 million charge in connection with its withdrawal from the CWA-ITU Plan. Excluding these ch and a $3.1 million loss recorded on an office lease in the first quarter of 2010, operating results declined in 2011 due to the revenue reductions discus above, offset by a small decrease in overall costs. Newsprint expense was down 7% in 2011 due to a decline in newsprint consumption.</w:t>
      </w:r>
    </w:p>
    <w:p>
      <w:pPr>
        <w:spacing w:after="0" w:line="15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b w:val="1"/>
          <w:bCs w:val="1"/>
          <w:color w:val="auto"/>
        </w:rPr>
        <w:t xml:space="preserve">Television Broadcasting Division. </w:t>
      </w:r>
      <w:r>
        <w:rPr>
          <w:rFonts w:ascii="Arial" w:cs="Arial" w:eastAsia="Arial" w:hAnsi="Arial"/>
          <w:sz w:val="17"/>
          <w:szCs w:val="17"/>
          <w:color w:val="auto"/>
        </w:rPr>
        <w:t>Revenue for the television broadcasting division declined 7% to $ 319.2 million in 2011, from $342.2 million in 20</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broadcasting division operating income for 2011 declined 4% to $117.1 million, from $121.3 million in 2010.</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decline in revenue is due primarily to the absence of $4.7 million in incremental winter Olympics-related advertising in the first quarter of 2010 and $32.8 million decrease in political advertising revenue for 2011. For 2011, operating results declined as a result of revenue reductions discussed abov offset by expense reductions from various cost control initiatives. Operating margin at the television broadcasting division was 37% in 2011 and 35% i 2010.</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68" w:name="page69"/>
    <w:bookmarkEnd w:id="68"/>
    <w:p>
      <w:pPr>
        <w:ind w:right="80"/>
        <w:spacing w:after="0" w:line="235" w:lineRule="auto"/>
        <w:rPr>
          <w:sz w:val="20"/>
          <w:szCs w:val="20"/>
          <w:color w:val="auto"/>
        </w:rPr>
      </w:pPr>
      <w:r>
        <w:rPr>
          <w:rFonts w:ascii="Arial" w:cs="Arial" w:eastAsia="Arial" w:hAnsi="Arial"/>
          <w:sz w:val="17"/>
          <w:szCs w:val="17"/>
          <w:color w:val="auto"/>
        </w:rPr>
        <w:t>KSAT in San Antonio ranked number one in the November 2011 ratings period, Monday through Friday, sign-on to sign-off; WPLG in Miami, WJXT in Jacksonville and WKMG in Orlando ranked second; and WDIV in Detroit and KPRC in Houston ranked third.</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Other businesses includes the operating results of Social Code, a marketing solutions provider helping companies with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social media platforms, and WaPo Labs, a digital team focused on emerging technologies and new product development.</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 xml:space="preserve">Corporate Office. </w:t>
      </w:r>
      <w:r>
        <w:rPr>
          <w:rFonts w:ascii="Arial" w:cs="Arial" w:eastAsia="Arial" w:hAnsi="Arial"/>
          <w:sz w:val="17"/>
          <w:szCs w:val="17"/>
          <w:color w:val="auto"/>
        </w:rPr>
        <w:t>Corporate office includes the expenses of the Company’s corporate office as well as the pension credit previously reported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magazine publishing division (refer to Discontinued Operations discussion below). In the fourth quarter of 2010, certain Kaplan operations moved to th former Newsweek headquarters facility. In connection with this move, $11.5 million in lease termination and other charges were recorded by the corpo office in the fourth quarter of 2010.</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Equity in Losses of Affiliates. </w:t>
      </w:r>
      <w:r>
        <w:rPr>
          <w:rFonts w:ascii="Arial" w:cs="Arial" w:eastAsia="Arial" w:hAnsi="Arial"/>
          <w:sz w:val="17"/>
          <w:szCs w:val="17"/>
          <w:color w:val="auto"/>
        </w:rPr>
        <w:t>In 2011, the Company held a 49% interest in Bowater Mersey Paper Company, a 16.5% interest in Classified Venture</w:t>
      </w:r>
      <w:r>
        <w:rPr>
          <w:rFonts w:ascii="Arial" w:cs="Arial" w:eastAsia="Arial" w:hAnsi="Arial"/>
          <w:sz w:val="17"/>
          <w:szCs w:val="17"/>
          <w:b w:val="1"/>
          <w:bCs w:val="1"/>
          <w:color w:val="auto"/>
        </w:rPr>
        <w:t xml:space="preserve"> </w:t>
      </w:r>
      <w:r>
        <w:rPr>
          <w:rFonts w:ascii="Arial" w:cs="Arial" w:eastAsia="Arial" w:hAnsi="Arial"/>
          <w:sz w:val="17"/>
          <w:szCs w:val="17"/>
          <w:color w:val="auto"/>
        </w:rPr>
        <w:t>LLC and interests in several other affiliates. The Company’s equity in earnings of affiliates for 2011 was $5.9 million, compared with losses of $4.1 mill 2010. The results for 2011 reflect improved earnings at the Company’s Classified Ventures affiliate and other affiliates, offset by a $9.2 million impairm charge recorded in 2011 on the Company’s interest in Bowater Mersey Paper Company.</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 xml:space="preserve">Other Non-Operating (Expense) Income. </w:t>
      </w:r>
      <w:r>
        <w:rPr>
          <w:rFonts w:ascii="Arial" w:cs="Arial" w:eastAsia="Arial" w:hAnsi="Arial"/>
          <w:sz w:val="17"/>
          <w:szCs w:val="17"/>
          <w:color w:val="auto"/>
        </w:rPr>
        <w:t>The Company recorded other non-operating expense, net, of $55.2 million in 2011, compared to other no</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income, net, of $7.5 million in 2010.</w:t>
      </w:r>
    </w:p>
    <w:p>
      <w:pPr>
        <w:spacing w:after="0" w:line="163" w:lineRule="exact"/>
        <w:rPr>
          <w:sz w:val="20"/>
          <w:szCs w:val="20"/>
          <w:color w:val="auto"/>
        </w:rPr>
      </w:pPr>
    </w:p>
    <w:p>
      <w:pPr>
        <w:jc w:val="both"/>
        <w:ind w:right="180"/>
        <w:spacing w:after="0" w:line="260" w:lineRule="auto"/>
        <w:rPr>
          <w:sz w:val="20"/>
          <w:szCs w:val="20"/>
          <w:color w:val="auto"/>
        </w:rPr>
      </w:pPr>
      <w:r>
        <w:rPr>
          <w:rFonts w:ascii="Arial" w:cs="Arial" w:eastAsia="Arial" w:hAnsi="Arial"/>
          <w:sz w:val="16"/>
          <w:szCs w:val="16"/>
          <w:color w:val="auto"/>
        </w:rPr>
        <w:t>The 2011 non-operating expense, net, included a $ 53.8 million write-down of a marketable equity security (Corinthian Colleges, Inc.), $3.3 million in unrealized foreign currency losses and other items. The 2010 non-operating income, net, included $6.7 million in unrealized foreign currency gains.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(expense) income for the years ended December 31, 2011, and January 2, 2011,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color w:val="auto"/>
              </w:rPr>
              <w:t>2011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68"/>
        </w:trPr>
        <w:tc>
          <w:tcPr>
            <w:tcW w:w="9140" w:type="dxa"/>
            <w:vAlign w:val="bottom"/>
          </w:tcPr>
          <w:p>
            <w:pPr>
              <w:spacing w:after="0" w:line="168" w:lineRule="exact"/>
              <w:rPr>
                <w:sz w:val="20"/>
                <w:szCs w:val="20"/>
                <w:color w:val="auto"/>
              </w:rPr>
            </w:pPr>
            <w:r>
              <w:rPr>
                <w:rFonts w:ascii="Arial" w:cs="Arial" w:eastAsia="Arial" w:hAnsi="Arial"/>
                <w:sz w:val="15"/>
                <w:szCs w:val="15"/>
                <w:color w:val="auto"/>
              </w:rPr>
              <w:t>Impairment write-down on a marketable equity security</w:t>
            </w:r>
          </w:p>
        </w:tc>
        <w:tc>
          <w:tcPr>
            <w:tcW w:w="240" w:type="dxa"/>
            <w:vAlign w:val="bottom"/>
          </w:tcPr>
          <w:p>
            <w:pPr>
              <w:jc w:val="right"/>
              <w:ind w:right="66"/>
              <w:spacing w:after="0" w:line="168" w:lineRule="exact"/>
              <w:rPr>
                <w:sz w:val="20"/>
                <w:szCs w:val="20"/>
                <w:color w:val="auto"/>
              </w:rPr>
            </w:pPr>
            <w:r>
              <w:rPr>
                <w:rFonts w:ascii="Arial" w:cs="Arial" w:eastAsia="Arial" w:hAnsi="Arial"/>
                <w:sz w:val="15"/>
                <w:szCs w:val="15"/>
                <w:color w:val="auto"/>
                <w:w w:val="95"/>
              </w:rPr>
              <w:t>$</w:t>
            </w:r>
          </w:p>
        </w:tc>
        <w:tc>
          <w:tcPr>
            <w:tcW w:w="900" w:type="dxa"/>
            <w:vAlign w:val="bottom"/>
          </w:tcPr>
          <w:p>
            <w:pPr>
              <w:jc w:val="right"/>
              <w:ind w:right="68"/>
              <w:spacing w:after="0" w:line="168" w:lineRule="exact"/>
              <w:rPr>
                <w:sz w:val="20"/>
                <w:szCs w:val="20"/>
                <w:color w:val="auto"/>
              </w:rPr>
            </w:pPr>
            <w:r>
              <w:rPr>
                <w:rFonts w:ascii="Arial" w:cs="Arial" w:eastAsia="Arial" w:hAnsi="Arial"/>
                <w:sz w:val="15"/>
                <w:szCs w:val="15"/>
                <w:color w:val="auto"/>
              </w:rPr>
              <w:t>(53,793)</w:t>
            </w:r>
          </w:p>
        </w:tc>
        <w:tc>
          <w:tcPr>
            <w:tcW w:w="660" w:type="dxa"/>
            <w:vAlign w:val="bottom"/>
          </w:tcPr>
          <w:p>
            <w:pPr>
              <w:jc w:val="right"/>
              <w:ind w:right="390"/>
              <w:spacing w:after="0" w:line="168" w:lineRule="exact"/>
              <w:rPr>
                <w:sz w:val="20"/>
                <w:szCs w:val="20"/>
                <w:color w:val="auto"/>
              </w:rPr>
            </w:pPr>
            <w:r>
              <w:rPr>
                <w:rFonts w:ascii="Arial" w:cs="Arial" w:eastAsia="Arial" w:hAnsi="Arial"/>
                <w:sz w:val="15"/>
                <w:szCs w:val="15"/>
                <w:color w:val="auto"/>
              </w:rPr>
              <w:t>$</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Gains (losses) on sales or write-downs of cost method investments</w:t>
            </w:r>
          </w:p>
        </w:tc>
        <w:tc>
          <w:tcPr>
            <w:tcW w:w="24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419</w:t>
            </w:r>
          </w:p>
        </w:tc>
        <w:tc>
          <w:tcPr>
            <w:tcW w:w="66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Foreign currency (losses) gains, net</w:t>
            </w:r>
          </w:p>
        </w:tc>
        <w:tc>
          <w:tcPr>
            <w:tcW w:w="24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5"/>
                <w:szCs w:val="15"/>
                <w:color w:val="auto"/>
              </w:rPr>
              <w:t>(3,263)</w:t>
            </w:r>
          </w:p>
        </w:tc>
        <w:tc>
          <w:tcPr>
            <w:tcW w:w="660" w:type="dxa"/>
            <w:vAlign w:val="bottom"/>
          </w:tcPr>
          <w:p>
            <w:pPr>
              <w:spacing w:after="0"/>
              <w:rPr>
                <w:sz w:val="15"/>
                <w:szCs w:val="15"/>
                <w:color w:val="auto"/>
              </w:rPr>
            </w:pPr>
          </w:p>
        </w:tc>
      </w:tr>
      <w:tr>
        <w:trPr>
          <w:trHeight w:val="172"/>
        </w:trPr>
        <w:tc>
          <w:tcPr>
            <w:tcW w:w="9140" w:type="dxa"/>
            <w:vAlign w:val="bottom"/>
          </w:tcPr>
          <w:p>
            <w:pPr>
              <w:spacing w:after="0"/>
              <w:rPr>
                <w:sz w:val="20"/>
                <w:szCs w:val="20"/>
                <w:color w:val="auto"/>
              </w:rPr>
            </w:pPr>
            <w:r>
              <w:rPr>
                <w:rFonts w:ascii="Arial" w:cs="Arial" w:eastAsia="Arial" w:hAnsi="Arial"/>
                <w:sz w:val="15"/>
                <w:szCs w:val="15"/>
                <w:color w:val="auto"/>
              </w:rPr>
              <w:t>Other, net</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1,437</w:t>
            </w:r>
          </w:p>
        </w:tc>
        <w:tc>
          <w:tcPr>
            <w:tcW w:w="660" w:type="dxa"/>
            <w:vAlign w:val="bottom"/>
            <w:tcBorders>
              <w:bottom w:val="single" w:sz="8" w:color="auto"/>
            </w:tcBorders>
          </w:tcPr>
          <w:p>
            <w:pPr>
              <w:spacing w:after="0"/>
              <w:rPr>
                <w:sz w:val="14"/>
                <w:szCs w:val="14"/>
                <w:color w:val="auto"/>
              </w:rPr>
            </w:pPr>
          </w:p>
        </w:tc>
      </w:tr>
      <w:tr>
        <w:trPr>
          <w:trHeight w:val="166"/>
        </w:trPr>
        <w:tc>
          <w:tcPr>
            <w:tcW w:w="9140" w:type="dxa"/>
            <w:vAlign w:val="bottom"/>
          </w:tcPr>
          <w:p>
            <w:pPr>
              <w:ind w:left="220"/>
              <w:spacing w:after="0" w:line="167" w:lineRule="exact"/>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color w:val="auto"/>
              </w:rPr>
              <w:t>(55,200)</w:t>
            </w:r>
          </w:p>
        </w:tc>
        <w:tc>
          <w:tcPr>
            <w:tcW w:w="660" w:type="dxa"/>
            <w:vAlign w:val="bottom"/>
            <w:tcBorders>
              <w:bottom w:val="single" w:sz="8" w:color="auto"/>
            </w:tcBorders>
          </w:tcPr>
          <w:p>
            <w:pPr>
              <w:jc w:val="right"/>
              <w:ind w:right="390"/>
              <w:spacing w:after="0" w:line="167" w:lineRule="exact"/>
              <w:rPr>
                <w:sz w:val="20"/>
                <w:szCs w:val="20"/>
                <w:color w:val="auto"/>
              </w:rPr>
            </w:pPr>
            <w:r>
              <w:rPr>
                <w:rFonts w:ascii="Arial" w:cs="Arial" w:eastAsia="Arial" w:hAnsi="Arial"/>
                <w:sz w:val="15"/>
                <w:szCs w:val="15"/>
                <w:color w:val="auto"/>
              </w:rPr>
              <w:t>$</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spacing w:after="0" w:line="242" w:lineRule="auto"/>
        <w:rPr>
          <w:sz w:val="20"/>
          <w:szCs w:val="20"/>
          <w:color w:val="auto"/>
        </w:rPr>
      </w:pPr>
      <w:r>
        <w:rPr>
          <w:rFonts w:ascii="Arial" w:cs="Arial" w:eastAsia="Arial" w:hAnsi="Arial"/>
          <w:sz w:val="17"/>
          <w:szCs w:val="17"/>
          <w:b w:val="1"/>
          <w:bCs w:val="1"/>
          <w:color w:val="auto"/>
        </w:rPr>
        <w:t xml:space="preserve">Net Interest Expense. </w:t>
      </w:r>
      <w:r>
        <w:rPr>
          <w:rFonts w:ascii="Arial" w:cs="Arial" w:eastAsia="Arial" w:hAnsi="Arial"/>
          <w:sz w:val="17"/>
          <w:szCs w:val="17"/>
          <w:color w:val="auto"/>
        </w:rPr>
        <w:t>The Company incurred net interest expense of $29.1 million in 2011, compared to $27.9 million in 2010. At December 31, 201</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had $565.2 million in borrowings outstanding at an average interest rate of 5.7%; at January 2, 2011, the Company had $399.7 million in borrowings outstanding at an average interest rate of 7.2%.</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effective tax rate for income from continuing operations in 2011 was 41.2%. This effective tax rate was adversely impacted by $1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in valuation allowances provided against deferred income tax benefits where realization is doubtful. The effective tax rate benefited from lower at jurisdictions outside the United States.</w:t>
      </w:r>
    </w:p>
    <w:p>
      <w:pPr>
        <w:spacing w:after="0" w:line="173"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effective tax rate for income from continuing operations in 2010 was 38.5%. This effective rate in 2010 was adversely impacted by $16.8 million in valuation allowances provided against deferred income tax benefits where realization is doubtful, offset by permanent U.S. Federal tax benefit items a benefits from lower rates at jurisdictions outside the United States.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The Company divested its interest in Avenue100 Media Solutions in July 2012. Kaplan sold Kidum in August 2012, EduNe</w:t>
      </w:r>
      <w:r>
        <w:rPr>
          <w:rFonts w:ascii="Arial" w:cs="Arial" w:eastAsia="Arial" w:hAnsi="Arial"/>
          <w:sz w:val="17"/>
          <w:szCs w:val="17"/>
          <w:b w:val="1"/>
          <w:bCs w:val="1"/>
          <w:color w:val="auto"/>
        </w:rPr>
        <w:t xml:space="preserve"> </w:t>
      </w:r>
      <w:r>
        <w:rPr>
          <w:rFonts w:ascii="Arial" w:cs="Arial" w:eastAsia="Arial" w:hAnsi="Arial"/>
          <w:sz w:val="17"/>
          <w:szCs w:val="17"/>
          <w:color w:val="auto"/>
        </w:rPr>
        <w:t>in April 2012, KLT in February 2012, KCS in October 2011, KVE in July 2011 and Education Connection in April 2010. In addition, on September 30, 2 the Company completed the sale of Newsweek. Consequently, the Company’s income from continuing operations excludes these businesses, which h been reclassified to discontinued operations, net of tax.</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FINANCIAL CONDITION: CAPITAL RESOURCES AND LIQUIDITY</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Acquisitions and Dispositions. </w:t>
      </w:r>
      <w:r>
        <w:rPr>
          <w:rFonts w:ascii="Arial" w:cs="Arial" w:eastAsia="Arial" w:hAnsi="Arial"/>
          <w:sz w:val="17"/>
          <w:szCs w:val="17"/>
          <w:color w:val="auto"/>
        </w:rPr>
        <w:t>The Company completed business acquisitions totaling approximately $55.6 million, $136.5 million and $14.1 millio</w:t>
      </w:r>
      <w:r>
        <w:rPr>
          <w:rFonts w:ascii="Arial" w:cs="Arial" w:eastAsia="Arial" w:hAnsi="Arial"/>
          <w:sz w:val="17"/>
          <w:szCs w:val="17"/>
          <w:b w:val="1"/>
          <w:bCs w:val="1"/>
          <w:color w:val="auto"/>
        </w:rPr>
        <w:t xml:space="preserve"> </w:t>
      </w:r>
      <w:r>
        <w:rPr>
          <w:rFonts w:ascii="Arial" w:cs="Arial" w:eastAsia="Arial" w:hAnsi="Arial"/>
          <w:sz w:val="17"/>
          <w:szCs w:val="17"/>
          <w:color w:val="auto"/>
        </w:rPr>
        <w:t>2012, 2011 and 2010, respectively. The assets and liabilities of the companies acquired have been recorded at their estimated fair values at the date o acquisition.</w:t>
      </w:r>
    </w:p>
    <w:p>
      <w:pPr>
        <w:spacing w:after="0" w:line="17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During 2012, the Company completed five business acquisitions totaling approximately $55.6 million. In November 2012, the Company completed its acquisition of a controlling interest in Celtic Healthcare, Inc. (Celtic), a provider of home health care and hospice services in the northeastern and mid-Atlantic regions. The operating results of Celtic are included in other businesses. The fair value of the noncontrolling interest in Celtic was $5.9 million acquisition date, determined using a market approach. The minority shareholder has an option to put their shares to the Company from 2018 to 2022, the Company has an option to buy the shares of the minority shareholder in 2022. The Company also acquired three small businesses in its education division and one small business in other businesses. The purchase price allocations mostly comprised goodwill and other intangible assets on a prelim basis.</w:t>
      </w:r>
    </w:p>
    <w:p>
      <w:pPr>
        <w:spacing w:after="0" w:line="17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 divested its interest in Avenue100 Media Solutions in July 2012, which was previously reported in other businesses. Kaplan completed sales of Kidum in August 2012, EduNeering in April 2012 and Kaplan Learning Technologies in February 2012, which were part of the Kaplan Venture division. Consequently, the Company’s income from continuing operations excludes results from these businesses, which have been reclassified to discontinued operations, as discussed in Note 3 to the Company’s Consolidated Financial Statements.</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February 2013, the Company announced that it had signed an agreement to sell The Herald, a daily and Sunday newspaper headquartered in Ever WA; the transaction is expected to close in March 2013.</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During 2011, the Company completed five business acquisitions totaling approximately $ 136.5 million, including assumed debt of $5.5 million and oth assumed liabilities. Kaplan acquired three businesses in its Kaplan International division, one business in its KHE division and one business in its Kap Ventures division. These included the May 2011 acquisitions of Franklyn Scholar and Carrick Education Group, leading national providers of vocationa training and higher education in Australia, and the June 2011 acquisition of Structuralia, a provider of e-learning for the engineering and infrastructure in Spain. During 2010, the Company acquired six businesses for $14.1 million. Kaplan acquired two small businesses in its KTP division, one small bu in its Ventures division and one small business in its International division. The Company made two small acquisitions in its cable television and other businesses divisions. The purchase price allocations for these acquisitions mostly comprised goodwill, other intangible assets and property, plant and equipment.</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Kaplan completed the sales of KVE in July 2011 and KCS in October 2011, which were part of Kaplan Ventures and KHE, respectively. In April 2010, completed the sale of Education Connection, which was part of Kaplan Ventures, and in September 2010, the Company completed the sale of Newsw Consequently, the Company’s income from continuing operations excludes results from these businesses, which have been reclassified to discontinue operations, as discussed in Note 3 to the Company’s Consolidated Financial Statements.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Capital expenditures. </w:t>
      </w:r>
      <w:r>
        <w:rPr>
          <w:rFonts w:ascii="Arial" w:cs="Arial" w:eastAsia="Arial" w:hAnsi="Arial"/>
          <w:sz w:val="17"/>
          <w:szCs w:val="17"/>
          <w:color w:val="auto"/>
        </w:rPr>
        <w:t>During 2012, the Company’s capital expenditures totaled $218.0 million. The Company’s capital expenditures for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in continuing operations for 2012, 2011 and 2010 are disclosed in Note 18 to the Consolidated Financial Statements. The Company estimate its capital expenditures will be in the range of $235 million to $260 million in 2013.</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Investments in Marketable Equity Securities. </w:t>
      </w:r>
      <w:r>
        <w:rPr>
          <w:rFonts w:ascii="Arial" w:cs="Arial" w:eastAsia="Arial" w:hAnsi="Arial"/>
          <w:sz w:val="17"/>
          <w:szCs w:val="17"/>
          <w:color w:val="auto"/>
        </w:rPr>
        <w:t>At December 31, 2012, the fair value of the Company’s investments in marketable equity securities w</w:t>
      </w:r>
      <w:r>
        <w:rPr>
          <w:rFonts w:ascii="Arial" w:cs="Arial" w:eastAsia="Arial" w:hAnsi="Arial"/>
          <w:sz w:val="17"/>
          <w:szCs w:val="17"/>
          <w:b w:val="1"/>
          <w:bCs w:val="1"/>
          <w:color w:val="auto"/>
        </w:rPr>
        <w:t xml:space="preserve"> </w:t>
      </w:r>
      <w:r>
        <w:rPr>
          <w:rFonts w:ascii="Arial" w:cs="Arial" w:eastAsia="Arial" w:hAnsi="Arial"/>
          <w:sz w:val="17"/>
          <w:szCs w:val="17"/>
          <w:color w:val="auto"/>
        </w:rPr>
        <w:t>$380.1 million, which includes $334.9 million in Berkshire Hathaway Inc. Class A and B common stock and $45.2 million in the common stock of two p traded education companies.</w:t>
      </w:r>
    </w:p>
    <w:p>
      <w:pPr>
        <w:spacing w:after="0" w:line="173"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At December 31, 2012 and 2011, the unrealized gain related to the Company’s Berkshire stock investment totaled $177.6 million and $129.1 million, respectively.</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At the end of 2012, the Company’s investment in Strayer Education, Inc. had been in an unrealized loss position for almost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 Company</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concluded that the unrealized loss was other-than-temporary and recorded an $18.0 million write-down of the investment.</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At the end of the first quarter of 2011, the Company’s investment in Corinthian Colleges, Inc. had been in an unrealized loss position for over six mont The Company evaluated this investment for other-than-temporary impairment based on various factors, including the duration and severity of the unre loss; the reason for the decline in value; and the potential recovery period; and the Company’s ability and intent to hold the investment. Based on this evaluation, the Company concluded the unrealized loss was other-than-temporary and recorded a $30.7 million write-down on the investment. The investment continued to decline, and in the third quarter of 2011, the Company recorded an additional $23.1 million write-down on the investment.</w:t>
      </w:r>
    </w:p>
    <w:p>
      <w:pPr>
        <w:spacing w:after="0" w:line="150" w:lineRule="exact"/>
        <w:rPr>
          <w:sz w:val="20"/>
          <w:szCs w:val="20"/>
          <w:color w:val="auto"/>
        </w:rPr>
      </w:pPr>
    </w:p>
    <w:p>
      <w:pPr>
        <w:jc w:val="both"/>
        <w:spacing w:after="0" w:line="233" w:lineRule="auto"/>
        <w:rPr>
          <w:sz w:val="20"/>
          <w:szCs w:val="20"/>
          <w:color w:val="auto"/>
        </w:rPr>
      </w:pPr>
      <w:r>
        <w:rPr>
          <w:rFonts w:ascii="Arial" w:cs="Arial" w:eastAsia="Arial" w:hAnsi="Arial"/>
          <w:sz w:val="17"/>
          <w:szCs w:val="17"/>
          <w:b w:val="1"/>
          <w:bCs w:val="1"/>
          <w:color w:val="auto"/>
        </w:rPr>
        <w:t xml:space="preserve">Common Stock Repurchases and Dividend Rate. </w:t>
      </w:r>
      <w:r>
        <w:rPr>
          <w:rFonts w:ascii="Arial" w:cs="Arial" w:eastAsia="Arial" w:hAnsi="Arial"/>
          <w:sz w:val="17"/>
          <w:szCs w:val="17"/>
          <w:color w:val="auto"/>
        </w:rPr>
        <w:t>During 2012, 2011 and 2010, the Company purchased a total of 301,231, 644,948 and 1,057,94</w:t>
      </w:r>
      <w:r>
        <w:rPr>
          <w:rFonts w:ascii="Arial" w:cs="Arial" w:eastAsia="Arial" w:hAnsi="Arial"/>
          <w:sz w:val="17"/>
          <w:szCs w:val="17"/>
          <w:b w:val="1"/>
          <w:bCs w:val="1"/>
          <w:color w:val="auto"/>
        </w:rPr>
        <w:t xml:space="preserve"> </w:t>
      </w:r>
      <w:r>
        <w:rPr>
          <w:rFonts w:ascii="Arial" w:cs="Arial" w:eastAsia="Arial" w:hAnsi="Arial"/>
          <w:sz w:val="17"/>
          <w:szCs w:val="17"/>
          <w:color w:val="auto"/>
        </w:rPr>
        <w:t>shares, respectively, of its Class B common stock at a cost of approximately $103.2 million, $248.1 million and $ 404.8 million, respectively. In Septem 2011, the Company’s Board of Directors authorized the Company to acquire up to 750,000 shares of its Class B common stock. The Company did not announce a ceiling price or a time limit for the purchases. The authorization included 43,573 shares that remained under the previous authorization. A December 31, 2012, the Company had remaining authorization from the Board of Directors to purchase up to 192,243 shares of Class B common stoc December 2012, the Company declared and paid an accelerated cash dividend totaling $9.80 per share of outstanding common stock, in lieu of regul quarterly dividends that the Company otherwise would have declared and paid in calendar year 2013. The annual dividend rate for 2011 was $9.40 pe share.</w:t>
      </w:r>
    </w:p>
    <w:p>
      <w:pPr>
        <w:spacing w:after="0" w:line="157"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b w:val="1"/>
          <w:bCs w:val="1"/>
          <w:color w:val="auto"/>
        </w:rPr>
        <w:t xml:space="preserve">Liquidity. </w:t>
      </w:r>
      <w:r>
        <w:rPr>
          <w:rFonts w:ascii="Arial" w:cs="Arial" w:eastAsia="Arial" w:hAnsi="Arial"/>
          <w:sz w:val="17"/>
          <w:szCs w:val="17"/>
          <w:color w:val="auto"/>
        </w:rPr>
        <w:t>During 2012, the Company’s borrowings, net of repayments, increased by $131.5 million and the Company’s cash and cash equivalents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$131.3 million.</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December 31, 2012, the Company has $512.4 million in cash and cash equivalents, compared to $381.1 million at December 31, 2011. As of Dece 31, 2012, and December 31, 2011, the Company had money market investments of $432.7 million and $180.1 million, respectively, that are classified cash, cash equivalents and restricted cash in the Company’s Consolidated Financial Statements. At December 31, 2012, the Company has approxima $15.0 million in cash and cash equivalents in countries outside the U.S., which is not immediately available for use in operations or for distribution.</w:t>
      </w:r>
    </w:p>
    <w:p>
      <w:pPr>
        <w:spacing w:after="0" w:line="170"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At December 31, 2012 and 2011, the Company had borrowings outstanding of $696.7 million and $565.2 million, respectively. The Company’s borrow December 31, 2012, are mostly from $400.0 million of 7.25% unsecured notes due February 1, 2019, $240.1 million in USD revolving credit borrowing AUD 50 million revolving credit borrowings; the interest on $400.0 million of 7.25% unsecured notes is payable semiannually on February 1 and Augu The Company did not have any outstanding commercial paper borrowing as of December 31, 2012. The Company fully repaid the $240 million USD revolving credit borrowing on January 11, 2013. The Company’s borrowings at December 31, 2011, are mostly from $400.0 million of 7.25% unsecure notes due February 1, 2019, $109.7 million in commercial paper borrowings and AUD 50 million revolving credit borrowings. There were no USD revol credit borrowings outstanding at December 31, 2011.</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On June 17, 2011, the Company terminated its U.S. $500 million five-year revolving credit agreement, dated August 8, 2006, among the Company, th lenders party thereto and Citibank, N.A. (the 2006 Credit Agreement), in connection with the entrance into a new revolving credit facility. No borrowing outstanding under the 2006 Credit Agreement at the time of termination. On June 17, 2011, the Company entered into a credit agreement (the Credit Agreement) providing for a new U.S. $450 million, AUD 50 million four-year revolving credit facility (the Facility) with each of the lenders party thereto, JPMorgan Chase Bank, N.A. as Administrative Agent (JP Morgan), and J.P. Morgan Australia Limited as Australian Sub-Agent. The Credit Agreement provides for an option to increase the total U.S. dollar commitments up to an aggregate amount of U.S. $700 million. The Facility will expire on June 1 2015, unless the Company and the banks agree to extend the term.</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On September 7, 2011, the Company borrowed AUD 50 million under its revolving credit facility. On the same date, the Company entered into interest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 of 4.5275%. These interest rate swap agreements were entered into to convert the variable rate Australian dollar borrowing under the revolving credit into a fixed rate borrowing. Based on the terms of the interest rate swap agreements and the underlying borrowing, these interest rate swap agreemen were determined to be effective, and thus qualify as a cash</w:t>
      </w:r>
    </w:p>
    <w:p>
      <w:pPr>
        <w:spacing w:after="0" w:line="20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71" w:name="page72"/>
    <w:bookmarkEnd w:id="71"/>
    <w:p>
      <w:pPr>
        <w:ind w:left="9" w:right="260"/>
        <w:spacing w:after="0" w:line="235" w:lineRule="auto"/>
        <w:rPr>
          <w:sz w:val="20"/>
          <w:szCs w:val="20"/>
          <w:color w:val="auto"/>
        </w:rPr>
      </w:pPr>
      <w:r>
        <w:rPr>
          <w:rFonts w:ascii="Arial" w:cs="Arial" w:eastAsia="Arial" w:hAnsi="Arial"/>
          <w:sz w:val="17"/>
          <w:szCs w:val="17"/>
          <w:color w:val="auto"/>
        </w:rPr>
        <w:t>flow hedge. As such, any changes in the fair value of these interest rate swaps are recorded in other comprehensive income on the accompanying condensed consolidated balance sheets until earnings are affected by the variability of cash flows.</w:t>
      </w:r>
    </w:p>
    <w:p>
      <w:pPr>
        <w:spacing w:after="0" w:line="176"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In November 2011, Standard &amp; Poor’s lowered the Company’s long-term corporate debt rating from “A-” to “BBB+” and changed the outlook from Neg to Stable. Standard &amp; Poor’s kept the short-term rating unchanged at “A-2.” In November 2011, Moody’s downgraded the Company’s senior unsecure rating from “A2” to “A3” and the commercial paper rating from “Prime-1” to “Prime-2.” The outlook was changed from Rating Under Review to Negative May 2012, Standard &amp; Poor’s affirmed the Company’s credit ratings, but revised the outlook from Stable to Negative. In August 2012, Standard &amp; Poo placed the Company’s long and short-term credit ratings on Credit Watch with negative implications. In September 2012, Standard &amp; Poor’s lowered t Company’s long-term and short-term corporate debt rating from “BBB+” to “BBB” and from “A2” to “A3,” respectively. S&amp;P removed the Company from Credit Watch, but left the outlook at Negative. In July 2012, Moody’s changed the outlook of the Company’s long-term debt rating from Negative to Rat Under Review. In August 2012, Moody’s downgraded the Company’s senior unsecured rating from “A3” to “Baa1” and changed the outlook to Negativ Company’s current credit ratings are as follows:</w:t>
      </w:r>
    </w:p>
    <w:p>
      <w:pPr>
        <w:spacing w:after="0" w:line="197"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780" w:type="dxa"/>
            <w:vAlign w:val="bottom"/>
          </w:tcPr>
          <w:p>
            <w:pPr>
              <w:ind w:left="420"/>
              <w:spacing w:after="0"/>
              <w:rPr>
                <w:sz w:val="20"/>
                <w:szCs w:val="20"/>
                <w:color w:val="auto"/>
              </w:rPr>
            </w:pPr>
            <w:r>
              <w:rPr>
                <w:rFonts w:ascii="Arial" w:cs="Arial" w:eastAsia="Arial" w:hAnsi="Arial"/>
                <w:sz w:val="12"/>
                <w:szCs w:val="12"/>
                <w:b w:val="1"/>
                <w:bCs w:val="1"/>
                <w:color w:val="auto"/>
              </w:rPr>
              <w:t>Stand</w:t>
            </w:r>
          </w:p>
        </w:tc>
      </w:tr>
      <w:tr>
        <w:trPr>
          <w:trHeight w:val="151"/>
        </w:trPr>
        <w:tc>
          <w:tcPr>
            <w:tcW w:w="4920" w:type="dxa"/>
            <w:vAlign w:val="bottom"/>
            <w:tcBorders>
              <w:bottom w:val="single" w:sz="8" w:color="auto"/>
            </w:tcBorders>
          </w:tcPr>
          <w:p>
            <w:pPr>
              <w:spacing w:after="0"/>
              <w:rPr>
                <w:sz w:val="13"/>
                <w:szCs w:val="13"/>
                <w:color w:val="auto"/>
              </w:rPr>
            </w:pPr>
          </w:p>
        </w:tc>
        <w:tc>
          <w:tcPr>
            <w:tcW w:w="524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Moody’s</w:t>
            </w: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2"/>
                <w:szCs w:val="12"/>
                <w:b w:val="1"/>
                <w:bCs w:val="1"/>
                <w:color w:val="auto"/>
                <w:w w:val="92"/>
              </w:rPr>
              <w:t>&amp; Poo</w:t>
            </w:r>
          </w:p>
        </w:tc>
      </w:tr>
      <w:tr>
        <w:trPr>
          <w:trHeight w:val="168"/>
        </w:trPr>
        <w:tc>
          <w:tcPr>
            <w:tcW w:w="4920" w:type="dxa"/>
            <w:vAlign w:val="bottom"/>
          </w:tcPr>
          <w:p>
            <w:pPr>
              <w:spacing w:after="0" w:line="168" w:lineRule="exact"/>
              <w:rPr>
                <w:sz w:val="20"/>
                <w:szCs w:val="20"/>
                <w:color w:val="auto"/>
              </w:rPr>
            </w:pPr>
            <w:r>
              <w:rPr>
                <w:rFonts w:ascii="Arial" w:cs="Arial" w:eastAsia="Arial" w:hAnsi="Arial"/>
                <w:sz w:val="15"/>
                <w:szCs w:val="15"/>
                <w:color w:val="auto"/>
              </w:rPr>
              <w:t>Long-term</w:t>
            </w:r>
          </w:p>
        </w:tc>
        <w:tc>
          <w:tcPr>
            <w:tcW w:w="5240" w:type="dxa"/>
            <w:vAlign w:val="bottom"/>
          </w:tcPr>
          <w:p>
            <w:pPr>
              <w:jc w:val="right"/>
              <w:ind w:right="350"/>
              <w:spacing w:after="0" w:line="168" w:lineRule="exact"/>
              <w:rPr>
                <w:sz w:val="20"/>
                <w:szCs w:val="20"/>
                <w:color w:val="auto"/>
              </w:rPr>
            </w:pPr>
            <w:r>
              <w:rPr>
                <w:rFonts w:ascii="Arial" w:cs="Arial" w:eastAsia="Arial" w:hAnsi="Arial"/>
                <w:sz w:val="15"/>
                <w:szCs w:val="15"/>
                <w:color w:val="auto"/>
              </w:rPr>
              <w:t>Baa1</w:t>
            </w:r>
          </w:p>
        </w:tc>
        <w:tc>
          <w:tcPr>
            <w:tcW w:w="780" w:type="dxa"/>
            <w:vAlign w:val="bottom"/>
          </w:tcPr>
          <w:p>
            <w:pPr>
              <w:spacing w:after="0"/>
              <w:rPr>
                <w:sz w:val="14"/>
                <w:szCs w:val="14"/>
                <w:color w:val="auto"/>
              </w:rPr>
            </w:pPr>
          </w:p>
        </w:tc>
      </w:tr>
      <w:tr>
        <w:trPr>
          <w:trHeight w:val="179"/>
        </w:trPr>
        <w:tc>
          <w:tcPr>
            <w:tcW w:w="4920" w:type="dxa"/>
            <w:vAlign w:val="bottom"/>
          </w:tcPr>
          <w:p>
            <w:pPr>
              <w:spacing w:after="0"/>
              <w:rPr>
                <w:sz w:val="20"/>
                <w:szCs w:val="20"/>
                <w:color w:val="auto"/>
              </w:rPr>
            </w:pPr>
            <w:r>
              <w:rPr>
                <w:rFonts w:ascii="Arial" w:cs="Arial" w:eastAsia="Arial" w:hAnsi="Arial"/>
                <w:sz w:val="15"/>
                <w:szCs w:val="15"/>
                <w:color w:val="auto"/>
              </w:rPr>
              <w:t>Short-term</w:t>
            </w:r>
          </w:p>
        </w:tc>
        <w:tc>
          <w:tcPr>
            <w:tcW w:w="5240" w:type="dxa"/>
            <w:vAlign w:val="bottom"/>
          </w:tcPr>
          <w:p>
            <w:pPr>
              <w:jc w:val="right"/>
              <w:ind w:right="350"/>
              <w:spacing w:after="0"/>
              <w:rPr>
                <w:sz w:val="20"/>
                <w:szCs w:val="20"/>
                <w:color w:val="auto"/>
              </w:rPr>
            </w:pPr>
            <w:r>
              <w:rPr>
                <w:rFonts w:ascii="Arial" w:cs="Arial" w:eastAsia="Arial" w:hAnsi="Arial"/>
                <w:sz w:val="15"/>
                <w:szCs w:val="15"/>
                <w:color w:val="auto"/>
              </w:rPr>
              <w:t>Prime-2</w:t>
            </w:r>
          </w:p>
        </w:tc>
        <w:tc>
          <w:tcPr>
            <w:tcW w:w="780" w:type="dxa"/>
            <w:vAlign w:val="bottom"/>
          </w:tcPr>
          <w:p>
            <w:pPr>
              <w:spacing w:after="0"/>
              <w:rPr>
                <w:sz w:val="15"/>
                <w:szCs w:val="15"/>
                <w:color w:val="auto"/>
              </w:rPr>
            </w:pPr>
          </w:p>
        </w:tc>
      </w:tr>
    </w:tbl>
    <w:p>
      <w:pPr>
        <w:spacing w:after="0" w:line="179"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During 2012 and 2011, the Company had average borrowings outstanding of approximately $483.3 million and $ 426.7 million, respectively, at average annual interest rates of approximately 6.7% and 7.0%, respectively. The Company incurred net interest expense of $32.6 million and $29.1 million, respectively, during 2012 and 2011.</w:t>
      </w:r>
    </w:p>
    <w:p>
      <w:pPr>
        <w:spacing w:after="0" w:line="175"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At December 31, 2012 and December 31, 2011, the Company had working capital of $327.5 million and $250.1 million, respectively. The Company maintains working capital levels consistent with its underlying business requirements and consistently generates cash from operations in excess of req interest or principal payments.</w:t>
      </w:r>
    </w:p>
    <w:p>
      <w:pPr>
        <w:spacing w:after="0" w:line="175"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The Company’s net cash provided by operating activities, as reported in the Company’s Consolidated Statements of Cash Flows, was $477.2 million i 2012, compared to $393.3 million in 2011.</w:t>
      </w:r>
    </w:p>
    <w:p>
      <w:pPr>
        <w:spacing w:after="0" w:line="176" w:lineRule="exact"/>
        <w:rPr>
          <w:sz w:val="20"/>
          <w:szCs w:val="20"/>
          <w:color w:val="auto"/>
        </w:rPr>
      </w:pPr>
    </w:p>
    <w:p>
      <w:pPr>
        <w:ind w:left="9" w:right="40"/>
        <w:spacing w:after="0" w:line="260" w:lineRule="auto"/>
        <w:rPr>
          <w:sz w:val="20"/>
          <w:szCs w:val="20"/>
          <w:color w:val="auto"/>
        </w:rPr>
      </w:pPr>
      <w:r>
        <w:rPr>
          <w:rFonts w:ascii="Arial" w:cs="Arial" w:eastAsia="Arial" w:hAnsi="Arial"/>
          <w:sz w:val="16"/>
          <w:szCs w:val="16"/>
          <w:color w:val="auto"/>
        </w:rPr>
        <w:t>The Company expects to fund its estimated capital needs primarily through existing cash balances and internally generated funds and, to a lesser ext borrowings under its revolving credit facility. In management’s opinion, the Company will have ample liquidity to meet its various cash needs in 2013.</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following reflects a summary of the Company’s contractual obligations as of December 31, 2012:</w:t>
      </w:r>
    </w:p>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2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2013</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07"/>
              <w:spacing w:after="0"/>
              <w:rPr>
                <w:sz w:val="20"/>
                <w:szCs w:val="20"/>
                <w:color w:val="auto"/>
              </w:rPr>
            </w:pPr>
            <w:r>
              <w:rPr>
                <w:rFonts w:ascii="Arial" w:cs="Arial" w:eastAsia="Arial" w:hAnsi="Arial"/>
                <w:sz w:val="12"/>
                <w:szCs w:val="12"/>
                <w:b w:val="1"/>
                <w:bCs w:val="1"/>
                <w:color w:val="auto"/>
              </w:rPr>
              <w:t>2014</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2015</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2016</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2017</w:t>
            </w:r>
          </w:p>
        </w:tc>
        <w:tc>
          <w:tcPr>
            <w:tcW w:w="1240" w:type="dxa"/>
            <w:vAlign w:val="bottom"/>
            <w:tcBorders>
              <w:bottom w:val="single" w:sz="8" w:color="auto"/>
            </w:tcBorders>
            <w:gridSpan w:val="2"/>
          </w:tcPr>
          <w:p>
            <w:pPr>
              <w:jc w:val="right"/>
              <w:ind w:right="286"/>
              <w:spacing w:after="0"/>
              <w:rPr>
                <w:sz w:val="20"/>
                <w:szCs w:val="20"/>
                <w:color w:val="auto"/>
              </w:rPr>
            </w:pPr>
            <w:r>
              <w:rPr>
                <w:rFonts w:ascii="Arial" w:cs="Arial" w:eastAsia="Arial" w:hAnsi="Arial"/>
                <w:sz w:val="12"/>
                <w:szCs w:val="12"/>
                <w:b w:val="1"/>
                <w:bCs w:val="1"/>
                <w:color w:val="auto"/>
              </w:rPr>
              <w:t>Thereafter</w:t>
            </w: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w:t>
            </w:r>
          </w:p>
        </w:tc>
      </w:tr>
      <w:tr>
        <w:trPr>
          <w:trHeight w:val="168"/>
        </w:trPr>
        <w:tc>
          <w:tcPr>
            <w:tcW w:w="2760" w:type="dxa"/>
            <w:vAlign w:val="bottom"/>
          </w:tcPr>
          <w:p>
            <w:pPr>
              <w:spacing w:after="0" w:line="168" w:lineRule="exact"/>
              <w:rPr>
                <w:sz w:val="20"/>
                <w:szCs w:val="20"/>
                <w:color w:val="auto"/>
              </w:rPr>
            </w:pPr>
            <w:r>
              <w:rPr>
                <w:rFonts w:ascii="Arial" w:cs="Arial" w:eastAsia="Arial" w:hAnsi="Arial"/>
                <w:sz w:val="15"/>
                <w:szCs w:val="15"/>
                <w:color w:val="auto"/>
              </w:rPr>
              <w:t>Debt and interest</w:t>
            </w:r>
          </w:p>
        </w:tc>
        <w:tc>
          <w:tcPr>
            <w:tcW w:w="220" w:type="dxa"/>
            <w:vAlign w:val="bottom"/>
          </w:tcPr>
          <w:p>
            <w:pPr>
              <w:jc w:val="right"/>
              <w:ind w:right="66"/>
              <w:spacing w:after="0" w:line="168"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47"/>
              <w:spacing w:after="0" w:line="168" w:lineRule="exact"/>
              <w:rPr>
                <w:sz w:val="20"/>
                <w:szCs w:val="20"/>
                <w:color w:val="auto"/>
              </w:rPr>
            </w:pPr>
            <w:r>
              <w:rPr>
                <w:rFonts w:ascii="Arial" w:cs="Arial" w:eastAsia="Arial" w:hAnsi="Arial"/>
                <w:sz w:val="15"/>
                <w:szCs w:val="15"/>
                <w:color w:val="auto"/>
              </w:rPr>
              <w:t>275,077</w:t>
            </w:r>
          </w:p>
        </w:tc>
        <w:tc>
          <w:tcPr>
            <w:tcW w:w="3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47"/>
              <w:spacing w:after="0" w:line="168" w:lineRule="exact"/>
              <w:rPr>
                <w:sz w:val="20"/>
                <w:szCs w:val="20"/>
                <w:color w:val="auto"/>
              </w:rPr>
            </w:pPr>
            <w:r>
              <w:rPr>
                <w:rFonts w:ascii="Arial" w:cs="Arial" w:eastAsia="Arial" w:hAnsi="Arial"/>
                <w:sz w:val="15"/>
                <w:szCs w:val="15"/>
                <w:color w:val="auto"/>
              </w:rPr>
              <w:t>31,750</w:t>
            </w:r>
          </w:p>
        </w:tc>
        <w:tc>
          <w:tcPr>
            <w:tcW w:w="3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127"/>
              <w:spacing w:after="0" w:line="168" w:lineRule="exact"/>
              <w:rPr>
                <w:sz w:val="20"/>
                <w:szCs w:val="20"/>
                <w:color w:val="auto"/>
              </w:rPr>
            </w:pPr>
            <w:r>
              <w:rPr>
                <w:rFonts w:ascii="Arial" w:cs="Arial" w:eastAsia="Arial" w:hAnsi="Arial"/>
                <w:sz w:val="15"/>
                <w:szCs w:val="15"/>
                <w:color w:val="auto"/>
              </w:rPr>
              <w:t>81,750</w:t>
            </w:r>
          </w:p>
        </w:tc>
        <w:tc>
          <w:tcPr>
            <w:tcW w:w="3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127"/>
              <w:spacing w:after="0" w:line="168" w:lineRule="exact"/>
              <w:rPr>
                <w:sz w:val="20"/>
                <w:szCs w:val="20"/>
                <w:color w:val="auto"/>
              </w:rPr>
            </w:pPr>
            <w:r>
              <w:rPr>
                <w:rFonts w:ascii="Arial" w:cs="Arial" w:eastAsia="Arial" w:hAnsi="Arial"/>
                <w:sz w:val="15"/>
                <w:szCs w:val="15"/>
                <w:color w:val="auto"/>
              </w:rPr>
              <w:t>29,000</w:t>
            </w:r>
          </w:p>
        </w:tc>
        <w:tc>
          <w:tcPr>
            <w:tcW w:w="3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127"/>
              <w:spacing w:after="0" w:line="168" w:lineRule="exact"/>
              <w:rPr>
                <w:sz w:val="20"/>
                <w:szCs w:val="20"/>
                <w:color w:val="auto"/>
              </w:rPr>
            </w:pPr>
            <w:r>
              <w:rPr>
                <w:rFonts w:ascii="Arial" w:cs="Arial" w:eastAsia="Arial" w:hAnsi="Arial"/>
                <w:sz w:val="15"/>
                <w:szCs w:val="15"/>
                <w:color w:val="auto"/>
              </w:rPr>
              <w:t>29,000</w:t>
            </w:r>
          </w:p>
        </w:tc>
        <w:tc>
          <w:tcPr>
            <w:tcW w:w="400" w:type="dxa"/>
            <w:vAlign w:val="bottom"/>
          </w:tcPr>
          <w:p>
            <w:pPr>
              <w:jc w:val="right"/>
              <w:ind w:right="30"/>
              <w:spacing w:after="0" w:line="168" w:lineRule="exact"/>
              <w:rPr>
                <w:sz w:val="20"/>
                <w:szCs w:val="20"/>
                <w:color w:val="auto"/>
              </w:rPr>
            </w:pPr>
            <w:r>
              <w:rPr>
                <w:rFonts w:ascii="Arial" w:cs="Arial" w:eastAsia="Arial" w:hAnsi="Arial"/>
                <w:sz w:val="15"/>
                <w:szCs w:val="15"/>
                <w:color w:val="auto"/>
              </w:rPr>
              <w:t>$</w:t>
            </w:r>
          </w:p>
        </w:tc>
        <w:tc>
          <w:tcPr>
            <w:tcW w:w="84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443,500</w:t>
            </w:r>
          </w:p>
        </w:tc>
        <w:tc>
          <w:tcPr>
            <w:tcW w:w="400" w:type="dxa"/>
            <w:vAlign w:val="bottom"/>
          </w:tcPr>
          <w:p>
            <w:pPr>
              <w:jc w:val="right"/>
              <w:ind w:right="26"/>
              <w:spacing w:after="0" w:line="168"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68" w:lineRule="exact"/>
              <w:rPr>
                <w:sz w:val="20"/>
                <w:szCs w:val="20"/>
                <w:color w:val="auto"/>
              </w:rPr>
            </w:pPr>
            <w:r>
              <w:rPr>
                <w:rFonts w:ascii="Arial" w:cs="Arial" w:eastAsia="Arial" w:hAnsi="Arial"/>
                <w:sz w:val="15"/>
                <w:szCs w:val="15"/>
                <w:color w:val="auto"/>
              </w:rPr>
              <w:t>8</w:t>
            </w:r>
          </w:p>
        </w:tc>
      </w:tr>
      <w:tr>
        <w:trPr>
          <w:trHeight w:val="174"/>
        </w:trPr>
        <w:tc>
          <w:tcPr>
            <w:tcW w:w="2760" w:type="dxa"/>
            <w:vAlign w:val="bottom"/>
          </w:tcPr>
          <w:p>
            <w:pPr>
              <w:spacing w:after="0"/>
              <w:rPr>
                <w:sz w:val="20"/>
                <w:szCs w:val="20"/>
                <w:color w:val="auto"/>
              </w:rPr>
            </w:pPr>
            <w:r>
              <w:rPr>
                <w:rFonts w:ascii="Arial" w:cs="Arial" w:eastAsia="Arial" w:hAnsi="Arial"/>
                <w:sz w:val="15"/>
                <w:szCs w:val="15"/>
                <w:color w:val="auto"/>
              </w:rPr>
              <w:t>Programming purchase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2760" w:type="dxa"/>
            <w:vAlign w:val="bottom"/>
          </w:tcPr>
          <w:p>
            <w:pPr>
              <w:ind w:left="220"/>
              <w:spacing w:after="0"/>
              <w:rPr>
                <w:sz w:val="20"/>
                <w:szCs w:val="20"/>
                <w:color w:val="auto"/>
              </w:rPr>
            </w:pPr>
            <w:r>
              <w:rPr>
                <w:rFonts w:ascii="Arial" w:cs="Arial" w:eastAsia="Arial" w:hAnsi="Arial"/>
                <w:sz w:val="15"/>
                <w:szCs w:val="15"/>
                <w:color w:val="auto"/>
              </w:rPr>
              <w:t xml:space="preserve">commitments </w:t>
            </w:r>
            <w:r>
              <w:rPr>
                <w:rFonts w:ascii="Arial" w:cs="Arial" w:eastAsia="Arial" w:hAnsi="Arial"/>
                <w:sz w:val="11"/>
                <w:szCs w:val="11"/>
                <w:color w:val="auto"/>
              </w:rPr>
              <w:t>(1)</w:t>
            </w:r>
          </w:p>
        </w:tc>
        <w:tc>
          <w:tcPr>
            <w:tcW w:w="220" w:type="dxa"/>
            <w:vAlign w:val="bottom"/>
          </w:tcPr>
          <w:p>
            <w:pPr>
              <w:spacing w:after="0"/>
              <w:rPr>
                <w:sz w:val="15"/>
                <w:szCs w:val="15"/>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194,902</w:t>
            </w:r>
          </w:p>
        </w:tc>
        <w:tc>
          <w:tcPr>
            <w:tcW w:w="360" w:type="dxa"/>
            <w:vAlign w:val="bottom"/>
          </w:tcPr>
          <w:p>
            <w:pPr>
              <w:spacing w:after="0"/>
              <w:rPr>
                <w:sz w:val="15"/>
                <w:szCs w:val="15"/>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124,451</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31,131</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15,227</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571</w:t>
            </w:r>
          </w:p>
        </w:tc>
        <w:tc>
          <w:tcPr>
            <w:tcW w:w="400" w:type="dxa"/>
            <w:vAlign w:val="bottom"/>
          </w:tcPr>
          <w:p>
            <w:pPr>
              <w:spacing w:after="0"/>
              <w:rPr>
                <w:sz w:val="15"/>
                <w:szCs w:val="15"/>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2760" w:type="dxa"/>
            <w:vAlign w:val="bottom"/>
          </w:tcPr>
          <w:p>
            <w:pPr>
              <w:spacing w:after="0"/>
              <w:rPr>
                <w:sz w:val="20"/>
                <w:szCs w:val="20"/>
                <w:color w:val="auto"/>
              </w:rPr>
            </w:pPr>
            <w:r>
              <w:rPr>
                <w:rFonts w:ascii="Arial" w:cs="Arial" w:eastAsia="Arial" w:hAnsi="Arial"/>
                <w:sz w:val="15"/>
                <w:szCs w:val="15"/>
                <w:color w:val="auto"/>
              </w:rPr>
              <w:t>Operating leases</w:t>
            </w:r>
          </w:p>
        </w:tc>
        <w:tc>
          <w:tcPr>
            <w:tcW w:w="220" w:type="dxa"/>
            <w:vAlign w:val="bottom"/>
          </w:tcPr>
          <w:p>
            <w:pPr>
              <w:spacing w:after="0"/>
              <w:rPr>
                <w:sz w:val="15"/>
                <w:szCs w:val="15"/>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131,737</w:t>
            </w:r>
          </w:p>
        </w:tc>
        <w:tc>
          <w:tcPr>
            <w:tcW w:w="360" w:type="dxa"/>
            <w:vAlign w:val="bottom"/>
          </w:tcPr>
          <w:p>
            <w:pPr>
              <w:spacing w:after="0"/>
              <w:rPr>
                <w:sz w:val="15"/>
                <w:szCs w:val="15"/>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118,524</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98,013</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88,852</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76,573</w:t>
            </w:r>
          </w:p>
        </w:tc>
        <w:tc>
          <w:tcPr>
            <w:tcW w:w="400" w:type="dxa"/>
            <w:vAlign w:val="bottom"/>
          </w:tcPr>
          <w:p>
            <w:pPr>
              <w:spacing w:after="0"/>
              <w:rPr>
                <w:sz w:val="15"/>
                <w:szCs w:val="15"/>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260,129</w:t>
            </w: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174"/>
        </w:trPr>
        <w:tc>
          <w:tcPr>
            <w:tcW w:w="2760" w:type="dxa"/>
            <w:vAlign w:val="bottom"/>
          </w:tcPr>
          <w:p>
            <w:pPr>
              <w:spacing w:after="0"/>
              <w:rPr>
                <w:sz w:val="20"/>
                <w:szCs w:val="20"/>
                <w:color w:val="auto"/>
              </w:rPr>
            </w:pPr>
            <w:r>
              <w:rPr>
                <w:rFonts w:ascii="Arial" w:cs="Arial" w:eastAsia="Arial" w:hAnsi="Arial"/>
                <w:sz w:val="15"/>
                <w:szCs w:val="15"/>
                <w:color w:val="auto"/>
              </w:rPr>
              <w:t xml:space="preserve">Other purchase obligations </w:t>
            </w:r>
            <w:r>
              <w:rPr>
                <w:rFonts w:ascii="Arial" w:cs="Arial" w:eastAsia="Arial" w:hAnsi="Arial"/>
                <w:sz w:val="11"/>
                <w:szCs w:val="11"/>
                <w:color w:val="auto"/>
              </w:rPr>
              <w:t>(2)</w:t>
            </w:r>
          </w:p>
        </w:tc>
        <w:tc>
          <w:tcPr>
            <w:tcW w:w="220" w:type="dxa"/>
            <w:vAlign w:val="bottom"/>
          </w:tcPr>
          <w:p>
            <w:pPr>
              <w:spacing w:after="0"/>
              <w:rPr>
                <w:sz w:val="15"/>
                <w:szCs w:val="15"/>
                <w:color w:val="auto"/>
              </w:rPr>
            </w:pPr>
          </w:p>
        </w:tc>
        <w:tc>
          <w:tcPr>
            <w:tcW w:w="1000" w:type="dxa"/>
            <w:vAlign w:val="bottom"/>
          </w:tcPr>
          <w:p>
            <w:pPr>
              <w:jc w:val="right"/>
              <w:ind w:right="147"/>
              <w:spacing w:after="0"/>
              <w:rPr>
                <w:sz w:val="20"/>
                <w:szCs w:val="20"/>
                <w:color w:val="auto"/>
              </w:rPr>
            </w:pPr>
            <w:r>
              <w:rPr>
                <w:rFonts w:ascii="Arial" w:cs="Arial" w:eastAsia="Arial" w:hAnsi="Arial"/>
                <w:sz w:val="15"/>
                <w:szCs w:val="15"/>
                <w:color w:val="auto"/>
              </w:rPr>
              <w:t>179,016</w:t>
            </w:r>
          </w:p>
        </w:tc>
        <w:tc>
          <w:tcPr>
            <w:tcW w:w="360" w:type="dxa"/>
            <w:vAlign w:val="bottom"/>
          </w:tcPr>
          <w:p>
            <w:pPr>
              <w:spacing w:after="0"/>
              <w:rPr>
                <w:sz w:val="15"/>
                <w:szCs w:val="15"/>
                <w:color w:val="auto"/>
              </w:rPr>
            </w:pPr>
          </w:p>
        </w:tc>
        <w:tc>
          <w:tcPr>
            <w:tcW w:w="920" w:type="dxa"/>
            <w:vAlign w:val="bottom"/>
          </w:tcPr>
          <w:p>
            <w:pPr>
              <w:jc w:val="right"/>
              <w:ind w:right="147"/>
              <w:spacing w:after="0"/>
              <w:rPr>
                <w:sz w:val="20"/>
                <w:szCs w:val="20"/>
                <w:color w:val="auto"/>
              </w:rPr>
            </w:pPr>
            <w:r>
              <w:rPr>
                <w:rFonts w:ascii="Arial" w:cs="Arial" w:eastAsia="Arial" w:hAnsi="Arial"/>
                <w:sz w:val="15"/>
                <w:szCs w:val="15"/>
                <w:color w:val="auto"/>
              </w:rPr>
              <w:t>66,130</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28,845</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16,926</w:t>
            </w:r>
          </w:p>
        </w:tc>
        <w:tc>
          <w:tcPr>
            <w:tcW w:w="360" w:type="dxa"/>
            <w:vAlign w:val="bottom"/>
          </w:tcPr>
          <w:p>
            <w:pPr>
              <w:spacing w:after="0"/>
              <w:rPr>
                <w:sz w:val="15"/>
                <w:szCs w:val="15"/>
                <w:color w:val="auto"/>
              </w:rPr>
            </w:pPr>
          </w:p>
        </w:tc>
        <w:tc>
          <w:tcPr>
            <w:tcW w:w="880" w:type="dxa"/>
            <w:vAlign w:val="bottom"/>
          </w:tcPr>
          <w:p>
            <w:pPr>
              <w:jc w:val="right"/>
              <w:ind w:right="127"/>
              <w:spacing w:after="0"/>
              <w:rPr>
                <w:sz w:val="20"/>
                <w:szCs w:val="20"/>
                <w:color w:val="auto"/>
              </w:rPr>
            </w:pPr>
            <w:r>
              <w:rPr>
                <w:rFonts w:ascii="Arial" w:cs="Arial" w:eastAsia="Arial" w:hAnsi="Arial"/>
                <w:sz w:val="15"/>
                <w:szCs w:val="15"/>
                <w:color w:val="auto"/>
              </w:rPr>
              <w:t>10,575</w:t>
            </w:r>
          </w:p>
        </w:tc>
        <w:tc>
          <w:tcPr>
            <w:tcW w:w="400" w:type="dxa"/>
            <w:vAlign w:val="bottom"/>
          </w:tcPr>
          <w:p>
            <w:pPr>
              <w:spacing w:after="0"/>
              <w:rPr>
                <w:sz w:val="15"/>
                <w:szCs w:val="15"/>
                <w:color w:val="auto"/>
              </w:rPr>
            </w:pPr>
          </w:p>
        </w:tc>
        <w:tc>
          <w:tcPr>
            <w:tcW w:w="840" w:type="dxa"/>
            <w:vAlign w:val="bottom"/>
          </w:tcPr>
          <w:p>
            <w:pPr>
              <w:jc w:val="right"/>
              <w:ind w:right="126"/>
              <w:spacing w:after="0"/>
              <w:rPr>
                <w:sz w:val="20"/>
                <w:szCs w:val="20"/>
                <w:color w:val="auto"/>
              </w:rPr>
            </w:pPr>
            <w:r>
              <w:rPr>
                <w:rFonts w:ascii="Arial" w:cs="Arial" w:eastAsia="Arial" w:hAnsi="Arial"/>
                <w:sz w:val="15"/>
                <w:szCs w:val="15"/>
                <w:color w:val="auto"/>
              </w:rPr>
              <w:t>3,261</w:t>
            </w:r>
          </w:p>
        </w:tc>
        <w:tc>
          <w:tcPr>
            <w:tcW w:w="4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2"/>
        </w:trPr>
        <w:tc>
          <w:tcPr>
            <w:tcW w:w="2760" w:type="dxa"/>
            <w:vAlign w:val="bottom"/>
          </w:tcPr>
          <w:p>
            <w:pPr>
              <w:spacing w:after="0"/>
              <w:rPr>
                <w:sz w:val="20"/>
                <w:szCs w:val="20"/>
                <w:color w:val="auto"/>
              </w:rPr>
            </w:pPr>
            <w:r>
              <w:rPr>
                <w:rFonts w:ascii="Arial" w:cs="Arial" w:eastAsia="Arial" w:hAnsi="Arial"/>
                <w:sz w:val="15"/>
                <w:szCs w:val="15"/>
                <w:color w:val="auto"/>
              </w:rPr>
              <w:t xml:space="preserve">Long-term liabilities </w:t>
            </w:r>
            <w:r>
              <w:rPr>
                <w:rFonts w:ascii="Arial" w:cs="Arial" w:eastAsia="Arial" w:hAnsi="Arial"/>
                <w:sz w:val="11"/>
                <w:szCs w:val="11"/>
                <w:color w:val="auto"/>
              </w:rPr>
              <w:t>(3)</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5,242</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5,445</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5,692</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5,966</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rPr>
              <w:t>6,109</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61,111</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66"/>
        </w:trPr>
        <w:tc>
          <w:tcPr>
            <w:tcW w:w="2760" w:type="dxa"/>
            <w:vAlign w:val="bottom"/>
          </w:tcPr>
          <w:p>
            <w:pPr>
              <w:ind w:left="460"/>
              <w:spacing w:after="0" w:line="167" w:lineRule="exact"/>
              <w:rPr>
                <w:sz w:val="20"/>
                <w:szCs w:val="20"/>
                <w:color w:val="auto"/>
              </w:rPr>
            </w:pPr>
            <w:r>
              <w:rPr>
                <w:rFonts w:ascii="Arial" w:cs="Arial" w:eastAsia="Arial" w:hAnsi="Arial"/>
                <w:sz w:val="15"/>
                <w:szCs w:val="15"/>
                <w:color w:val="auto"/>
              </w:rPr>
              <w:t>Total</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color w:val="auto"/>
              </w:rPr>
              <w:t>785,974</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color w:val="auto"/>
              </w:rPr>
              <w:t>346,300</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245,431</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155,971</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color w:val="auto"/>
              </w:rPr>
              <w:t>122,828</w:t>
            </w:r>
          </w:p>
        </w:tc>
        <w:tc>
          <w:tcPr>
            <w:tcW w:w="400" w:type="dxa"/>
            <w:vAlign w:val="bottom"/>
            <w:tcBorders>
              <w:bottom w:val="single" w:sz="8" w:color="auto"/>
            </w:tcBorders>
          </w:tcPr>
          <w:p>
            <w:pPr>
              <w:jc w:val="right"/>
              <w:ind w:right="30"/>
              <w:spacing w:after="0" w:line="167"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768,001</w:t>
            </w:r>
          </w:p>
        </w:tc>
        <w:tc>
          <w:tcPr>
            <w:tcW w:w="4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2,4</w:t>
            </w:r>
          </w:p>
        </w:tc>
      </w:tr>
      <w:tr>
        <w:trPr>
          <w:trHeight w:val="20"/>
        </w:trPr>
        <w:tc>
          <w:tcPr>
            <w:tcW w:w="2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9"/>
        <w:spacing w:after="0"/>
        <w:rPr>
          <w:sz w:val="20"/>
          <w:szCs w:val="20"/>
          <w:color w:val="auto"/>
        </w:rPr>
      </w:pPr>
      <w:r>
        <w:rPr>
          <w:rFonts w:ascii="Arial" w:cs="Arial" w:eastAsia="Arial" w:hAnsi="Arial"/>
          <w:sz w:val="10"/>
          <w:szCs w:val="10"/>
          <w:color w:val="auto"/>
        </w:rPr>
        <w:t>___________________</w:t>
      </w:r>
    </w:p>
    <w:p>
      <w:pPr>
        <w:ind w:left="289" w:hanging="289"/>
        <w:spacing w:after="0" w:line="237" w:lineRule="auto"/>
        <w:tabs>
          <w:tab w:leader="none" w:pos="2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Includes commitments for the Company’s television broadcasting and cable television businesses that are reflected in the Company’s Consolidated Financial Statements and commitments to purc programming to be produced in future years.</w:t>
      </w:r>
    </w:p>
    <w:p>
      <w:pPr>
        <w:ind w:left="309" w:hanging="309"/>
        <w:spacing w:after="0" w:line="237" w:lineRule="auto"/>
        <w:tabs>
          <w:tab w:leader="none" w:pos="295"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Includes purchase obligations related to newsprint contracts, printing contracts, employment agreements, circulation distribution agreements, capital projects and other legally binding commitment purchase orders made in the ordinary course of business are excluded from the table above. Any amounts for which the Company is liable under purchase orders are reflected in the Company’s Consolidated Balance Sheets as accounts payable and accrued liabilities.</w:t>
      </w:r>
    </w:p>
    <w:p>
      <w:pPr>
        <w:ind w:left="289" w:hanging="289"/>
        <w:spacing w:after="0" w:line="255" w:lineRule="auto"/>
        <w:tabs>
          <w:tab w:leader="none" w:pos="2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Primarily made up of postretirement benefit obligations other than pensions. The Company has other long-term liabilities excluded from the table above, including obligations for deferred compens long-term incentive plans and long-term deferred revenue.</w:t>
      </w:r>
    </w:p>
    <w:p>
      <w:pPr>
        <w:spacing w:after="0" w:line="146" w:lineRule="exact"/>
        <w:rPr>
          <w:sz w:val="20"/>
          <w:szCs w:val="20"/>
          <w:color w:val="auto"/>
        </w:rPr>
      </w:pPr>
    </w:p>
    <w:p>
      <w:pPr>
        <w:jc w:val="both"/>
        <w:ind w:left="9"/>
        <w:spacing w:after="0" w:line="242" w:lineRule="auto"/>
        <w:rPr>
          <w:sz w:val="20"/>
          <w:szCs w:val="20"/>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The Company does not have any off-balance-sheet arrangements or financing activities with special-purpose entities (SPEs). Transactions wit</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parties, as discussed in Note 4 to the Company’s Consolidated Financial Statements, are in the ordinary course of business and are conducte an arm’s-length basis.</w:t>
      </w:r>
    </w:p>
    <w:p>
      <w:pPr>
        <w:spacing w:after="0" w:line="38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judg that affect the amounts reported in the financial statements. On an ongoing basis, the Company evaluates its estimates and assumptions. The Compa bases its estimates on historical experience and other assumptions believed to be reasonable under the circumstances, the results of which form the for making judgments about the carrying value of assets and liabilities that are not readily apparent from other sources. Actual results could differ from estimates.</w:t>
      </w:r>
    </w:p>
    <w:p>
      <w:pPr>
        <w:spacing w:after="0" w:line="176"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An accounting policy is considered to be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155"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 xml:space="preserve">Revenue Recognition, Trade Accounts Receivable, Sales Returns and Allowance for Doubtful Accounts. </w:t>
      </w:r>
      <w:r>
        <w:rPr>
          <w:rFonts w:ascii="Arial" w:cs="Arial" w:eastAsia="Arial" w:hAnsi="Arial"/>
          <w:sz w:val="17"/>
          <w:szCs w:val="17"/>
          <w:color w:val="auto"/>
        </w:rPr>
        <w:t>Education tuition revenue is recogniz</w:t>
      </w:r>
      <w:r>
        <w:rPr>
          <w:rFonts w:ascii="Arial" w:cs="Arial" w:eastAsia="Arial" w:hAnsi="Arial"/>
          <w:sz w:val="17"/>
          <w:szCs w:val="17"/>
          <w:b w:val="1"/>
          <w:bCs w:val="1"/>
          <w:color w:val="auto"/>
        </w:rPr>
        <w:t xml:space="preserve"> </w:t>
      </w:r>
      <w:r>
        <w:rPr>
          <w:rFonts w:ascii="Arial" w:cs="Arial" w:eastAsia="Arial" w:hAnsi="Arial"/>
          <w:sz w:val="17"/>
          <w:szCs w:val="17"/>
          <w:color w:val="auto"/>
        </w:rPr>
        <w:t>ratably over the period of instruction as services are delivered to students, net of any refunds, corporate discounts, scholarships and employee tuition discounts.</w:t>
      </w:r>
    </w:p>
    <w:p>
      <w:pPr>
        <w:spacing w:after="0" w:line="17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At KTP and Kaplan International, estimates of average student course length are developed for each course, along with estimates for the anticipated l student drops and refunds from test performance guarantees, and these estimates are evaluated on an ongoing basis and adjusted as necessary. As Kaplan’s businesses and related course offerings have changed, including more online programs, the complexity and significance of management’s estimates have increased.</w:t>
      </w:r>
    </w:p>
    <w:p>
      <w:pPr>
        <w:spacing w:after="0" w:line="17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KHE, through the Kaplan Commitment program, provides first-time students with a risk-free trial period. Under the program, KHE monitors academic progress and conducts assessments to help determine whether students are likely to be successful in their chosen course of study. Students who with or are subject to dismissal during the risk-free trial period do not incur any significant financial obligation. The Company does not recognize revenues r to coursework until the students complete the risk-free period, meet the academic requirements and decide to continue with their studies, at which tim fees become fixed and determinable.</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Revenue from media advertising is recognized, net of agency commissions, when the underlying advertisement is published or broadcast. Revenues f newspaper subscriptions and retail sales are recognized upon the later of delivery or publication date, with adequate provision made for anticipated sa returns. The Company records, as a reduction of revenue, the estimated impact of such returns. The Company bases its estimates for sales returns on historical experience and has not experienced significant fluctuations between estimated and actual return activity.</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Accounts receivable have been reduced by an allowance for amounts that may be uncollectible in the future. This estimated allowance is based prima the aging category, historical trends and management’s evaluation of the financial condition of the customer. Accounts receivable also have been redu by an estimate of advertising rate adjustments and discounts, based on estimates of advertising volumes for contract customers who are eligible for advertising rate adjustments and discounts.</w:t>
      </w:r>
    </w:p>
    <w:p>
      <w:pPr>
        <w:spacing w:after="0" w:line="155"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The Company has a significant amount of goodwill and indefinite-lived intangible assets that are reviewed a</w:t>
      </w:r>
      <w:r>
        <w:rPr>
          <w:rFonts w:ascii="Arial" w:cs="Arial" w:eastAsia="Arial" w:hAnsi="Arial"/>
          <w:sz w:val="17"/>
          <w:szCs w:val="17"/>
          <w:b w:val="1"/>
          <w:bCs w:val="1"/>
          <w:color w:val="auto"/>
        </w:rPr>
        <w:t xml:space="preserve"> </w:t>
      </w:r>
      <w:r>
        <w:rPr>
          <w:rFonts w:ascii="Arial" w:cs="Arial" w:eastAsia="Arial" w:hAnsi="Arial"/>
          <w:sz w:val="17"/>
          <w:szCs w:val="17"/>
          <w:color w:val="auto"/>
        </w:rPr>
        <w:t>annually for possible impairment.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2"/>
                <w:szCs w:val="12"/>
                <w:b w:val="1"/>
                <w:bCs w:val="1"/>
                <w:color w:val="auto"/>
              </w:rPr>
              <w:t>As of December 31,</w:t>
            </w:r>
          </w:p>
        </w:tc>
      </w:tr>
      <w:tr>
        <w:trPr>
          <w:trHeight w:val="129"/>
        </w:trPr>
        <w:tc>
          <w:tcPr>
            <w:tcW w:w="84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millions)</w:t>
            </w: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91"/>
              <w:spacing w:after="0" w:line="129" w:lineRule="exact"/>
              <w:rPr>
                <w:sz w:val="20"/>
                <w:szCs w:val="20"/>
                <w:color w:val="auto"/>
              </w:rPr>
            </w:pPr>
            <w:r>
              <w:rPr>
                <w:rFonts w:ascii="Arial" w:cs="Arial" w:eastAsia="Arial" w:hAnsi="Arial"/>
                <w:sz w:val="12"/>
                <w:szCs w:val="12"/>
                <w:b w:val="1"/>
                <w:bCs w:val="1"/>
                <w:color w:val="auto"/>
              </w:rPr>
              <w:t>2012</w:t>
            </w: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10"/>
              <w:spacing w:after="0" w:line="129" w:lineRule="exact"/>
              <w:rPr>
                <w:sz w:val="20"/>
                <w:szCs w:val="20"/>
                <w:color w:val="auto"/>
              </w:rPr>
            </w:pPr>
            <w:r>
              <w:rPr>
                <w:rFonts w:ascii="Arial" w:cs="Arial" w:eastAsia="Arial" w:hAnsi="Arial"/>
                <w:sz w:val="12"/>
                <w:szCs w:val="12"/>
                <w:color w:val="auto"/>
              </w:rPr>
              <w:t>2011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Goodwill and indefinite-lived intangible assets</w:t>
            </w:r>
          </w:p>
        </w:tc>
        <w:tc>
          <w:tcPr>
            <w:tcW w:w="320" w:type="dxa"/>
            <w:vAlign w:val="bottom"/>
          </w:tcPr>
          <w:p>
            <w:pPr>
              <w:jc w:val="right"/>
              <w:ind w:right="166"/>
              <w:spacing w:after="0" w:line="150" w:lineRule="exact"/>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ind w:right="191"/>
              <w:spacing w:after="0" w:line="150" w:lineRule="exact"/>
              <w:rPr>
                <w:sz w:val="20"/>
                <w:szCs w:val="20"/>
                <w:color w:val="auto"/>
              </w:rPr>
            </w:pPr>
            <w:r>
              <w:rPr>
                <w:rFonts w:ascii="Arial" w:cs="Arial" w:eastAsia="Arial" w:hAnsi="Arial"/>
                <w:sz w:val="15"/>
                <w:szCs w:val="15"/>
                <w:b w:val="1"/>
                <w:bCs w:val="1"/>
                <w:color w:val="auto"/>
              </w:rPr>
              <w:t>1,857.6</w:t>
            </w:r>
          </w:p>
        </w:tc>
        <w:tc>
          <w:tcPr>
            <w:tcW w:w="48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620" w:type="dxa"/>
            <w:vAlign w:val="bottom"/>
          </w:tcPr>
          <w:p>
            <w:pPr>
              <w:jc w:val="right"/>
              <w:spacing w:after="0" w:line="150" w:lineRule="exact"/>
              <w:rPr>
                <w:sz w:val="20"/>
                <w:szCs w:val="20"/>
                <w:color w:val="auto"/>
              </w:rPr>
            </w:pPr>
            <w:r>
              <w:rPr>
                <w:rFonts w:ascii="Arial" w:cs="Arial" w:eastAsia="Arial" w:hAnsi="Arial"/>
                <w:sz w:val="15"/>
                <w:szCs w:val="15"/>
                <w:color w:val="auto"/>
              </w:rPr>
              <w:t>1,94</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Total assets</w:t>
            </w:r>
          </w:p>
        </w:tc>
        <w:tc>
          <w:tcPr>
            <w:tcW w:w="320" w:type="dxa"/>
            <w:vAlign w:val="bottom"/>
          </w:tcPr>
          <w:p>
            <w:pPr>
              <w:jc w:val="right"/>
              <w:ind w:right="166"/>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Pr>
          <w:p>
            <w:pPr>
              <w:jc w:val="right"/>
              <w:ind w:right="191"/>
              <w:spacing w:after="0"/>
              <w:rPr>
                <w:sz w:val="20"/>
                <w:szCs w:val="20"/>
                <w:color w:val="auto"/>
              </w:rPr>
            </w:pPr>
            <w:r>
              <w:rPr>
                <w:rFonts w:ascii="Arial" w:cs="Arial" w:eastAsia="Arial" w:hAnsi="Arial"/>
                <w:sz w:val="15"/>
                <w:szCs w:val="15"/>
                <w:b w:val="1"/>
                <w:bCs w:val="1"/>
                <w:color w:val="auto"/>
              </w:rPr>
              <w:t>5,105.1</w:t>
            </w:r>
          </w:p>
        </w:tc>
        <w:tc>
          <w:tcPr>
            <w:tcW w:w="4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5,01</w:t>
            </w:r>
          </w:p>
        </w:tc>
      </w:tr>
      <w:tr>
        <w:trPr>
          <w:trHeight w:val="197"/>
        </w:trPr>
        <w:tc>
          <w:tcPr>
            <w:tcW w:w="8460" w:type="dxa"/>
            <w:vAlign w:val="bottom"/>
          </w:tcPr>
          <w:p>
            <w:pPr>
              <w:spacing w:after="0"/>
              <w:rPr>
                <w:sz w:val="20"/>
                <w:szCs w:val="20"/>
                <w:color w:val="auto"/>
              </w:rPr>
            </w:pPr>
            <w:r>
              <w:rPr>
                <w:rFonts w:ascii="Arial" w:cs="Arial" w:eastAsia="Arial" w:hAnsi="Arial"/>
                <w:sz w:val="15"/>
                <w:szCs w:val="15"/>
                <w:color w:val="auto"/>
              </w:rPr>
              <w:t>Percentage of goodwill and indefinite-lived intangible assets to total assets</w:t>
            </w:r>
          </w:p>
        </w:tc>
        <w:tc>
          <w:tcPr>
            <w:tcW w:w="320" w:type="dxa"/>
            <w:vAlign w:val="bottom"/>
          </w:tcPr>
          <w:p>
            <w:pPr>
              <w:spacing w:after="0"/>
              <w:rPr>
                <w:sz w:val="17"/>
                <w:szCs w:val="17"/>
                <w:color w:val="auto"/>
              </w:rPr>
            </w:pPr>
          </w:p>
        </w:tc>
        <w:tc>
          <w:tcPr>
            <w:tcW w:w="1060" w:type="dxa"/>
            <w:vAlign w:val="bottom"/>
          </w:tcPr>
          <w:p>
            <w:pPr>
              <w:jc w:val="right"/>
              <w:ind w:right="151"/>
              <w:spacing w:after="0"/>
              <w:rPr>
                <w:sz w:val="20"/>
                <w:szCs w:val="20"/>
                <w:color w:val="auto"/>
              </w:rPr>
            </w:pPr>
            <w:r>
              <w:rPr>
                <w:rFonts w:ascii="Arial" w:cs="Arial" w:eastAsia="Arial" w:hAnsi="Arial"/>
                <w:sz w:val="15"/>
                <w:szCs w:val="15"/>
                <w:b w:val="1"/>
                <w:bCs w:val="1"/>
                <w:color w:val="auto"/>
              </w:rPr>
              <w:t>36%</w:t>
            </w: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179"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The Company performs its annual goodwill and intangible assets impairment test as of November 30. Goodwill and other intangible assets are review possible impairment between annual tests if an event occurred or circumstances changed that would more likely than not reduce the fair value of the reporting unit or other intangible assets below its carrying value.</w:t>
      </w:r>
    </w:p>
    <w:p>
      <w:pPr>
        <w:spacing w:after="0" w:line="38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bookmarkStart w:id="73" w:name="page74"/>
    <w:bookmarkEnd w:id="73"/>
    <w:p>
      <w:pPr>
        <w:spacing w:after="0"/>
        <w:rPr>
          <w:sz w:val="20"/>
          <w:szCs w:val="20"/>
          <w:color w:val="auto"/>
        </w:rPr>
      </w:pPr>
      <w:r>
        <w:rPr>
          <w:rFonts w:ascii="Arial" w:cs="Arial" w:eastAsia="Arial" w:hAnsi="Arial"/>
          <w:sz w:val="17"/>
          <w:szCs w:val="17"/>
          <w:i w:val="1"/>
          <w:iCs w:val="1"/>
          <w:color w:val="auto"/>
        </w:rPr>
        <w:t>Goodwill</w:t>
      </w:r>
    </w:p>
    <w:p>
      <w:pPr>
        <w:spacing w:after="0" w:line="195"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The Company tests its goodwill at the reporting unit level, which is an operating segment or one level below an operating segment. The Company initi performs an assessment of qualitative factors to determine if it is necessary to perform the two-step goodwill impairment test. The Company tests goo for impairment using the two-step process if, based on its assessment of the qualitative factors, it determines that it is more likely than not that the fair of a reporting unit is less than its carrying amount, or if it decides to bypass the qualitative assessment. The first step of the goodwill impairment test compares the estimated fair value of a reporting unit with its carrying amount, including goodwill. This step is performed to identify potential impairmen which occurs when the carrying amount of the reporting unit exceeds its estimated fair value. The second step of the goodwill impairment test is only performed when there is a potential impairment and is performed to measure the amount of impairment loss at the reporting unit. During the second st the Company allocates the estimated fair value of the reporting unit to all of the assets and liabilities of the unit (including any unrecognized intangible assets). The excess of the fair value of the reporting unit over the amounts assigned to its assets and liabilities is the implied fair value of goodwill. Th amount of the goodwill impairment is the difference between the carrying value of the reporting unit’s goodwill and the implied fair value determined du the second step.</w:t>
      </w:r>
    </w:p>
    <w:p>
      <w:pPr>
        <w:spacing w:after="0" w:line="182"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The Company had 12 reporting units as of December 31, 2012. The reporting units with significant goodwill balances as of December 31, 2012, were follows, representing 97% of the total goodwill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millions)</w:t>
            </w: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Good</w:t>
            </w:r>
          </w:p>
        </w:tc>
      </w:tr>
      <w:tr>
        <w:trPr>
          <w:trHeight w:val="168"/>
        </w:trPr>
        <w:tc>
          <w:tcPr>
            <w:tcW w:w="10400" w:type="dxa"/>
            <w:vAlign w:val="bottom"/>
          </w:tcPr>
          <w:p>
            <w:pPr>
              <w:spacing w:after="0" w:line="168" w:lineRule="exact"/>
              <w:rPr>
                <w:sz w:val="20"/>
                <w:szCs w:val="20"/>
                <w:color w:val="auto"/>
              </w:rPr>
            </w:pPr>
            <w:r>
              <w:rPr>
                <w:rFonts w:ascii="Arial" w:cs="Arial" w:eastAsia="Arial" w:hAnsi="Arial"/>
                <w:sz w:val="15"/>
                <w:szCs w:val="15"/>
                <w:color w:val="auto"/>
              </w:rPr>
              <w:t>Education</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74"/>
        </w:trPr>
        <w:tc>
          <w:tcPr>
            <w:tcW w:w="10400" w:type="dxa"/>
            <w:vAlign w:val="bottom"/>
          </w:tcPr>
          <w:p>
            <w:pPr>
              <w:ind w:left="340"/>
              <w:spacing w:after="0"/>
              <w:rPr>
                <w:sz w:val="20"/>
                <w:szCs w:val="20"/>
                <w:color w:val="auto"/>
              </w:rPr>
            </w:pPr>
            <w:r>
              <w:rPr>
                <w:rFonts w:ascii="Arial" w:cs="Arial" w:eastAsia="Arial" w:hAnsi="Arial"/>
                <w:sz w:val="15"/>
                <w:szCs w:val="15"/>
                <w:color w:val="auto"/>
              </w:rPr>
              <w:t>Higher education</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5"/>
                <w:szCs w:val="15"/>
                <w:color w:val="auto"/>
              </w:rPr>
            </w:pPr>
          </w:p>
        </w:tc>
      </w:tr>
      <w:tr>
        <w:trPr>
          <w:trHeight w:val="174"/>
        </w:trPr>
        <w:tc>
          <w:tcPr>
            <w:tcW w:w="10400" w:type="dxa"/>
            <w:vAlign w:val="bottom"/>
          </w:tcPr>
          <w:p>
            <w:pPr>
              <w:ind w:left="340"/>
              <w:spacing w:after="0"/>
              <w:rPr>
                <w:sz w:val="20"/>
                <w:szCs w:val="20"/>
                <w:color w:val="auto"/>
              </w:rPr>
            </w:pPr>
            <w:r>
              <w:rPr>
                <w:rFonts w:ascii="Arial" w:cs="Arial" w:eastAsia="Arial" w:hAnsi="Arial"/>
                <w:sz w:val="15"/>
                <w:szCs w:val="15"/>
                <w:color w:val="auto"/>
              </w:rPr>
              <w:t>Test preparation</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4"/>
        </w:trPr>
        <w:tc>
          <w:tcPr>
            <w:tcW w:w="10400" w:type="dxa"/>
            <w:vAlign w:val="bottom"/>
          </w:tcPr>
          <w:p>
            <w:pPr>
              <w:ind w:left="340"/>
              <w:spacing w:after="0"/>
              <w:rPr>
                <w:sz w:val="20"/>
                <w:szCs w:val="20"/>
                <w:color w:val="auto"/>
              </w:rPr>
            </w:pPr>
            <w:r>
              <w:rPr>
                <w:rFonts w:ascii="Arial" w:cs="Arial" w:eastAsia="Arial" w:hAnsi="Arial"/>
                <w:sz w:val="15"/>
                <w:szCs w:val="15"/>
                <w:color w:val="auto"/>
              </w:rPr>
              <w:t>Kaplan international</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4"/>
        </w:trPr>
        <w:tc>
          <w:tcPr>
            <w:tcW w:w="10400" w:type="dxa"/>
            <w:vAlign w:val="bottom"/>
          </w:tcPr>
          <w:p>
            <w:pPr>
              <w:spacing w:after="0"/>
              <w:rPr>
                <w:sz w:val="20"/>
                <w:szCs w:val="20"/>
                <w:color w:val="auto"/>
              </w:rPr>
            </w:pPr>
            <w:r>
              <w:rPr>
                <w:rFonts w:ascii="Arial" w:cs="Arial" w:eastAsia="Arial" w:hAnsi="Arial"/>
                <w:sz w:val="15"/>
                <w:szCs w:val="15"/>
                <w:color w:val="auto"/>
              </w:rPr>
              <w:t>Cable television</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2"/>
        </w:trPr>
        <w:tc>
          <w:tcPr>
            <w:tcW w:w="10400" w:type="dxa"/>
            <w:vAlign w:val="bottom"/>
          </w:tcPr>
          <w:p>
            <w:pPr>
              <w:spacing w:after="0"/>
              <w:rPr>
                <w:sz w:val="20"/>
                <w:szCs w:val="20"/>
                <w:color w:val="auto"/>
              </w:rPr>
            </w:pPr>
            <w:r>
              <w:rPr>
                <w:rFonts w:ascii="Arial" w:cs="Arial" w:eastAsia="Arial" w:hAnsi="Arial"/>
                <w:sz w:val="15"/>
                <w:szCs w:val="15"/>
                <w:color w:val="auto"/>
              </w:rPr>
              <w:t>Television broadcasting</w:t>
            </w: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166"/>
        </w:trPr>
        <w:tc>
          <w:tcPr>
            <w:tcW w:w="10400" w:type="dxa"/>
            <w:vAlign w:val="bottom"/>
          </w:tcPr>
          <w:p>
            <w:pPr>
              <w:spacing w:after="0" w:line="167" w:lineRule="exact"/>
              <w:rPr>
                <w:sz w:val="20"/>
                <w:szCs w:val="20"/>
                <w:color w:val="auto"/>
              </w:rPr>
            </w:pPr>
            <w:r>
              <w:rPr>
                <w:rFonts w:ascii="Arial" w:cs="Arial" w:eastAsia="Arial" w:hAnsi="Arial"/>
                <w:sz w:val="15"/>
                <w:szCs w:val="15"/>
                <w:color w:val="auto"/>
              </w:rPr>
              <w:t>Total</w:t>
            </w:r>
          </w:p>
        </w:tc>
        <w:tc>
          <w:tcPr>
            <w:tcW w:w="1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r>
      <w:tr>
        <w:trPr>
          <w:trHeight w:val="20"/>
        </w:trPr>
        <w:tc>
          <w:tcPr>
            <w:tcW w:w="10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As of November 30, 2012, in connection with the Company’s annual impairment testing, the Company assessed the qualitative factors at the cable television and the television broadcasting reporting units and concluded it was not necessary to perform the two-step goodwill impairment process. Th Company performed the two-step goodwill impairment process at the other reporting units.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estimated fair value of the cable television reporting unit exceeded its carrying value by a margin in excess of 100% as of November 30, 2011, the date a quantitative review was performed. The Company’s qualitative assessment indicated that it is not more likely than not that the estimated fair val the reporting unit is less than its carrying amount considering all factors, including the reporting unit’s financial performance and conditions in the cable television industry.</w:t>
      </w:r>
    </w:p>
    <w:p>
      <w:pPr>
        <w:spacing w:after="0" w:line="17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estimated fair value of the television broadcasting reporting unit exceeded its carrying value by a margin in excess of 100% as of November 30, 2 the last date a quantitative review was performed. The Company’s qualitative assessment indicated that it is not more likely than not that the estimate value of the reporting unit is less than its carrying amount considering all factors, including the reporting unit’s financial performance and conditions in television broadcasting industry. The Company’s policy requires the performance of a quantitative impairment review of the goodwill at least once ever three years.</w:t>
      </w:r>
    </w:p>
    <w:p>
      <w:pPr>
        <w:spacing w:after="0" w:line="17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connection with the Company’s reporting units where the two-step goodwill impairment process was performed, the Company used a discounted ca flow model, and where appropriate, a market value approach was also utilized to supplement the discounted cash flow model to determine the estimat value of its reporting units. The Company made estimates and assumptions regarding future cash flows, discount rates, long-term growth rates and m values to determine each reporting unit’s estimated fair value. The methodology used to estimate the fair value of the Company’s reporting units on November 30, 2012, was consistent with the one used during the 2011 annual goodwill impairment test.</w:t>
      </w:r>
    </w:p>
    <w:p>
      <w:pPr>
        <w:spacing w:after="0" w:line="20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0" w:right="139" w:bottom="1440" w:gutter="0" w:footer="0" w:header="0"/>
        </w:sectPr>
      </w:pPr>
    </w:p>
    <w:bookmarkStart w:id="74" w:name="page75"/>
    <w:bookmarkEnd w:id="74"/>
    <w:p>
      <w:pPr>
        <w:jc w:val="both"/>
        <w:ind w:left="9"/>
        <w:spacing w:after="0" w:line="233" w:lineRule="auto"/>
        <w:rPr>
          <w:sz w:val="20"/>
          <w:szCs w:val="20"/>
          <w:color w:val="auto"/>
        </w:rPr>
      </w:pPr>
      <w:r>
        <w:rPr>
          <w:rFonts w:ascii="Arial" w:cs="Arial" w:eastAsia="Arial" w:hAnsi="Arial"/>
          <w:sz w:val="17"/>
          <w:szCs w:val="17"/>
          <w:color w:val="auto"/>
        </w:rPr>
        <w:t>The Company made changes to certain of its assumptions utilized in the discounted cash flow models for 2012 compared with the prior year to take in account changes in the economic environment, regulations and their impact on the Company’s businesses. The key assumptions used by the Compa were as follows:</w:t>
      </w:r>
    </w:p>
    <w:p>
      <w:pPr>
        <w:spacing w:after="0" w:line="175" w:lineRule="exact"/>
        <w:rPr>
          <w:sz w:val="20"/>
          <w:szCs w:val="20"/>
          <w:color w:val="auto"/>
        </w:rPr>
      </w:pPr>
    </w:p>
    <w:p>
      <w:pPr>
        <w:ind w:left="289" w:right="20" w:hanging="289"/>
        <w:spacing w:after="0" w:line="228" w:lineRule="auto"/>
        <w:tabs>
          <w:tab w:leader="none" w:pos="279"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Expected cash flows underlying the Company’s business plans for the periods 2013 through 2017 were used. The expected cash flows took into account historical growth rates, the effect of the changed economic outlook at some of the Company’s businesses, industry challenges and an est for the possible impact of for-profit education regulations. Expected cash flows also reflected the anticipated savings from restructuring plans at th newspaper publishing and certain education divisions’ reporting units, and other initiatives.</w:t>
      </w:r>
    </w:p>
    <w:p>
      <w:pPr>
        <w:spacing w:after="0" w:line="1" w:lineRule="exact"/>
        <w:rPr>
          <w:rFonts w:ascii="Arial" w:cs="Arial" w:eastAsia="Arial" w:hAnsi="Arial"/>
          <w:sz w:val="17"/>
          <w:szCs w:val="17"/>
          <w:color w:val="auto"/>
        </w:rPr>
      </w:pPr>
    </w:p>
    <w:p>
      <w:pPr>
        <w:ind w:left="289" w:hanging="289"/>
        <w:spacing w:after="0"/>
        <w:tabs>
          <w:tab w:leader="none" w:pos="289"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Cash flows beyond 2017 were projected to grow at a long-term growth rate, which the Company estimated between 1% and 3% for each reporting</w:t>
      </w:r>
    </w:p>
    <w:p>
      <w:pPr>
        <w:spacing w:after="0" w:line="2" w:lineRule="exact"/>
        <w:rPr>
          <w:rFonts w:ascii="Arial" w:cs="Arial" w:eastAsia="Arial" w:hAnsi="Arial"/>
          <w:sz w:val="16"/>
          <w:szCs w:val="16"/>
          <w:color w:val="auto"/>
        </w:rPr>
      </w:pPr>
    </w:p>
    <w:p>
      <w:pPr>
        <w:ind w:left="289" w:hanging="289"/>
        <w:spacing w:after="0"/>
        <w:tabs>
          <w:tab w:leader="none" w:pos="28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used a discount rate of 11.5% to 19.0% to risk adjust the cash flow projections in determining the estimated fair value.</w:t>
      </w:r>
    </w:p>
    <w:p>
      <w:pPr>
        <w:spacing w:after="0" w:line="177"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As part of the annual impairment review, the KTP reporting unit failed the step one goodwill impairment test, and, therefore, a step two analysis was performed. As a result of the step two analysis, the Company recorded a goodwill and other long-lived asset impairment charge of $111.6 million. The impairment charge is the result of a recent slowdown in enrollment growth at KTP, operating losses for the past three years and other factors. A substa portion of the impairment charge is due to the amount of unrecognized intangible assets identified in the step two analysis. Following the impairment, t remaining goodwill balance at the KTP reporting unit as of December 31, 2012, totaled $49.9 million.</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fair value of each of the other reporting units exceeded its respective carrying value as of November 30, 2012.</w:t>
      </w:r>
    </w:p>
    <w:p>
      <w:pPr>
        <w:spacing w:after="0" w:line="177"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The estimated fair value of the KHE reporting unit exceeded its carrying value by a margin in excess of 35%; however, this is a substantial decrease in estimated fair value compared with the prior year. There exists a reasonable possibility that a decrease in the assumed projected cash flows or the lon term growth rate, or an increase in the discount rate assumption used in the discounted cash flow model of this reporting unit, could result in an impair charge.</w:t>
      </w:r>
    </w:p>
    <w:p>
      <w:pPr>
        <w:spacing w:after="0" w:line="187"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The estimated fair value of the Company’s other reporting units with significant goodwill balances exceeded their respective carrying values by a marg excess of 50%. Additional impairment charges could occur at these reporting units as well, given the inherent variability in projecting future operating performance.</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7"/>
          <w:szCs w:val="17"/>
          <w:i w:val="1"/>
          <w:iCs w:val="1"/>
          <w:color w:val="auto"/>
        </w:rPr>
        <w:t>Indefinite-Lived Intangible Assets</w:t>
      </w:r>
    </w:p>
    <w:p>
      <w:pPr>
        <w:spacing w:after="0" w:line="195"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In the fourth quarter of 2012, the Company adopted new accounting guidance that allows for an initial assessment of qualitative factors to determine if more likely than not that the fair value of its indefinite-lived intangible assets is less than its carrying value. The Company compares the fair value of th indefinite-lived intangible asset with its carrying value if the qualitative factors indicate it is more likely than not that the fair value of the asset is less th carrying value or if it decides to bypass the qualitative assessment. The Company records an impairment loss if the carrying value of the indefinite-live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 intangible assets. The Company makes estimates and assumptions regarding future cash flows, discount rates, long-term growth rates and other mar values to determine the estimated fair value of the indefinite-lived intangible assets.</w:t>
      </w:r>
    </w:p>
    <w:p>
      <w:pPr>
        <w:spacing w:after="0" w:line="177"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The Company’s intangible assets with an indefinite life are principally from franchise agreements at its cable television division. These franchise agree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 beyond the foreseeable horizon, and the Company’s cable television division historically has obtained renewals and extensions of such agreements fo nominal costs and without material modifications to the agreements. The franchise agreements represent 92% of the $539.7 million of indefinite-lived intangible assets of the Company as of December 31, 2012. The Company grouped the recorded values of its various cable franchise agreements int regional cable television systems or units of account.</w:t>
      </w:r>
    </w:p>
    <w:p>
      <w:pPr>
        <w:spacing w:after="0" w:line="38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48" w:right="139" w:bottom="1440" w:gutter="0" w:footer="0" w:header="0"/>
        </w:sectPr>
      </w:pPr>
    </w:p>
    <w:bookmarkStart w:id="75" w:name="page76"/>
    <w:bookmarkEnd w:id="75"/>
    <w:p>
      <w:pPr>
        <w:ind w:left="9"/>
        <w:spacing w:after="0" w:line="231" w:lineRule="auto"/>
        <w:rPr>
          <w:sz w:val="20"/>
          <w:szCs w:val="20"/>
          <w:color w:val="auto"/>
        </w:rPr>
      </w:pPr>
      <w:r>
        <w:rPr>
          <w:rFonts w:ascii="Arial" w:cs="Arial" w:eastAsia="Arial" w:hAnsi="Arial"/>
          <w:sz w:val="17"/>
          <w:szCs w:val="17"/>
          <w:color w:val="auto"/>
        </w:rPr>
        <w:t>As of November 30, 2012, the Company performed a qualitative analysis to test the franchise agreements for impairment. The estimated fair value of t Company’s franchise agreements exceeded their respective carrying values by a margin in excess of 50% as of November 30, 2011, the last date a quantitative review was performed. The Company’s qualitative assessment indicated that it is not more likely than not that the estimated fair value of t franchise rights are less than its carrying amount considering all factors, including the review of prior year assumptions, the cable division’s financial performance and conditions in the cable television industry.</w:t>
      </w:r>
    </w:p>
    <w:p>
      <w:pPr>
        <w:spacing w:after="0" w:line="176"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The key assumptions used by the Company to determine the fair value of its franchise agreements as of November 30, 2011, the date of its last annu quantitative impairment review, were as follows:</w:t>
      </w:r>
    </w:p>
    <w:p>
      <w:pPr>
        <w:spacing w:after="0" w:line="188" w:lineRule="exact"/>
        <w:rPr>
          <w:sz w:val="20"/>
          <w:szCs w:val="20"/>
          <w:color w:val="auto"/>
        </w:rPr>
      </w:pPr>
    </w:p>
    <w:p>
      <w:pPr>
        <w:jc w:val="both"/>
        <w:ind w:left="289" w:hanging="289"/>
        <w:spacing w:after="0" w:line="228" w:lineRule="auto"/>
        <w:tabs>
          <w:tab w:leader="none" w:pos="279"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Expected cash flows underlying the Company’s business plans for the periods 2012 through 2021 were used, with the assumption that the only as the unbuilt start-up cable television systems possess are the various franchise agreements. The expected cash flows took into account the estima initial capital investment in the system region’s physical plant and related start-up costs, revenues, operating margins and growth rates. These cas flows and growth rates were based on forecasts and long-term business plans and take into account numerous factors, including historical experie anticipated economic conditions, changes in the cable television systems’ cost structures, homes in each region’s service area, number of subscri based on penetration of homes passed by the systems and expected revenues per subscriber.</w:t>
      </w:r>
    </w:p>
    <w:p>
      <w:pPr>
        <w:spacing w:after="0" w:line="2" w:lineRule="exact"/>
        <w:rPr>
          <w:rFonts w:ascii="Arial" w:cs="Arial" w:eastAsia="Arial" w:hAnsi="Arial"/>
          <w:sz w:val="17"/>
          <w:szCs w:val="17"/>
          <w:color w:val="auto"/>
        </w:rPr>
      </w:pPr>
    </w:p>
    <w:p>
      <w:pPr>
        <w:ind w:left="289" w:hanging="289"/>
        <w:spacing w:after="0" w:line="228" w:lineRule="auto"/>
        <w:tabs>
          <w:tab w:leader="none" w:pos="279" w:val="left"/>
        </w:tabs>
        <w:numPr>
          <w:ilvl w:val="0"/>
          <w:numId w:val="47"/>
        </w:numPr>
        <w:rPr>
          <w:rFonts w:ascii="Arial" w:cs="Arial" w:eastAsia="Arial" w:hAnsi="Arial"/>
          <w:sz w:val="17"/>
          <w:szCs w:val="17"/>
          <w:color w:val="auto"/>
        </w:rPr>
      </w:pPr>
      <w:r>
        <w:rPr>
          <w:rFonts w:ascii="Arial" w:cs="Arial" w:eastAsia="Arial" w:hAnsi="Arial"/>
          <w:sz w:val="17"/>
          <w:szCs w:val="17"/>
          <w:color w:val="auto"/>
        </w:rPr>
        <w:t>Cash flows beyond 2021 were projected to grow at a long-term growth rate, which the Company estimated by considering historical market growth trends, anticipated cable television system performance and expected market conditions.</w:t>
      </w:r>
    </w:p>
    <w:p>
      <w:pPr>
        <w:ind w:left="289" w:hanging="289"/>
        <w:spacing w:after="0"/>
        <w:tabs>
          <w:tab w:leader="none" w:pos="28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used a discount rate of 8% to risk adjust the cash flow projections in determining the estimated fair value.</w:t>
      </w:r>
    </w:p>
    <w:p>
      <w:pPr>
        <w:spacing w:after="0" w:line="177" w:lineRule="exact"/>
        <w:rPr>
          <w:sz w:val="20"/>
          <w:szCs w:val="20"/>
          <w:color w:val="auto"/>
        </w:rPr>
      </w:pPr>
    </w:p>
    <w:p>
      <w:pPr>
        <w:ind w:left="9" w:right="480"/>
        <w:spacing w:after="0" w:line="235" w:lineRule="auto"/>
        <w:rPr>
          <w:sz w:val="20"/>
          <w:szCs w:val="20"/>
          <w:color w:val="auto"/>
        </w:rPr>
      </w:pPr>
      <w:r>
        <w:rPr>
          <w:rFonts w:ascii="Arial" w:cs="Arial" w:eastAsia="Arial" w:hAnsi="Arial"/>
          <w:sz w:val="17"/>
          <w:szCs w:val="17"/>
          <w:color w:val="auto"/>
        </w:rPr>
        <w:t>There is always a possibility that impairment charges could occur in the future, given changes in the cable television market and U.S. economic environment, as well as the inherent variability in projecting future operating performance.</w:t>
      </w:r>
    </w:p>
    <w:p>
      <w:pPr>
        <w:spacing w:after="0" w:line="156" w:lineRule="exact"/>
        <w:rPr>
          <w:sz w:val="20"/>
          <w:szCs w:val="20"/>
          <w:color w:val="auto"/>
        </w:rPr>
      </w:pPr>
    </w:p>
    <w:p>
      <w:pPr>
        <w:ind w:left="9"/>
        <w:spacing w:after="0" w:line="234" w:lineRule="auto"/>
        <w:rPr>
          <w:sz w:val="20"/>
          <w:szCs w:val="20"/>
          <w:color w:val="auto"/>
        </w:rPr>
      </w:pPr>
      <w:r>
        <w:rPr>
          <w:rFonts w:ascii="Arial" w:cs="Arial" w:eastAsia="Arial" w:hAnsi="Arial"/>
          <w:sz w:val="17"/>
          <w:szCs w:val="17"/>
          <w:b w:val="1"/>
          <w:bCs w:val="1"/>
          <w:color w:val="auto"/>
        </w:rPr>
        <w:t xml:space="preserve">Pension Costs. </w:t>
      </w:r>
      <w:r>
        <w:rPr>
          <w:rFonts w:ascii="Arial" w:cs="Arial" w:eastAsia="Arial" w:hAnsi="Arial"/>
          <w:sz w:val="17"/>
          <w:szCs w:val="17"/>
          <w:color w:val="auto"/>
        </w:rPr>
        <w:t>The Company sponsors a defined benefit pension plan for eligible employees in the U.S. Excluding special termination benefits,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net pension cost was $16.0 million for 2012, and the net pension credit was $4.7 million and $3.9 million for 2011 and 2010, respectively. T Company’s pension benefit obligation and related costs are actuarially determined and are impacted significantly by the Company’s assumptions relat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 and updates them to reflect its experience and expectations for the future. Actual results in any given year will often differ from actuarial assumptions because of economic and other factors.</w:t>
      </w:r>
    </w:p>
    <w:p>
      <w:pPr>
        <w:spacing w:after="0" w:line="175"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Company assumed a 6.5% expected return on plan assets for fiscal year 2012, which is consistent with the expected return assumption for fiscal 2011 and 2010. The Company’s actual return on plan assets was 18.5% in 2012, 14.7% in 2011 and 20.3% in 2010. The 10-year and 20-year actual r on plan assets were 8.5% and 11.4%, respectively.</w:t>
      </w:r>
    </w:p>
    <w:p>
      <w:pPr>
        <w:spacing w:after="0" w:line="175" w:lineRule="exact"/>
        <w:rPr>
          <w:sz w:val="20"/>
          <w:szCs w:val="20"/>
          <w:color w:val="auto"/>
        </w:rPr>
      </w:pPr>
    </w:p>
    <w:p>
      <w:pPr>
        <w:ind w:left="9"/>
        <w:spacing w:after="0" w:line="231" w:lineRule="auto"/>
        <w:rPr>
          <w:sz w:val="20"/>
          <w:szCs w:val="20"/>
          <w:color w:val="auto"/>
        </w:rPr>
      </w:pPr>
      <w:r>
        <w:rPr>
          <w:rFonts w:ascii="Arial" w:cs="Arial" w:eastAsia="Arial" w:hAnsi="Arial"/>
          <w:sz w:val="17"/>
          <w:szCs w:val="17"/>
          <w:color w:val="auto"/>
        </w:rPr>
        <w:t>Accumulated and projected benefit obligations are measured as the present value of future cash payments. The Company discounts those cash paym using the weighted average of market-observed yields for high-quality fixed-income securities with maturities that correspond to the payment of benefi Lower discount rates increase present values and increase subsequent-year pension costs; higher discount rates decrease present values and decre subsequent-year pension costs. The Company’s discount rate at December 31, 2012 and 2011, and January 2, 2011, was 4.0%, 4.7% and 5.6%, respectively, reflecting market interest rates.</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Changes in key assumptions for the Company’s pension plan would have the following effects on the 2012 pension cost:</w:t>
      </w:r>
    </w:p>
    <w:p>
      <w:pPr>
        <w:spacing w:after="0" w:line="177" w:lineRule="exact"/>
        <w:rPr>
          <w:sz w:val="20"/>
          <w:szCs w:val="20"/>
          <w:color w:val="auto"/>
        </w:rPr>
      </w:pPr>
    </w:p>
    <w:p>
      <w:pPr>
        <w:ind w:left="289" w:hanging="289"/>
        <w:spacing w:after="0" w:line="228" w:lineRule="auto"/>
        <w:tabs>
          <w:tab w:leader="none" w:pos="279"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Expected return on assets – A 1% increase or decrease to the Company’s assumed expected return on plan assets would have decreased or incr the pension cost by approximately $15 million.</w:t>
      </w:r>
    </w:p>
    <w:p>
      <w:pPr>
        <w:ind w:left="289" w:hanging="289"/>
        <w:spacing w:after="0" w:line="235" w:lineRule="auto"/>
        <w:tabs>
          <w:tab w:leader="none" w:pos="279"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Discount rate – A 1% decrease to the Company’s assumed discount rate would have increased the pension cost by approximately $32 million. A 1 increase to the Company’s assumed discount rate would have decreased the pension cost by approximately $11 million.</w:t>
      </w:r>
    </w:p>
    <w:p>
      <w:pPr>
        <w:spacing w:after="0" w:line="176" w:lineRule="exact"/>
        <w:rPr>
          <w:sz w:val="20"/>
          <w:szCs w:val="20"/>
          <w:color w:val="auto"/>
        </w:rPr>
      </w:pPr>
    </w:p>
    <w:p>
      <w:pPr>
        <w:ind w:left="9" w:right="60"/>
        <w:spacing w:after="0" w:line="235" w:lineRule="auto"/>
        <w:rPr>
          <w:sz w:val="20"/>
          <w:szCs w:val="20"/>
          <w:color w:val="auto"/>
        </w:rPr>
      </w:pPr>
      <w:r>
        <w:rPr>
          <w:rFonts w:ascii="Arial" w:cs="Arial" w:eastAsia="Arial" w:hAnsi="Arial"/>
          <w:sz w:val="17"/>
          <w:szCs w:val="17"/>
          <w:color w:val="auto"/>
        </w:rPr>
        <w:t>The Company’s net pension cost (credit) includes an expected return on plan assets component, calculated using the expected return on plan assets assumption applied to a market-related value of plan assets. The market-related value of</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76" w:name="page77"/>
    <w:bookmarkEnd w:id="76"/>
    <w:p>
      <w:pPr>
        <w:jc w:val="both"/>
        <w:ind w:left="9"/>
        <w:spacing w:after="0" w:line="232" w:lineRule="auto"/>
        <w:rPr>
          <w:sz w:val="20"/>
          <w:szCs w:val="20"/>
          <w:color w:val="auto"/>
        </w:rPr>
      </w:pPr>
      <w:r>
        <w:rPr>
          <w:rFonts w:ascii="Arial" w:cs="Arial" w:eastAsia="Arial" w:hAnsi="Arial"/>
          <w:sz w:val="17"/>
          <w:szCs w:val="17"/>
          <w:color w:val="auto"/>
        </w:rPr>
        <w:t>plan assets is determined using a five-year average market value method, which recognizes realized and unrealized appreciation and depreciation in values over a five-year period. The value resulting from applying this method is adjusted, if necessary, such that it cannot be less than 80% or more th 120% of the market value of plan assets as of the relevant measurement date. As a result, year-to-year increases or decreases in the market-related v of plan assets impact the return on plan assets component of pension cost (credit) for the year.</w:t>
      </w:r>
    </w:p>
    <w:p>
      <w:pPr>
        <w:spacing w:after="0" w:line="175"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At the end of each year, differences between the actual return on plan assets and the expected return on plan assets are combined with other differen actual versus expected experience to form a net unamortized actuarial gain or loss in accumulated other comprehensive income. Only those net actua gains or losses in excess of the deferred realized and unrealized appreciation and depreciation are potentially subject to amortization. The types of ite that generate actuarial gains and losses that may be subject to amortization in net periodic pension cost (credit) include the following:</w:t>
      </w:r>
    </w:p>
    <w:p>
      <w:pPr>
        <w:spacing w:after="0" w:line="161" w:lineRule="exact"/>
        <w:rPr>
          <w:sz w:val="20"/>
          <w:szCs w:val="20"/>
          <w:color w:val="auto"/>
        </w:rPr>
      </w:pPr>
    </w:p>
    <w:p>
      <w:pPr>
        <w:ind w:left="289" w:hanging="289"/>
        <w:spacing w:after="0"/>
        <w:tabs>
          <w:tab w:leader="none" w:pos="2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Asset returns that are more or less than the expected return on plan assets for the year;</w:t>
      </w:r>
    </w:p>
    <w:p>
      <w:pPr>
        <w:ind w:left="289" w:hanging="289"/>
        <w:spacing w:after="0" w:line="228" w:lineRule="auto"/>
        <w:tabs>
          <w:tab w:leader="none" w:pos="2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participant demographic experience different from assumed (retirements, terminations and deaths during the year);</w:t>
      </w:r>
    </w:p>
    <w:p>
      <w:pPr>
        <w:ind w:left="289" w:hanging="289"/>
        <w:spacing w:after="0" w:line="228" w:lineRule="auto"/>
        <w:tabs>
          <w:tab w:leader="none" w:pos="28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Actual salary increases different from assumed; and</w:t>
      </w:r>
    </w:p>
    <w:p>
      <w:pPr>
        <w:ind w:left="289" w:right="540" w:hanging="289"/>
        <w:spacing w:after="0" w:line="260" w:lineRule="auto"/>
        <w:tabs>
          <w:tab w:leader="none" w:pos="2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160" w:lineRule="exact"/>
        <w:rPr>
          <w:sz w:val="20"/>
          <w:szCs w:val="20"/>
          <w:color w:val="auto"/>
        </w:rPr>
      </w:pPr>
    </w:p>
    <w:p>
      <w:pPr>
        <w:ind w:left="9"/>
        <w:spacing w:after="0" w:line="229" w:lineRule="auto"/>
        <w:rPr>
          <w:sz w:val="20"/>
          <w:szCs w:val="20"/>
          <w:color w:val="auto"/>
        </w:rPr>
      </w:pPr>
      <w:r>
        <w:rPr>
          <w:rFonts w:ascii="Arial" w:cs="Arial" w:eastAsia="Arial" w:hAnsi="Arial"/>
          <w:sz w:val="17"/>
          <w:szCs w:val="17"/>
          <w:color w:val="auto"/>
        </w:rPr>
        <w:t>Amortization of the unrecognized actuarial gain or loss is included as a component of expense for a year if the magnitude of the net unamortized gain loss in accumulated other comprehensive income exceeds 10% of the greater of the benefit obligation or the market-related value of assets (10% corr The amortization component is equal to that excess divided by the average remaining service period of active employees expected to receive benefits the plan. At the end of 2009, the Company had no net unamortized actuarial gains or losses in accumulated other comprehensive income potentially s to amortization that were outside the 10% corridor, and therefore, no amortized gain or loss amounts were included in the pension credit in 2010. Duri 2010, there were pension asset gains offset by a decrease in the discount rate that resulted in no net unamortized actuarial gains or losses in accumu other comprehensive income subject to amortization outside the 10% corridor, and therefore, no amortized gain or loss amounts were included in the pension credit in 2011. During 2011, there was a further decrease in the discount rate offset by pension asset gains that resulted in net unamortized actuarial losses in accumulated other comprehensive income subject to amortization outside the corridor, and therefore, an amortized loss amount of million is included in the pension cost for 2012.</w:t>
      </w:r>
    </w:p>
    <w:p>
      <w:pPr>
        <w:spacing w:after="0" w:line="182"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During 2012, there were pension asset gains and a further decrease in the discount rate. Primarily as a result of the decrease in the discount rate, the Company currently estimates that there will be net unamortized actuarial losses in accumulated other comprehensive income subject to amortization o the corridor, and therefore, an amortized loss amount of $9 million is included in the estimated pension cost for 2013.</w:t>
      </w:r>
    </w:p>
    <w:p>
      <w:pPr>
        <w:spacing w:after="0" w:line="175" w:lineRule="exact"/>
        <w:rPr>
          <w:sz w:val="20"/>
          <w:szCs w:val="20"/>
          <w:color w:val="auto"/>
        </w:rPr>
      </w:pPr>
    </w:p>
    <w:p>
      <w:pPr>
        <w:ind w:left="9"/>
        <w:spacing w:after="0"/>
        <w:rPr>
          <w:sz w:val="20"/>
          <w:szCs w:val="20"/>
          <w:color w:val="auto"/>
        </w:rPr>
      </w:pPr>
      <w:r>
        <w:rPr>
          <w:rFonts w:ascii="Arial" w:cs="Arial" w:eastAsia="Arial" w:hAnsi="Arial"/>
          <w:sz w:val="17"/>
          <w:szCs w:val="17"/>
          <w:color w:val="auto"/>
        </w:rPr>
        <w:t>Overall, the Company estimates that it will record a net pension cost of approximately $18 million in 2013.</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7"/>
          <w:szCs w:val="17"/>
          <w:color w:val="auto"/>
        </w:rPr>
        <w:t>Note 13 to the Company’s Consolidated Financial Statements provides additional details surrounding pension costs and related assumptions.</w:t>
      </w:r>
    </w:p>
    <w:p>
      <w:pPr>
        <w:spacing w:after="0" w:line="157" w:lineRule="exact"/>
        <w:rPr>
          <w:sz w:val="20"/>
          <w:szCs w:val="20"/>
          <w:color w:val="auto"/>
        </w:rPr>
      </w:pPr>
    </w:p>
    <w:p>
      <w:pPr>
        <w:jc w:val="both"/>
        <w:ind w:left="9"/>
        <w:spacing w:after="0" w:line="238" w:lineRule="auto"/>
        <w:rPr>
          <w:sz w:val="20"/>
          <w:szCs w:val="20"/>
          <w:color w:val="auto"/>
        </w:rPr>
      </w:pPr>
      <w:r>
        <w:rPr>
          <w:rFonts w:ascii="Arial" w:cs="Arial" w:eastAsia="Arial" w:hAnsi="Arial"/>
          <w:sz w:val="17"/>
          <w:szCs w:val="17"/>
          <w:b w:val="1"/>
          <w:bCs w:val="1"/>
          <w:color w:val="auto"/>
        </w:rPr>
        <w:t xml:space="preserve">Income Tax Valuation Allowances. </w:t>
      </w:r>
      <w:r>
        <w:rPr>
          <w:rFonts w:ascii="Arial" w:cs="Arial" w:eastAsia="Arial" w:hAnsi="Arial"/>
          <w:sz w:val="17"/>
          <w:szCs w:val="17"/>
          <w:color w:val="auto"/>
        </w:rPr>
        <w:t>Deferred income taxes arise from temporary differences between the tax and financial statement recognition of a</w:t>
      </w:r>
      <w:r>
        <w:rPr>
          <w:rFonts w:ascii="Arial" w:cs="Arial" w:eastAsia="Arial" w:hAnsi="Arial"/>
          <w:sz w:val="17"/>
          <w:szCs w:val="17"/>
          <w:b w:val="1"/>
          <w:bCs w:val="1"/>
          <w:color w:val="auto"/>
        </w:rPr>
        <w:t xml:space="preserve"> </w:t>
      </w:r>
      <w:r>
        <w:rPr>
          <w:rFonts w:ascii="Arial" w:cs="Arial" w:eastAsia="Arial" w:hAnsi="Arial"/>
          <w:sz w:val="17"/>
          <w:szCs w:val="17"/>
          <w:color w:val="auto"/>
        </w:rPr>
        <w:t>and liabilities. In evaluating its ability to recover deferred tax assets within the jurisdiction from which they arise, the Company considers all available p and negative evidence, including scheduled reversals of deferred tax liabilities, projected future taxable income, tax planning strategies and recent fina operations. These assumptions require significant judgment about forecasts of future taxable income.</w:t>
      </w:r>
    </w:p>
    <w:p>
      <w:pPr>
        <w:spacing w:after="0" w:line="175"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As of December 31, 2012, the Company had state income tax net operating loss carryforwards of $666.7 million, which will expire at various dates fro 2013 through 2032. Also at December 31, 2012, the Company had approximately $93.0 million of non-U.S. income tax loss carryforwards, of which $8 million may be carried forward indefinitely; $3.0 million of losses that, if unutilized, will expire in varying amounts through 2017; and $5.4 million of loss that, if unutilized, will start to expire after 2017. At December 31, 2012, the Company has established approximately $78.1 million in valuation allowan against deferred state tax assets, net of U.S. Federal income taxes, and non-U.S. deferred tax assets, as the Company believes that it is more likely t not that the benefit from certain state and non-U.S. net operating loss carryforwards and other deferred tax assets will not be realized. The Company h established valuation allowances</w:t>
      </w:r>
    </w:p>
    <w:p>
      <w:pPr>
        <w:spacing w:after="0" w:line="20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77" w:name="page78"/>
    <w:bookmarkEnd w:id="77"/>
    <w:p>
      <w:pPr>
        <w:spacing w:after="0" w:line="230" w:lineRule="auto"/>
        <w:rPr>
          <w:sz w:val="20"/>
          <w:szCs w:val="20"/>
          <w:color w:val="auto"/>
        </w:rPr>
      </w:pPr>
      <w:r>
        <w:rPr>
          <w:rFonts w:ascii="Arial" w:cs="Arial" w:eastAsia="Arial" w:hAnsi="Arial"/>
          <w:sz w:val="17"/>
          <w:szCs w:val="17"/>
          <w:color w:val="auto"/>
        </w:rPr>
        <w:t>against state income tax benefits recognized, without considering potentially offsetting deferred tax liabilities established with respect to prepaid pensi cost and goodwill. Prepaid pension cost and goodwill have not been considered a source of future taxable income for realizing deferred tax benefits recognized since these temporary differences are not likely to reverse in the foreseeable future. The valuation allowances established against state an non-U.S. income tax benefits recorded may increase or decrease within the next 12 months, based on operating results, the market value of investme holdings or business and tax planning strategies; as a result, the Company is unable to estimate the potential tax impact, given the uncertain operatin market environment. The Company will be monitoring future operating results and projected future operating results on a quarterly basis to determine whether the valuation allowances provided against state and non-U.S. deferred tax assets should be increased or decreased, as future circumstances warrant.</w:t>
      </w:r>
    </w:p>
    <w:p>
      <w:pPr>
        <w:spacing w:after="0" w:line="157" w:lineRule="exact"/>
        <w:rPr>
          <w:sz w:val="20"/>
          <w:szCs w:val="20"/>
          <w:color w:val="auto"/>
        </w:rPr>
      </w:pPr>
    </w:p>
    <w:p>
      <w:pPr>
        <w:ind w:right="420"/>
        <w:spacing w:after="0" w:line="255" w:lineRule="auto"/>
        <w:rPr>
          <w:sz w:val="20"/>
          <w:szCs w:val="20"/>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color w:val="auto"/>
        </w:rPr>
        <w:t>See Note 2 to the Company’s Consolidated Financial Statements for a discussion of recent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pronouncements.</w:t>
      </w:r>
    </w:p>
    <w:p>
      <w:pPr>
        <w:spacing w:after="0" w:line="18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78" w:name="page79"/>
    <w:bookmarkEnd w:id="78"/>
    <w:p>
      <w:pPr>
        <w:ind w:left="2409"/>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97"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Management of The Washington Post Company is responsible for establishing and maintaining adequate internal control over financial reporting (as d in Exchange Act Rules 13a-15(f) and 15d-15(f)).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75"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receipts and expenditures of the Company are being made only in accordance with authorizations of management and directors of the Company; and</w:t>
      </w:r>
    </w:p>
    <w:p>
      <w:pPr>
        <w:spacing w:after="0" w:line="3" w:lineRule="exact"/>
        <w:rPr>
          <w:sz w:val="20"/>
          <w:szCs w:val="20"/>
          <w:color w:val="auto"/>
        </w:rPr>
      </w:pPr>
    </w:p>
    <w:p>
      <w:pPr>
        <w:ind w:left="9" w:hanging="9"/>
        <w:spacing w:after="0" w:line="235" w:lineRule="auto"/>
        <w:tabs>
          <w:tab w:leader="none" w:pos="275"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 could have a material effect on the financial statements.</w:t>
      </w:r>
    </w:p>
    <w:p>
      <w:pPr>
        <w:spacing w:after="0" w:line="176" w:lineRule="exact"/>
        <w:rPr>
          <w:sz w:val="20"/>
          <w:szCs w:val="20"/>
          <w:color w:val="auto"/>
        </w:rPr>
      </w:pPr>
    </w:p>
    <w:p>
      <w:pPr>
        <w:ind w:left="9" w:right="40"/>
        <w:spacing w:after="0" w:line="23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The Company’s management assessed the effectiveness of internal control over financial reporting as of December 31, 2012. In making this assessm management used the criteria set forth by the Committee of Sponsoring Organizations of the Treadway Commission (COSO) in Internal Control — Integrated Framework. Management has concluded that, as of December 31, 2012, the Company’s internal control over financial reporting was effecti based on these criteria.</w:t>
      </w:r>
    </w:p>
    <w:p>
      <w:pPr>
        <w:spacing w:after="0" w:line="175"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The effectiveness of the Company’s internal control over financial reporting as of December 31, 2012 has been audited by PricewaterhouseCoopers L independent registered public accounting firm, as stated in their report included herein.</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42" w:right="13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29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w:t>
      </w:r>
    </w:p>
    <w:p>
      <w:pPr>
        <w:spacing w:after="0"/>
        <w:rPr>
          <w:sz w:val="20"/>
          <w:szCs w:val="20"/>
          <w:color w:val="auto"/>
        </w:rPr>
      </w:pPr>
      <w:r>
        <w:rPr>
          <w:rFonts w:ascii="Arial" w:cs="Arial" w:eastAsia="Arial" w:hAnsi="Arial"/>
          <w:sz w:val="17"/>
          <w:szCs w:val="17"/>
          <w:color w:val="auto"/>
        </w:rPr>
        <w:t>Shareholders of The Washington Post Company:</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 xml:space="preserve">In our opinion, the consolidated financial statements referred to under Item 15 (1) on page 50 and listed in the index on page 52 present fairly, in all m respects, the financial position of The Washington Post Company and its subsidiaries at December 31, 2012 and 2011, and the results of their operati and their cash flows for each of the three years in the period ended December 31, 2012 in conformity with accounting principles generally accepted in United States of America. Also in our opinion, the Company maintained, in all material respects, effective internal control over financial reporting as of December 31,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Treadway Commission (COSO). The Company’s management is responsible for these financial statements, for maintaining effective internal control o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 internal control over financial reporting based on our integrated audits. We conducted our audits in accordance with the standards of the Public Comp Accounting Oversight Board (United States). Those standards require that we plan and perform the audits to obtain reasonable assurance about whet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 the risk that a material weakness exists and testing and evaluating the design and operating effectiveness of internal control based on the assessed ri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 and the preparation of financial statements for external purposes in accordance with generally accepted accounting principles. A company’s internal c over financial reporting includes those policies and procedures that (i) pertain to the maintenance of records that, in reasonable detail, accurately and reflect the transactions and dispositions of the assets of the company; (ii) provide reasonable assurance that transactions are recorded as necessary t permit preparation of financial statements in accordance with generally accepted accounting principles and that receipts and expenditures of the comp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7"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rPr>
          <w:sz w:val="20"/>
          <w:szCs w:val="20"/>
          <w:color w:val="auto"/>
        </w:rPr>
      </w:pPr>
      <w:r>
        <w:rPr>
          <w:rFonts w:ascii="Arial" w:cs="Arial" w:eastAsia="Arial" w:hAnsi="Arial"/>
          <w:sz w:val="17"/>
          <w:szCs w:val="17"/>
          <w:color w:val="auto"/>
        </w:rPr>
        <w:t>February 27, 2013</w:t>
      </w:r>
    </w:p>
    <w:p>
      <w:pPr>
        <w:spacing w:after="0" w:line="20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8" w:right="139" w:bottom="1440" w:gutter="0" w:footer="0" w:header="0"/>
        </w:sectPr>
      </w:pPr>
    </w:p>
    <w:bookmarkStart w:id="81" w:name="page82"/>
    <w:bookmarkEnd w:id="81"/>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Fiscal Year Ended</w:t>
            </w:r>
          </w:p>
        </w:tc>
        <w:tc>
          <w:tcPr>
            <w:tcW w:w="540" w:type="dxa"/>
            <w:vAlign w:val="bottom"/>
            <w:tcBorders>
              <w:bottom w:val="single" w:sz="8" w:color="auto"/>
            </w:tcBorders>
          </w:tcPr>
          <w:p>
            <w:pPr>
              <w:spacing w:after="0"/>
              <w:rPr>
                <w:sz w:val="13"/>
                <w:szCs w:val="13"/>
                <w:color w:val="auto"/>
              </w:rPr>
            </w:pPr>
          </w:p>
        </w:tc>
      </w:tr>
      <w:tr>
        <w:trPr>
          <w:trHeight w:val="114"/>
        </w:trPr>
        <w:tc>
          <w:tcPr>
            <w:tcW w:w="7900" w:type="dxa"/>
            <w:vAlign w:val="bottom"/>
          </w:tcPr>
          <w:p>
            <w:pPr>
              <w:spacing w:after="0"/>
              <w:rPr>
                <w:sz w:val="9"/>
                <w:szCs w:val="9"/>
                <w:color w:val="auto"/>
              </w:rPr>
            </w:pPr>
          </w:p>
        </w:tc>
        <w:tc>
          <w:tcPr>
            <w:tcW w:w="11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December 31,</w:t>
            </w:r>
          </w:p>
        </w:tc>
        <w:tc>
          <w:tcPr>
            <w:tcW w:w="1400" w:type="dxa"/>
            <w:vAlign w:val="bottom"/>
          </w:tcPr>
          <w:p>
            <w:pPr>
              <w:jc w:val="center"/>
              <w:spacing w:after="0" w:line="114" w:lineRule="exact"/>
              <w:rPr>
                <w:sz w:val="20"/>
                <w:szCs w:val="20"/>
                <w:color w:val="auto"/>
              </w:rPr>
            </w:pPr>
            <w:r>
              <w:rPr>
                <w:rFonts w:ascii="Arial" w:cs="Arial" w:eastAsia="Arial" w:hAnsi="Arial"/>
                <w:sz w:val="12"/>
                <w:szCs w:val="12"/>
                <w:color w:val="auto"/>
              </w:rPr>
              <w:t>December 31,</w:t>
            </w:r>
          </w:p>
        </w:tc>
        <w:tc>
          <w:tcPr>
            <w:tcW w:w="540" w:type="dxa"/>
            <w:vAlign w:val="bottom"/>
          </w:tcPr>
          <w:p>
            <w:pPr>
              <w:jc w:val="right"/>
              <w:spacing w:after="0" w:line="114" w:lineRule="exact"/>
              <w:rPr>
                <w:sz w:val="20"/>
                <w:szCs w:val="20"/>
                <w:color w:val="auto"/>
              </w:rPr>
            </w:pPr>
            <w:r>
              <w:rPr>
                <w:rFonts w:ascii="Arial" w:cs="Arial" w:eastAsia="Arial" w:hAnsi="Arial"/>
                <w:sz w:val="12"/>
                <w:szCs w:val="12"/>
                <w:color w:val="auto"/>
              </w:rPr>
              <w:t>Janua</w:t>
            </w:r>
          </w:p>
        </w:tc>
      </w:tr>
      <w:tr>
        <w:trPr>
          <w:trHeight w:val="160"/>
        </w:trPr>
        <w:tc>
          <w:tcPr>
            <w:tcW w:w="7900" w:type="dxa"/>
            <w:vAlign w:val="bottom"/>
          </w:tcPr>
          <w:p>
            <w:pPr>
              <w:spacing w:after="0"/>
              <w:rPr>
                <w:sz w:val="20"/>
                <w:szCs w:val="20"/>
                <w:color w:val="auto"/>
              </w:rPr>
            </w:pPr>
            <w:r>
              <w:rPr>
                <w:rFonts w:ascii="Arial" w:cs="Arial" w:eastAsia="Arial" w:hAnsi="Arial"/>
                <w:sz w:val="12"/>
                <w:szCs w:val="12"/>
                <w:color w:val="auto"/>
              </w:rPr>
              <w:t>(in thousands, except per share amounts)</w:t>
            </w:r>
          </w:p>
        </w:tc>
        <w:tc>
          <w:tcPr>
            <w:tcW w:w="1100" w:type="dxa"/>
            <w:vAlign w:val="bottom"/>
          </w:tcPr>
          <w:p>
            <w:pPr>
              <w:jc w:val="right"/>
              <w:ind w:right="318"/>
              <w:spacing w:after="0"/>
              <w:rPr>
                <w:sz w:val="20"/>
                <w:szCs w:val="20"/>
                <w:color w:val="auto"/>
              </w:rPr>
            </w:pPr>
            <w:r>
              <w:rPr>
                <w:rFonts w:ascii="Arial" w:cs="Arial" w:eastAsia="Arial" w:hAnsi="Arial"/>
                <w:sz w:val="12"/>
                <w:szCs w:val="12"/>
                <w:b w:val="1"/>
                <w:bCs w:val="1"/>
                <w:color w:val="auto"/>
              </w:rPr>
              <w:t>2012</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2011</w:t>
            </w:r>
          </w:p>
        </w:tc>
        <w:tc>
          <w:tcPr>
            <w:tcW w:w="540" w:type="dxa"/>
            <w:vAlign w:val="bottom"/>
          </w:tcPr>
          <w:p>
            <w:pPr>
              <w:jc w:val="right"/>
              <w:spacing w:after="0"/>
              <w:rPr>
                <w:sz w:val="20"/>
                <w:szCs w:val="20"/>
                <w:color w:val="auto"/>
              </w:rPr>
            </w:pPr>
            <w:r>
              <w:rPr>
                <w:rFonts w:ascii="Arial" w:cs="Arial" w:eastAsia="Arial" w:hAnsi="Arial"/>
                <w:sz w:val="12"/>
                <w:szCs w:val="12"/>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695325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p>
      <w:pPr>
        <w:spacing w:after="0" w:line="221" w:lineRule="auto"/>
        <w:rPr>
          <w:sz w:val="20"/>
          <w:szCs w:val="20"/>
          <w:color w:val="auto"/>
        </w:rPr>
      </w:pPr>
      <w:r>
        <w:rPr>
          <w:rFonts w:ascii="Arial" w:cs="Arial" w:eastAsia="Arial" w:hAnsi="Arial"/>
          <w:sz w:val="14"/>
          <w:szCs w:val="14"/>
          <w:b w:val="1"/>
          <w:bCs w:val="1"/>
          <w:color w:val="auto"/>
        </w:rPr>
        <w:t>Operating Revenues</w:t>
      </w:r>
    </w:p>
    <w:p>
      <w:pPr>
        <w:ind w:left="220"/>
        <w:spacing w:after="0" w:line="222" w:lineRule="auto"/>
        <w:rPr>
          <w:sz w:val="20"/>
          <w:szCs w:val="20"/>
          <w:color w:val="auto"/>
        </w:rPr>
      </w:pPr>
      <w:r>
        <w:rPr>
          <w:rFonts w:ascii="Arial" w:cs="Arial" w:eastAsia="Arial" w:hAnsi="Arial"/>
          <w:sz w:val="14"/>
          <w:szCs w:val="14"/>
          <w:color w:val="auto"/>
        </w:rPr>
        <w:t>Education</w:t>
      </w:r>
    </w:p>
    <w:p>
      <w:pPr>
        <w:ind w:left="220"/>
        <w:spacing w:after="0" w:line="222" w:lineRule="auto"/>
        <w:rPr>
          <w:sz w:val="20"/>
          <w:szCs w:val="20"/>
          <w:color w:val="auto"/>
        </w:rPr>
      </w:pPr>
      <w:r>
        <w:rPr>
          <w:rFonts w:ascii="Arial" w:cs="Arial" w:eastAsia="Arial" w:hAnsi="Arial"/>
          <w:sz w:val="14"/>
          <w:szCs w:val="14"/>
          <w:color w:val="auto"/>
        </w:rPr>
        <w:t>Advertising</w:t>
      </w:r>
    </w:p>
    <w:p>
      <w:pPr>
        <w:ind w:left="220"/>
        <w:spacing w:after="0" w:line="222" w:lineRule="auto"/>
        <w:rPr>
          <w:sz w:val="20"/>
          <w:szCs w:val="20"/>
          <w:color w:val="auto"/>
        </w:rPr>
      </w:pPr>
      <w:r>
        <w:rPr>
          <w:rFonts w:ascii="Arial" w:cs="Arial" w:eastAsia="Arial" w:hAnsi="Arial"/>
          <w:sz w:val="14"/>
          <w:szCs w:val="14"/>
          <w:color w:val="auto"/>
        </w:rPr>
        <w:t>Circulation and subscriber</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Costs and Expenses</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Operating</w:t>
      </w:r>
    </w:p>
    <w:p>
      <w:pPr>
        <w:ind w:left="220"/>
        <w:spacing w:after="0" w:line="221" w:lineRule="auto"/>
        <w:rPr>
          <w:sz w:val="20"/>
          <w:szCs w:val="20"/>
          <w:color w:val="auto"/>
        </w:rPr>
      </w:pPr>
      <w:r>
        <w:rPr>
          <w:rFonts w:ascii="Arial" w:cs="Arial" w:eastAsia="Arial" w:hAnsi="Arial"/>
          <w:sz w:val="14"/>
          <w:szCs w:val="14"/>
          <w:color w:val="auto"/>
        </w:rPr>
        <w:t>Selling, general and administrative</w:t>
      </w:r>
    </w:p>
    <w:p>
      <w:pPr>
        <w:ind w:left="220"/>
        <w:spacing w:after="0" w:line="222" w:lineRule="auto"/>
        <w:rPr>
          <w:sz w:val="20"/>
          <w:szCs w:val="20"/>
          <w:color w:val="auto"/>
        </w:rPr>
      </w:pPr>
      <w:r>
        <w:rPr>
          <w:rFonts w:ascii="Arial" w:cs="Arial" w:eastAsia="Arial" w:hAnsi="Arial"/>
          <w:sz w:val="14"/>
          <w:szCs w:val="14"/>
          <w:color w:val="auto"/>
        </w:rPr>
        <w:t>Depreciation of property, plant and equipment</w:t>
      </w:r>
    </w:p>
    <w:p>
      <w:pPr>
        <w:ind w:left="220"/>
        <w:spacing w:after="0" w:line="222" w:lineRule="auto"/>
        <w:rPr>
          <w:sz w:val="20"/>
          <w:szCs w:val="20"/>
          <w:color w:val="auto"/>
        </w:rPr>
      </w:pPr>
      <w:r>
        <w:rPr>
          <w:rFonts w:ascii="Arial" w:cs="Arial" w:eastAsia="Arial" w:hAnsi="Arial"/>
          <w:sz w:val="14"/>
          <w:szCs w:val="14"/>
          <w:color w:val="auto"/>
        </w:rPr>
        <w:t>Amortization of intangible assets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Impairment of goodwill and other long-lived assets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from Operations</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Equity in earnings (losses) of affiliates, net</w:t>
      </w:r>
    </w:p>
    <w:p>
      <w:pPr>
        <w:ind w:left="220"/>
        <w:spacing w:after="0" w:line="221" w:lineRule="auto"/>
        <w:rPr>
          <w:sz w:val="20"/>
          <w:szCs w:val="20"/>
          <w:color w:val="auto"/>
        </w:rPr>
      </w:pPr>
      <w:r>
        <w:rPr>
          <w:rFonts w:ascii="Arial" w:cs="Arial" w:eastAsia="Arial" w:hAnsi="Arial"/>
          <w:sz w:val="14"/>
          <w:szCs w:val="14"/>
          <w:color w:val="auto"/>
        </w:rPr>
        <w:t>Interest income</w:t>
      </w:r>
    </w:p>
    <w:p>
      <w:pPr>
        <w:ind w:left="220"/>
        <w:spacing w:after="0" w:line="222" w:lineRule="auto"/>
        <w:rPr>
          <w:sz w:val="20"/>
          <w:szCs w:val="20"/>
          <w:color w:val="auto"/>
        </w:rPr>
      </w:pPr>
      <w:r>
        <w:rPr>
          <w:rFonts w:ascii="Arial" w:cs="Arial" w:eastAsia="Arial" w:hAnsi="Arial"/>
          <w:sz w:val="14"/>
          <w:szCs w:val="14"/>
          <w:color w:val="auto"/>
        </w:rPr>
        <w:t>Interest expense</w:t>
      </w:r>
    </w:p>
    <w:p>
      <w:pPr>
        <w:ind w:left="220"/>
        <w:spacing w:after="0" w:line="222" w:lineRule="auto"/>
        <w:rPr>
          <w:sz w:val="20"/>
          <w:szCs w:val="20"/>
          <w:color w:val="auto"/>
        </w:rPr>
      </w:pPr>
      <w:r>
        <w:rPr>
          <w:rFonts w:ascii="Arial" w:cs="Arial" w:eastAsia="Arial" w:hAnsi="Arial"/>
          <w:sz w:val="14"/>
          <w:szCs w:val="14"/>
          <w:color w:val="auto"/>
        </w:rPr>
        <w:t>Other (expense) income, net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from Continuing Operations Before Income Taxes</w:t>
      </w:r>
    </w:p>
    <w:p>
      <w:pPr>
        <w:spacing w:after="0" w:line="222" w:lineRule="auto"/>
        <w:rPr>
          <w:sz w:val="20"/>
          <w:szCs w:val="20"/>
          <w:color w:val="auto"/>
        </w:rPr>
      </w:pPr>
      <w:r>
        <w:rPr>
          <w:rFonts w:ascii="Arial" w:cs="Arial" w:eastAsia="Arial" w:hAnsi="Arial"/>
          <w:sz w:val="14"/>
          <w:szCs w:val="14"/>
          <w:b w:val="1"/>
          <w:bCs w:val="1"/>
          <w:color w:val="auto"/>
        </w:rPr>
        <w:t>Provision for Income Taxes</w:t>
      </w:r>
    </w:p>
    <w:p>
      <w:pPr>
        <w:spacing w:after="0"/>
        <w:rPr>
          <w:sz w:val="20"/>
          <w:szCs w:val="20"/>
          <w:color w:val="auto"/>
        </w:rPr>
      </w:pPr>
      <w:r>
        <w:rPr>
          <w:rFonts w:ascii="Arial" w:cs="Arial" w:eastAsia="Arial" w:hAnsi="Arial"/>
          <w:sz w:val="14"/>
          <w:szCs w:val="14"/>
          <w:b w:val="1"/>
          <w:bCs w:val="1"/>
          <w:color w:val="auto"/>
        </w:rPr>
        <w:t>Income from Continuing Operations</w:t>
      </w:r>
    </w:p>
    <w:p>
      <w:pPr>
        <w:spacing w:after="0" w:line="222" w:lineRule="auto"/>
        <w:rPr>
          <w:sz w:val="20"/>
          <w:szCs w:val="20"/>
          <w:color w:val="auto"/>
        </w:rPr>
      </w:pPr>
      <w:r>
        <w:rPr>
          <w:rFonts w:ascii="Arial" w:cs="Arial" w:eastAsia="Arial" w:hAnsi="Arial"/>
          <w:sz w:val="14"/>
          <w:szCs w:val="14"/>
          <w:b w:val="1"/>
          <w:bCs w:val="1"/>
          <w:color w:val="auto"/>
        </w:rPr>
        <w:t>Income (Loss) from Discontinued Operations, Net of Tax</w:t>
      </w:r>
    </w:p>
    <w:p>
      <w:pPr>
        <w:spacing w:after="0"/>
        <w:rPr>
          <w:sz w:val="20"/>
          <w:szCs w:val="20"/>
          <w:color w:val="auto"/>
        </w:rPr>
      </w:pPr>
      <w:r>
        <w:rPr>
          <w:rFonts w:ascii="Arial" w:cs="Arial" w:eastAsia="Arial" w:hAnsi="Arial"/>
          <w:sz w:val="14"/>
          <w:szCs w:val="14"/>
          <w:b w:val="1"/>
          <w:bCs w:val="1"/>
          <w:color w:val="auto"/>
        </w:rPr>
        <w:t>Net Income</w:t>
      </w:r>
    </w:p>
    <w:p>
      <w:pPr>
        <w:spacing w:after="0" w:line="222" w:lineRule="auto"/>
        <w:rPr>
          <w:sz w:val="20"/>
          <w:szCs w:val="20"/>
          <w:color w:val="auto"/>
        </w:rPr>
      </w:pPr>
      <w:r>
        <w:rPr>
          <w:rFonts w:ascii="Arial" w:cs="Arial" w:eastAsia="Arial" w:hAnsi="Arial"/>
          <w:sz w:val="14"/>
          <w:szCs w:val="14"/>
          <w:b w:val="1"/>
          <w:bCs w:val="1"/>
          <w:color w:val="auto"/>
        </w:rPr>
        <w:t>Net (Income) Loss Attributable to Noncontrolling Interests</w:t>
      </w:r>
    </w:p>
    <w:p>
      <w:pPr>
        <w:spacing w:after="0"/>
        <w:rPr>
          <w:sz w:val="20"/>
          <w:szCs w:val="20"/>
          <w:color w:val="auto"/>
        </w:rPr>
      </w:pPr>
      <w:r>
        <w:rPr>
          <w:rFonts w:ascii="Arial" w:cs="Arial" w:eastAsia="Arial" w:hAnsi="Arial"/>
          <w:sz w:val="14"/>
          <w:szCs w:val="14"/>
          <w:b w:val="1"/>
          <w:bCs w:val="1"/>
          <w:color w:val="auto"/>
        </w:rPr>
        <w:t>Net Income Attributable to The Washington Post Company</w:t>
      </w:r>
    </w:p>
    <w:p>
      <w:pPr>
        <w:spacing w:after="0"/>
        <w:rPr>
          <w:sz w:val="20"/>
          <w:szCs w:val="20"/>
          <w:color w:val="auto"/>
        </w:rPr>
      </w:pPr>
      <w:r>
        <w:rPr>
          <w:rFonts w:ascii="Arial" w:cs="Arial" w:eastAsia="Arial" w:hAnsi="Arial"/>
          <w:sz w:val="14"/>
          <w:szCs w:val="14"/>
          <w:b w:val="1"/>
          <w:bCs w:val="1"/>
          <w:color w:val="auto"/>
        </w:rPr>
        <w:t>Redeemable Preferred Stock Dividends</w:t>
      </w:r>
    </w:p>
    <w:p>
      <w:pPr>
        <w:ind w:right="1700"/>
        <w:spacing w:after="0" w:line="249" w:lineRule="auto"/>
        <w:rPr>
          <w:sz w:val="20"/>
          <w:szCs w:val="20"/>
          <w:color w:val="auto"/>
        </w:rPr>
      </w:pPr>
      <w:r>
        <w:rPr>
          <w:rFonts w:ascii="Arial" w:cs="Arial" w:eastAsia="Arial" w:hAnsi="Arial"/>
          <w:sz w:val="14"/>
          <w:szCs w:val="14"/>
          <w:b w:val="1"/>
          <w:bCs w:val="1"/>
          <w:color w:val="auto"/>
        </w:rPr>
        <w:t>Net Income Attributable to The Washington Post Company Common Stockholders Amounts Attributable to The Washington Post Company Common Stockholders</w:t>
      </w:r>
    </w:p>
    <w:p>
      <w:pPr>
        <w:spacing w:after="0" w:line="223" w:lineRule="auto"/>
        <w:rPr>
          <w:sz w:val="20"/>
          <w:szCs w:val="20"/>
          <w:color w:val="auto"/>
        </w:rPr>
      </w:pPr>
      <w:r>
        <w:rPr>
          <w:rFonts w:ascii="Arial" w:cs="Arial" w:eastAsia="Arial" w:hAnsi="Arial"/>
          <w:sz w:val="14"/>
          <w:szCs w:val="14"/>
          <w:color w:val="auto"/>
        </w:rPr>
        <w:t>Income from continuing operations</w:t>
      </w:r>
    </w:p>
    <w:p>
      <w:pPr>
        <w:spacing w:after="0"/>
        <w:rPr>
          <w:sz w:val="20"/>
          <w:szCs w:val="20"/>
          <w:color w:val="auto"/>
        </w:rPr>
      </w:pPr>
      <w:r>
        <w:rPr>
          <w:rFonts w:ascii="Arial" w:cs="Arial" w:eastAsia="Arial" w:hAnsi="Arial"/>
          <w:sz w:val="14"/>
          <w:szCs w:val="14"/>
          <w:color w:val="auto"/>
        </w:rPr>
        <w:t>Income (loss) from discontinued operations, net of tax</w:t>
      </w:r>
    </w:p>
    <w:p>
      <w:pPr>
        <w:spacing w:after="0"/>
        <w:rPr>
          <w:sz w:val="20"/>
          <w:szCs w:val="20"/>
          <w:color w:val="auto"/>
        </w:rPr>
      </w:pPr>
      <w:r>
        <w:rPr>
          <w:rFonts w:ascii="Arial" w:cs="Arial" w:eastAsia="Arial" w:hAnsi="Arial"/>
          <w:sz w:val="14"/>
          <w:szCs w:val="14"/>
          <w:color w:val="auto"/>
        </w:rPr>
        <w:t>Net income attributable to The Washington Post Company common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Share Information Attributable to The Washington Post Company Common Stockholders</w:t>
      </w:r>
    </w:p>
    <w:p>
      <w:pPr>
        <w:spacing w:after="0" w:line="229" w:lineRule="auto"/>
        <w:rPr>
          <w:sz w:val="20"/>
          <w:szCs w:val="20"/>
          <w:color w:val="auto"/>
        </w:rPr>
      </w:pPr>
      <w:r>
        <w:rPr>
          <w:rFonts w:ascii="Arial" w:cs="Arial" w:eastAsia="Arial" w:hAnsi="Arial"/>
          <w:sz w:val="14"/>
          <w:szCs w:val="14"/>
          <w:color w:val="auto"/>
        </w:rPr>
        <w:t>Basic income per common share from continuing operations</w:t>
      </w:r>
    </w:p>
    <w:p>
      <w:pPr>
        <w:ind w:right="2920"/>
        <w:spacing w:after="0" w:line="249" w:lineRule="auto"/>
        <w:rPr>
          <w:sz w:val="20"/>
          <w:szCs w:val="20"/>
          <w:color w:val="auto"/>
        </w:rPr>
      </w:pPr>
      <w:r>
        <w:rPr>
          <w:rFonts w:ascii="Arial" w:cs="Arial" w:eastAsia="Arial" w:hAnsi="Arial"/>
          <w:sz w:val="14"/>
          <w:szCs w:val="14"/>
          <w:color w:val="auto"/>
        </w:rPr>
        <w:t>Basic income (loss) per common share from discontinued operations Basic net income per common share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Basic average number of common shares outstanding</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Diluted income per common share from continuing operations</w:t>
      </w:r>
    </w:p>
    <w:p>
      <w:pPr>
        <w:ind w:right="2820"/>
        <w:spacing w:after="0" w:line="249" w:lineRule="auto"/>
        <w:rPr>
          <w:sz w:val="20"/>
          <w:szCs w:val="20"/>
          <w:color w:val="auto"/>
        </w:rPr>
      </w:pPr>
      <w:r>
        <w:rPr>
          <w:rFonts w:ascii="Arial" w:cs="Arial" w:eastAsia="Arial" w:hAnsi="Arial"/>
          <w:sz w:val="14"/>
          <w:szCs w:val="14"/>
          <w:color w:val="auto"/>
        </w:rPr>
        <w:t>Diluted income (loss) per common share from discontinued operations Diluted net income per common share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480" w:hanging="438"/>
        <w:spacing w:after="0"/>
        <w:tabs>
          <w:tab w:leader="none" w:pos="4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2,196,496   </w:t>
      </w:r>
      <w:r>
        <w:rPr>
          <w:rFonts w:ascii="Arial" w:cs="Arial" w:eastAsia="Arial" w:hAnsi="Arial"/>
          <w:sz w:val="14"/>
          <w:szCs w:val="14"/>
          <w:color w:val="auto"/>
        </w:rPr>
        <w:t>$2,404,459   $   2,8</w:t>
      </w:r>
    </w:p>
    <w:tbl>
      <w:tblPr>
        <w:tblLayout w:type="fixed"/>
        <w:tblInd w:w="0" w:type="dxa"/>
        <w:tblCellMar>
          <w:top w:w="0" w:type="dxa"/>
          <w:left w:w="0" w:type="dxa"/>
          <w:bottom w:w="0" w:type="dxa"/>
          <w:right w:w="0" w:type="dxa"/>
        </w:tblCellMar>
      </w:tblPr>
      <w:tr>
        <w:trPr>
          <w:trHeight w:val="137"/>
        </w:trPr>
        <w:tc>
          <w:tcPr>
            <w:tcW w:w="300" w:type="dxa"/>
            <w:vAlign w:val="bottom"/>
          </w:tcPr>
          <w:p>
            <w:pPr>
              <w:spacing w:after="0"/>
              <w:rPr>
                <w:sz w:val="11"/>
                <w:szCs w:val="11"/>
                <w:color w:val="auto"/>
              </w:rPr>
            </w:pPr>
          </w:p>
        </w:tc>
        <w:tc>
          <w:tcPr>
            <w:tcW w:w="900" w:type="dxa"/>
            <w:vAlign w:val="bottom"/>
          </w:tcPr>
          <w:p>
            <w:pPr>
              <w:jc w:val="right"/>
              <w:ind w:right="10"/>
              <w:spacing w:after="0" w:line="137" w:lineRule="exact"/>
              <w:rPr>
                <w:sz w:val="20"/>
                <w:szCs w:val="20"/>
                <w:color w:val="auto"/>
              </w:rPr>
            </w:pPr>
            <w:r>
              <w:rPr>
                <w:rFonts w:ascii="Arial" w:cs="Arial" w:eastAsia="Arial" w:hAnsi="Arial"/>
                <w:sz w:val="14"/>
                <w:szCs w:val="14"/>
                <w:b w:val="1"/>
                <w:bCs w:val="1"/>
                <w:color w:val="auto"/>
              </w:rPr>
              <w:t>785,831</w:t>
            </w:r>
          </w:p>
        </w:tc>
        <w:tc>
          <w:tcPr>
            <w:tcW w:w="340" w:type="dxa"/>
            <w:vAlign w:val="bottom"/>
          </w:tcPr>
          <w:p>
            <w:pPr>
              <w:spacing w:after="0"/>
              <w:rPr>
                <w:sz w:val="11"/>
                <w:szCs w:val="11"/>
                <w:color w:val="auto"/>
              </w:rPr>
            </w:pPr>
          </w:p>
        </w:tc>
        <w:tc>
          <w:tcPr>
            <w:tcW w:w="900" w:type="dxa"/>
            <w:vAlign w:val="bottom"/>
          </w:tcPr>
          <w:p>
            <w:pPr>
              <w:jc w:val="right"/>
              <w:ind w:right="10"/>
              <w:spacing w:after="0" w:line="137" w:lineRule="exact"/>
              <w:rPr>
                <w:sz w:val="20"/>
                <w:szCs w:val="20"/>
                <w:color w:val="auto"/>
              </w:rPr>
            </w:pPr>
            <w:r>
              <w:rPr>
                <w:rFonts w:ascii="Arial" w:cs="Arial" w:eastAsia="Arial" w:hAnsi="Arial"/>
                <w:sz w:val="14"/>
                <w:szCs w:val="14"/>
                <w:color w:val="auto"/>
              </w:rPr>
              <w:t>754,544</w:t>
            </w:r>
          </w:p>
        </w:tc>
        <w:tc>
          <w:tcPr>
            <w:tcW w:w="300" w:type="dxa"/>
            <w:vAlign w:val="bottom"/>
          </w:tcPr>
          <w:p>
            <w:pPr>
              <w:spacing w:after="0"/>
              <w:rPr>
                <w:sz w:val="11"/>
                <w:szCs w:val="11"/>
                <w:color w:val="auto"/>
              </w:rPr>
            </w:pPr>
          </w:p>
        </w:tc>
        <w:tc>
          <w:tcPr>
            <w:tcW w:w="300" w:type="dxa"/>
            <w:vAlign w:val="bottom"/>
          </w:tcPr>
          <w:p>
            <w:pPr>
              <w:jc w:val="right"/>
              <w:spacing w:after="0" w:line="137" w:lineRule="exact"/>
              <w:rPr>
                <w:sz w:val="20"/>
                <w:szCs w:val="20"/>
                <w:color w:val="auto"/>
              </w:rPr>
            </w:pPr>
            <w:r>
              <w:rPr>
                <w:rFonts w:ascii="Arial" w:cs="Arial" w:eastAsia="Arial" w:hAnsi="Arial"/>
                <w:sz w:val="14"/>
                <w:szCs w:val="14"/>
                <w:color w:val="auto"/>
              </w:rPr>
              <w:t>8</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877,503</w:t>
            </w:r>
          </w:p>
        </w:tc>
        <w:tc>
          <w:tcPr>
            <w:tcW w:w="34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856,457</w:t>
            </w: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157,823</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115,685</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4,017,653</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color w:val="auto"/>
              </w:rPr>
              <w:t>4,131,145</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4,5</w:t>
            </w:r>
          </w:p>
        </w:tc>
      </w:tr>
      <w:tr>
        <w:trPr>
          <w:trHeight w:val="271"/>
        </w:trPr>
        <w:tc>
          <w:tcPr>
            <w:tcW w:w="3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1,880,236</w:t>
            </w: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1,904,161</w:t>
            </w:r>
          </w:p>
        </w:tc>
        <w:tc>
          <w:tcPr>
            <w:tcW w:w="3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1,591,648</w:t>
            </w:r>
          </w:p>
        </w:tc>
        <w:tc>
          <w:tcPr>
            <w:tcW w:w="34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1,629,726</w:t>
            </w: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268,643</w:t>
            </w:r>
          </w:p>
        </w:tc>
        <w:tc>
          <w:tcPr>
            <w:tcW w:w="34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249,065</w:t>
            </w: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21,002</w:t>
            </w:r>
          </w:p>
        </w:tc>
        <w:tc>
          <w:tcPr>
            <w:tcW w:w="34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22,335</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111,593</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3,873,122</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color w:val="auto"/>
              </w:rPr>
              <w:t>3,805,287</w:t>
            </w: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3,9</w:t>
            </w: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144,531</w:t>
            </w:r>
          </w:p>
        </w:tc>
        <w:tc>
          <w:tcPr>
            <w:tcW w:w="34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color w:val="auto"/>
              </w:rPr>
              <w:t>325,858</w:t>
            </w:r>
          </w:p>
        </w:tc>
        <w:tc>
          <w:tcPr>
            <w:tcW w:w="30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6</w:t>
            </w: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14,086</w:t>
            </w:r>
          </w:p>
        </w:tc>
        <w:tc>
          <w:tcPr>
            <w:tcW w:w="34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5,949</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3,393</w:t>
            </w:r>
          </w:p>
        </w:tc>
        <w:tc>
          <w:tcPr>
            <w:tcW w:w="34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4,147</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30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b w:val="1"/>
                <w:bCs w:val="1"/>
                <w:color w:val="auto"/>
              </w:rPr>
              <w:t>(35,944)</w:t>
            </w:r>
          </w:p>
        </w:tc>
        <w:tc>
          <w:tcPr>
            <w:tcW w:w="340" w:type="dxa"/>
            <w:vAlign w:val="bottom"/>
          </w:tcPr>
          <w:p>
            <w:pPr>
              <w:spacing w:after="0"/>
              <w:rPr>
                <w:sz w:val="12"/>
                <w:szCs w:val="12"/>
                <w:color w:val="auto"/>
              </w:rPr>
            </w:pPr>
          </w:p>
        </w:tc>
        <w:tc>
          <w:tcPr>
            <w:tcW w:w="9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(33,226)</w:t>
            </w:r>
          </w:p>
        </w:tc>
        <w:tc>
          <w:tcPr>
            <w:tcW w:w="30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(5,456)</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(55,200)</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120,610</w:t>
            </w:r>
          </w:p>
        </w:tc>
        <w:tc>
          <w:tcPr>
            <w:tcW w:w="34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color w:val="auto"/>
              </w:rPr>
              <w:t>247,528</w:t>
            </w:r>
          </w:p>
        </w:tc>
        <w:tc>
          <w:tcPr>
            <w:tcW w:w="30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5</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71,600</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101,900</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49,010</w:t>
            </w:r>
          </w:p>
        </w:tc>
        <w:tc>
          <w:tcPr>
            <w:tcW w:w="34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color w:val="auto"/>
              </w:rPr>
              <w:t>145,628</w:t>
            </w:r>
          </w:p>
        </w:tc>
        <w:tc>
          <w:tcPr>
            <w:tcW w:w="30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3</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83,177</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(28,471)</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132,187</w:t>
            </w:r>
          </w:p>
        </w:tc>
        <w:tc>
          <w:tcPr>
            <w:tcW w:w="34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color w:val="auto"/>
              </w:rPr>
              <w:t>117,157</w:t>
            </w:r>
          </w:p>
        </w:tc>
        <w:tc>
          <w:tcPr>
            <w:tcW w:w="30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2</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(74)</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22"/>
        </w:trPr>
        <w:tc>
          <w:tcPr>
            <w:tcW w:w="30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b w:val="1"/>
                <w:bCs w:val="1"/>
                <w:color w:val="auto"/>
              </w:rPr>
              <w:t>132,113</w:t>
            </w:r>
          </w:p>
        </w:tc>
        <w:tc>
          <w:tcPr>
            <w:tcW w:w="340" w:type="dxa"/>
            <w:vAlign w:val="bottom"/>
          </w:tcPr>
          <w:p>
            <w:pPr>
              <w:spacing w:after="0"/>
              <w:rPr>
                <w:sz w:val="10"/>
                <w:szCs w:val="10"/>
                <w:color w:val="auto"/>
              </w:rPr>
            </w:pPr>
          </w:p>
        </w:tc>
        <w:tc>
          <w:tcPr>
            <w:tcW w:w="900" w:type="dxa"/>
            <w:vAlign w:val="bottom"/>
          </w:tcPr>
          <w:p>
            <w:pPr>
              <w:jc w:val="right"/>
              <w:ind w:right="10"/>
              <w:spacing w:after="0" w:line="123" w:lineRule="exact"/>
              <w:rPr>
                <w:sz w:val="20"/>
                <w:szCs w:val="20"/>
                <w:color w:val="auto"/>
              </w:rPr>
            </w:pPr>
            <w:r>
              <w:rPr>
                <w:rFonts w:ascii="Arial" w:cs="Arial" w:eastAsia="Arial" w:hAnsi="Arial"/>
                <w:sz w:val="14"/>
                <w:szCs w:val="14"/>
                <w:color w:val="auto"/>
              </w:rPr>
              <w:t>117,150</w:t>
            </w:r>
          </w:p>
        </w:tc>
        <w:tc>
          <w:tcPr>
            <w:tcW w:w="300" w:type="dxa"/>
            <w:vAlign w:val="bottom"/>
          </w:tcPr>
          <w:p>
            <w:pPr>
              <w:spacing w:after="0"/>
              <w:rPr>
                <w:sz w:val="10"/>
                <w:szCs w:val="10"/>
                <w:color w:val="auto"/>
              </w:rPr>
            </w:pPr>
          </w:p>
        </w:tc>
        <w:tc>
          <w:tcPr>
            <w:tcW w:w="300" w:type="dxa"/>
            <w:vAlign w:val="bottom"/>
          </w:tcPr>
          <w:p>
            <w:pPr>
              <w:jc w:val="right"/>
              <w:spacing w:after="0" w:line="123" w:lineRule="exact"/>
              <w:rPr>
                <w:sz w:val="20"/>
                <w:szCs w:val="20"/>
                <w:color w:val="auto"/>
              </w:rPr>
            </w:pPr>
            <w:r>
              <w:rPr>
                <w:rFonts w:ascii="Arial" w:cs="Arial" w:eastAsia="Arial" w:hAnsi="Arial"/>
                <w:sz w:val="14"/>
                <w:szCs w:val="14"/>
                <w:color w:val="auto"/>
              </w:rPr>
              <w:t>2</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(895)</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(917)</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131,218</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color w:val="auto"/>
              </w:rPr>
              <w:t>116,233</w:t>
            </w:r>
          </w:p>
        </w:tc>
        <w:tc>
          <w:tcPr>
            <w:tcW w:w="30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56"/>
        </w:trPr>
        <w:tc>
          <w:tcPr>
            <w:tcW w:w="30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48,041</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144,704</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83,177</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(28,471)</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131,218</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color w:val="auto"/>
              </w:rPr>
              <w:t>116,233</w:t>
            </w:r>
          </w:p>
        </w:tc>
        <w:tc>
          <w:tcPr>
            <w:tcW w:w="30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256"/>
        </w:trPr>
        <w:tc>
          <w:tcPr>
            <w:tcW w:w="30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b w:val="1"/>
                <w:bCs w:val="1"/>
                <w:color w:val="auto"/>
              </w:rPr>
              <w:t>6.09</w:t>
            </w:r>
          </w:p>
        </w:tc>
        <w:tc>
          <w:tcPr>
            <w:tcW w:w="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18.30</w:t>
            </w:r>
          </w:p>
        </w:tc>
        <w:tc>
          <w:tcPr>
            <w:tcW w:w="3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11.30</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(3.60)</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17.39</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color w:val="auto"/>
              </w:rPr>
              <w:t>14.70</w:t>
            </w:r>
          </w:p>
        </w:tc>
        <w:tc>
          <w:tcPr>
            <w:tcW w:w="30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26"/>
        </w:trPr>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line="127" w:lineRule="exact"/>
              <w:rPr>
                <w:sz w:val="20"/>
                <w:szCs w:val="20"/>
                <w:color w:val="auto"/>
              </w:rPr>
            </w:pPr>
            <w:r>
              <w:rPr>
                <w:rFonts w:ascii="Arial" w:cs="Arial" w:eastAsia="Arial" w:hAnsi="Arial"/>
                <w:sz w:val="14"/>
                <w:szCs w:val="14"/>
                <w:b w:val="1"/>
                <w:bCs w:val="1"/>
                <w:color w:val="auto"/>
              </w:rPr>
              <w:t>7,360</w:t>
            </w: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line="127" w:lineRule="exact"/>
              <w:rPr>
                <w:sz w:val="20"/>
                <w:szCs w:val="20"/>
                <w:color w:val="auto"/>
              </w:rPr>
            </w:pPr>
            <w:r>
              <w:rPr>
                <w:rFonts w:ascii="Arial" w:cs="Arial" w:eastAsia="Arial" w:hAnsi="Arial"/>
                <w:sz w:val="14"/>
                <w:szCs w:val="14"/>
                <w:color w:val="auto"/>
              </w:rPr>
              <w:t>7,826</w:t>
            </w: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07"/>
        </w:trPr>
        <w:tc>
          <w:tcPr>
            <w:tcW w:w="300" w:type="dxa"/>
            <w:vAlign w:val="bottom"/>
          </w:tcPr>
          <w:p>
            <w:pPr>
              <w:jc w:val="right"/>
              <w:ind w:right="111"/>
              <w:spacing w:after="0" w:line="107" w:lineRule="exact"/>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10"/>
              <w:spacing w:after="0" w:line="107" w:lineRule="exact"/>
              <w:rPr>
                <w:sz w:val="20"/>
                <w:szCs w:val="20"/>
                <w:color w:val="auto"/>
              </w:rPr>
            </w:pPr>
            <w:r>
              <w:rPr>
                <w:rFonts w:ascii="Arial" w:cs="Arial" w:eastAsia="Arial" w:hAnsi="Arial"/>
                <w:sz w:val="12"/>
                <w:szCs w:val="12"/>
                <w:b w:val="1"/>
                <w:bCs w:val="1"/>
                <w:color w:val="auto"/>
              </w:rPr>
              <w:t>6.09</w:t>
            </w:r>
          </w:p>
        </w:tc>
        <w:tc>
          <w:tcPr>
            <w:tcW w:w="340" w:type="dxa"/>
            <w:vAlign w:val="bottom"/>
          </w:tcPr>
          <w:p>
            <w:pPr>
              <w:jc w:val="right"/>
              <w:ind w:right="91"/>
              <w:spacing w:after="0" w:line="107"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
              <w:spacing w:after="0" w:line="107" w:lineRule="exact"/>
              <w:rPr>
                <w:sz w:val="20"/>
                <w:szCs w:val="20"/>
                <w:color w:val="auto"/>
              </w:rPr>
            </w:pPr>
            <w:r>
              <w:rPr>
                <w:rFonts w:ascii="Arial" w:cs="Arial" w:eastAsia="Arial" w:hAnsi="Arial"/>
                <w:sz w:val="12"/>
                <w:szCs w:val="12"/>
                <w:color w:val="auto"/>
              </w:rPr>
              <w:t>18.30</w:t>
            </w:r>
          </w:p>
        </w:tc>
        <w:tc>
          <w:tcPr>
            <w:tcW w:w="300" w:type="dxa"/>
            <w:vAlign w:val="bottom"/>
          </w:tcPr>
          <w:p>
            <w:pPr>
              <w:jc w:val="right"/>
              <w:ind w:right="51"/>
              <w:spacing w:after="0" w:line="107" w:lineRule="exact"/>
              <w:rPr>
                <w:sz w:val="20"/>
                <w:szCs w:val="20"/>
                <w:color w:val="auto"/>
              </w:rPr>
            </w:pPr>
            <w:r>
              <w:rPr>
                <w:rFonts w:ascii="Arial" w:cs="Arial" w:eastAsia="Arial" w:hAnsi="Arial"/>
                <w:sz w:val="12"/>
                <w:szCs w:val="12"/>
                <w:color w:val="auto"/>
              </w:rPr>
              <w:t>$</w:t>
            </w:r>
          </w:p>
        </w:tc>
        <w:tc>
          <w:tcPr>
            <w:tcW w:w="300" w:type="dxa"/>
            <w:vAlign w:val="bottom"/>
          </w:tcPr>
          <w:p>
            <w:pPr>
              <w:spacing w:after="0"/>
              <w:rPr>
                <w:sz w:val="9"/>
                <w:szCs w:val="9"/>
                <w:color w:val="auto"/>
              </w:rPr>
            </w:pPr>
          </w:p>
        </w:tc>
      </w:tr>
      <w:tr>
        <w:trPr>
          <w:trHeight w:val="168"/>
        </w:trPr>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11.30</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(3.60)</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141"/>
        </w:trPr>
        <w:tc>
          <w:tcPr>
            <w:tcW w:w="3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b w:val="1"/>
                <w:bCs w:val="1"/>
                <w:color w:val="auto"/>
              </w:rPr>
              <w:t>17.39</w:t>
            </w:r>
          </w:p>
        </w:tc>
        <w:tc>
          <w:tcPr>
            <w:tcW w:w="34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4"/>
                <w:szCs w:val="14"/>
                <w:color w:val="auto"/>
              </w:rPr>
              <w:t>14.70</w:t>
            </w:r>
          </w:p>
        </w:tc>
        <w:tc>
          <w:tcPr>
            <w:tcW w:w="30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2"/>
                <w:szCs w:val="1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126"/>
        </w:trPr>
        <w:tc>
          <w:tcPr>
            <w:tcW w:w="3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line="127" w:lineRule="exact"/>
              <w:rPr>
                <w:sz w:val="20"/>
                <w:szCs w:val="20"/>
                <w:color w:val="auto"/>
              </w:rPr>
            </w:pPr>
            <w:r>
              <w:rPr>
                <w:rFonts w:ascii="Arial" w:cs="Arial" w:eastAsia="Arial" w:hAnsi="Arial"/>
                <w:sz w:val="14"/>
                <w:szCs w:val="14"/>
                <w:b w:val="1"/>
                <w:bCs w:val="1"/>
                <w:color w:val="auto"/>
              </w:rPr>
              <w:t>7,404</w:t>
            </w: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0"/>
              <w:spacing w:after="0" w:line="127" w:lineRule="exact"/>
              <w:rPr>
                <w:sz w:val="20"/>
                <w:szCs w:val="20"/>
                <w:color w:val="auto"/>
              </w:rPr>
            </w:pPr>
            <w:r>
              <w:rPr>
                <w:rFonts w:ascii="Arial" w:cs="Arial" w:eastAsia="Arial" w:hAnsi="Arial"/>
                <w:sz w:val="14"/>
                <w:szCs w:val="14"/>
                <w:color w:val="auto"/>
              </w:rPr>
              <w:t>7,905</w:t>
            </w: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80" w:space="720"/>
            <w:col w:w="3040"/>
          </w:cols>
          <w:pgMar w:left="820" w:top="342" w:right="1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type w:val="continuous"/>
        </w:sectPr>
      </w:pPr>
    </w:p>
    <w:bookmarkStart w:id="82" w:name="page83"/>
    <w:bookmarkEnd w:id="82"/>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1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Fiscal Year Ended</w:t>
            </w:r>
          </w:p>
        </w:tc>
        <w:tc>
          <w:tcPr>
            <w:tcW w:w="480" w:type="dxa"/>
            <w:vAlign w:val="bottom"/>
            <w:tcBorders>
              <w:bottom w:val="single" w:sz="8" w:color="auto"/>
            </w:tcBorders>
          </w:tcPr>
          <w:p>
            <w:pPr>
              <w:spacing w:after="0"/>
              <w:rPr>
                <w:sz w:val="13"/>
                <w:szCs w:val="13"/>
                <w:color w:val="auto"/>
              </w:rPr>
            </w:pPr>
          </w:p>
        </w:tc>
      </w:tr>
      <w:tr>
        <w:trPr>
          <w:trHeight w:val="114"/>
        </w:trPr>
        <w:tc>
          <w:tcPr>
            <w:tcW w:w="8140" w:type="dxa"/>
            <w:vAlign w:val="bottom"/>
          </w:tcPr>
          <w:p>
            <w:pPr>
              <w:spacing w:after="0"/>
              <w:rPr>
                <w:sz w:val="9"/>
                <w:szCs w:val="9"/>
                <w:color w:val="auto"/>
              </w:rPr>
            </w:pPr>
          </w:p>
        </w:tc>
        <w:tc>
          <w:tcPr>
            <w:tcW w:w="10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December 31,</w:t>
            </w:r>
          </w:p>
        </w:tc>
        <w:tc>
          <w:tcPr>
            <w:tcW w:w="1300" w:type="dxa"/>
            <w:vAlign w:val="bottom"/>
          </w:tcPr>
          <w:p>
            <w:pPr>
              <w:jc w:val="center"/>
              <w:spacing w:after="0" w:line="114" w:lineRule="exact"/>
              <w:rPr>
                <w:sz w:val="20"/>
                <w:szCs w:val="20"/>
                <w:color w:val="auto"/>
              </w:rPr>
            </w:pPr>
            <w:r>
              <w:rPr>
                <w:rFonts w:ascii="Arial" w:cs="Arial" w:eastAsia="Arial" w:hAnsi="Arial"/>
                <w:sz w:val="12"/>
                <w:szCs w:val="12"/>
                <w:color w:val="auto"/>
              </w:rPr>
              <w:t>December 31,</w:t>
            </w:r>
          </w:p>
        </w:tc>
        <w:tc>
          <w:tcPr>
            <w:tcW w:w="480" w:type="dxa"/>
            <w:vAlign w:val="bottom"/>
          </w:tcPr>
          <w:p>
            <w:pPr>
              <w:jc w:val="right"/>
              <w:spacing w:after="0" w:line="114" w:lineRule="exact"/>
              <w:rPr>
                <w:sz w:val="20"/>
                <w:szCs w:val="20"/>
                <w:color w:val="auto"/>
              </w:rPr>
            </w:pPr>
            <w:r>
              <w:rPr>
                <w:rFonts w:ascii="Arial" w:cs="Arial" w:eastAsia="Arial" w:hAnsi="Arial"/>
                <w:sz w:val="12"/>
                <w:szCs w:val="12"/>
                <w:color w:val="auto"/>
              </w:rPr>
              <w:t>Janua</w:t>
            </w:r>
          </w:p>
        </w:tc>
      </w:tr>
      <w:tr>
        <w:trPr>
          <w:trHeight w:val="158"/>
        </w:trPr>
        <w:tc>
          <w:tcPr>
            <w:tcW w:w="8140" w:type="dxa"/>
            <w:vAlign w:val="bottom"/>
          </w:tcPr>
          <w:p>
            <w:pPr>
              <w:spacing w:after="0"/>
              <w:rPr>
                <w:sz w:val="20"/>
                <w:szCs w:val="20"/>
                <w:color w:val="auto"/>
              </w:rPr>
            </w:pPr>
            <w:r>
              <w:rPr>
                <w:rFonts w:ascii="Arial" w:cs="Arial" w:eastAsia="Arial" w:hAnsi="Arial"/>
                <w:sz w:val="12"/>
                <w:szCs w:val="12"/>
                <w:color w:val="auto"/>
              </w:rPr>
              <w:t>(in thousands)</w:t>
            </w:r>
          </w:p>
        </w:tc>
        <w:tc>
          <w:tcPr>
            <w:tcW w:w="1020" w:type="dxa"/>
            <w:vAlign w:val="bottom"/>
          </w:tcPr>
          <w:p>
            <w:pPr>
              <w:jc w:val="right"/>
              <w:ind w:right="298"/>
              <w:spacing w:after="0"/>
              <w:rPr>
                <w:sz w:val="20"/>
                <w:szCs w:val="20"/>
                <w:color w:val="auto"/>
              </w:rPr>
            </w:pPr>
            <w:r>
              <w:rPr>
                <w:rFonts w:ascii="Arial" w:cs="Arial" w:eastAsia="Arial" w:hAnsi="Arial"/>
                <w:sz w:val="12"/>
                <w:szCs w:val="12"/>
                <w:b w:val="1"/>
                <w:bCs w:val="1"/>
                <w:color w:val="auto"/>
              </w:rPr>
              <w:t>2012</w:t>
            </w:r>
          </w:p>
        </w:tc>
        <w:tc>
          <w:tcPr>
            <w:tcW w:w="1300" w:type="dxa"/>
            <w:vAlign w:val="bottom"/>
          </w:tcPr>
          <w:p>
            <w:pPr>
              <w:jc w:val="center"/>
              <w:spacing w:after="0"/>
              <w:rPr>
                <w:sz w:val="20"/>
                <w:szCs w:val="20"/>
                <w:color w:val="auto"/>
              </w:rPr>
            </w:pPr>
            <w:r>
              <w:rPr>
                <w:rFonts w:ascii="Arial" w:cs="Arial" w:eastAsia="Arial" w:hAnsi="Arial"/>
                <w:sz w:val="12"/>
                <w:szCs w:val="12"/>
                <w:color w:val="auto"/>
              </w:rPr>
              <w:t>2011</w:t>
            </w:r>
          </w:p>
        </w:tc>
        <w:tc>
          <w:tcPr>
            <w:tcW w:w="480" w:type="dxa"/>
            <w:vAlign w:val="bottom"/>
          </w:tcPr>
          <w:p>
            <w:pPr>
              <w:jc w:val="right"/>
              <w:spacing w:after="0"/>
              <w:rPr>
                <w:sz w:val="20"/>
                <w:szCs w:val="20"/>
                <w:color w:val="auto"/>
              </w:rPr>
            </w:pPr>
            <w:r>
              <w:rPr>
                <w:rFonts w:ascii="Arial" w:cs="Arial" w:eastAsia="Arial" w:hAnsi="Arial"/>
                <w:sz w:val="12"/>
                <w:szCs w:val="12"/>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695325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sectPr>
      </w:pPr>
    </w:p>
    <w:p>
      <w:pPr>
        <w:spacing w:after="0" w:line="226" w:lineRule="auto"/>
        <w:rPr>
          <w:sz w:val="20"/>
          <w:szCs w:val="20"/>
          <w:color w:val="auto"/>
        </w:rPr>
      </w:pPr>
      <w:r>
        <w:rPr>
          <w:rFonts w:ascii="Arial" w:cs="Arial" w:eastAsia="Arial" w:hAnsi="Arial"/>
          <w:sz w:val="16"/>
          <w:szCs w:val="16"/>
          <w:b w:val="1"/>
          <w:bCs w:val="1"/>
          <w:color w:val="auto"/>
        </w:rPr>
        <w:t>Net Income</w:t>
      </w:r>
    </w:p>
    <w:p>
      <w:pPr>
        <w:spacing w:after="0" w:line="227" w:lineRule="auto"/>
        <w:rPr>
          <w:sz w:val="20"/>
          <w:szCs w:val="20"/>
          <w:color w:val="auto"/>
        </w:rPr>
      </w:pPr>
      <w:r>
        <w:rPr>
          <w:rFonts w:ascii="Arial" w:cs="Arial" w:eastAsia="Arial" w:hAnsi="Arial"/>
          <w:sz w:val="16"/>
          <w:szCs w:val="16"/>
          <w:b w:val="1"/>
          <w:bCs w:val="1"/>
          <w:color w:val="auto"/>
        </w:rPr>
        <w:t>Other Comprehensive Income (Loss), Before Tax</w:t>
      </w:r>
    </w:p>
    <w:p>
      <w:pPr>
        <w:ind w:left="220"/>
        <w:spacing w:after="0" w:line="226" w:lineRule="auto"/>
        <w:rPr>
          <w:sz w:val="20"/>
          <w:szCs w:val="20"/>
          <w:color w:val="auto"/>
        </w:rPr>
      </w:pPr>
      <w:r>
        <w:rPr>
          <w:rFonts w:ascii="Arial" w:cs="Arial" w:eastAsia="Arial" w:hAnsi="Arial"/>
          <w:sz w:val="16"/>
          <w:szCs w:val="16"/>
          <w:color w:val="auto"/>
        </w:rPr>
        <w:t>Foreign currency translation adjustments:</w:t>
      </w:r>
    </w:p>
    <w:p>
      <w:pPr>
        <w:ind w:left="460"/>
        <w:spacing w:after="0" w:line="227" w:lineRule="auto"/>
        <w:rPr>
          <w:sz w:val="20"/>
          <w:szCs w:val="20"/>
          <w:color w:val="auto"/>
        </w:rPr>
      </w:pPr>
      <w:r>
        <w:rPr>
          <w:rFonts w:ascii="Arial" w:cs="Arial" w:eastAsia="Arial" w:hAnsi="Arial"/>
          <w:sz w:val="16"/>
          <w:szCs w:val="16"/>
          <w:color w:val="auto"/>
        </w:rPr>
        <w:t>Translation adjustments arising during the period</w:t>
      </w:r>
    </w:p>
    <w:p>
      <w:pPr>
        <w:ind w:left="46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Unrealized gains (losses) on available-for-sale securities:</w:t>
      </w:r>
    </w:p>
    <w:p>
      <w:pPr>
        <w:ind w:left="460"/>
        <w:spacing w:after="0" w:line="226" w:lineRule="auto"/>
        <w:rPr>
          <w:sz w:val="20"/>
          <w:szCs w:val="20"/>
          <w:color w:val="auto"/>
        </w:rPr>
      </w:pPr>
      <w:r>
        <w:rPr>
          <w:rFonts w:ascii="Arial" w:cs="Arial" w:eastAsia="Arial" w:hAnsi="Arial"/>
          <w:sz w:val="16"/>
          <w:szCs w:val="16"/>
          <w:color w:val="auto"/>
        </w:rPr>
        <w:t>Unrealized gains (losses) for the period</w:t>
      </w:r>
    </w:p>
    <w:p>
      <w:pPr>
        <w:ind w:left="740" w:right="1820" w:hanging="279"/>
        <w:spacing w:after="0" w:line="236" w:lineRule="auto"/>
        <w:rPr>
          <w:sz w:val="20"/>
          <w:szCs w:val="20"/>
          <w:color w:val="auto"/>
        </w:rPr>
      </w:pPr>
      <w:r>
        <w:rPr>
          <w:rFonts w:ascii="Arial" w:cs="Arial" w:eastAsia="Arial" w:hAnsi="Arial"/>
          <w:sz w:val="16"/>
          <w:szCs w:val="16"/>
          <w:color w:val="auto"/>
        </w:rPr>
        <w:t>Reclassification adjustment for write-down on available-for-sale securities, net of gain, included in net income</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Pension and other postretirement plans:</w:t>
      </w:r>
    </w:p>
    <w:p>
      <w:pPr>
        <w:ind w:left="460"/>
        <w:spacing w:after="0" w:line="226" w:lineRule="auto"/>
        <w:rPr>
          <w:sz w:val="20"/>
          <w:szCs w:val="20"/>
          <w:color w:val="auto"/>
        </w:rPr>
      </w:pPr>
      <w:r>
        <w:rPr>
          <w:rFonts w:ascii="Arial" w:cs="Arial" w:eastAsia="Arial" w:hAnsi="Arial"/>
          <w:sz w:val="16"/>
          <w:szCs w:val="16"/>
          <w:color w:val="auto"/>
        </w:rPr>
        <w:t>Actuarial gain (loss)</w:t>
      </w:r>
    </w:p>
    <w:p>
      <w:pPr>
        <w:ind w:left="460"/>
        <w:spacing w:after="0" w:line="227" w:lineRule="auto"/>
        <w:rPr>
          <w:sz w:val="20"/>
          <w:szCs w:val="20"/>
          <w:color w:val="auto"/>
        </w:rPr>
      </w:pPr>
      <w:r>
        <w:rPr>
          <w:rFonts w:ascii="Arial" w:cs="Arial" w:eastAsia="Arial" w:hAnsi="Arial"/>
          <w:sz w:val="16"/>
          <w:szCs w:val="16"/>
          <w:color w:val="auto"/>
        </w:rPr>
        <w:t>Prior service credit</w:t>
      </w:r>
    </w:p>
    <w:p>
      <w:pPr>
        <w:ind w:left="460"/>
        <w:spacing w:after="0" w:line="226" w:lineRule="auto"/>
        <w:rPr>
          <w:sz w:val="20"/>
          <w:szCs w:val="20"/>
          <w:color w:val="auto"/>
        </w:rPr>
      </w:pPr>
      <w:r>
        <w:rPr>
          <w:rFonts w:ascii="Arial" w:cs="Arial" w:eastAsia="Arial" w:hAnsi="Arial"/>
          <w:sz w:val="16"/>
          <w:szCs w:val="16"/>
          <w:color w:val="auto"/>
        </w:rPr>
        <w:t>Amortization of net actuarial loss (gain) included in net income</w:t>
      </w:r>
    </w:p>
    <w:p>
      <w:pPr>
        <w:ind w:left="460"/>
        <w:spacing w:after="0" w:line="227" w:lineRule="auto"/>
        <w:rPr>
          <w:sz w:val="20"/>
          <w:szCs w:val="20"/>
          <w:color w:val="auto"/>
        </w:rPr>
      </w:pPr>
      <w:r>
        <w:rPr>
          <w:rFonts w:ascii="Arial" w:cs="Arial" w:eastAsia="Arial" w:hAnsi="Arial"/>
          <w:sz w:val="16"/>
          <w:szCs w:val="16"/>
          <w:color w:val="auto"/>
        </w:rPr>
        <w:t>Amortization of net prior service (credit) cost included in net income</w:t>
      </w:r>
    </w:p>
    <w:p>
      <w:pPr>
        <w:ind w:left="460"/>
        <w:spacing w:after="0" w:line="227" w:lineRule="auto"/>
        <w:rPr>
          <w:sz w:val="20"/>
          <w:szCs w:val="20"/>
          <w:color w:val="auto"/>
        </w:rPr>
      </w:pPr>
      <w:r>
        <w:rPr>
          <w:rFonts w:ascii="Arial" w:cs="Arial" w:eastAsia="Arial" w:hAnsi="Arial"/>
          <w:sz w:val="16"/>
          <w:szCs w:val="16"/>
          <w:color w:val="auto"/>
        </w:rPr>
        <w:t>Amortization of transition asset</w:t>
      </w:r>
    </w:p>
    <w:p>
      <w:pPr>
        <w:ind w:left="460"/>
        <w:spacing w:after="0" w:line="226" w:lineRule="auto"/>
        <w:rPr>
          <w:sz w:val="20"/>
          <w:szCs w:val="20"/>
          <w:color w:val="auto"/>
        </w:rPr>
      </w:pPr>
      <w:r>
        <w:rPr>
          <w:rFonts w:ascii="Arial" w:cs="Arial" w:eastAsia="Arial" w:hAnsi="Arial"/>
          <w:sz w:val="16"/>
          <w:szCs w:val="16"/>
          <w:color w:val="auto"/>
        </w:rPr>
        <w:t>Curtailments and other adjustments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Foreign affiliate pension adjustments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Cash flow hedge (loss) gain</w:t>
      </w:r>
    </w:p>
    <w:p>
      <w:pPr>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5"/>
          <w:szCs w:val="15"/>
          <w:color w:val="auto"/>
        </w:rPr>
        <w:t>Income tax (expense) benefit related to items of other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Comprehensive Income Attributable to The Washington Post Company</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 w:lineRule="exact"/>
        <w:rPr>
          <w:sz w:val="20"/>
          <w:szCs w:val="20"/>
          <w:color w:val="auto"/>
        </w:rPr>
      </w:pPr>
      <w:r>
        <w:rPr>
          <w:sz w:val="20"/>
          <w:szCs w:val="20"/>
          <w:color w:val="auto"/>
        </w:rPr>
        <w:br w:type="column"/>
      </w:r>
    </w:p>
    <w:p>
      <w:pPr>
        <w:ind w:left="420" w:hanging="392"/>
        <w:spacing w:after="0"/>
        <w:tabs>
          <w:tab w:leader="none" w:pos="42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132,187  </w:t>
      </w:r>
      <w:r>
        <w:rPr>
          <w:rFonts w:ascii="Arial" w:cs="Arial" w:eastAsia="Arial" w:hAnsi="Arial"/>
          <w:sz w:val="16"/>
          <w:szCs w:val="16"/>
          <w:color w:val="auto"/>
        </w:rPr>
        <w:t>$    117,157  $    27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5,622</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(21,375)</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9"/>
        </w:trPr>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(888)</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7"/>
                <w:szCs w:val="17"/>
                <w:color w:val="auto"/>
              </w:rPr>
            </w:pPr>
          </w:p>
        </w:tc>
      </w:tr>
      <w:tr>
        <w:trPr>
          <w:trHeight w:val="201"/>
        </w:trPr>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4,734</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(21,375)</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22"/>
        </w:trPr>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33,098</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(37,708)</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9"/>
        </w:trPr>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17,226</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53,793</w:t>
            </w:r>
          </w:p>
        </w:tc>
        <w:tc>
          <w:tcPr>
            <w:tcW w:w="420" w:type="dxa"/>
            <w:vAlign w:val="bottom"/>
            <w:tcBorders>
              <w:bottom w:val="single" w:sz="8" w:color="auto"/>
            </w:tcBorders>
          </w:tcPr>
          <w:p>
            <w:pPr>
              <w:spacing w:after="0"/>
              <w:rPr>
                <w:sz w:val="24"/>
                <w:szCs w:val="24"/>
                <w:color w:val="auto"/>
              </w:rPr>
            </w:pPr>
          </w:p>
        </w:tc>
      </w:tr>
      <w:tr>
        <w:trPr>
          <w:trHeight w:val="201"/>
        </w:trPr>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50,324</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16,085</w:t>
            </w: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87"/>
        </w:trPr>
        <w:tc>
          <w:tcPr>
            <w:tcW w:w="1260" w:type="dxa"/>
            <w:vAlign w:val="bottom"/>
          </w:tcPr>
          <w:p>
            <w:pPr>
              <w:jc w:val="right"/>
              <w:ind w:right="201"/>
              <w:spacing w:after="0"/>
              <w:rPr>
                <w:sz w:val="20"/>
                <w:szCs w:val="20"/>
                <w:color w:val="auto"/>
              </w:rPr>
            </w:pPr>
            <w:r>
              <w:rPr>
                <w:rFonts w:ascii="Arial" w:cs="Arial" w:eastAsia="Arial" w:hAnsi="Arial"/>
                <w:sz w:val="16"/>
                <w:szCs w:val="16"/>
                <w:b w:val="1"/>
                <w:bCs w:val="1"/>
                <w:color w:val="auto"/>
              </w:rPr>
              <w:t>82,470</w:t>
            </w:r>
          </w:p>
        </w:tc>
        <w:tc>
          <w:tcPr>
            <w:tcW w:w="1120" w:type="dxa"/>
            <w:vAlign w:val="bottom"/>
          </w:tcPr>
          <w:p>
            <w:pPr>
              <w:jc w:val="right"/>
              <w:ind w:right="201"/>
              <w:spacing w:after="0"/>
              <w:rPr>
                <w:sz w:val="20"/>
                <w:szCs w:val="20"/>
                <w:color w:val="auto"/>
              </w:rPr>
            </w:pPr>
            <w:r>
              <w:rPr>
                <w:rFonts w:ascii="Arial" w:cs="Arial" w:eastAsia="Arial" w:hAnsi="Arial"/>
                <w:sz w:val="16"/>
                <w:szCs w:val="16"/>
                <w:color w:val="auto"/>
              </w:rPr>
              <w:t>(16,048)</w:t>
            </w:r>
          </w:p>
        </w:tc>
        <w:tc>
          <w:tcPr>
            <w:tcW w:w="4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74"/>
        </w:trPr>
        <w:tc>
          <w:tcPr>
            <w:tcW w:w="1260" w:type="dxa"/>
            <w:vAlign w:val="bottom"/>
          </w:tcPr>
          <w:p>
            <w:pPr>
              <w:jc w:val="right"/>
              <w:ind w:right="201"/>
              <w:spacing w:after="0" w:line="174" w:lineRule="exact"/>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01"/>
              <w:spacing w:after="0" w:line="174"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r>
      <w:tr>
        <w:trPr>
          <w:trHeight w:val="174"/>
        </w:trPr>
        <w:tc>
          <w:tcPr>
            <w:tcW w:w="1260" w:type="dxa"/>
            <w:vAlign w:val="bottom"/>
          </w:tcPr>
          <w:p>
            <w:pPr>
              <w:jc w:val="right"/>
              <w:ind w:right="201"/>
              <w:spacing w:after="0" w:line="174" w:lineRule="exact"/>
              <w:rPr>
                <w:sz w:val="20"/>
                <w:szCs w:val="20"/>
                <w:color w:val="auto"/>
              </w:rPr>
            </w:pPr>
            <w:r>
              <w:rPr>
                <w:rFonts w:ascii="Arial" w:cs="Arial" w:eastAsia="Arial" w:hAnsi="Arial"/>
                <w:sz w:val="16"/>
                <w:szCs w:val="16"/>
                <w:b w:val="1"/>
                <w:bCs w:val="1"/>
                <w:color w:val="auto"/>
              </w:rPr>
              <w:t>9,368</w:t>
            </w:r>
          </w:p>
        </w:tc>
        <w:tc>
          <w:tcPr>
            <w:tcW w:w="1120" w:type="dxa"/>
            <w:vAlign w:val="bottom"/>
          </w:tcPr>
          <w:p>
            <w:pPr>
              <w:jc w:val="right"/>
              <w:ind w:right="201"/>
              <w:spacing w:after="0" w:line="174" w:lineRule="exact"/>
              <w:rPr>
                <w:sz w:val="20"/>
                <w:szCs w:val="20"/>
                <w:color w:val="auto"/>
              </w:rPr>
            </w:pPr>
            <w:r>
              <w:rPr>
                <w:rFonts w:ascii="Arial" w:cs="Arial" w:eastAsia="Arial" w:hAnsi="Arial"/>
                <w:sz w:val="16"/>
                <w:szCs w:val="16"/>
                <w:color w:val="auto"/>
              </w:rPr>
              <w:t>(510)</w:t>
            </w:r>
          </w:p>
        </w:tc>
        <w:tc>
          <w:tcPr>
            <w:tcW w:w="4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r>
      <w:tr>
        <w:trPr>
          <w:trHeight w:val="174"/>
        </w:trPr>
        <w:tc>
          <w:tcPr>
            <w:tcW w:w="1260" w:type="dxa"/>
            <w:vAlign w:val="bottom"/>
          </w:tcPr>
          <w:p>
            <w:pPr>
              <w:jc w:val="right"/>
              <w:ind w:right="201"/>
              <w:spacing w:after="0" w:line="174" w:lineRule="exact"/>
              <w:rPr>
                <w:sz w:val="20"/>
                <w:szCs w:val="20"/>
                <w:color w:val="auto"/>
              </w:rPr>
            </w:pPr>
            <w:r>
              <w:rPr>
                <w:rFonts w:ascii="Arial" w:cs="Arial" w:eastAsia="Arial" w:hAnsi="Arial"/>
                <w:sz w:val="16"/>
                <w:szCs w:val="16"/>
                <w:b w:val="1"/>
                <w:bCs w:val="1"/>
                <w:color w:val="auto"/>
              </w:rPr>
              <w:t>(1,859)</w:t>
            </w:r>
          </w:p>
        </w:tc>
        <w:tc>
          <w:tcPr>
            <w:tcW w:w="1120" w:type="dxa"/>
            <w:vAlign w:val="bottom"/>
          </w:tcPr>
          <w:p>
            <w:pPr>
              <w:jc w:val="right"/>
              <w:ind w:right="201"/>
              <w:spacing w:after="0" w:line="174" w:lineRule="exact"/>
              <w:rPr>
                <w:sz w:val="20"/>
                <w:szCs w:val="20"/>
                <w:color w:val="auto"/>
              </w:rPr>
            </w:pPr>
            <w:r>
              <w:rPr>
                <w:rFonts w:ascii="Arial" w:cs="Arial" w:eastAsia="Arial" w:hAnsi="Arial"/>
                <w:sz w:val="16"/>
                <w:szCs w:val="16"/>
                <w:color w:val="auto"/>
              </w:rPr>
              <w:t>(3,925)</w:t>
            </w:r>
          </w:p>
        </w:tc>
        <w:tc>
          <w:tcPr>
            <w:tcW w:w="420" w:type="dxa"/>
            <w:vAlign w:val="bottom"/>
          </w:tcPr>
          <w:p>
            <w:pPr>
              <w:spacing w:after="0"/>
              <w:rPr>
                <w:sz w:val="15"/>
                <w:szCs w:val="15"/>
                <w:color w:val="auto"/>
              </w:rPr>
            </w:pPr>
          </w:p>
        </w:tc>
      </w:tr>
      <w:tr>
        <w:trPr>
          <w:trHeight w:val="174"/>
        </w:trPr>
        <w:tc>
          <w:tcPr>
            <w:tcW w:w="1260" w:type="dxa"/>
            <w:vAlign w:val="bottom"/>
          </w:tcPr>
          <w:p>
            <w:pPr>
              <w:jc w:val="right"/>
              <w:ind w:right="201"/>
              <w:spacing w:after="0" w:line="174" w:lineRule="exact"/>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01"/>
              <w:spacing w:after="0" w:line="174"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r>
      <w:tr>
        <w:trPr>
          <w:trHeight w:val="174"/>
        </w:trPr>
        <w:tc>
          <w:tcPr>
            <w:tcW w:w="1260" w:type="dxa"/>
            <w:vAlign w:val="bottom"/>
          </w:tcPr>
          <w:p>
            <w:pPr>
              <w:jc w:val="right"/>
              <w:ind w:right="201"/>
              <w:spacing w:after="0" w:line="174" w:lineRule="exact"/>
              <w:rPr>
                <w:sz w:val="20"/>
                <w:szCs w:val="20"/>
                <w:color w:val="auto"/>
              </w:rPr>
            </w:pPr>
            <w:r>
              <w:rPr>
                <w:rFonts w:ascii="Arial" w:cs="Arial" w:eastAsia="Arial" w:hAnsi="Arial"/>
                <w:sz w:val="16"/>
                <w:szCs w:val="16"/>
                <w:b w:val="1"/>
                <w:bCs w:val="1"/>
                <w:color w:val="auto"/>
              </w:rPr>
              <w:t>(745)</w:t>
            </w:r>
          </w:p>
        </w:tc>
        <w:tc>
          <w:tcPr>
            <w:tcW w:w="1120" w:type="dxa"/>
            <w:vAlign w:val="bottom"/>
          </w:tcPr>
          <w:p>
            <w:pPr>
              <w:jc w:val="right"/>
              <w:ind w:right="201"/>
              <w:spacing w:after="0" w:line="174"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r>
      <w:tr>
        <w:trPr>
          <w:trHeight w:val="199"/>
        </w:trPr>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2,088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40"/>
        </w:trPr>
        <w:tc>
          <w:tcPr>
            <w:tcW w:w="1260" w:type="dxa"/>
            <w:vAlign w:val="bottom"/>
          </w:tcPr>
          <w:p>
            <w:pPr>
              <w:jc w:val="right"/>
              <w:ind w:right="201"/>
              <w:spacing w:after="0" w:line="141" w:lineRule="exact"/>
              <w:rPr>
                <w:sz w:val="20"/>
                <w:szCs w:val="20"/>
                <w:color w:val="auto"/>
              </w:rPr>
            </w:pPr>
            <w:r>
              <w:rPr>
                <w:rFonts w:ascii="Arial" w:cs="Arial" w:eastAsia="Arial" w:hAnsi="Arial"/>
                <w:sz w:val="16"/>
                <w:szCs w:val="16"/>
                <w:b w:val="1"/>
                <w:bCs w:val="1"/>
                <w:color w:val="auto"/>
              </w:rPr>
              <w:t>89,234</w:t>
            </w:r>
          </w:p>
        </w:tc>
        <w:tc>
          <w:tcPr>
            <w:tcW w:w="1120" w:type="dxa"/>
            <w:vAlign w:val="bottom"/>
          </w:tcPr>
          <w:p>
            <w:pPr>
              <w:jc w:val="right"/>
              <w:ind w:right="201"/>
              <w:spacing w:after="0" w:line="141" w:lineRule="exact"/>
              <w:rPr>
                <w:sz w:val="20"/>
                <w:szCs w:val="20"/>
                <w:color w:val="auto"/>
              </w:rPr>
            </w:pPr>
            <w:r>
              <w:rPr>
                <w:rFonts w:ascii="Arial" w:cs="Arial" w:eastAsia="Arial" w:hAnsi="Arial"/>
                <w:sz w:val="16"/>
                <w:szCs w:val="16"/>
                <w:color w:val="auto"/>
              </w:rPr>
              <w:t>(18,395)</w:t>
            </w:r>
          </w:p>
        </w:tc>
        <w:tc>
          <w:tcPr>
            <w:tcW w:w="420" w:type="dxa"/>
            <w:vAlign w:val="bottom"/>
          </w:tcPr>
          <w:p>
            <w:pPr>
              <w:jc w:val="right"/>
              <w:spacing w:after="0" w:line="141" w:lineRule="exact"/>
              <w:rPr>
                <w:sz w:val="20"/>
                <w:szCs w:val="20"/>
                <w:color w:val="auto"/>
              </w:rPr>
            </w:pPr>
            <w:r>
              <w:rPr>
                <w:rFonts w:ascii="Arial" w:cs="Arial" w:eastAsia="Arial" w:hAnsi="Arial"/>
                <w:sz w:val="16"/>
                <w:szCs w:val="16"/>
                <w:color w:val="auto"/>
              </w:rPr>
              <w:t>12</w:t>
            </w:r>
          </w:p>
        </w:tc>
      </w:tr>
      <w:tr>
        <w:trPr>
          <w:trHeight w:val="199"/>
        </w:trPr>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(1,581)</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14</w:t>
            </w:r>
          </w:p>
        </w:tc>
        <w:tc>
          <w:tcPr>
            <w:tcW w:w="420" w:type="dxa"/>
            <w:vAlign w:val="bottom"/>
            <w:tcBorders>
              <w:bottom w:val="single" w:sz="8" w:color="auto"/>
            </w:tcBorders>
          </w:tcPr>
          <w:p>
            <w:pPr>
              <w:spacing w:after="0"/>
              <w:rPr>
                <w:sz w:val="17"/>
                <w:szCs w:val="17"/>
                <w:color w:val="auto"/>
              </w:rPr>
            </w:pPr>
          </w:p>
        </w:tc>
      </w:tr>
      <w:tr>
        <w:trPr>
          <w:trHeight w:val="140"/>
        </w:trPr>
        <w:tc>
          <w:tcPr>
            <w:tcW w:w="1260" w:type="dxa"/>
            <w:vAlign w:val="bottom"/>
          </w:tcPr>
          <w:p>
            <w:pPr>
              <w:jc w:val="right"/>
              <w:ind w:right="201"/>
              <w:spacing w:after="0" w:line="141" w:lineRule="exact"/>
              <w:rPr>
                <w:sz w:val="20"/>
                <w:szCs w:val="20"/>
                <w:color w:val="auto"/>
              </w:rPr>
            </w:pPr>
            <w:r>
              <w:rPr>
                <w:rFonts w:ascii="Arial" w:cs="Arial" w:eastAsia="Arial" w:hAnsi="Arial"/>
                <w:sz w:val="16"/>
                <w:szCs w:val="16"/>
                <w:b w:val="1"/>
                <w:bCs w:val="1"/>
                <w:color w:val="auto"/>
              </w:rPr>
              <w:t>142,711</w:t>
            </w:r>
          </w:p>
        </w:tc>
        <w:tc>
          <w:tcPr>
            <w:tcW w:w="1120" w:type="dxa"/>
            <w:vAlign w:val="bottom"/>
          </w:tcPr>
          <w:p>
            <w:pPr>
              <w:jc w:val="right"/>
              <w:ind w:right="201"/>
              <w:spacing w:after="0" w:line="141" w:lineRule="exact"/>
              <w:rPr>
                <w:sz w:val="20"/>
                <w:szCs w:val="20"/>
                <w:color w:val="auto"/>
              </w:rPr>
            </w:pPr>
            <w:r>
              <w:rPr>
                <w:rFonts w:ascii="Arial" w:cs="Arial" w:eastAsia="Arial" w:hAnsi="Arial"/>
                <w:sz w:val="16"/>
                <w:szCs w:val="16"/>
                <w:color w:val="auto"/>
              </w:rPr>
              <w:t>(23,671)</w:t>
            </w:r>
          </w:p>
        </w:tc>
        <w:tc>
          <w:tcPr>
            <w:tcW w:w="420" w:type="dxa"/>
            <w:vAlign w:val="bottom"/>
          </w:tcPr>
          <w:p>
            <w:pPr>
              <w:jc w:val="right"/>
              <w:spacing w:after="0" w:line="141" w:lineRule="exact"/>
              <w:rPr>
                <w:sz w:val="20"/>
                <w:szCs w:val="20"/>
                <w:color w:val="auto"/>
              </w:rPr>
            </w:pPr>
            <w:r>
              <w:rPr>
                <w:rFonts w:ascii="Arial" w:cs="Arial" w:eastAsia="Arial" w:hAnsi="Arial"/>
                <w:sz w:val="16"/>
                <w:szCs w:val="16"/>
                <w:color w:val="auto"/>
              </w:rPr>
              <w:t>12</w:t>
            </w:r>
          </w:p>
        </w:tc>
      </w:tr>
      <w:tr>
        <w:trPr>
          <w:trHeight w:val="199"/>
        </w:trPr>
        <w:tc>
          <w:tcPr>
            <w:tcW w:w="12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(55,186)</w:t>
            </w:r>
          </w:p>
        </w:tc>
        <w:tc>
          <w:tcPr>
            <w:tcW w:w="11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6,861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173"/>
        </w:trPr>
        <w:tc>
          <w:tcPr>
            <w:tcW w:w="1260" w:type="dxa"/>
            <w:vAlign w:val="bottom"/>
          </w:tcPr>
          <w:p>
            <w:pPr>
              <w:jc w:val="right"/>
              <w:ind w:right="201"/>
              <w:spacing w:after="0" w:line="173" w:lineRule="exact"/>
              <w:rPr>
                <w:sz w:val="20"/>
                <w:szCs w:val="20"/>
                <w:color w:val="auto"/>
              </w:rPr>
            </w:pPr>
            <w:r>
              <w:rPr>
                <w:rFonts w:ascii="Arial" w:cs="Arial" w:eastAsia="Arial" w:hAnsi="Arial"/>
                <w:sz w:val="16"/>
                <w:szCs w:val="16"/>
                <w:b w:val="1"/>
                <w:bCs w:val="1"/>
                <w:color w:val="auto"/>
              </w:rPr>
              <w:t>87,525</w:t>
            </w:r>
          </w:p>
        </w:tc>
        <w:tc>
          <w:tcPr>
            <w:tcW w:w="1120" w:type="dxa"/>
            <w:vAlign w:val="bottom"/>
          </w:tcPr>
          <w:p>
            <w:pPr>
              <w:jc w:val="right"/>
              <w:ind w:right="201"/>
              <w:spacing w:after="0" w:line="173" w:lineRule="exact"/>
              <w:rPr>
                <w:sz w:val="20"/>
                <w:szCs w:val="20"/>
                <w:color w:val="auto"/>
              </w:rPr>
            </w:pPr>
            <w:r>
              <w:rPr>
                <w:rFonts w:ascii="Arial" w:cs="Arial" w:eastAsia="Arial" w:hAnsi="Arial"/>
                <w:sz w:val="16"/>
                <w:szCs w:val="16"/>
                <w:color w:val="auto"/>
              </w:rPr>
              <w:t>(16,810)</w:t>
            </w:r>
          </w:p>
        </w:tc>
        <w:tc>
          <w:tcPr>
            <w:tcW w:w="420" w:type="dxa"/>
            <w:vAlign w:val="bottom"/>
          </w:tcPr>
          <w:p>
            <w:pPr>
              <w:jc w:val="right"/>
              <w:spacing w:after="0" w:line="173" w:lineRule="exact"/>
              <w:rPr>
                <w:sz w:val="20"/>
                <w:szCs w:val="20"/>
                <w:color w:val="auto"/>
              </w:rPr>
            </w:pPr>
            <w:r>
              <w:rPr>
                <w:rFonts w:ascii="Arial" w:cs="Arial" w:eastAsia="Arial" w:hAnsi="Arial"/>
                <w:sz w:val="16"/>
                <w:szCs w:val="16"/>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177609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76095" cy="7620"/>
                    </a:xfrm>
                    <a:prstGeom prst="rect">
                      <a:avLst/>
                    </a:prstGeom>
                    <a:noFill/>
                  </pic:spPr>
                </pic:pic>
              </a:graphicData>
            </a:graphic>
          </wp:anchor>
        </w:drawing>
      </w:r>
    </w:p>
    <w:p>
      <w:pPr>
        <w:jc w:val="both"/>
        <w:ind w:left="420"/>
        <w:spacing w:after="0"/>
        <w:tabs>
          <w:tab w:leader="none" w:pos="1520" w:val="left"/>
          <w:tab w:leader="none" w:pos="2640" w:val="left"/>
        </w:tabs>
        <w:rPr>
          <w:sz w:val="20"/>
          <w:szCs w:val="20"/>
          <w:color w:val="auto"/>
        </w:rPr>
      </w:pPr>
      <w:r>
        <w:rPr>
          <w:rFonts w:ascii="Arial" w:cs="Arial" w:eastAsia="Arial" w:hAnsi="Arial"/>
          <w:sz w:val="16"/>
          <w:szCs w:val="16"/>
          <w:b w:val="1"/>
          <w:bCs w:val="1"/>
          <w:color w:val="auto"/>
        </w:rPr>
        <w:t>219,712</w:t>
      </w:r>
      <w:r>
        <w:rPr>
          <w:sz w:val="20"/>
          <w:szCs w:val="20"/>
          <w:color w:val="auto"/>
        </w:rPr>
        <w:tab/>
      </w:r>
      <w:r>
        <w:rPr>
          <w:rFonts w:ascii="Arial" w:cs="Arial" w:eastAsia="Arial" w:hAnsi="Arial"/>
          <w:sz w:val="16"/>
          <w:szCs w:val="16"/>
          <w:color w:val="auto"/>
        </w:rPr>
        <w:t>100,347</w:t>
      </w:r>
      <w:r>
        <w:rPr>
          <w:sz w:val="20"/>
          <w:szCs w:val="20"/>
          <w:color w:val="auto"/>
        </w:rPr>
        <w:tab/>
      </w:r>
      <w:r>
        <w:rPr>
          <w:rFonts w:ascii="Arial" w:cs="Arial" w:eastAsia="Arial" w:hAnsi="Arial"/>
          <w:sz w:val="12"/>
          <w:szCs w:val="12"/>
          <w:color w:val="auto"/>
        </w:rPr>
        <w:t>35</w:t>
      </w:r>
    </w:p>
    <w:p>
      <w:pPr>
        <w:ind w:left="1740" w:hanging="1129"/>
        <w:spacing w:after="0"/>
        <w:tabs>
          <w:tab w:leader="none" w:pos="174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77609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76095" cy="7620"/>
                    </a:xfrm>
                    <a:prstGeom prst="rect">
                      <a:avLst/>
                    </a:prstGeom>
                    <a:noFill/>
                  </pic:spPr>
                </pic:pic>
              </a:graphicData>
            </a:graphic>
          </wp:anchor>
        </w:drawing>
      </w:r>
    </w:p>
    <w:p>
      <w:pPr>
        <w:ind w:left="20"/>
        <w:spacing w:after="0"/>
        <w:tabs>
          <w:tab w:leader="none" w:pos="400" w:val="left"/>
          <w:tab w:leader="none" w:pos="1140" w:val="left"/>
          <w:tab w:leader="none" w:pos="1520" w:val="left"/>
          <w:tab w:leader="none" w:pos="2260" w:val="left"/>
          <w:tab w:leader="none" w:pos="26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219,609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100,221</w:t>
        <w:tab/>
        <w:t>$</w:t>
      </w:r>
      <w:r>
        <w:rPr>
          <w:sz w:val="20"/>
          <w:szCs w:val="20"/>
          <w:color w:val="auto"/>
        </w:rPr>
        <w:tab/>
      </w: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177609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760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77609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76095" cy="7620"/>
                    </a:xfrm>
                    <a:prstGeom prst="rect">
                      <a:avLst/>
                    </a:prstGeom>
                    <a:noFill/>
                  </pic:spPr>
                </pic:pic>
              </a:graphicData>
            </a:graphic>
          </wp:anchor>
        </w:drawing>
      </w:r>
    </w:p>
    <w:p>
      <w:pPr>
        <w:spacing w:after="0" w:line="518" w:lineRule="exact"/>
        <w:rPr>
          <w:sz w:val="20"/>
          <w:szCs w:val="20"/>
          <w:color w:val="auto"/>
        </w:rPr>
      </w:pPr>
    </w:p>
    <w:p>
      <w:pPr>
        <w:sectPr>
          <w:pgSz w:w="11900" w:h="16838" w:orient="portrait"/>
          <w:cols w:equalWidth="0" w:num="2">
            <w:col w:w="7420" w:space="720"/>
            <w:col w:w="2800"/>
          </w:cols>
          <w:pgMar w:left="820" w:top="342" w:right="139" w:bottom="1440" w:gutter="0" w:footer="0" w:header="0"/>
          <w:type w:val="continuous"/>
        </w:sectPr>
      </w:pPr>
    </w:p>
    <w:p>
      <w:pPr>
        <w:spacing w:after="0" w:line="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2" w:right="139" w:bottom="1440" w:gutter="0" w:footer="0" w:header="0"/>
          <w:type w:val="continuous"/>
        </w:sectPr>
      </w:pPr>
    </w:p>
    <w:bookmarkStart w:id="83" w:name="page84"/>
    <w:bookmarkEnd w:id="83"/>
    <w:p>
      <w:pPr>
        <w:ind w:left="4340"/>
        <w:spacing w:after="0"/>
        <w:rPr>
          <w:sz w:val="20"/>
          <w:szCs w:val="20"/>
          <w:color w:val="auto"/>
        </w:rPr>
      </w:pPr>
      <w:r>
        <w:rPr>
          <w:rFonts w:ascii="Arial" w:cs="Arial" w:eastAsia="Arial" w:hAnsi="Arial"/>
          <w:sz w:val="16"/>
          <w:szCs w:val="16"/>
          <w:b w:val="1"/>
          <w:bCs w:val="1"/>
          <w:color w:val="auto"/>
        </w:rPr>
        <w:t>THE WASHINGTON POST COMPANY</w:t>
      </w:r>
    </w:p>
    <w:p>
      <w:pPr>
        <w:spacing w:after="0" w:line="10" w:lineRule="exact"/>
        <w:rPr>
          <w:sz w:val="20"/>
          <w:szCs w:val="20"/>
          <w:color w:val="auto"/>
        </w:rPr>
      </w:pPr>
    </w:p>
    <w:p>
      <w:pPr>
        <w:ind w:left="4340"/>
        <w:spacing w:after="0"/>
        <w:rPr>
          <w:sz w:val="20"/>
          <w:szCs w:val="20"/>
          <w:color w:val="auto"/>
        </w:rPr>
      </w:pPr>
      <w:r>
        <w:rPr>
          <w:rFonts w:ascii="Arial" w:cs="Arial" w:eastAsia="Arial" w:hAnsi="Arial"/>
          <w:sz w:val="16"/>
          <w:szCs w:val="16"/>
          <w:b w:val="1"/>
          <w:bCs w:val="1"/>
          <w:color w:val="auto"/>
        </w:rPr>
        <w:t>CONSOLIDATED BALANCE SHEETS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December 31,</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3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 except share amounts)</w:t>
            </w: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26"/>
              <w:spacing w:after="0" w:line="129" w:lineRule="exact"/>
              <w:rPr>
                <w:sz w:val="20"/>
                <w:szCs w:val="20"/>
                <w:color w:val="auto"/>
              </w:rPr>
            </w:pPr>
            <w:r>
              <w:rPr>
                <w:rFonts w:ascii="Arial" w:cs="Arial" w:eastAsia="Arial" w:hAnsi="Arial"/>
                <w:sz w:val="12"/>
                <w:szCs w:val="12"/>
                <w:b w:val="1"/>
                <w:bCs w:val="1"/>
                <w:color w:val="auto"/>
              </w:rPr>
              <w:t>2012</w:t>
            </w:r>
          </w:p>
        </w:tc>
        <w:tc>
          <w:tcPr>
            <w:tcW w:w="5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46"/>
              <w:spacing w:after="0" w:line="129"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20"/>
                <w:szCs w:val="20"/>
                <w:color w:val="auto"/>
              </w:rPr>
            </w:pPr>
            <w:r>
              <w:rPr>
                <w:rFonts w:ascii="Arial" w:cs="Arial" w:eastAsia="Arial" w:hAnsi="Arial"/>
                <w:sz w:val="15"/>
                <w:szCs w:val="15"/>
                <w:b w:val="1"/>
                <w:bCs w:val="1"/>
                <w:color w:val="auto"/>
              </w:rPr>
              <w:t>Current Assets</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512,431</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220"/>
              <w:spacing w:after="0" w:line="156" w:lineRule="exact"/>
              <w:rPr>
                <w:sz w:val="20"/>
                <w:szCs w:val="20"/>
                <w:color w:val="auto"/>
              </w:rPr>
            </w:pPr>
            <w:r>
              <w:rPr>
                <w:rFonts w:ascii="Arial" w:cs="Arial" w:eastAsia="Arial" w:hAnsi="Arial"/>
                <w:sz w:val="15"/>
                <w:szCs w:val="15"/>
                <w:color w:val="auto"/>
              </w:rPr>
              <w:t>Cash and cash equivalents</w:t>
            </w:r>
          </w:p>
        </w:tc>
        <w:tc>
          <w:tcPr>
            <w:tcW w:w="3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560" w:type="dxa"/>
            <w:vAlign w:val="bottom"/>
          </w:tcPr>
          <w:p>
            <w:pPr>
              <w:jc w:val="right"/>
              <w:ind w:right="266"/>
              <w:spacing w:after="0" w:line="156"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Restricted cash</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28,538</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Investments in marketable equity securities and other investments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418,938</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Accounts receivable, net</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399,204</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Income taxes receivable</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3,974</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7,985</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220"/>
              <w:spacing w:after="0"/>
              <w:rPr>
                <w:sz w:val="20"/>
                <w:szCs w:val="20"/>
                <w:color w:val="auto"/>
              </w:rPr>
            </w:pPr>
            <w:r>
              <w:rPr>
                <w:rFonts w:ascii="Arial" w:cs="Arial" w:eastAsia="Arial" w:hAnsi="Arial"/>
                <w:sz w:val="15"/>
                <w:szCs w:val="15"/>
                <w:color w:val="auto"/>
              </w:rPr>
              <w:t>Other current assets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82,692</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360" w:type="dxa"/>
            <w:vAlign w:val="bottom"/>
          </w:tcPr>
          <w:p>
            <w:pPr>
              <w:ind w:left="460"/>
              <w:spacing w:after="0" w:line="150" w:lineRule="exact"/>
              <w:rPr>
                <w:sz w:val="20"/>
                <w:szCs w:val="20"/>
                <w:color w:val="auto"/>
              </w:rPr>
            </w:pPr>
            <w:r>
              <w:rPr>
                <w:rFonts w:ascii="Arial" w:cs="Arial" w:eastAsia="Arial" w:hAnsi="Arial"/>
                <w:sz w:val="15"/>
                <w:szCs w:val="15"/>
                <w:b w:val="1"/>
                <w:bCs w:val="1"/>
                <w:color w:val="auto"/>
              </w:rPr>
              <w:t>Total Current Assets</w:t>
            </w:r>
          </w:p>
        </w:tc>
        <w:tc>
          <w:tcPr>
            <w:tcW w:w="340" w:type="dxa"/>
            <w:vAlign w:val="bottom"/>
          </w:tcPr>
          <w:p>
            <w:pPr>
              <w:spacing w:after="0"/>
              <w:rPr>
                <w:sz w:val="13"/>
                <w:szCs w:val="13"/>
                <w:color w:val="auto"/>
              </w:rPr>
            </w:pPr>
          </w:p>
        </w:tc>
        <w:tc>
          <w:tcPr>
            <w:tcW w:w="12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1,453,762</w:t>
            </w:r>
          </w:p>
        </w:tc>
        <w:tc>
          <w:tcPr>
            <w:tcW w:w="560" w:type="dxa"/>
            <w:vAlign w:val="bottom"/>
          </w:tcPr>
          <w:p>
            <w:pPr>
              <w:spacing w:after="0"/>
              <w:rPr>
                <w:sz w:val="13"/>
                <w:szCs w:val="13"/>
                <w:color w:val="auto"/>
              </w:rPr>
            </w:pPr>
          </w:p>
        </w:tc>
        <w:tc>
          <w:tcPr>
            <w:tcW w:w="440" w:type="dxa"/>
            <w:vAlign w:val="bottom"/>
          </w:tcPr>
          <w:p>
            <w:pPr>
              <w:jc w:val="right"/>
              <w:spacing w:after="0" w:line="150"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Property, Plant and Equipment, Net</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1,081,237</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15,535</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Goodwill, Net</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1,317,915</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Indefinite-Lived Intangible Assets, Net</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539,728</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Amortized Intangible Assets, Net</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45,577</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604,823</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Deferred Charges and Other Assets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46,492</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Assets</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5,105,069</w:t>
            </w:r>
          </w:p>
        </w:tc>
        <w:tc>
          <w:tcPr>
            <w:tcW w:w="560" w:type="dxa"/>
            <w:vAlign w:val="bottom"/>
            <w:tcBorders>
              <w:bottom w:val="single" w:sz="8" w:color="auto"/>
            </w:tcBorders>
          </w:tcPr>
          <w:p>
            <w:pPr>
              <w:jc w:val="right"/>
              <w:ind w:right="26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Liabilities and Equity</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8360" w:type="dxa"/>
            <w:vAlign w:val="bottom"/>
          </w:tcPr>
          <w:p>
            <w:pPr>
              <w:spacing w:after="0"/>
              <w:rPr>
                <w:sz w:val="20"/>
                <w:szCs w:val="20"/>
                <w:color w:val="auto"/>
              </w:rPr>
            </w:pPr>
            <w:r>
              <w:rPr>
                <w:rFonts w:ascii="Arial" w:cs="Arial" w:eastAsia="Arial" w:hAnsi="Arial"/>
                <w:sz w:val="15"/>
                <w:szCs w:val="15"/>
                <w:b w:val="1"/>
                <w:bCs w:val="1"/>
                <w:color w:val="auto"/>
              </w:rPr>
              <w:t>Current Liabilities</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486,396</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220"/>
              <w:spacing w:after="0" w:line="156" w:lineRule="exact"/>
              <w:rPr>
                <w:sz w:val="20"/>
                <w:szCs w:val="20"/>
                <w:color w:val="auto"/>
              </w:rPr>
            </w:pPr>
            <w:r>
              <w:rPr>
                <w:rFonts w:ascii="Arial" w:cs="Arial" w:eastAsia="Arial" w:hAnsi="Arial"/>
                <w:sz w:val="15"/>
                <w:szCs w:val="15"/>
                <w:color w:val="auto"/>
              </w:rPr>
              <w:t>Accounts payable and accrued liabilities</w:t>
            </w:r>
          </w:p>
        </w:tc>
        <w:tc>
          <w:tcPr>
            <w:tcW w:w="3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560" w:type="dxa"/>
            <w:vAlign w:val="bottom"/>
          </w:tcPr>
          <w:p>
            <w:pPr>
              <w:jc w:val="right"/>
              <w:ind w:right="266"/>
              <w:spacing w:after="0" w:line="156"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Income taxes payable</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726</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Deferred revenue</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395,837</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8360" w:type="dxa"/>
            <w:vAlign w:val="bottom"/>
          </w:tcPr>
          <w:p>
            <w:pPr>
              <w:ind w:left="220"/>
              <w:spacing w:after="0"/>
              <w:rPr>
                <w:sz w:val="20"/>
                <w:szCs w:val="20"/>
                <w:color w:val="auto"/>
              </w:rPr>
            </w:pPr>
            <w:r>
              <w:rPr>
                <w:rFonts w:ascii="Arial" w:cs="Arial" w:eastAsia="Arial" w:hAnsi="Arial"/>
                <w:sz w:val="15"/>
                <w:szCs w:val="15"/>
                <w:color w:val="auto"/>
              </w:rPr>
              <w:t>Short-term borrowings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243,327</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50"/>
        </w:trPr>
        <w:tc>
          <w:tcPr>
            <w:tcW w:w="8360" w:type="dxa"/>
            <w:vAlign w:val="bottom"/>
          </w:tcPr>
          <w:p>
            <w:pPr>
              <w:ind w:left="460"/>
              <w:spacing w:after="0" w:line="150" w:lineRule="exact"/>
              <w:rPr>
                <w:sz w:val="20"/>
                <w:szCs w:val="20"/>
                <w:color w:val="auto"/>
              </w:rPr>
            </w:pPr>
            <w:r>
              <w:rPr>
                <w:rFonts w:ascii="Arial" w:cs="Arial" w:eastAsia="Arial" w:hAnsi="Arial"/>
                <w:sz w:val="15"/>
                <w:szCs w:val="15"/>
                <w:b w:val="1"/>
                <w:bCs w:val="1"/>
                <w:color w:val="auto"/>
              </w:rPr>
              <w:t>Total Current Liabilities</w:t>
            </w:r>
          </w:p>
        </w:tc>
        <w:tc>
          <w:tcPr>
            <w:tcW w:w="340" w:type="dxa"/>
            <w:vAlign w:val="bottom"/>
          </w:tcPr>
          <w:p>
            <w:pPr>
              <w:spacing w:after="0"/>
              <w:rPr>
                <w:sz w:val="13"/>
                <w:szCs w:val="13"/>
                <w:color w:val="auto"/>
              </w:rPr>
            </w:pPr>
          </w:p>
        </w:tc>
        <w:tc>
          <w:tcPr>
            <w:tcW w:w="12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1,126,286</w:t>
            </w:r>
          </w:p>
        </w:tc>
        <w:tc>
          <w:tcPr>
            <w:tcW w:w="560" w:type="dxa"/>
            <w:vAlign w:val="bottom"/>
          </w:tcPr>
          <w:p>
            <w:pPr>
              <w:spacing w:after="0"/>
              <w:rPr>
                <w:sz w:val="13"/>
                <w:szCs w:val="13"/>
                <w:color w:val="auto"/>
              </w:rPr>
            </w:pPr>
          </w:p>
        </w:tc>
        <w:tc>
          <w:tcPr>
            <w:tcW w:w="440" w:type="dxa"/>
            <w:vAlign w:val="bottom"/>
          </w:tcPr>
          <w:p>
            <w:pPr>
              <w:jc w:val="right"/>
              <w:spacing w:after="0" w:line="150"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Postretirement Benefits Other Than Pensions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59,949</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Accrued Compensation and Related Benefits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216,280</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Other Liabilities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109,774</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Deferred Income Taxes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529,427</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Long-Term Debt</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453,384</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Liabilities</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2,495,100</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color w:val="auto"/>
              </w:rPr>
              <w:t>(Notes 15 and 16)</w:t>
            </w: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b w:val="1"/>
                <w:bCs w:val="1"/>
                <w:color w:val="auto"/>
              </w:rPr>
              <w:t>Redeemable Noncontrolling Interest</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12,655</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360" w:type="dxa"/>
            <w:vAlign w:val="bottom"/>
          </w:tcPr>
          <w:p>
            <w:pPr>
              <w:spacing w:after="0"/>
              <w:rPr>
                <w:sz w:val="20"/>
                <w:szCs w:val="20"/>
                <w:color w:val="auto"/>
              </w:rPr>
            </w:pPr>
            <w:r>
              <w:rPr>
                <w:rFonts w:ascii="Arial" w:cs="Arial" w:eastAsia="Arial" w:hAnsi="Arial"/>
                <w:sz w:val="15"/>
                <w:szCs w:val="15"/>
                <w:b w:val="1"/>
                <w:bCs w:val="1"/>
                <w:color w:val="auto"/>
              </w:rPr>
              <w:t xml:space="preserve">Redeemable Preferred Stock, </w:t>
            </w:r>
            <w:r>
              <w:rPr>
                <w:rFonts w:ascii="Arial" w:cs="Arial" w:eastAsia="Arial" w:hAnsi="Arial"/>
                <w:sz w:val="15"/>
                <w:szCs w:val="15"/>
                <w:color w:val="auto"/>
              </w:rPr>
              <w:t>Series A, $1 par value, with a redemption and liquidation value of</w:t>
            </w:r>
          </w:p>
        </w:tc>
        <w:tc>
          <w:tcPr>
            <w:tcW w:w="340" w:type="dxa"/>
            <w:vAlign w:val="bottom"/>
          </w:tcPr>
          <w:p>
            <w:pPr>
              <w:spacing w:after="0"/>
              <w:rPr>
                <w:sz w:val="16"/>
                <w:szCs w:val="16"/>
                <w:color w:val="auto"/>
              </w:rPr>
            </w:pPr>
          </w:p>
        </w:tc>
        <w:tc>
          <w:tcPr>
            <w:tcW w:w="1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11,096</w:t>
            </w:r>
          </w:p>
        </w:tc>
        <w:tc>
          <w:tcPr>
            <w:tcW w:w="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8360" w:type="dxa"/>
            <w:vAlign w:val="bottom"/>
          </w:tcPr>
          <w:p>
            <w:pPr>
              <w:ind w:left="220"/>
              <w:spacing w:after="0" w:line="180" w:lineRule="exact"/>
              <w:rPr>
                <w:sz w:val="20"/>
                <w:szCs w:val="20"/>
                <w:color w:val="auto"/>
              </w:rPr>
            </w:pPr>
            <w:r>
              <w:rPr>
                <w:rFonts w:ascii="Arial" w:cs="Arial" w:eastAsia="Arial" w:hAnsi="Arial"/>
                <w:sz w:val="16"/>
                <w:szCs w:val="16"/>
                <w:color w:val="auto"/>
              </w:rPr>
              <w:t>$1,000 per share; 23,000 shares authorized; 11,096 and 11,295 shares issued and outstanding</w:t>
            </w: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b w:val="1"/>
                <w:bCs w:val="1"/>
                <w:color w:val="auto"/>
              </w:rPr>
              <w:t xml:space="preserve">Preferred Stock, </w:t>
            </w:r>
            <w:r>
              <w:rPr>
                <w:rFonts w:ascii="Arial" w:cs="Arial" w:eastAsia="Arial" w:hAnsi="Arial"/>
                <w:sz w:val="15"/>
                <w:szCs w:val="15"/>
                <w:color w:val="auto"/>
              </w:rPr>
              <w:t>$1 par value; 977,000 shares authorized, none issued</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360" w:type="dxa"/>
            <w:vAlign w:val="bottom"/>
          </w:tcPr>
          <w:p>
            <w:pPr>
              <w:spacing w:after="0" w:line="168" w:lineRule="exact"/>
              <w:rPr>
                <w:sz w:val="20"/>
                <w:szCs w:val="20"/>
                <w:color w:val="auto"/>
              </w:rPr>
            </w:pPr>
            <w:r>
              <w:rPr>
                <w:rFonts w:ascii="Arial" w:cs="Arial" w:eastAsia="Arial" w:hAnsi="Arial"/>
                <w:sz w:val="15"/>
                <w:szCs w:val="15"/>
                <w:b w:val="1"/>
                <w:bCs w:val="1"/>
                <w:color w:val="auto"/>
              </w:rPr>
              <w:t>Common Stockholders’ Equity</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Common stock</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color w:val="auto"/>
              </w:rPr>
              <w:t>Class A Common stock, $1 par value; 7,000,000 shares authorized; 1,219,383 and 1,229,383</w:t>
            </w:r>
          </w:p>
        </w:tc>
        <w:tc>
          <w:tcPr>
            <w:tcW w:w="340" w:type="dxa"/>
            <w:vAlign w:val="bottom"/>
          </w:tcPr>
          <w:p>
            <w:pPr>
              <w:spacing w:after="0"/>
              <w:rPr>
                <w:sz w:val="14"/>
                <w:szCs w:val="14"/>
                <w:color w:val="auto"/>
              </w:rPr>
            </w:pPr>
          </w:p>
        </w:tc>
        <w:tc>
          <w:tcPr>
            <w:tcW w:w="1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1,219</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360" w:type="dxa"/>
            <w:vAlign w:val="bottom"/>
          </w:tcPr>
          <w:p>
            <w:pPr>
              <w:ind w:left="700"/>
              <w:spacing w:after="0" w:line="181" w:lineRule="exact"/>
              <w:rPr>
                <w:sz w:val="20"/>
                <w:szCs w:val="20"/>
                <w:color w:val="auto"/>
              </w:rPr>
            </w:pPr>
            <w:r>
              <w:rPr>
                <w:rFonts w:ascii="Arial" w:cs="Arial" w:eastAsia="Arial" w:hAnsi="Arial"/>
                <w:sz w:val="16"/>
                <w:szCs w:val="16"/>
                <w:color w:val="auto"/>
              </w:rPr>
              <w:t>shares issued and outstanding</w:t>
            </w: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color w:val="auto"/>
              </w:rPr>
              <w:t>Class B Common stock, $1 par value; 40,000,000 shares authorized; 18,780,617 and</w:t>
            </w:r>
          </w:p>
        </w:tc>
        <w:tc>
          <w:tcPr>
            <w:tcW w:w="340" w:type="dxa"/>
            <w:vAlign w:val="bottom"/>
          </w:tcPr>
          <w:p>
            <w:pPr>
              <w:spacing w:after="0"/>
              <w:rPr>
                <w:sz w:val="14"/>
                <w:szCs w:val="14"/>
                <w:color w:val="auto"/>
              </w:rPr>
            </w:pPr>
          </w:p>
        </w:tc>
        <w:tc>
          <w:tcPr>
            <w:tcW w:w="1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18,781</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8360" w:type="dxa"/>
            <w:vAlign w:val="bottom"/>
          </w:tcPr>
          <w:p>
            <w:pPr>
              <w:ind w:left="700"/>
              <w:spacing w:after="0" w:line="163" w:lineRule="exact"/>
              <w:rPr>
                <w:sz w:val="20"/>
                <w:szCs w:val="20"/>
                <w:color w:val="auto"/>
              </w:rPr>
            </w:pPr>
            <w:r>
              <w:rPr>
                <w:rFonts w:ascii="Arial" w:cs="Arial" w:eastAsia="Arial" w:hAnsi="Arial"/>
                <w:sz w:val="16"/>
                <w:szCs w:val="16"/>
                <w:color w:val="auto"/>
              </w:rPr>
              <w:t>18,770,617 shares issued; 6,208,118 and 6,361,617 shares outstanding</w:t>
            </w:r>
          </w:p>
        </w:tc>
        <w:tc>
          <w:tcPr>
            <w:tcW w:w="3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Capital in excess of par value</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240,746</w:t>
            </w:r>
          </w:p>
        </w:tc>
        <w:tc>
          <w:tcPr>
            <w:tcW w:w="5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2"/>
        </w:trPr>
        <w:tc>
          <w:tcPr>
            <w:tcW w:w="8360" w:type="dxa"/>
            <w:vAlign w:val="bottom"/>
          </w:tcPr>
          <w:p>
            <w:pPr>
              <w:ind w:left="220"/>
              <w:spacing w:after="0"/>
              <w:rPr>
                <w:sz w:val="20"/>
                <w:szCs w:val="20"/>
                <w:color w:val="auto"/>
              </w:rPr>
            </w:pPr>
            <w:r>
              <w:rPr>
                <w:rFonts w:ascii="Arial" w:cs="Arial" w:eastAsia="Arial" w:hAnsi="Arial"/>
                <w:sz w:val="15"/>
                <w:szCs w:val="15"/>
                <w:color w:val="auto"/>
              </w:rPr>
              <w:t>Retained earnings</w:t>
            </w:r>
          </w:p>
        </w:tc>
        <w:tc>
          <w:tcPr>
            <w:tcW w:w="340" w:type="dxa"/>
            <w:vAlign w:val="bottom"/>
          </w:tcPr>
          <w:p>
            <w:pPr>
              <w:spacing w:after="0"/>
              <w:rPr>
                <w:sz w:val="16"/>
                <w:szCs w:val="16"/>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4,546,775</w:t>
            </w:r>
          </w:p>
        </w:tc>
        <w:tc>
          <w:tcPr>
            <w:tcW w:w="5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74"/>
        </w:trPr>
        <w:tc>
          <w:tcPr>
            <w:tcW w:w="8360" w:type="dxa"/>
            <w:vAlign w:val="bottom"/>
          </w:tcPr>
          <w:p>
            <w:pPr>
              <w:ind w:left="220"/>
              <w:spacing w:after="0"/>
              <w:rPr>
                <w:sz w:val="20"/>
                <w:szCs w:val="20"/>
                <w:color w:val="auto"/>
              </w:rPr>
            </w:pPr>
            <w:r>
              <w:rPr>
                <w:rFonts w:ascii="Arial" w:cs="Arial" w:eastAsia="Arial" w:hAnsi="Arial"/>
                <w:sz w:val="15"/>
                <w:szCs w:val="15"/>
                <w:color w:val="auto"/>
              </w:rPr>
              <w:t>Accumulated other comprehensive income, net of taxes</w:t>
            </w:r>
          </w:p>
        </w:tc>
        <w:tc>
          <w:tcPr>
            <w:tcW w:w="340" w:type="dxa"/>
            <w:vAlign w:val="bottom"/>
          </w:tcPr>
          <w:p>
            <w:pPr>
              <w:spacing w:after="0"/>
              <w:rPr>
                <w:sz w:val="15"/>
                <w:szCs w:val="15"/>
                <w:color w:val="auto"/>
              </w:rPr>
            </w:pPr>
          </w:p>
        </w:tc>
        <w:tc>
          <w:tcPr>
            <w:tcW w:w="1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26,072</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360" w:type="dxa"/>
            <w:vAlign w:val="bottom"/>
          </w:tcPr>
          <w:p>
            <w:pPr>
              <w:ind w:left="460"/>
              <w:spacing w:after="0" w:line="156" w:lineRule="exact"/>
              <w:rPr>
                <w:sz w:val="20"/>
                <w:szCs w:val="20"/>
                <w:color w:val="auto"/>
              </w:rPr>
            </w:pPr>
            <w:r>
              <w:rPr>
                <w:rFonts w:ascii="Arial" w:cs="Arial" w:eastAsia="Arial" w:hAnsi="Arial"/>
                <w:sz w:val="15"/>
                <w:szCs w:val="15"/>
                <w:color w:val="auto"/>
              </w:rPr>
              <w:t>Cumulative foreign currency translation adjustment</w:t>
            </w:r>
          </w:p>
        </w:tc>
        <w:tc>
          <w:tcPr>
            <w:tcW w:w="34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460"/>
              <w:spacing w:after="0"/>
              <w:rPr>
                <w:sz w:val="20"/>
                <w:szCs w:val="20"/>
                <w:color w:val="auto"/>
              </w:rPr>
            </w:pPr>
            <w:r>
              <w:rPr>
                <w:rFonts w:ascii="Arial" w:cs="Arial" w:eastAsia="Arial" w:hAnsi="Arial"/>
                <w:sz w:val="15"/>
                <w:szCs w:val="15"/>
                <w:color w:val="auto"/>
              </w:rPr>
              <w:t>Unrealized gain on available-for-sale securities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110,553</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460"/>
              <w:spacing w:after="0"/>
              <w:rPr>
                <w:sz w:val="20"/>
                <w:szCs w:val="20"/>
                <w:color w:val="auto"/>
              </w:rPr>
            </w:pPr>
            <w:r>
              <w:rPr>
                <w:rFonts w:ascii="Arial" w:cs="Arial" w:eastAsia="Arial" w:hAnsi="Arial"/>
                <w:sz w:val="15"/>
                <w:szCs w:val="15"/>
                <w:color w:val="auto"/>
              </w:rPr>
              <w:t>Unrealized gain on pensions and other postretirement plans</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117,169</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460"/>
              <w:spacing w:after="0"/>
              <w:rPr>
                <w:sz w:val="20"/>
                <w:szCs w:val="20"/>
                <w:color w:val="auto"/>
              </w:rPr>
            </w:pPr>
            <w:r>
              <w:rPr>
                <w:rFonts w:ascii="Arial" w:cs="Arial" w:eastAsia="Arial" w:hAnsi="Arial"/>
                <w:sz w:val="15"/>
                <w:szCs w:val="15"/>
                <w:color w:val="auto"/>
              </w:rPr>
              <w:t>Cash flow hedge</w:t>
            </w:r>
          </w:p>
        </w:tc>
        <w:tc>
          <w:tcPr>
            <w:tcW w:w="340" w:type="dxa"/>
            <w:vAlign w:val="bottom"/>
          </w:tcPr>
          <w:p>
            <w:pPr>
              <w:spacing w:after="0"/>
              <w:rPr>
                <w:sz w:val="15"/>
                <w:szCs w:val="15"/>
                <w:color w:val="auto"/>
              </w:rPr>
            </w:pPr>
          </w:p>
        </w:tc>
        <w:tc>
          <w:tcPr>
            <w:tcW w:w="1240" w:type="dxa"/>
            <w:vAlign w:val="bottom"/>
          </w:tcPr>
          <w:p>
            <w:pPr>
              <w:jc w:val="right"/>
              <w:ind w:right="66"/>
              <w:spacing w:after="0"/>
              <w:rPr>
                <w:sz w:val="20"/>
                <w:szCs w:val="20"/>
                <w:color w:val="auto"/>
              </w:rPr>
            </w:pPr>
            <w:r>
              <w:rPr>
                <w:rFonts w:ascii="Arial" w:cs="Arial" w:eastAsia="Arial" w:hAnsi="Arial"/>
                <w:sz w:val="15"/>
                <w:szCs w:val="15"/>
                <w:b w:val="1"/>
                <w:bCs w:val="1"/>
                <w:color w:val="auto"/>
              </w:rPr>
              <w:t>(940)</w:t>
            </w: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220"/>
              <w:spacing w:after="0"/>
              <w:rPr>
                <w:sz w:val="20"/>
                <w:szCs w:val="20"/>
                <w:color w:val="auto"/>
              </w:rPr>
            </w:pPr>
            <w:r>
              <w:rPr>
                <w:rFonts w:ascii="Arial" w:cs="Arial" w:eastAsia="Arial" w:hAnsi="Arial"/>
                <w:sz w:val="15"/>
                <w:szCs w:val="15"/>
                <w:color w:val="auto"/>
              </w:rPr>
              <w:t>Cost of 12,572,499 and 12,409,000 shares of Class B common stock held in treasury</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(2,474,347)</w:t>
            </w:r>
          </w:p>
        </w:tc>
        <w:tc>
          <w:tcPr>
            <w:tcW w:w="5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w:t>
            </w: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Common Stockholders’ Equity</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2,586,028</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color w:val="auto"/>
              </w:rPr>
              <w:t>Noncontrolling interests</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190</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360" w:type="dxa"/>
            <w:vAlign w:val="bottom"/>
          </w:tcPr>
          <w:p>
            <w:pPr>
              <w:ind w:left="460"/>
              <w:spacing w:after="0" w:line="167" w:lineRule="exact"/>
              <w:rPr>
                <w:sz w:val="20"/>
                <w:szCs w:val="20"/>
                <w:color w:val="auto"/>
              </w:rPr>
            </w:pPr>
            <w:r>
              <w:rPr>
                <w:rFonts w:ascii="Arial" w:cs="Arial" w:eastAsia="Arial" w:hAnsi="Arial"/>
                <w:sz w:val="15"/>
                <w:szCs w:val="15"/>
                <w:b w:val="1"/>
                <w:bCs w:val="1"/>
                <w:color w:val="auto"/>
              </w:rPr>
              <w:t>Total Equity</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2,586,218</w:t>
            </w: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6"/>
        </w:trPr>
        <w:tc>
          <w:tcPr>
            <w:tcW w:w="8360" w:type="dxa"/>
            <w:vAlign w:val="bottom"/>
          </w:tcPr>
          <w:p>
            <w:pPr>
              <w:ind w:left="700"/>
              <w:spacing w:after="0" w:line="167" w:lineRule="exact"/>
              <w:rPr>
                <w:sz w:val="20"/>
                <w:szCs w:val="20"/>
                <w:color w:val="auto"/>
              </w:rPr>
            </w:pPr>
            <w:r>
              <w:rPr>
                <w:rFonts w:ascii="Arial" w:cs="Arial" w:eastAsia="Arial" w:hAnsi="Arial"/>
                <w:sz w:val="15"/>
                <w:szCs w:val="15"/>
                <w:b w:val="1"/>
                <w:bCs w:val="1"/>
                <w:color w:val="auto"/>
              </w:rPr>
              <w:t>Total Liabilities and Equity</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5,105,069</w:t>
            </w:r>
          </w:p>
        </w:tc>
        <w:tc>
          <w:tcPr>
            <w:tcW w:w="560" w:type="dxa"/>
            <w:vAlign w:val="bottom"/>
            <w:tcBorders>
              <w:bottom w:val="single" w:sz="8" w:color="auto"/>
            </w:tcBorders>
          </w:tcPr>
          <w:p>
            <w:pPr>
              <w:jc w:val="right"/>
              <w:ind w:right="26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6" w:right="139" w:bottom="1440" w:gutter="0" w:footer="0" w:header="0"/>
        </w:sectPr>
      </w:pPr>
    </w:p>
    <w:bookmarkStart w:id="84" w:name="page85"/>
    <w:bookmarkEnd w:id="84"/>
    <w:p>
      <w:pPr>
        <w:jc w:val="center"/>
        <w:ind w:right="760"/>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ind w:right="76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Fiscal Year Ended</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80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w:t>
            </w:r>
          </w:p>
        </w:tc>
        <w:tc>
          <w:tcPr>
            <w:tcW w:w="1320" w:type="dxa"/>
            <w:vAlign w:val="bottom"/>
            <w:gridSpan w:val="2"/>
          </w:tcPr>
          <w:p>
            <w:pPr>
              <w:jc w:val="center"/>
              <w:spacing w:after="0"/>
              <w:rPr>
                <w:sz w:val="20"/>
                <w:szCs w:val="20"/>
                <w:color w:val="auto"/>
              </w:rPr>
            </w:pPr>
            <w:r>
              <w:rPr>
                <w:rFonts w:ascii="Arial" w:cs="Arial" w:eastAsia="Arial" w:hAnsi="Arial"/>
                <w:sz w:val="12"/>
                <w:szCs w:val="12"/>
                <w:color w:val="auto"/>
              </w:rPr>
              <w:t>December 31,</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Januar</w:t>
            </w:r>
          </w:p>
        </w:tc>
        <w:tc>
          <w:tcPr>
            <w:tcW w:w="0" w:type="dxa"/>
            <w:vAlign w:val="bottom"/>
          </w:tcPr>
          <w:p>
            <w:pPr>
              <w:spacing w:after="0"/>
              <w:rPr>
                <w:sz w:val="1"/>
                <w:szCs w:val="1"/>
                <w:color w:val="auto"/>
              </w:rPr>
            </w:pPr>
          </w:p>
        </w:tc>
      </w:tr>
      <w:tr>
        <w:trPr>
          <w:trHeight w:val="151"/>
        </w:trPr>
        <w:tc>
          <w:tcPr>
            <w:tcW w:w="7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42"/>
              <w:spacing w:after="0"/>
              <w:rPr>
                <w:sz w:val="20"/>
                <w:szCs w:val="20"/>
                <w:color w:val="auto"/>
              </w:rPr>
            </w:pPr>
            <w:r>
              <w:rPr>
                <w:rFonts w:ascii="Arial" w:cs="Arial" w:eastAsia="Arial" w:hAnsi="Arial"/>
                <w:sz w:val="12"/>
                <w:szCs w:val="12"/>
                <w:color w:val="auto"/>
              </w:rPr>
              <w:t>2011</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0"/>
        </w:trPr>
        <w:tc>
          <w:tcPr>
            <w:tcW w:w="7800" w:type="dxa"/>
            <w:vAlign w:val="bottom"/>
          </w:tcPr>
          <w:p>
            <w:pPr>
              <w:spacing w:after="0" w:line="141" w:lineRule="exact"/>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780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132,187</w:t>
            </w:r>
          </w:p>
        </w:tc>
        <w:tc>
          <w:tcPr>
            <w:tcW w:w="38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117,157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4"/>
        </w:trPr>
        <w:tc>
          <w:tcPr>
            <w:tcW w:w="7800" w:type="dxa"/>
            <w:vAlign w:val="bottom"/>
          </w:tcPr>
          <w:p>
            <w:pPr>
              <w:spacing w:after="0" w:line="174" w:lineRule="exact"/>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5"/>
                <w:szCs w:val="15"/>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269,992</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220"/>
              <w:spacing w:after="0" w:line="154" w:lineRule="exact"/>
              <w:rPr>
                <w:sz w:val="20"/>
                <w:szCs w:val="20"/>
                <w:color w:val="auto"/>
              </w:rPr>
            </w:pPr>
            <w:r>
              <w:rPr>
                <w:rFonts w:ascii="Arial" w:cs="Arial" w:eastAsia="Arial" w:hAnsi="Arial"/>
                <w:sz w:val="16"/>
                <w:szCs w:val="16"/>
                <w:color w:val="auto"/>
              </w:rPr>
              <w:t>Depreciation of property, plant and equipment</w:t>
            </w: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82"/>
              <w:spacing w:after="0" w:line="154" w:lineRule="exact"/>
              <w:rPr>
                <w:sz w:val="20"/>
                <w:szCs w:val="20"/>
                <w:color w:val="auto"/>
              </w:rPr>
            </w:pPr>
            <w:r>
              <w:rPr>
                <w:rFonts w:ascii="Arial" w:cs="Arial" w:eastAsia="Arial" w:hAnsi="Arial"/>
                <w:sz w:val="16"/>
                <w:szCs w:val="16"/>
                <w:color w:val="auto"/>
              </w:rPr>
              <w:t>255,975</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Amortization of intangible assets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21,444</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30,333</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Goodwill and other long-lived asset impairment charges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111,593</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11,923</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Net pension expense (benefit)</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16,044</w:t>
            </w:r>
          </w:p>
        </w:tc>
        <w:tc>
          <w:tcPr>
            <w:tcW w:w="380" w:type="dxa"/>
            <w:vAlign w:val="bottom"/>
          </w:tcPr>
          <w:p>
            <w:pPr>
              <w:spacing w:after="0"/>
              <w:rPr>
                <w:sz w:val="15"/>
                <w:szCs w:val="15"/>
                <w:color w:val="auto"/>
              </w:rPr>
            </w:pPr>
          </w:p>
        </w:tc>
        <w:tc>
          <w:tcPr>
            <w:tcW w:w="940" w:type="dxa"/>
            <w:vAlign w:val="bottom"/>
          </w:tcPr>
          <w:p>
            <w:pPr>
              <w:jc w:val="right"/>
              <w:ind w:right="42"/>
              <w:spacing w:after="0" w:line="174" w:lineRule="exact"/>
              <w:rPr>
                <w:sz w:val="20"/>
                <w:szCs w:val="20"/>
                <w:color w:val="auto"/>
              </w:rPr>
            </w:pPr>
            <w:r>
              <w:rPr>
                <w:rFonts w:ascii="Arial" w:cs="Arial" w:eastAsia="Arial" w:hAnsi="Arial"/>
                <w:sz w:val="16"/>
                <w:szCs w:val="16"/>
                <w:color w:val="auto"/>
              </w:rPr>
              <w:t>(4,726)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Multiemployer pension plan withdrawal charge</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886</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2,415</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Early retirement program expense</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8,508</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634</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Foreign exchange (gain) loss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(3,132)</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3,263</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Net (gain) loss on sales and disposition of businesses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(23,759)</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(2,975)</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Loss on write-down of a marketable equity security</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17,998</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53,793</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Equity in (earnings) losses of affiliates, including impairment charges, net of distributions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(1,148)</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5,492</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(Benefit) provision for deferred income taxes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(64,383)</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42,265</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7800" w:type="dxa"/>
            <w:vAlign w:val="bottom"/>
          </w:tcPr>
          <w:p>
            <w:pPr>
              <w:ind w:left="220"/>
              <w:spacing w:after="0"/>
              <w:rPr>
                <w:sz w:val="20"/>
                <w:szCs w:val="20"/>
                <w:color w:val="auto"/>
              </w:rPr>
            </w:pPr>
            <w:r>
              <w:rPr>
                <w:rFonts w:ascii="Arial" w:cs="Arial" w:eastAsia="Arial" w:hAnsi="Arial"/>
                <w:sz w:val="16"/>
                <w:szCs w:val="16"/>
                <w:color w:val="auto"/>
              </w:rPr>
              <w:t>Net (gain) loss on sale or write-down of property, plant and equipment and other assets</w:t>
            </w:r>
          </w:p>
        </w:tc>
        <w:tc>
          <w:tcPr>
            <w:tcW w:w="32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(4,743)</w:t>
            </w:r>
          </w:p>
        </w:tc>
        <w:tc>
          <w:tcPr>
            <w:tcW w:w="380" w:type="dxa"/>
            <w:vAlign w:val="bottom"/>
          </w:tcPr>
          <w:p>
            <w:pPr>
              <w:spacing w:after="0"/>
              <w:rPr>
                <w:sz w:val="16"/>
                <w:szCs w:val="16"/>
                <w:color w:val="auto"/>
              </w:rPr>
            </w:pP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9,294</w:t>
            </w:r>
          </w:p>
        </w:tc>
        <w:tc>
          <w:tcPr>
            <w:tcW w:w="2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Change in assets and liabilities:</w:t>
            </w:r>
          </w:p>
        </w:tc>
        <w:tc>
          <w:tcPr>
            <w:tcW w:w="320" w:type="dxa"/>
            <w:vAlign w:val="bottom"/>
          </w:tcPr>
          <w:p>
            <w:pPr>
              <w:spacing w:after="0"/>
              <w:rPr>
                <w:sz w:val="15"/>
                <w:szCs w:val="15"/>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(14,846)</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460"/>
              <w:spacing w:after="0" w:line="154" w:lineRule="exact"/>
              <w:rPr>
                <w:sz w:val="20"/>
                <w:szCs w:val="20"/>
                <w:color w:val="auto"/>
              </w:rPr>
            </w:pPr>
            <w:r>
              <w:rPr>
                <w:rFonts w:ascii="Arial" w:cs="Arial" w:eastAsia="Arial" w:hAnsi="Arial"/>
                <w:sz w:val="16"/>
                <w:szCs w:val="16"/>
                <w:color w:val="auto"/>
              </w:rPr>
              <w:t>(Increase) decrease in accounts receivable, net</w:t>
            </w: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82"/>
              <w:spacing w:after="0" w:line="154" w:lineRule="exact"/>
              <w:rPr>
                <w:sz w:val="20"/>
                <w:szCs w:val="20"/>
                <w:color w:val="auto"/>
              </w:rPr>
            </w:pPr>
            <w:r>
              <w:rPr>
                <w:rFonts w:ascii="Arial" w:cs="Arial" w:eastAsia="Arial" w:hAnsi="Arial"/>
                <w:sz w:val="16"/>
                <w:szCs w:val="16"/>
                <w:color w:val="auto"/>
              </w:rPr>
              <w:t>27,895</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(Increase) decrease in inventories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(1,871)</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(1,587)</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(Decrease) increase in accounts payable and accrued liabilities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(34,224)</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(126,771)</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Increase (decrease) in deferred revenue</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24,482</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(9,186)</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Increase (decrease) in income taxes payable</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11,936</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16,002</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4"/>
        </w:trPr>
        <w:tc>
          <w:tcPr>
            <w:tcW w:w="7800" w:type="dxa"/>
            <w:vAlign w:val="bottom"/>
          </w:tcPr>
          <w:p>
            <w:pPr>
              <w:ind w:left="460"/>
              <w:spacing w:after="0" w:line="174" w:lineRule="exact"/>
              <w:rPr>
                <w:sz w:val="20"/>
                <w:szCs w:val="20"/>
                <w:color w:val="auto"/>
              </w:rPr>
            </w:pPr>
            <w:r>
              <w:rPr>
                <w:rFonts w:ascii="Arial" w:cs="Arial" w:eastAsia="Arial" w:hAnsi="Arial"/>
                <w:sz w:val="16"/>
                <w:szCs w:val="16"/>
                <w:color w:val="auto"/>
              </w:rPr>
              <w:t>Decrease (increase) in other assets and other liabilities, net</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9,295</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(37,748)</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9"/>
        </w:trPr>
        <w:tc>
          <w:tcPr>
            <w:tcW w:w="7800" w:type="dxa"/>
            <w:vAlign w:val="bottom"/>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955</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line="166" w:lineRule="exact"/>
              <w:rPr>
                <w:sz w:val="20"/>
                <w:szCs w:val="20"/>
                <w:color w:val="auto"/>
              </w:rPr>
            </w:pPr>
            <w:r>
              <w:rPr>
                <w:rFonts w:ascii="Arial" w:cs="Arial" w:eastAsia="Arial" w:hAnsi="Arial"/>
                <w:sz w:val="16"/>
                <w:szCs w:val="16"/>
                <w:b w:val="1"/>
                <w:bCs w:val="1"/>
                <w:color w:val="auto"/>
              </w:rPr>
              <w:t>477,214</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393,291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4"/>
        </w:trPr>
        <w:tc>
          <w:tcPr>
            <w:tcW w:w="780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4"/>
                <w:szCs w:val="2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(217,995)</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220"/>
              <w:spacing w:after="0" w:line="154" w:lineRule="exact"/>
              <w:rPr>
                <w:sz w:val="20"/>
                <w:szCs w:val="20"/>
                <w:color w:val="auto"/>
              </w:rPr>
            </w:pPr>
            <w:r>
              <w:rPr>
                <w:rFonts w:ascii="Arial" w:cs="Arial" w:eastAsia="Arial" w:hAnsi="Arial"/>
                <w:sz w:val="16"/>
                <w:szCs w:val="16"/>
                <w:color w:val="auto"/>
              </w:rPr>
              <w:t>Purchases of property, plant and equipment</w:t>
            </w: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82"/>
              <w:spacing w:after="0" w:line="154" w:lineRule="exact"/>
              <w:rPr>
                <w:sz w:val="20"/>
                <w:szCs w:val="20"/>
                <w:color w:val="auto"/>
              </w:rPr>
            </w:pPr>
            <w:r>
              <w:rPr>
                <w:rFonts w:ascii="Arial" w:cs="Arial" w:eastAsia="Arial" w:hAnsi="Arial"/>
                <w:sz w:val="16"/>
                <w:szCs w:val="16"/>
                <w:color w:val="auto"/>
              </w:rPr>
              <w:t>(216,381)</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Investments in certain businesses, net of cash acquired</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(40,339)</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(83,699)</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Net proceeds from sales of businesses, property, plant and equipment and other assets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76,863</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49,157</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Purchases of marketable equity securities and other investments</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(48,031)</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(8,165)</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800" w:type="dxa"/>
            <w:vAlign w:val="bottom"/>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1,459</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(1,640)</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78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line="166" w:lineRule="exact"/>
              <w:rPr>
                <w:sz w:val="20"/>
                <w:szCs w:val="20"/>
                <w:color w:val="auto"/>
              </w:rPr>
            </w:pPr>
            <w:r>
              <w:rPr>
                <w:rFonts w:ascii="Arial" w:cs="Arial" w:eastAsia="Arial" w:hAnsi="Arial"/>
                <w:sz w:val="16"/>
                <w:szCs w:val="16"/>
                <w:b w:val="1"/>
                <w:bCs w:val="1"/>
                <w:color w:val="auto"/>
              </w:rPr>
              <w:t>(228,043)</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(260,728)</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4"/>
        </w:trPr>
        <w:tc>
          <w:tcPr>
            <w:tcW w:w="78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24"/>
                <w:szCs w:val="24"/>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(103,196)</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220"/>
              <w:spacing w:after="0" w:line="154" w:lineRule="exact"/>
              <w:rPr>
                <w:sz w:val="20"/>
                <w:szCs w:val="20"/>
                <w:color w:val="auto"/>
              </w:rPr>
            </w:pPr>
            <w:r>
              <w:rPr>
                <w:rFonts w:ascii="Arial" w:cs="Arial" w:eastAsia="Arial" w:hAnsi="Arial"/>
                <w:sz w:val="16"/>
                <w:szCs w:val="16"/>
                <w:color w:val="auto"/>
              </w:rPr>
              <w:t>Common shares repurchased</w:t>
            </w:r>
          </w:p>
        </w:tc>
        <w:tc>
          <w:tcPr>
            <w:tcW w:w="3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jc w:val="right"/>
              <w:ind w:right="82"/>
              <w:spacing w:after="0" w:line="154" w:lineRule="exact"/>
              <w:rPr>
                <w:sz w:val="20"/>
                <w:szCs w:val="20"/>
                <w:color w:val="auto"/>
              </w:rPr>
            </w:pPr>
            <w:r>
              <w:rPr>
                <w:rFonts w:ascii="Arial" w:cs="Arial" w:eastAsia="Arial" w:hAnsi="Arial"/>
                <w:sz w:val="16"/>
                <w:szCs w:val="16"/>
                <w:color w:val="auto"/>
              </w:rPr>
              <w:t>(248,055)</w:t>
            </w:r>
          </w:p>
        </w:tc>
        <w:tc>
          <w:tcPr>
            <w:tcW w:w="240" w:type="dxa"/>
            <w:vAlign w:val="bottom"/>
          </w:tcPr>
          <w:p>
            <w:pPr>
              <w:spacing w:after="0"/>
              <w:rPr>
                <w:sz w:val="13"/>
                <w:szCs w:val="13"/>
                <w:color w:val="auto"/>
              </w:rPr>
            </w:pP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Issuance of short-term borrowing, net</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130,450</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109,671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(147,327)</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(75,493)</w:t>
            </w:r>
          </w:p>
        </w:tc>
        <w:tc>
          <w:tcPr>
            <w:tcW w:w="240" w:type="dxa"/>
            <w:vAlign w:val="bottom"/>
          </w:tcPr>
          <w:p>
            <w:pPr>
              <w:spacing w:after="0"/>
              <w:rPr>
                <w:sz w:val="15"/>
                <w:szCs w:val="15"/>
                <w:color w:val="auto"/>
              </w:rPr>
            </w:pPr>
          </w:p>
        </w:tc>
        <w:tc>
          <w:tcPr>
            <w:tcW w:w="400" w:type="dxa"/>
            <w:vAlign w:val="bottom"/>
          </w:tcPr>
          <w:p>
            <w:pPr>
              <w:jc w:val="right"/>
              <w:spacing w:after="0" w:line="174"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Issuance of debt</w:t>
            </w:r>
          </w:p>
        </w:tc>
        <w:tc>
          <w:tcPr>
            <w:tcW w:w="320" w:type="dxa"/>
            <w:vAlign w:val="bottom"/>
          </w:tcPr>
          <w:p>
            <w:pPr>
              <w:spacing w:after="0"/>
              <w:rPr>
                <w:sz w:val="15"/>
                <w:szCs w:val="15"/>
                <w:color w:val="auto"/>
              </w:rPr>
            </w:pPr>
          </w:p>
        </w:tc>
        <w:tc>
          <w:tcPr>
            <w:tcW w:w="860" w:type="dxa"/>
            <w:vAlign w:val="bottom"/>
          </w:tcPr>
          <w:p>
            <w:pPr>
              <w:jc w:val="right"/>
              <w:ind w:right="2"/>
              <w:spacing w:after="0" w:line="174" w:lineRule="exact"/>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5"/>
                <w:szCs w:val="15"/>
                <w:color w:val="auto"/>
              </w:rPr>
            </w:pPr>
          </w:p>
        </w:tc>
        <w:tc>
          <w:tcPr>
            <w:tcW w:w="940" w:type="dxa"/>
            <w:vAlign w:val="bottom"/>
          </w:tcPr>
          <w:p>
            <w:pPr>
              <w:jc w:val="right"/>
              <w:ind w:right="82"/>
              <w:spacing w:after="0" w:line="174" w:lineRule="exact"/>
              <w:rPr>
                <w:sz w:val="20"/>
                <w:szCs w:val="20"/>
                <w:color w:val="auto"/>
              </w:rPr>
            </w:pPr>
            <w:r>
              <w:rPr>
                <w:rFonts w:ascii="Arial" w:cs="Arial" w:eastAsia="Arial" w:hAnsi="Arial"/>
                <w:sz w:val="16"/>
                <w:szCs w:val="16"/>
                <w:color w:val="auto"/>
              </w:rPr>
              <w:t>52,476</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800" w:type="dxa"/>
            <w:vAlign w:val="bottom"/>
          </w:tcPr>
          <w:p>
            <w:pPr>
              <w:ind w:left="2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(1,772)</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(25,560)</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7800" w:type="dxa"/>
            <w:vAlign w:val="bottom"/>
          </w:tcPr>
          <w:p>
            <w:pPr>
              <w:ind w:left="460"/>
              <w:spacing w:after="0" w:line="166" w:lineRule="exact"/>
              <w:rPr>
                <w:sz w:val="20"/>
                <w:szCs w:val="20"/>
                <w:color w:val="auto"/>
              </w:rPr>
            </w:pPr>
            <w:r>
              <w:rPr>
                <w:rFonts w:ascii="Arial" w:cs="Arial" w:eastAsia="Arial" w:hAnsi="Arial"/>
                <w:sz w:val="16"/>
                <w:szCs w:val="16"/>
                <w:b w:val="1"/>
                <w:bCs w:val="1"/>
                <w:color w:val="auto"/>
              </w:rPr>
              <w:t>Net Cash Used in Financing Activities</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line="166" w:lineRule="exact"/>
              <w:rPr>
                <w:sz w:val="20"/>
                <w:szCs w:val="20"/>
                <w:color w:val="auto"/>
              </w:rPr>
            </w:pPr>
            <w:r>
              <w:rPr>
                <w:rFonts w:ascii="Arial" w:cs="Arial" w:eastAsia="Arial" w:hAnsi="Arial"/>
                <w:sz w:val="16"/>
                <w:szCs w:val="16"/>
                <w:b w:val="1"/>
                <w:bCs w:val="1"/>
                <w:color w:val="auto"/>
              </w:rPr>
              <w:t>(121,845)</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(186,961)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6"/>
        </w:trPr>
        <w:tc>
          <w:tcPr>
            <w:tcW w:w="7800" w:type="dxa"/>
            <w:vAlign w:val="bottom"/>
          </w:tcPr>
          <w:p>
            <w:pPr>
              <w:spacing w:after="0" w:line="166" w:lineRule="exact"/>
              <w:rPr>
                <w:sz w:val="20"/>
                <w:szCs w:val="20"/>
                <w:color w:val="auto"/>
              </w:rPr>
            </w:pPr>
            <w:r>
              <w:rPr>
                <w:rFonts w:ascii="Arial" w:cs="Arial" w:eastAsia="Arial" w:hAnsi="Arial"/>
                <w:sz w:val="16"/>
                <w:szCs w:val="16"/>
                <w:b w:val="1"/>
                <w:bCs w:val="1"/>
                <w:color w:val="auto"/>
              </w:rPr>
              <w:t>Effect of Currency Exchange Rate Change</w:t>
            </w: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
              <w:spacing w:after="0" w:line="166" w:lineRule="exact"/>
              <w:rPr>
                <w:sz w:val="20"/>
                <w:szCs w:val="20"/>
                <w:color w:val="auto"/>
              </w:rPr>
            </w:pPr>
            <w:r>
              <w:rPr>
                <w:rFonts w:ascii="Arial" w:cs="Arial" w:eastAsia="Arial" w:hAnsi="Arial"/>
                <w:sz w:val="16"/>
                <w:szCs w:val="16"/>
                <w:b w:val="1"/>
                <w:bCs w:val="1"/>
                <w:color w:val="auto"/>
              </w:rPr>
              <w:t>4,006</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(2,243)</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line="141" w:lineRule="exact"/>
              <w:rPr>
                <w:sz w:val="20"/>
                <w:szCs w:val="20"/>
                <w:color w:val="auto"/>
              </w:rPr>
            </w:pPr>
            <w:r>
              <w:rPr>
                <w:rFonts w:ascii="Arial" w:cs="Arial" w:eastAsia="Arial" w:hAnsi="Arial"/>
                <w:sz w:val="16"/>
                <w:szCs w:val="16"/>
                <w:b w:val="1"/>
                <w:bCs w:val="1"/>
                <w:color w:val="auto"/>
              </w:rPr>
              <w:t>Net Increase (Decrease) in Cash and Cash Equivalents</w:t>
            </w:r>
          </w:p>
        </w:tc>
        <w:tc>
          <w:tcPr>
            <w:tcW w:w="320" w:type="dxa"/>
            <w:vAlign w:val="bottom"/>
          </w:tcPr>
          <w:p>
            <w:pPr>
              <w:spacing w:after="0"/>
              <w:rPr>
                <w:sz w:val="12"/>
                <w:szCs w:val="12"/>
                <w:color w:val="auto"/>
              </w:rPr>
            </w:pPr>
          </w:p>
        </w:tc>
        <w:tc>
          <w:tcPr>
            <w:tcW w:w="860" w:type="dxa"/>
            <w:vAlign w:val="bottom"/>
          </w:tcPr>
          <w:p>
            <w:pPr>
              <w:jc w:val="right"/>
              <w:ind w:right="2"/>
              <w:spacing w:after="0" w:line="141" w:lineRule="exact"/>
              <w:rPr>
                <w:sz w:val="20"/>
                <w:szCs w:val="20"/>
                <w:color w:val="auto"/>
              </w:rPr>
            </w:pPr>
            <w:r>
              <w:rPr>
                <w:rFonts w:ascii="Arial" w:cs="Arial" w:eastAsia="Arial" w:hAnsi="Arial"/>
                <w:sz w:val="16"/>
                <w:szCs w:val="16"/>
                <w:b w:val="1"/>
                <w:bCs w:val="1"/>
                <w:color w:val="auto"/>
              </w:rPr>
              <w:t>131,332</w:t>
            </w:r>
          </w:p>
        </w:tc>
        <w:tc>
          <w:tcPr>
            <w:tcW w:w="380" w:type="dxa"/>
            <w:vAlign w:val="bottom"/>
          </w:tcPr>
          <w:p>
            <w:pPr>
              <w:spacing w:after="0"/>
              <w:rPr>
                <w:sz w:val="12"/>
                <w:szCs w:val="12"/>
                <w:color w:val="auto"/>
              </w:rPr>
            </w:pPr>
          </w:p>
        </w:tc>
        <w:tc>
          <w:tcPr>
            <w:tcW w:w="940" w:type="dxa"/>
            <w:vAlign w:val="bottom"/>
          </w:tcPr>
          <w:p>
            <w:pPr>
              <w:jc w:val="right"/>
              <w:ind w:right="82"/>
              <w:spacing w:after="0" w:line="141" w:lineRule="exact"/>
              <w:rPr>
                <w:sz w:val="20"/>
                <w:szCs w:val="20"/>
                <w:color w:val="auto"/>
              </w:rPr>
            </w:pPr>
            <w:r>
              <w:rPr>
                <w:rFonts w:ascii="Arial" w:cs="Arial" w:eastAsia="Arial" w:hAnsi="Arial"/>
                <w:sz w:val="16"/>
                <w:szCs w:val="16"/>
                <w:color w:val="auto"/>
              </w:rPr>
              <w:t>(56,641)</w:t>
            </w:r>
          </w:p>
        </w:tc>
        <w:tc>
          <w:tcPr>
            <w:tcW w:w="240" w:type="dxa"/>
            <w:vAlign w:val="bottom"/>
          </w:tcPr>
          <w:p>
            <w:pPr>
              <w:spacing w:after="0"/>
              <w:rPr>
                <w:sz w:val="12"/>
                <w:szCs w:val="12"/>
                <w:color w:val="auto"/>
              </w:rPr>
            </w:pPr>
          </w:p>
        </w:tc>
        <w:tc>
          <w:tcPr>
            <w:tcW w:w="400" w:type="dxa"/>
            <w:vAlign w:val="bottom"/>
          </w:tcPr>
          <w:p>
            <w:pPr>
              <w:jc w:val="right"/>
              <w:spacing w:after="0" w:line="14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7800" w:type="dxa"/>
            <w:vAlign w:val="bottom"/>
          </w:tcPr>
          <w:p>
            <w:pPr>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381,099</w:t>
            </w: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437,740</w:t>
            </w:r>
          </w:p>
        </w:tc>
        <w:tc>
          <w:tcPr>
            <w:tcW w:w="2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66"/>
        </w:trPr>
        <w:tc>
          <w:tcPr>
            <w:tcW w:w="7800" w:type="dxa"/>
            <w:vAlign w:val="bottom"/>
          </w:tcPr>
          <w:p>
            <w:pPr>
              <w:spacing w:after="0" w:line="166" w:lineRule="exact"/>
              <w:rPr>
                <w:sz w:val="20"/>
                <w:szCs w:val="20"/>
                <w:color w:val="auto"/>
              </w:rPr>
            </w:pPr>
            <w:r>
              <w:rPr>
                <w:rFonts w:ascii="Arial" w:cs="Arial" w:eastAsia="Arial" w:hAnsi="Arial"/>
                <w:sz w:val="16"/>
                <w:szCs w:val="16"/>
                <w:b w:val="1"/>
                <w:bCs w:val="1"/>
                <w:color w:val="auto"/>
              </w:rPr>
              <w:t>Cash and Cash Equivalents at End of Year</w:t>
            </w:r>
          </w:p>
        </w:tc>
        <w:tc>
          <w:tcPr>
            <w:tcW w:w="320" w:type="dxa"/>
            <w:vAlign w:val="bottom"/>
            <w:tcBorders>
              <w:bottom w:val="single" w:sz="8" w:color="auto"/>
            </w:tcBorders>
          </w:tcPr>
          <w:p>
            <w:pPr>
              <w:ind w:left="140"/>
              <w:spacing w:after="0" w:line="166"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2"/>
              <w:spacing w:after="0" w:line="166" w:lineRule="exact"/>
              <w:rPr>
                <w:sz w:val="20"/>
                <w:szCs w:val="20"/>
                <w:color w:val="auto"/>
              </w:rPr>
            </w:pPr>
            <w:r>
              <w:rPr>
                <w:rFonts w:ascii="Arial" w:cs="Arial" w:eastAsia="Arial" w:hAnsi="Arial"/>
                <w:sz w:val="16"/>
                <w:szCs w:val="16"/>
                <w:b w:val="1"/>
                <w:bCs w:val="1"/>
                <w:color w:val="auto"/>
              </w:rPr>
              <w:t>512,431</w:t>
            </w:r>
          </w:p>
        </w:tc>
        <w:tc>
          <w:tcPr>
            <w:tcW w:w="380" w:type="dxa"/>
            <w:vAlign w:val="bottom"/>
            <w:tcBorders>
              <w:bottom w:val="single" w:sz="8" w:color="auto"/>
            </w:tcBorders>
          </w:tcPr>
          <w:p>
            <w:pPr>
              <w:jc w:val="right"/>
              <w:ind w:right="7"/>
              <w:spacing w:after="0" w:line="166"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82"/>
              <w:spacing w:after="0" w:line="166" w:lineRule="exact"/>
              <w:rPr>
                <w:sz w:val="20"/>
                <w:szCs w:val="20"/>
                <w:color w:val="auto"/>
              </w:rPr>
            </w:pPr>
            <w:r>
              <w:rPr>
                <w:rFonts w:ascii="Arial" w:cs="Arial" w:eastAsia="Arial" w:hAnsi="Arial"/>
                <w:sz w:val="16"/>
                <w:szCs w:val="16"/>
                <w:color w:val="auto"/>
              </w:rPr>
              <w:t>381,099</w:t>
            </w:r>
          </w:p>
        </w:tc>
        <w:tc>
          <w:tcPr>
            <w:tcW w:w="2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8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800" w:type="dxa"/>
            <w:vAlign w:val="bottom"/>
          </w:tcPr>
          <w:p>
            <w:pPr>
              <w:ind w:left="220"/>
              <w:spacing w:after="0" w:line="174" w:lineRule="exact"/>
              <w:rPr>
                <w:sz w:val="20"/>
                <w:szCs w:val="20"/>
                <w:color w:val="auto"/>
              </w:rPr>
            </w:pPr>
            <w:r>
              <w:rPr>
                <w:rFonts w:ascii="Arial" w:cs="Arial" w:eastAsia="Arial" w:hAnsi="Arial"/>
                <w:sz w:val="16"/>
                <w:szCs w:val="16"/>
                <w:color w:val="auto"/>
              </w:rPr>
              <w:t>Cash paid during the year for:</w:t>
            </w:r>
          </w:p>
        </w:tc>
        <w:tc>
          <w:tcPr>
            <w:tcW w:w="32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50,531</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7800" w:type="dxa"/>
            <w:vAlign w:val="bottom"/>
          </w:tcPr>
          <w:p>
            <w:pPr>
              <w:ind w:left="460"/>
              <w:spacing w:after="0" w:line="154" w:lineRule="exact"/>
              <w:rPr>
                <w:sz w:val="20"/>
                <w:szCs w:val="20"/>
                <w:color w:val="auto"/>
              </w:rPr>
            </w:pPr>
            <w:r>
              <w:rPr>
                <w:rFonts w:ascii="Arial" w:cs="Arial" w:eastAsia="Arial" w:hAnsi="Arial"/>
                <w:sz w:val="16"/>
                <w:szCs w:val="16"/>
                <w:color w:val="auto"/>
              </w:rPr>
              <w:t>Income taxes</w:t>
            </w:r>
          </w:p>
        </w:tc>
        <w:tc>
          <w:tcPr>
            <w:tcW w:w="3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80" w:type="dxa"/>
            <w:vAlign w:val="bottom"/>
          </w:tcPr>
          <w:p>
            <w:pPr>
              <w:jc w:val="right"/>
              <w:ind w:right="7"/>
              <w:spacing w:after="0" w:line="154"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line="154" w:lineRule="exact"/>
              <w:rPr>
                <w:sz w:val="20"/>
                <w:szCs w:val="20"/>
                <w:color w:val="auto"/>
              </w:rPr>
            </w:pPr>
            <w:r>
              <w:rPr>
                <w:rFonts w:ascii="Arial" w:cs="Arial" w:eastAsia="Arial" w:hAnsi="Arial"/>
                <w:sz w:val="16"/>
                <w:szCs w:val="16"/>
                <w:color w:val="auto"/>
              </w:rPr>
              <w:t>38,500</w:t>
            </w:r>
          </w:p>
        </w:tc>
        <w:tc>
          <w:tcPr>
            <w:tcW w:w="240" w:type="dxa"/>
            <w:vAlign w:val="bottom"/>
          </w:tcPr>
          <w:p>
            <w:pPr>
              <w:jc w:val="right"/>
              <w:spacing w:after="0" w:line="154"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54"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8"/>
        </w:trPr>
        <w:tc>
          <w:tcPr>
            <w:tcW w:w="7800" w:type="dxa"/>
            <w:vAlign w:val="bottom"/>
          </w:tcPr>
          <w:p>
            <w:pPr>
              <w:ind w:left="460"/>
              <w:spacing w:after="0"/>
              <w:rPr>
                <w:sz w:val="20"/>
                <w:szCs w:val="20"/>
                <w:color w:val="auto"/>
              </w:rPr>
            </w:pPr>
            <w:r>
              <w:rPr>
                <w:rFonts w:ascii="Arial" w:cs="Arial" w:eastAsia="Arial" w:hAnsi="Arial"/>
                <w:sz w:val="16"/>
                <w:szCs w:val="16"/>
                <w:color w:val="auto"/>
              </w:rPr>
              <w:t>Interest</w:t>
            </w:r>
          </w:p>
        </w:tc>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35,500</w:t>
            </w:r>
          </w:p>
        </w:tc>
        <w:tc>
          <w:tcPr>
            <w:tcW w:w="380" w:type="dxa"/>
            <w:vAlign w:val="bottom"/>
          </w:tcPr>
          <w:p>
            <w:pPr>
              <w:jc w:val="right"/>
              <w:ind w:right="7"/>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2"/>
              <w:spacing w:after="0"/>
              <w:rPr>
                <w:sz w:val="20"/>
                <w:szCs w:val="20"/>
                <w:color w:val="auto"/>
              </w:rPr>
            </w:pPr>
            <w:r>
              <w:rPr>
                <w:rFonts w:ascii="Arial" w:cs="Arial" w:eastAsia="Arial" w:hAnsi="Arial"/>
                <w:sz w:val="16"/>
                <w:szCs w:val="16"/>
                <w:color w:val="auto"/>
              </w:rPr>
              <w:t>32,650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5" w:right="139" w:bottom="1440" w:gutter="0" w:footer="0" w:header="0"/>
        </w:sectPr>
      </w:pPr>
    </w:p>
    <w:bookmarkStart w:id="85" w:name="page86"/>
    <w:bookmarkEnd w:id="8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6" w:name="page87"/>
    <w:bookmarkEnd w:id="86"/>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2" w:lineRule="exact"/>
        <w:rPr>
          <w:sz w:val="20"/>
          <w:szCs w:val="20"/>
          <w:color w:val="auto"/>
        </w:rPr>
      </w:pPr>
    </w:p>
    <w:p>
      <w:pPr>
        <w:jc w:val="center"/>
        <w:ind w:left="1140"/>
        <w:spacing w:after="0"/>
        <w:rPr>
          <w:sz w:val="20"/>
          <w:szCs w:val="20"/>
          <w:color w:val="auto"/>
        </w:rPr>
      </w:pPr>
      <w:r>
        <w:rPr>
          <w:rFonts w:ascii="Arial" w:cs="Arial" w:eastAsia="Arial" w:hAnsi="Arial"/>
          <w:sz w:val="17"/>
          <w:szCs w:val="17"/>
          <w:b w:val="1"/>
          <w:bCs w:val="1"/>
          <w:color w:val="auto"/>
        </w:rPr>
        <w:t>CONSOLIDATED STATEMENTS OF CHANGES IN COMMON STOCKHOLDERS’ EQUITY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gridSpan w:val="2"/>
          </w:tcPr>
          <w:p>
            <w:pPr>
              <w:jc w:val="center"/>
              <w:ind w:right="30"/>
              <w:spacing w:after="0"/>
              <w:rPr>
                <w:sz w:val="20"/>
                <w:szCs w:val="20"/>
                <w:color w:val="auto"/>
              </w:rPr>
            </w:pPr>
            <w:r>
              <w:rPr>
                <w:rFonts w:ascii="Arial" w:cs="Arial" w:eastAsia="Arial" w:hAnsi="Arial"/>
                <w:sz w:val="11"/>
                <w:szCs w:val="11"/>
                <w:b w:val="1"/>
                <w:bCs w:val="1"/>
                <w:color w:val="auto"/>
                <w:w w:val="96"/>
              </w:rPr>
              <w:t>Unrealized</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jc w:val="center"/>
              <w:ind w:right="10"/>
              <w:spacing w:after="0" w:line="124" w:lineRule="exact"/>
              <w:rPr>
                <w:sz w:val="20"/>
                <w:szCs w:val="20"/>
                <w:color w:val="auto"/>
              </w:rPr>
            </w:pPr>
            <w:r>
              <w:rPr>
                <w:rFonts w:ascii="Arial" w:cs="Arial" w:eastAsia="Arial" w:hAnsi="Arial"/>
                <w:sz w:val="11"/>
                <w:szCs w:val="11"/>
                <w:b w:val="1"/>
                <w:bCs w:val="1"/>
                <w:color w:val="auto"/>
                <w:w w:val="97"/>
              </w:rPr>
              <w:t>Cumulative</w:t>
            </w:r>
          </w:p>
        </w:tc>
        <w:tc>
          <w:tcPr>
            <w:tcW w:w="1000" w:type="dxa"/>
            <w:vAlign w:val="bottom"/>
            <w:gridSpan w:val="2"/>
          </w:tcPr>
          <w:p>
            <w:pPr>
              <w:jc w:val="center"/>
              <w:ind w:right="10"/>
              <w:spacing w:after="0" w:line="124" w:lineRule="exact"/>
              <w:rPr>
                <w:sz w:val="20"/>
                <w:szCs w:val="20"/>
                <w:color w:val="auto"/>
              </w:rPr>
            </w:pPr>
            <w:r>
              <w:rPr>
                <w:rFonts w:ascii="Arial" w:cs="Arial" w:eastAsia="Arial" w:hAnsi="Arial"/>
                <w:sz w:val="11"/>
                <w:szCs w:val="11"/>
                <w:b w:val="1"/>
                <w:bCs w:val="1"/>
                <w:color w:val="auto"/>
                <w:w w:val="96"/>
              </w:rPr>
              <w:t>Unrealized</w:t>
            </w:r>
          </w:p>
        </w:tc>
        <w:tc>
          <w:tcPr>
            <w:tcW w:w="1060" w:type="dxa"/>
            <w:vAlign w:val="bottom"/>
            <w:gridSpan w:val="2"/>
          </w:tcPr>
          <w:p>
            <w:pPr>
              <w:jc w:val="center"/>
              <w:ind w:right="50"/>
              <w:spacing w:after="0" w:line="124" w:lineRule="exact"/>
              <w:rPr>
                <w:sz w:val="20"/>
                <w:szCs w:val="20"/>
                <w:color w:val="auto"/>
              </w:rPr>
            </w:pPr>
            <w:r>
              <w:rPr>
                <w:rFonts w:ascii="Arial" w:cs="Arial" w:eastAsia="Arial" w:hAnsi="Arial"/>
                <w:sz w:val="11"/>
                <w:szCs w:val="11"/>
                <w:b w:val="1"/>
                <w:bCs w:val="1"/>
                <w:color w:val="auto"/>
                <w:w w:val="99"/>
              </w:rPr>
              <w:t>Gain (Loss)</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jc w:val="center"/>
              <w:ind w:right="30"/>
              <w:spacing w:after="0" w:line="124" w:lineRule="exact"/>
              <w:rPr>
                <w:sz w:val="20"/>
                <w:szCs w:val="20"/>
                <w:color w:val="auto"/>
              </w:rPr>
            </w:pPr>
            <w:r>
              <w:rPr>
                <w:rFonts w:ascii="Arial" w:cs="Arial" w:eastAsia="Arial" w:hAnsi="Arial"/>
                <w:sz w:val="11"/>
                <w:szCs w:val="11"/>
                <w:b w:val="1"/>
                <w:bCs w:val="1"/>
                <w:color w:val="auto"/>
                <w:w w:val="99"/>
              </w:rPr>
              <w:t>Foreign</w:t>
            </w:r>
          </w:p>
        </w:tc>
        <w:tc>
          <w:tcPr>
            <w:tcW w:w="1000" w:type="dxa"/>
            <w:vAlign w:val="bottom"/>
            <w:gridSpan w:val="2"/>
          </w:tcPr>
          <w:p>
            <w:pPr>
              <w:jc w:val="center"/>
              <w:ind w:right="30"/>
              <w:spacing w:after="0" w:line="124" w:lineRule="exact"/>
              <w:rPr>
                <w:sz w:val="20"/>
                <w:szCs w:val="20"/>
                <w:color w:val="auto"/>
              </w:rPr>
            </w:pPr>
            <w:r>
              <w:rPr>
                <w:rFonts w:ascii="Arial" w:cs="Arial" w:eastAsia="Arial" w:hAnsi="Arial"/>
                <w:sz w:val="11"/>
                <w:szCs w:val="11"/>
                <w:b w:val="1"/>
                <w:bCs w:val="1"/>
                <w:color w:val="auto"/>
                <w:w w:val="99"/>
              </w:rPr>
              <w:t>Gain (Loss)</w:t>
            </w:r>
          </w:p>
        </w:tc>
        <w:tc>
          <w:tcPr>
            <w:tcW w:w="1060" w:type="dxa"/>
            <w:vAlign w:val="bottom"/>
            <w:gridSpan w:val="2"/>
          </w:tcPr>
          <w:p>
            <w:pPr>
              <w:jc w:val="center"/>
              <w:ind w:right="50"/>
              <w:spacing w:after="0" w:line="124" w:lineRule="exact"/>
              <w:rPr>
                <w:sz w:val="20"/>
                <w:szCs w:val="20"/>
                <w:color w:val="auto"/>
              </w:rPr>
            </w:pPr>
            <w:r>
              <w:rPr>
                <w:rFonts w:ascii="Arial" w:cs="Arial" w:eastAsia="Arial" w:hAnsi="Arial"/>
                <w:sz w:val="11"/>
                <w:szCs w:val="11"/>
                <w:b w:val="1"/>
                <w:bCs w:val="1"/>
                <w:color w:val="auto"/>
                <w:w w:val="97"/>
              </w:rPr>
              <w:t>on Pensions</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10"/>
                <w:szCs w:val="10"/>
                <w:color w:val="auto"/>
              </w:rPr>
            </w:pPr>
          </w:p>
        </w:tc>
        <w:tc>
          <w:tcPr>
            <w:tcW w:w="960" w:type="dxa"/>
            <w:vAlign w:val="bottom"/>
            <w:gridSpan w:val="2"/>
          </w:tcPr>
          <w:p>
            <w:pPr>
              <w:jc w:val="right"/>
              <w:ind w:right="310"/>
              <w:spacing w:after="0" w:line="124" w:lineRule="exact"/>
              <w:rPr>
                <w:sz w:val="20"/>
                <w:szCs w:val="20"/>
                <w:color w:val="auto"/>
              </w:rPr>
            </w:pPr>
            <w:r>
              <w:rPr>
                <w:rFonts w:ascii="Arial" w:cs="Arial" w:eastAsia="Arial" w:hAnsi="Arial"/>
                <w:sz w:val="11"/>
                <w:szCs w:val="11"/>
                <w:b w:val="1"/>
                <w:bCs w:val="1"/>
                <w:color w:val="auto"/>
              </w:rPr>
              <w:t>Class A</w:t>
            </w:r>
          </w:p>
        </w:tc>
        <w:tc>
          <w:tcPr>
            <w:tcW w:w="920" w:type="dxa"/>
            <w:vAlign w:val="bottom"/>
            <w:gridSpan w:val="2"/>
          </w:tcPr>
          <w:p>
            <w:pPr>
              <w:jc w:val="right"/>
              <w:ind w:right="270"/>
              <w:spacing w:after="0" w:line="124" w:lineRule="exact"/>
              <w:rPr>
                <w:sz w:val="20"/>
                <w:szCs w:val="20"/>
                <w:color w:val="auto"/>
              </w:rPr>
            </w:pPr>
            <w:r>
              <w:rPr>
                <w:rFonts w:ascii="Arial" w:cs="Arial" w:eastAsia="Arial" w:hAnsi="Arial"/>
                <w:sz w:val="11"/>
                <w:szCs w:val="11"/>
                <w:b w:val="1"/>
                <w:bCs w:val="1"/>
                <w:color w:val="auto"/>
              </w:rPr>
              <w:t>Class B</w:t>
            </w:r>
          </w:p>
        </w:tc>
        <w:tc>
          <w:tcPr>
            <w:tcW w:w="94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Capital in</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gridSpan w:val="2"/>
          </w:tcPr>
          <w:p>
            <w:pPr>
              <w:jc w:val="center"/>
              <w:ind w:right="30"/>
              <w:spacing w:after="0" w:line="124" w:lineRule="exact"/>
              <w:rPr>
                <w:sz w:val="20"/>
                <w:szCs w:val="20"/>
                <w:color w:val="auto"/>
              </w:rPr>
            </w:pPr>
            <w:r>
              <w:rPr>
                <w:rFonts w:ascii="Arial" w:cs="Arial" w:eastAsia="Arial" w:hAnsi="Arial"/>
                <w:sz w:val="11"/>
                <w:szCs w:val="11"/>
                <w:b w:val="1"/>
                <w:bCs w:val="1"/>
                <w:color w:val="auto"/>
                <w:w w:val="99"/>
              </w:rPr>
              <w:t>Currency</w:t>
            </w:r>
          </w:p>
        </w:tc>
        <w:tc>
          <w:tcPr>
            <w:tcW w:w="1000" w:type="dxa"/>
            <w:vAlign w:val="bottom"/>
            <w:gridSpan w:val="2"/>
          </w:tcPr>
          <w:p>
            <w:pPr>
              <w:jc w:val="center"/>
              <w:ind w:right="10"/>
              <w:spacing w:after="0" w:line="124" w:lineRule="exact"/>
              <w:rPr>
                <w:sz w:val="20"/>
                <w:szCs w:val="20"/>
                <w:color w:val="auto"/>
              </w:rPr>
            </w:pPr>
            <w:r>
              <w:rPr>
                <w:rFonts w:ascii="Arial" w:cs="Arial" w:eastAsia="Arial" w:hAnsi="Arial"/>
                <w:sz w:val="11"/>
                <w:szCs w:val="11"/>
                <w:b w:val="1"/>
                <w:bCs w:val="1"/>
                <w:color w:val="auto"/>
                <w:w w:val="96"/>
              </w:rPr>
              <w:t>on Available-</w:t>
            </w:r>
          </w:p>
        </w:tc>
        <w:tc>
          <w:tcPr>
            <w:tcW w:w="1060" w:type="dxa"/>
            <w:vAlign w:val="bottom"/>
            <w:gridSpan w:val="2"/>
          </w:tcPr>
          <w:p>
            <w:pPr>
              <w:jc w:val="center"/>
              <w:ind w:right="50"/>
              <w:spacing w:after="0" w:line="124" w:lineRule="exact"/>
              <w:rPr>
                <w:sz w:val="20"/>
                <w:szCs w:val="20"/>
                <w:color w:val="auto"/>
              </w:rPr>
            </w:pPr>
            <w:r>
              <w:rPr>
                <w:rFonts w:ascii="Arial" w:cs="Arial" w:eastAsia="Arial" w:hAnsi="Arial"/>
                <w:sz w:val="11"/>
                <w:szCs w:val="11"/>
                <w:b w:val="1"/>
                <w:bCs w:val="1"/>
                <w:color w:val="auto"/>
                <w:w w:val="99"/>
              </w:rPr>
              <w:t>and Other</w:t>
            </w:r>
          </w:p>
        </w:tc>
        <w:tc>
          <w:tcPr>
            <w:tcW w:w="780" w:type="dxa"/>
            <w:vAlign w:val="bottom"/>
            <w:gridSpan w:val="2"/>
          </w:tcPr>
          <w:p>
            <w:pPr>
              <w:jc w:val="right"/>
              <w:ind w:right="270"/>
              <w:spacing w:after="0" w:line="124" w:lineRule="exact"/>
              <w:rPr>
                <w:sz w:val="20"/>
                <w:szCs w:val="20"/>
                <w:color w:val="auto"/>
              </w:rPr>
            </w:pPr>
            <w:r>
              <w:rPr>
                <w:rFonts w:ascii="Arial" w:cs="Arial" w:eastAsia="Arial" w:hAnsi="Arial"/>
                <w:sz w:val="11"/>
                <w:szCs w:val="11"/>
                <w:b w:val="1"/>
                <w:bCs w:val="1"/>
                <w:color w:val="auto"/>
              </w:rPr>
              <w:t>Cash</w:t>
            </w: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10"/>
                <w:szCs w:val="10"/>
                <w:color w:val="auto"/>
              </w:rPr>
            </w:pPr>
          </w:p>
        </w:tc>
        <w:tc>
          <w:tcPr>
            <w:tcW w:w="960" w:type="dxa"/>
            <w:vAlign w:val="bottom"/>
            <w:gridSpan w:val="2"/>
          </w:tcPr>
          <w:p>
            <w:pPr>
              <w:ind w:left="180"/>
              <w:spacing w:after="0" w:line="124" w:lineRule="exact"/>
              <w:rPr>
                <w:sz w:val="20"/>
                <w:szCs w:val="20"/>
                <w:color w:val="auto"/>
              </w:rPr>
            </w:pPr>
            <w:r>
              <w:rPr>
                <w:rFonts w:ascii="Arial" w:cs="Arial" w:eastAsia="Arial" w:hAnsi="Arial"/>
                <w:sz w:val="11"/>
                <w:szCs w:val="11"/>
                <w:b w:val="1"/>
                <w:bCs w:val="1"/>
                <w:color w:val="auto"/>
              </w:rPr>
              <w:t>Common</w:t>
            </w:r>
          </w:p>
        </w:tc>
        <w:tc>
          <w:tcPr>
            <w:tcW w:w="92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Common</w:t>
            </w:r>
          </w:p>
        </w:tc>
        <w:tc>
          <w:tcPr>
            <w:tcW w:w="94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Excess of</w:t>
            </w:r>
          </w:p>
        </w:tc>
        <w:tc>
          <w:tcPr>
            <w:tcW w:w="220" w:type="dxa"/>
            <w:vAlign w:val="bottom"/>
          </w:tcPr>
          <w:p>
            <w:pPr>
              <w:spacing w:after="0"/>
              <w:rPr>
                <w:sz w:val="10"/>
                <w:szCs w:val="10"/>
                <w:color w:val="auto"/>
              </w:rPr>
            </w:pPr>
          </w:p>
        </w:tc>
        <w:tc>
          <w:tcPr>
            <w:tcW w:w="760" w:type="dxa"/>
            <w:vAlign w:val="bottom"/>
          </w:tcPr>
          <w:p>
            <w:pPr>
              <w:jc w:val="right"/>
              <w:ind w:right="270"/>
              <w:spacing w:after="0" w:line="124" w:lineRule="exact"/>
              <w:rPr>
                <w:sz w:val="20"/>
                <w:szCs w:val="20"/>
                <w:color w:val="auto"/>
              </w:rPr>
            </w:pPr>
            <w:r>
              <w:rPr>
                <w:rFonts w:ascii="Arial" w:cs="Arial" w:eastAsia="Arial" w:hAnsi="Arial"/>
                <w:sz w:val="11"/>
                <w:szCs w:val="11"/>
                <w:b w:val="1"/>
                <w:bCs w:val="1"/>
                <w:color w:val="auto"/>
                <w:w w:val="90"/>
              </w:rPr>
              <w:t>Retained</w:t>
            </w:r>
          </w:p>
        </w:tc>
        <w:tc>
          <w:tcPr>
            <w:tcW w:w="920" w:type="dxa"/>
            <w:vAlign w:val="bottom"/>
            <w:gridSpan w:val="2"/>
          </w:tcPr>
          <w:p>
            <w:pPr>
              <w:jc w:val="center"/>
              <w:ind w:right="30"/>
              <w:spacing w:after="0" w:line="124" w:lineRule="exact"/>
              <w:rPr>
                <w:sz w:val="20"/>
                <w:szCs w:val="20"/>
                <w:color w:val="auto"/>
              </w:rPr>
            </w:pPr>
            <w:r>
              <w:rPr>
                <w:rFonts w:ascii="Arial" w:cs="Arial" w:eastAsia="Arial" w:hAnsi="Arial"/>
                <w:sz w:val="11"/>
                <w:szCs w:val="11"/>
                <w:b w:val="1"/>
                <w:bCs w:val="1"/>
                <w:color w:val="auto"/>
                <w:w w:val="94"/>
              </w:rPr>
              <w:t>Translation</w:t>
            </w:r>
          </w:p>
        </w:tc>
        <w:tc>
          <w:tcPr>
            <w:tcW w:w="240" w:type="dxa"/>
            <w:vAlign w:val="bottom"/>
          </w:tcPr>
          <w:p>
            <w:pPr>
              <w:spacing w:after="0"/>
              <w:rPr>
                <w:sz w:val="10"/>
                <w:szCs w:val="10"/>
                <w:color w:val="auto"/>
              </w:rPr>
            </w:pPr>
          </w:p>
        </w:tc>
        <w:tc>
          <w:tcPr>
            <w:tcW w:w="760" w:type="dxa"/>
            <w:vAlign w:val="bottom"/>
          </w:tcPr>
          <w:p>
            <w:pPr>
              <w:jc w:val="center"/>
              <w:ind w:right="270"/>
              <w:spacing w:after="0" w:line="124" w:lineRule="exact"/>
              <w:rPr>
                <w:sz w:val="20"/>
                <w:szCs w:val="20"/>
                <w:color w:val="auto"/>
              </w:rPr>
            </w:pPr>
            <w:r>
              <w:rPr>
                <w:rFonts w:ascii="Arial" w:cs="Arial" w:eastAsia="Arial" w:hAnsi="Arial"/>
                <w:sz w:val="11"/>
                <w:szCs w:val="11"/>
                <w:b w:val="1"/>
                <w:bCs w:val="1"/>
                <w:color w:val="auto"/>
                <w:w w:val="97"/>
              </w:rPr>
              <w:t>for-Sale</w:t>
            </w:r>
          </w:p>
        </w:tc>
        <w:tc>
          <w:tcPr>
            <w:tcW w:w="1060" w:type="dxa"/>
            <w:vAlign w:val="bottom"/>
            <w:gridSpan w:val="2"/>
          </w:tcPr>
          <w:p>
            <w:pPr>
              <w:jc w:val="center"/>
              <w:ind w:right="50"/>
              <w:spacing w:after="0" w:line="124" w:lineRule="exact"/>
              <w:rPr>
                <w:sz w:val="20"/>
                <w:szCs w:val="20"/>
                <w:color w:val="auto"/>
              </w:rPr>
            </w:pPr>
            <w:r>
              <w:rPr>
                <w:rFonts w:ascii="Arial" w:cs="Arial" w:eastAsia="Arial" w:hAnsi="Arial"/>
                <w:sz w:val="11"/>
                <w:szCs w:val="11"/>
                <w:b w:val="1"/>
                <w:bCs w:val="1"/>
                <w:color w:val="auto"/>
                <w:w w:val="97"/>
              </w:rPr>
              <w:t>Postretirement</w:t>
            </w:r>
          </w:p>
        </w:tc>
        <w:tc>
          <w:tcPr>
            <w:tcW w:w="780" w:type="dxa"/>
            <w:vAlign w:val="bottom"/>
            <w:gridSpan w:val="2"/>
          </w:tcPr>
          <w:p>
            <w:pPr>
              <w:jc w:val="right"/>
              <w:ind w:right="290"/>
              <w:spacing w:after="0" w:line="124" w:lineRule="exact"/>
              <w:rPr>
                <w:sz w:val="20"/>
                <w:szCs w:val="20"/>
                <w:color w:val="auto"/>
              </w:rPr>
            </w:pPr>
            <w:r>
              <w:rPr>
                <w:rFonts w:ascii="Arial" w:cs="Arial" w:eastAsia="Arial" w:hAnsi="Arial"/>
                <w:sz w:val="11"/>
                <w:szCs w:val="11"/>
                <w:b w:val="1"/>
                <w:bCs w:val="1"/>
                <w:color w:val="auto"/>
              </w:rPr>
              <w:t>Flow</w:t>
            </w:r>
          </w:p>
        </w:tc>
        <w:tc>
          <w:tcPr>
            <w:tcW w:w="860" w:type="dxa"/>
            <w:vAlign w:val="bottom"/>
          </w:tcPr>
          <w:p>
            <w:pPr>
              <w:jc w:val="right"/>
              <w:ind w:right="210"/>
              <w:spacing w:after="0" w:line="124" w:lineRule="exact"/>
              <w:rPr>
                <w:sz w:val="20"/>
                <w:szCs w:val="20"/>
                <w:color w:val="auto"/>
              </w:rPr>
            </w:pPr>
            <w:r>
              <w:rPr>
                <w:rFonts w:ascii="Arial" w:cs="Arial" w:eastAsia="Arial" w:hAnsi="Arial"/>
                <w:sz w:val="11"/>
                <w:szCs w:val="11"/>
                <w:b w:val="1"/>
                <w:bCs w:val="1"/>
                <w:color w:val="auto"/>
              </w:rPr>
              <w:t>Treasury</w:t>
            </w:r>
          </w:p>
        </w:tc>
        <w:tc>
          <w:tcPr>
            <w:tcW w:w="460" w:type="dxa"/>
            <w:vAlign w:val="bottom"/>
          </w:tcPr>
          <w:p>
            <w:pPr>
              <w:jc w:val="right"/>
              <w:spacing w:after="0" w:line="124" w:lineRule="exact"/>
              <w:rPr>
                <w:sz w:val="20"/>
                <w:szCs w:val="20"/>
                <w:color w:val="auto"/>
              </w:rPr>
            </w:pPr>
            <w:r>
              <w:rPr>
                <w:rFonts w:ascii="Arial" w:cs="Arial" w:eastAsia="Arial" w:hAnsi="Arial"/>
                <w:sz w:val="11"/>
                <w:szCs w:val="11"/>
                <w:b w:val="1"/>
                <w:bCs w:val="1"/>
                <w:color w:val="auto"/>
              </w:rPr>
              <w:t>Nonco</w:t>
            </w:r>
          </w:p>
        </w:tc>
      </w:tr>
      <w:tr>
        <w:trPr>
          <w:trHeight w:val="134"/>
        </w:trPr>
        <w:tc>
          <w:tcPr>
            <w:tcW w:w="206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w w:val="93"/>
              </w:rPr>
              <w:t>Stock</w:t>
            </w: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330"/>
              <w:spacing w:after="0"/>
              <w:rPr>
                <w:sz w:val="20"/>
                <w:szCs w:val="20"/>
                <w:color w:val="auto"/>
              </w:rPr>
            </w:pPr>
            <w:r>
              <w:rPr>
                <w:rFonts w:ascii="Arial" w:cs="Arial" w:eastAsia="Arial" w:hAnsi="Arial"/>
                <w:sz w:val="11"/>
                <w:szCs w:val="11"/>
                <w:b w:val="1"/>
                <w:bCs w:val="1"/>
                <w:color w:val="auto"/>
                <w:w w:val="93"/>
              </w:rPr>
              <w:t>Stock</w:t>
            </w: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Par Value</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1"/>
                <w:szCs w:val="11"/>
                <w:b w:val="1"/>
                <w:bCs w:val="1"/>
                <w:color w:val="auto"/>
                <w:w w:val="93"/>
              </w:rPr>
              <w:t>Earnings</w:t>
            </w:r>
          </w:p>
        </w:tc>
        <w:tc>
          <w:tcPr>
            <w:tcW w:w="9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1"/>
                <w:szCs w:val="11"/>
                <w:b w:val="1"/>
                <w:bCs w:val="1"/>
                <w:color w:val="auto"/>
                <w:w w:val="99"/>
              </w:rPr>
              <w:t>Adjustment</w:t>
            </w:r>
          </w:p>
        </w:tc>
        <w:tc>
          <w:tcPr>
            <w:tcW w:w="10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350"/>
              <w:spacing w:after="0"/>
              <w:rPr>
                <w:sz w:val="20"/>
                <w:szCs w:val="20"/>
                <w:color w:val="auto"/>
              </w:rPr>
            </w:pPr>
            <w:r>
              <w:rPr>
                <w:rFonts w:ascii="Arial" w:cs="Arial" w:eastAsia="Arial" w:hAnsi="Arial"/>
                <w:sz w:val="11"/>
                <w:szCs w:val="11"/>
                <w:b w:val="1"/>
                <w:bCs w:val="1"/>
                <w:color w:val="auto"/>
                <w:w w:val="95"/>
              </w:rPr>
              <w:t>Plans</w:t>
            </w: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Hedge</w:t>
            </w: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1"/>
                <w:szCs w:val="11"/>
                <w:b w:val="1"/>
                <w:bCs w:val="1"/>
                <w:color w:val="auto"/>
              </w:rPr>
              <w:t>Stock</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Inte</w:t>
            </w:r>
          </w:p>
        </w:tc>
      </w:tr>
      <w:tr>
        <w:trPr>
          <w:trHeight w:val="231"/>
        </w:trPr>
        <w:tc>
          <w:tcPr>
            <w:tcW w:w="2060" w:type="dxa"/>
            <w:vAlign w:val="bottom"/>
          </w:tcPr>
          <w:p>
            <w:pPr>
              <w:spacing w:after="0"/>
              <w:rPr>
                <w:sz w:val="20"/>
                <w:szCs w:val="20"/>
                <w:color w:val="auto"/>
              </w:rPr>
            </w:pPr>
            <w:r>
              <w:rPr>
                <w:rFonts w:ascii="Arial" w:cs="Arial" w:eastAsia="Arial" w:hAnsi="Arial"/>
                <w:sz w:val="10"/>
                <w:szCs w:val="10"/>
                <w:b w:val="1"/>
                <w:bCs w:val="1"/>
                <w:color w:val="auto"/>
              </w:rPr>
              <w:t>Balance, January 3, 2010</w:t>
            </w:r>
          </w:p>
        </w:tc>
        <w:tc>
          <w:tcPr>
            <w:tcW w:w="260" w:type="dxa"/>
            <w:vAlign w:val="bottom"/>
          </w:tcPr>
          <w:p>
            <w:pPr>
              <w:ind w:left="18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0"/>
              <w:spacing w:after="0"/>
              <w:rPr>
                <w:sz w:val="20"/>
                <w:szCs w:val="20"/>
                <w:color w:val="auto"/>
              </w:rPr>
            </w:pPr>
            <w:r>
              <w:rPr>
                <w:rFonts w:ascii="Arial" w:cs="Arial" w:eastAsia="Arial" w:hAnsi="Arial"/>
                <w:sz w:val="10"/>
                <w:szCs w:val="10"/>
                <w:color w:val="auto"/>
              </w:rPr>
              <w:t>1,292</w:t>
            </w:r>
          </w:p>
        </w:tc>
        <w:tc>
          <w:tcPr>
            <w:tcW w:w="240" w:type="dxa"/>
            <w:vAlign w:val="bottom"/>
          </w:tcPr>
          <w:p>
            <w:pPr>
              <w:ind w:left="160"/>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90"/>
              <w:spacing w:after="0"/>
              <w:rPr>
                <w:sz w:val="20"/>
                <w:szCs w:val="20"/>
                <w:color w:val="auto"/>
              </w:rPr>
            </w:pPr>
            <w:r>
              <w:rPr>
                <w:rFonts w:ascii="Arial" w:cs="Arial" w:eastAsia="Arial" w:hAnsi="Arial"/>
                <w:sz w:val="10"/>
                <w:szCs w:val="10"/>
                <w:color w:val="auto"/>
              </w:rPr>
              <w:t>18,708</w:t>
            </w:r>
          </w:p>
        </w:tc>
        <w:tc>
          <w:tcPr>
            <w:tcW w:w="340" w:type="dxa"/>
            <w:vAlign w:val="bottom"/>
          </w:tcPr>
          <w:p>
            <w:pPr>
              <w:jc w:val="right"/>
              <w:ind w:right="48"/>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241,435</w:t>
            </w:r>
          </w:p>
        </w:tc>
        <w:tc>
          <w:tcPr>
            <w:tcW w:w="22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4,324,289</w:t>
            </w:r>
          </w:p>
        </w:tc>
        <w:tc>
          <w:tcPr>
            <w:tcW w:w="340" w:type="dxa"/>
            <w:vAlign w:val="bottom"/>
          </w:tcPr>
          <w:p>
            <w:pPr>
              <w:jc w:val="right"/>
              <w:ind w:right="47"/>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27,010</w:t>
            </w:r>
          </w:p>
        </w:tc>
        <w:tc>
          <w:tcPr>
            <w:tcW w:w="24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78,492</w:t>
            </w:r>
          </w:p>
        </w:tc>
        <w:tc>
          <w:tcPr>
            <w:tcW w:w="30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0"/>
              <w:spacing w:after="0"/>
              <w:rPr>
                <w:sz w:val="20"/>
                <w:szCs w:val="20"/>
                <w:color w:val="auto"/>
              </w:rPr>
            </w:pPr>
            <w:r>
              <w:rPr>
                <w:rFonts w:ascii="Arial" w:cs="Arial" w:eastAsia="Arial" w:hAnsi="Arial"/>
                <w:sz w:val="10"/>
                <w:szCs w:val="10"/>
                <w:color w:val="auto"/>
              </w:rPr>
              <w:t>(990)</w:t>
            </w:r>
          </w:p>
        </w:tc>
        <w:tc>
          <w:tcPr>
            <w:tcW w:w="300" w:type="dxa"/>
            <w:vAlign w:val="bottom"/>
          </w:tcPr>
          <w:p>
            <w:pPr>
              <w:ind w:left="160"/>
              <w:spacing w:after="0"/>
              <w:rPr>
                <w:sz w:val="20"/>
                <w:szCs w:val="20"/>
                <w:color w:val="auto"/>
              </w:rPr>
            </w:pPr>
            <w:r>
              <w:rPr>
                <w:rFonts w:ascii="Arial" w:cs="Arial" w:eastAsia="Arial" w:hAnsi="Arial"/>
                <w:sz w:val="10"/>
                <w:szCs w:val="10"/>
                <w:color w:val="auto"/>
              </w:rPr>
              <w:t>$</w:t>
            </w:r>
          </w:p>
        </w:tc>
        <w:tc>
          <w:tcPr>
            <w:tcW w:w="480" w:type="dxa"/>
            <w:vAlign w:val="bottom"/>
          </w:tcPr>
          <w:p>
            <w:pPr>
              <w:jc w:val="right"/>
              <w:ind w:right="110"/>
              <w:spacing w:after="0"/>
              <w:rPr>
                <w:sz w:val="20"/>
                <w:szCs w:val="20"/>
                <w:color w:val="auto"/>
              </w:rPr>
            </w:pPr>
            <w:r>
              <w:rPr>
                <w:rFonts w:ascii="Arial" w:cs="Arial" w:eastAsia="Arial" w:hAnsi="Arial"/>
                <w:sz w:val="10"/>
                <w:szCs w:val="10"/>
                <w:color w:val="auto"/>
              </w:rPr>
              <w:t>―</w:t>
            </w: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 (1,750,686)</w:t>
            </w:r>
          </w:p>
        </w:tc>
        <w:tc>
          <w:tcPr>
            <w:tcW w:w="460" w:type="dxa"/>
            <w:vAlign w:val="bottom"/>
          </w:tcPr>
          <w:p>
            <w:pPr>
              <w:jc w:val="right"/>
              <w:ind w:right="148"/>
              <w:spacing w:after="0"/>
              <w:rPr>
                <w:sz w:val="20"/>
                <w:szCs w:val="20"/>
                <w:color w:val="auto"/>
              </w:rPr>
            </w:pPr>
            <w:r>
              <w:rPr>
                <w:rFonts w:ascii="Arial" w:cs="Arial" w:eastAsia="Arial" w:hAnsi="Arial"/>
                <w:sz w:val="10"/>
                <w:szCs w:val="10"/>
                <w:color w:val="auto"/>
              </w:rPr>
              <w:t>$</w:t>
            </w: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Net income for the year</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278,020</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Net income attributable to</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noncontrolling interest</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(44)</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Net loss attributable to redeemable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noncontrolling interest</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138</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Dividends paid on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(81,168)</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Dividends paid on redeemable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preferred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(922)</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Repurchase of Class B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(404,816)</w:t>
            </w: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Forfeitures of restricted stock, net of</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issuance of Class B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597</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(2,324)</w:t>
            </w: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Amortization of unearned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compensation and stock option expense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8,054</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Change in foreign currency translation</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adjustment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10,596</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Change in unrealized gain on available-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for-sale securities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(7,785)</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Adjustment for pensions and other</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postretirement plans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jc w:val="right"/>
              <w:ind w:right="110"/>
              <w:spacing w:after="0"/>
              <w:rPr>
                <w:sz w:val="20"/>
                <w:szCs w:val="20"/>
                <w:color w:val="auto"/>
              </w:rPr>
            </w:pPr>
            <w:r>
              <w:rPr>
                <w:rFonts w:ascii="Arial" w:cs="Arial" w:eastAsia="Arial" w:hAnsi="Arial"/>
                <w:sz w:val="10"/>
                <w:szCs w:val="10"/>
                <w:color w:val="auto"/>
              </w:rPr>
              <w:t>74,816</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Conversion of Class A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to Class B common stock</w:t>
            </w:r>
          </w:p>
        </w:tc>
        <w:tc>
          <w:tcPr>
            <w:tcW w:w="260" w:type="dxa"/>
            <w:vAlign w:val="bottom"/>
          </w:tcPr>
          <w:p>
            <w:pPr>
              <w:spacing w:after="0"/>
              <w:rPr>
                <w:sz w:val="10"/>
                <w:szCs w:val="10"/>
                <w:color w:val="auto"/>
              </w:rPr>
            </w:pPr>
          </w:p>
        </w:tc>
        <w:tc>
          <w:tcPr>
            <w:tcW w:w="700" w:type="dxa"/>
            <w:vAlign w:val="bottom"/>
          </w:tcPr>
          <w:p>
            <w:pPr>
              <w:jc w:val="right"/>
              <w:ind w:right="110"/>
              <w:spacing w:after="0"/>
              <w:rPr>
                <w:sz w:val="20"/>
                <w:szCs w:val="20"/>
                <w:color w:val="auto"/>
              </w:rPr>
            </w:pPr>
            <w:r>
              <w:rPr>
                <w:rFonts w:ascii="Arial" w:cs="Arial" w:eastAsia="Arial" w:hAnsi="Arial"/>
                <w:sz w:val="10"/>
                <w:szCs w:val="10"/>
                <w:color w:val="auto"/>
              </w:rPr>
              <w:t>(51)</w:t>
            </w:r>
          </w:p>
        </w:tc>
        <w:tc>
          <w:tcPr>
            <w:tcW w:w="240" w:type="dxa"/>
            <w:vAlign w:val="bottom"/>
          </w:tcPr>
          <w:p>
            <w:pPr>
              <w:spacing w:after="0"/>
              <w:rPr>
                <w:sz w:val="10"/>
                <w:szCs w:val="10"/>
                <w:color w:val="auto"/>
              </w:rPr>
            </w:pPr>
          </w:p>
        </w:tc>
        <w:tc>
          <w:tcPr>
            <w:tcW w:w="680" w:type="dxa"/>
            <w:vAlign w:val="bottom"/>
          </w:tcPr>
          <w:p>
            <w:pPr>
              <w:jc w:val="right"/>
              <w:ind w:right="90"/>
              <w:spacing w:after="0"/>
              <w:rPr>
                <w:sz w:val="20"/>
                <w:szCs w:val="20"/>
                <w:color w:val="auto"/>
              </w:rPr>
            </w:pPr>
            <w:r>
              <w:rPr>
                <w:rFonts w:ascii="Arial" w:cs="Arial" w:eastAsia="Arial" w:hAnsi="Arial"/>
                <w:sz w:val="10"/>
                <w:szCs w:val="10"/>
                <w:color w:val="auto"/>
              </w:rPr>
              <w:t>51</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Taxes arising from employee stock plans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(348)</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Other</w:t>
            </w: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rPr>
              <w:t>(19)</w:t>
            </w: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rPr>
              <w:t>19</w:t>
            </w: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r>
        <w:trPr>
          <w:trHeight w:val="112"/>
        </w:trPr>
        <w:tc>
          <w:tcPr>
            <w:tcW w:w="2060" w:type="dxa"/>
            <w:vAlign w:val="bottom"/>
          </w:tcPr>
          <w:p>
            <w:pPr>
              <w:spacing w:after="0" w:line="103" w:lineRule="exact"/>
              <w:rPr>
                <w:sz w:val="20"/>
                <w:szCs w:val="20"/>
                <w:color w:val="auto"/>
              </w:rPr>
            </w:pPr>
            <w:r>
              <w:rPr>
                <w:rFonts w:ascii="Arial" w:cs="Arial" w:eastAsia="Arial" w:hAnsi="Arial"/>
                <w:sz w:val="10"/>
                <w:szCs w:val="10"/>
                <w:b w:val="1"/>
                <w:bCs w:val="1"/>
                <w:color w:val="auto"/>
              </w:rPr>
              <w:t>Balance, January 2, 2011</w:t>
            </w: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1,241</w:t>
            </w: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90"/>
              <w:spacing w:after="0" w:line="112" w:lineRule="exact"/>
              <w:rPr>
                <w:sz w:val="20"/>
                <w:szCs w:val="20"/>
                <w:color w:val="auto"/>
              </w:rPr>
            </w:pPr>
            <w:r>
              <w:rPr>
                <w:rFonts w:ascii="Arial" w:cs="Arial" w:eastAsia="Arial" w:hAnsi="Arial"/>
                <w:sz w:val="10"/>
                <w:szCs w:val="10"/>
                <w:color w:val="auto"/>
              </w:rPr>
              <w:t>18,759</w:t>
            </w: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249,719</w:t>
            </w: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color w:val="auto"/>
              </w:rPr>
              <w:t>4,520,332</w:t>
            </w: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color w:val="auto"/>
              </w:rPr>
              <w:t>37,606</w:t>
            </w: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color w:val="auto"/>
              </w:rPr>
              <w:t>70,707</w:t>
            </w: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73,826</w:t>
            </w: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w:t>
            </w:r>
          </w:p>
        </w:tc>
        <w:tc>
          <w:tcPr>
            <w:tcW w:w="860" w:type="dxa"/>
            <w:vAlign w:val="bottom"/>
            <w:tcBorders>
              <w:bottom w:val="single" w:sz="8" w:color="auto"/>
            </w:tcBorders>
          </w:tcPr>
          <w:p>
            <w:pPr>
              <w:jc w:val="right"/>
              <w:ind w:right="50"/>
              <w:spacing w:after="0" w:line="112" w:lineRule="exact"/>
              <w:rPr>
                <w:sz w:val="20"/>
                <w:szCs w:val="20"/>
                <w:color w:val="auto"/>
              </w:rPr>
            </w:pPr>
            <w:r>
              <w:rPr>
                <w:rFonts w:ascii="Arial" w:cs="Arial" w:eastAsia="Arial" w:hAnsi="Arial"/>
                <w:sz w:val="10"/>
                <w:szCs w:val="10"/>
                <w:color w:val="auto"/>
              </w:rPr>
              <w:t>(2,157,826)</w:t>
            </w:r>
          </w:p>
        </w:tc>
        <w:tc>
          <w:tcPr>
            <w:tcW w:w="460" w:type="dxa"/>
            <w:vAlign w:val="bottom"/>
            <w:tcBorders>
              <w:bottom w:val="single" w:sz="8" w:color="auto"/>
            </w:tcBorders>
          </w:tcPr>
          <w:p>
            <w:pPr>
              <w:spacing w:after="0"/>
              <w:rPr>
                <w:sz w:val="9"/>
                <w:szCs w:val="9"/>
                <w:color w:val="auto"/>
              </w:rPr>
            </w:pPr>
          </w:p>
        </w:tc>
      </w:tr>
      <w:tr>
        <w:trPr>
          <w:trHeight w:val="219"/>
        </w:trPr>
        <w:tc>
          <w:tcPr>
            <w:tcW w:w="2060" w:type="dxa"/>
            <w:vAlign w:val="bottom"/>
          </w:tcPr>
          <w:p>
            <w:pPr>
              <w:spacing w:after="0"/>
              <w:rPr>
                <w:sz w:val="20"/>
                <w:szCs w:val="20"/>
                <w:color w:val="auto"/>
              </w:rPr>
            </w:pPr>
            <w:r>
              <w:rPr>
                <w:rFonts w:ascii="Arial" w:cs="Arial" w:eastAsia="Arial" w:hAnsi="Arial"/>
                <w:sz w:val="10"/>
                <w:szCs w:val="10"/>
                <w:color w:val="auto"/>
              </w:rPr>
              <w:t>Net income for the year</w:t>
            </w: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117,157</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Net loss attributable to redeemable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noncontrolling interest</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(7)</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Dividends paid on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(74,576)</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Dividends paid on redeemable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preferred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(917)</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Repurchase of Class B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(248,055)</w:t>
            </w: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Issuance of Class B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net of restricted stock award forfeitures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(8,040)</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color w:val="auto"/>
              </w:rPr>
              <w:t>7,692</w:t>
            </w: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Amortization of unearned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compensation and stock option expense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11,789</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Change in foreign currency translation</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adjustment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color w:val="auto"/>
              </w:rPr>
              <w:t>(16,268)</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Change in unrealized gain on available-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for-sale securities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color w:val="auto"/>
              </w:rPr>
              <w:t>9,651</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Adjustment for pensions and other</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postretirement plans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jc w:val="right"/>
              <w:ind w:right="110"/>
              <w:spacing w:after="0"/>
              <w:rPr>
                <w:sz w:val="20"/>
                <w:szCs w:val="20"/>
                <w:color w:val="auto"/>
              </w:rPr>
            </w:pPr>
            <w:r>
              <w:rPr>
                <w:rFonts w:ascii="Arial" w:cs="Arial" w:eastAsia="Arial" w:hAnsi="Arial"/>
                <w:sz w:val="10"/>
                <w:szCs w:val="10"/>
                <w:color w:val="auto"/>
              </w:rPr>
              <w:t>(10,201)</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Conversion of Class A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color w:val="auto"/>
              </w:rPr>
              <w:t>to Class B common stock</w:t>
            </w:r>
          </w:p>
        </w:tc>
        <w:tc>
          <w:tcPr>
            <w:tcW w:w="260" w:type="dxa"/>
            <w:vAlign w:val="bottom"/>
          </w:tcPr>
          <w:p>
            <w:pPr>
              <w:spacing w:after="0"/>
              <w:rPr>
                <w:sz w:val="10"/>
                <w:szCs w:val="10"/>
                <w:color w:val="auto"/>
              </w:rPr>
            </w:pPr>
          </w:p>
        </w:tc>
        <w:tc>
          <w:tcPr>
            <w:tcW w:w="700" w:type="dxa"/>
            <w:vAlign w:val="bottom"/>
          </w:tcPr>
          <w:p>
            <w:pPr>
              <w:jc w:val="right"/>
              <w:ind w:right="110"/>
              <w:spacing w:after="0"/>
              <w:rPr>
                <w:sz w:val="20"/>
                <w:szCs w:val="20"/>
                <w:color w:val="auto"/>
              </w:rPr>
            </w:pPr>
            <w:r>
              <w:rPr>
                <w:rFonts w:ascii="Arial" w:cs="Arial" w:eastAsia="Arial" w:hAnsi="Arial"/>
                <w:sz w:val="10"/>
                <w:szCs w:val="10"/>
                <w:color w:val="auto"/>
              </w:rPr>
              <w:t>(12)</w:t>
            </w:r>
          </w:p>
        </w:tc>
        <w:tc>
          <w:tcPr>
            <w:tcW w:w="240" w:type="dxa"/>
            <w:vAlign w:val="bottom"/>
          </w:tcPr>
          <w:p>
            <w:pPr>
              <w:spacing w:after="0"/>
              <w:rPr>
                <w:sz w:val="10"/>
                <w:szCs w:val="10"/>
                <w:color w:val="auto"/>
              </w:rPr>
            </w:pPr>
          </w:p>
        </w:tc>
        <w:tc>
          <w:tcPr>
            <w:tcW w:w="680" w:type="dxa"/>
            <w:vAlign w:val="bottom"/>
          </w:tcPr>
          <w:p>
            <w:pPr>
              <w:jc w:val="right"/>
              <w:ind w:right="90"/>
              <w:spacing w:after="0"/>
              <w:rPr>
                <w:sz w:val="20"/>
                <w:szCs w:val="20"/>
                <w:color w:val="auto"/>
              </w:rPr>
            </w:pPr>
            <w:r>
              <w:rPr>
                <w:rFonts w:ascii="Arial" w:cs="Arial" w:eastAsia="Arial" w:hAnsi="Arial"/>
                <w:sz w:val="10"/>
                <w:szCs w:val="10"/>
                <w:color w:val="auto"/>
              </w:rPr>
              <w:t>12</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color w:val="auto"/>
              </w:rPr>
              <w:t>Taxes arising from employee stock plans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color w:val="auto"/>
              </w:rPr>
              <w:t>(701)</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6"/>
        </w:trPr>
        <w:tc>
          <w:tcPr>
            <w:tcW w:w="2060" w:type="dxa"/>
            <w:vAlign w:val="bottom"/>
          </w:tcPr>
          <w:p>
            <w:pPr>
              <w:spacing w:after="0"/>
              <w:rPr>
                <w:sz w:val="20"/>
                <w:szCs w:val="20"/>
                <w:color w:val="auto"/>
              </w:rPr>
            </w:pPr>
            <w:r>
              <w:rPr>
                <w:rFonts w:ascii="Arial" w:cs="Arial" w:eastAsia="Arial" w:hAnsi="Arial"/>
                <w:sz w:val="10"/>
                <w:szCs w:val="10"/>
                <w:color w:val="auto"/>
              </w:rPr>
              <w:t>Cash flow hedge</w:t>
            </w:r>
          </w:p>
        </w:tc>
        <w:tc>
          <w:tcPr>
            <w:tcW w:w="2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rPr>
              <w:t>8</w:t>
            </w:r>
          </w:p>
        </w:tc>
        <w:tc>
          <w:tcPr>
            <w:tcW w:w="8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r>
        <w:trPr>
          <w:trHeight w:val="112"/>
        </w:trPr>
        <w:tc>
          <w:tcPr>
            <w:tcW w:w="2060" w:type="dxa"/>
            <w:vAlign w:val="bottom"/>
          </w:tcPr>
          <w:p>
            <w:pPr>
              <w:spacing w:after="0" w:line="103" w:lineRule="exact"/>
              <w:rPr>
                <w:sz w:val="20"/>
                <w:szCs w:val="20"/>
                <w:color w:val="auto"/>
              </w:rPr>
            </w:pPr>
            <w:r>
              <w:rPr>
                <w:rFonts w:ascii="Arial" w:cs="Arial" w:eastAsia="Arial" w:hAnsi="Arial"/>
                <w:sz w:val="10"/>
                <w:szCs w:val="10"/>
                <w:b w:val="1"/>
                <w:bCs w:val="1"/>
                <w:color w:val="auto"/>
              </w:rPr>
              <w:t>Balance, December 31, 2011</w:t>
            </w:r>
          </w:p>
        </w:tc>
        <w:tc>
          <w:tcPr>
            <w:tcW w:w="2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1,229</w:t>
            </w:r>
          </w:p>
        </w:tc>
        <w:tc>
          <w:tcPr>
            <w:tcW w:w="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90"/>
              <w:spacing w:after="0" w:line="112" w:lineRule="exact"/>
              <w:rPr>
                <w:sz w:val="20"/>
                <w:szCs w:val="20"/>
                <w:color w:val="auto"/>
              </w:rPr>
            </w:pPr>
            <w:r>
              <w:rPr>
                <w:rFonts w:ascii="Arial" w:cs="Arial" w:eastAsia="Arial" w:hAnsi="Arial"/>
                <w:sz w:val="10"/>
                <w:szCs w:val="10"/>
                <w:color w:val="auto"/>
              </w:rPr>
              <w:t>18,771</w:t>
            </w:r>
          </w:p>
        </w:tc>
        <w:tc>
          <w:tcPr>
            <w:tcW w:w="3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252,767</w:t>
            </w: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color w:val="auto"/>
              </w:rPr>
              <w:t>4,561,989</w:t>
            </w:r>
          </w:p>
        </w:tc>
        <w:tc>
          <w:tcPr>
            <w:tcW w:w="3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color w:val="auto"/>
              </w:rPr>
              <w:t>21,338</w:t>
            </w:r>
          </w:p>
        </w:tc>
        <w:tc>
          <w:tcPr>
            <w:tcW w:w="2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color w:val="auto"/>
              </w:rPr>
              <w:t>80,358</w:t>
            </w: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63,625</w:t>
            </w:r>
          </w:p>
        </w:tc>
        <w:tc>
          <w:tcPr>
            <w:tcW w:w="3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color w:val="auto"/>
              </w:rPr>
              <w:t>8</w:t>
            </w:r>
          </w:p>
        </w:tc>
        <w:tc>
          <w:tcPr>
            <w:tcW w:w="860" w:type="dxa"/>
            <w:vAlign w:val="bottom"/>
            <w:tcBorders>
              <w:bottom w:val="single" w:sz="8" w:color="auto"/>
            </w:tcBorders>
          </w:tcPr>
          <w:p>
            <w:pPr>
              <w:jc w:val="right"/>
              <w:ind w:right="50"/>
              <w:spacing w:after="0" w:line="112" w:lineRule="exact"/>
              <w:rPr>
                <w:sz w:val="20"/>
                <w:szCs w:val="20"/>
                <w:color w:val="auto"/>
              </w:rPr>
            </w:pPr>
            <w:r>
              <w:rPr>
                <w:rFonts w:ascii="Arial" w:cs="Arial" w:eastAsia="Arial" w:hAnsi="Arial"/>
                <w:sz w:val="10"/>
                <w:szCs w:val="10"/>
                <w:color w:val="auto"/>
              </w:rPr>
              <w:t>(2,398,189)</w:t>
            </w:r>
          </w:p>
        </w:tc>
        <w:tc>
          <w:tcPr>
            <w:tcW w:w="460" w:type="dxa"/>
            <w:vAlign w:val="bottom"/>
            <w:tcBorders>
              <w:bottom w:val="single" w:sz="8" w:color="auto"/>
            </w:tcBorders>
          </w:tcPr>
          <w:p>
            <w:pPr>
              <w:spacing w:after="0"/>
              <w:rPr>
                <w:sz w:val="9"/>
                <w:szCs w:val="9"/>
                <w:color w:val="auto"/>
              </w:rPr>
            </w:pPr>
          </w:p>
        </w:tc>
      </w:tr>
      <w:tr>
        <w:trPr>
          <w:trHeight w:val="213"/>
        </w:trPr>
        <w:tc>
          <w:tcPr>
            <w:tcW w:w="2060" w:type="dxa"/>
            <w:vAlign w:val="bottom"/>
          </w:tcPr>
          <w:p>
            <w:pPr>
              <w:spacing w:after="0"/>
              <w:rPr>
                <w:sz w:val="20"/>
                <w:szCs w:val="20"/>
                <w:color w:val="auto"/>
              </w:rPr>
            </w:pPr>
            <w:r>
              <w:rPr>
                <w:rFonts w:ascii="Arial" w:cs="Arial" w:eastAsia="Arial" w:hAnsi="Arial"/>
                <w:sz w:val="10"/>
                <w:szCs w:val="10"/>
                <w:b w:val="1"/>
                <w:bCs w:val="1"/>
                <w:color w:val="auto"/>
              </w:rPr>
              <w:t>Net income for the year</w:t>
            </w: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b w:val="1"/>
                <w:bCs w:val="1"/>
                <w:color w:val="auto"/>
              </w:rPr>
              <w:t>132,187</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Acquisitions and noncontrolling</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interest</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Net income attributable to</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noncontrolling interests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b w:val="1"/>
                <w:bCs w:val="1"/>
                <w:color w:val="auto"/>
              </w:rPr>
              <w:t>(51)</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Net income attributable to redeemable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noncontrolling interests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b w:val="1"/>
                <w:bCs w:val="1"/>
                <w:color w:val="auto"/>
              </w:rPr>
              <w:t>(23)</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Distribution to noncontrolling interests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Dividends paid on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b w:val="1"/>
                <w:bCs w:val="1"/>
                <w:color w:val="auto"/>
              </w:rPr>
              <w:t>(146,432)</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Dividends paid on redeemable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preferred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b w:val="1"/>
                <w:bCs w:val="1"/>
                <w:color w:val="auto"/>
              </w:rPr>
              <w:t>(895)</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Repurchase of Class B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ind w:right="50"/>
              <w:spacing w:after="0"/>
              <w:rPr>
                <w:sz w:val="20"/>
                <w:szCs w:val="20"/>
                <w:color w:val="auto"/>
              </w:rPr>
            </w:pPr>
            <w:r>
              <w:rPr>
                <w:rFonts w:ascii="Arial" w:cs="Arial" w:eastAsia="Arial" w:hAnsi="Arial"/>
                <w:sz w:val="10"/>
                <w:szCs w:val="10"/>
                <w:b w:val="1"/>
                <w:bCs w:val="1"/>
                <w:color w:val="auto"/>
              </w:rPr>
              <w:t>(103,196)</w:t>
            </w: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Issuance of Class B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12"/>
        </w:trPr>
        <w:tc>
          <w:tcPr>
            <w:tcW w:w="2060" w:type="dxa"/>
            <w:vAlign w:val="bottom"/>
          </w:tcPr>
          <w:p>
            <w:pPr>
              <w:ind w:left="220"/>
              <w:spacing w:after="0" w:line="112" w:lineRule="exact"/>
              <w:rPr>
                <w:sz w:val="20"/>
                <w:szCs w:val="20"/>
                <w:color w:val="auto"/>
              </w:rPr>
            </w:pPr>
            <w:r>
              <w:rPr>
                <w:rFonts w:ascii="Arial" w:cs="Arial" w:eastAsia="Arial" w:hAnsi="Arial"/>
                <w:sz w:val="10"/>
                <w:szCs w:val="10"/>
                <w:b w:val="1"/>
                <w:bCs w:val="1"/>
                <w:color w:val="auto"/>
              </w:rPr>
              <w:t>net of restricted stock award</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110"/>
              <w:spacing w:after="0" w:line="112" w:lineRule="exact"/>
              <w:rPr>
                <w:sz w:val="20"/>
                <w:szCs w:val="20"/>
                <w:color w:val="auto"/>
              </w:rPr>
            </w:pPr>
            <w:r>
              <w:rPr>
                <w:rFonts w:ascii="Arial" w:cs="Arial" w:eastAsia="Arial" w:hAnsi="Arial"/>
                <w:sz w:val="10"/>
                <w:szCs w:val="10"/>
                <w:b w:val="1"/>
                <w:bCs w:val="1"/>
                <w:color w:val="auto"/>
              </w:rPr>
              <w:t>(27,423)</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jc w:val="right"/>
              <w:ind w:right="50"/>
              <w:spacing w:after="0" w:line="112" w:lineRule="exact"/>
              <w:rPr>
                <w:sz w:val="20"/>
                <w:szCs w:val="20"/>
                <w:color w:val="auto"/>
              </w:rPr>
            </w:pPr>
            <w:r>
              <w:rPr>
                <w:rFonts w:ascii="Arial" w:cs="Arial" w:eastAsia="Arial" w:hAnsi="Arial"/>
                <w:sz w:val="10"/>
                <w:szCs w:val="10"/>
                <w:b w:val="1"/>
                <w:bCs w:val="1"/>
                <w:color w:val="auto"/>
              </w:rPr>
              <w:t>27,038</w:t>
            </w:r>
          </w:p>
        </w:tc>
        <w:tc>
          <w:tcPr>
            <w:tcW w:w="460" w:type="dxa"/>
            <w:vAlign w:val="bottom"/>
          </w:tcPr>
          <w:p>
            <w:pPr>
              <w:spacing w:after="0"/>
              <w:rPr>
                <w:sz w:val="9"/>
                <w:szCs w:val="9"/>
                <w:color w:val="auto"/>
              </w:rPr>
            </w:pPr>
          </w:p>
        </w:tc>
      </w:tr>
      <w:tr>
        <w:trPr>
          <w:trHeight w:val="112"/>
        </w:trPr>
        <w:tc>
          <w:tcPr>
            <w:tcW w:w="2060" w:type="dxa"/>
            <w:vAlign w:val="bottom"/>
          </w:tcPr>
          <w:p>
            <w:pPr>
              <w:ind w:left="220"/>
              <w:spacing w:after="0" w:line="112" w:lineRule="exact"/>
              <w:rPr>
                <w:sz w:val="20"/>
                <w:szCs w:val="20"/>
                <w:color w:val="auto"/>
              </w:rPr>
            </w:pPr>
            <w:r>
              <w:rPr>
                <w:rFonts w:ascii="Arial" w:cs="Arial" w:eastAsia="Arial" w:hAnsi="Arial"/>
                <w:sz w:val="10"/>
                <w:szCs w:val="10"/>
                <w:b w:val="1"/>
                <w:bCs w:val="1"/>
                <w:color w:val="auto"/>
              </w:rPr>
              <w:t>forfeitures</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Amortization of unearned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12"/>
        </w:trPr>
        <w:tc>
          <w:tcPr>
            <w:tcW w:w="2060" w:type="dxa"/>
            <w:vAlign w:val="bottom"/>
          </w:tcPr>
          <w:p>
            <w:pPr>
              <w:ind w:left="220"/>
              <w:spacing w:after="0" w:line="112" w:lineRule="exact"/>
              <w:rPr>
                <w:sz w:val="20"/>
                <w:szCs w:val="20"/>
                <w:color w:val="auto"/>
              </w:rPr>
            </w:pPr>
            <w:r>
              <w:rPr>
                <w:rFonts w:ascii="Arial" w:cs="Arial" w:eastAsia="Arial" w:hAnsi="Arial"/>
                <w:sz w:val="10"/>
                <w:szCs w:val="10"/>
                <w:b w:val="1"/>
                <w:bCs w:val="1"/>
                <w:color w:val="auto"/>
              </w:rPr>
              <w:t>compensation and stock option</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jc w:val="right"/>
              <w:ind w:right="110"/>
              <w:spacing w:after="0" w:line="112" w:lineRule="exact"/>
              <w:rPr>
                <w:sz w:val="20"/>
                <w:szCs w:val="20"/>
                <w:color w:val="auto"/>
              </w:rPr>
            </w:pPr>
            <w:r>
              <w:rPr>
                <w:rFonts w:ascii="Arial" w:cs="Arial" w:eastAsia="Arial" w:hAnsi="Arial"/>
                <w:sz w:val="10"/>
                <w:szCs w:val="10"/>
                <w:b w:val="1"/>
                <w:bCs w:val="1"/>
                <w:color w:val="auto"/>
              </w:rPr>
              <w:t>14,662</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12"/>
        </w:trPr>
        <w:tc>
          <w:tcPr>
            <w:tcW w:w="2060" w:type="dxa"/>
            <w:vAlign w:val="bottom"/>
          </w:tcPr>
          <w:p>
            <w:pPr>
              <w:ind w:left="220"/>
              <w:spacing w:after="0" w:line="112" w:lineRule="exact"/>
              <w:rPr>
                <w:sz w:val="20"/>
                <w:szCs w:val="20"/>
                <w:color w:val="auto"/>
              </w:rPr>
            </w:pPr>
            <w:r>
              <w:rPr>
                <w:rFonts w:ascii="Arial" w:cs="Arial" w:eastAsia="Arial" w:hAnsi="Arial"/>
                <w:sz w:val="10"/>
                <w:szCs w:val="10"/>
                <w:b w:val="1"/>
                <w:bCs w:val="1"/>
                <w:color w:val="auto"/>
              </w:rPr>
              <w:t>expense</w:t>
            </w: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Change in foreign currency translation</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adjustment (net of tax)</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jc w:val="right"/>
              <w:ind w:right="70"/>
              <w:spacing w:after="0"/>
              <w:rPr>
                <w:sz w:val="20"/>
                <w:szCs w:val="20"/>
                <w:color w:val="auto"/>
              </w:rPr>
            </w:pPr>
            <w:r>
              <w:rPr>
                <w:rFonts w:ascii="Arial" w:cs="Arial" w:eastAsia="Arial" w:hAnsi="Arial"/>
                <w:sz w:val="10"/>
                <w:szCs w:val="10"/>
                <w:b w:val="1"/>
                <w:bCs w:val="1"/>
                <w:color w:val="auto"/>
              </w:rPr>
              <w:t>4,734</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Change in unrealized gain on available-</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for-sale securities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jc w:val="right"/>
              <w:ind w:right="70"/>
              <w:spacing w:after="0"/>
              <w:rPr>
                <w:sz w:val="20"/>
                <w:szCs w:val="20"/>
                <w:color w:val="auto"/>
              </w:rPr>
            </w:pPr>
            <w:r>
              <w:rPr>
                <w:rFonts w:ascii="Arial" w:cs="Arial" w:eastAsia="Arial" w:hAnsi="Arial"/>
                <w:sz w:val="10"/>
                <w:szCs w:val="10"/>
                <w:b w:val="1"/>
                <w:bCs w:val="1"/>
                <w:color w:val="auto"/>
              </w:rPr>
              <w:t>30,195</w:t>
            </w: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Adjustment for pensions and other</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postretirement plans (net of taxes)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jc w:val="right"/>
              <w:ind w:right="110"/>
              <w:spacing w:after="0"/>
              <w:rPr>
                <w:sz w:val="20"/>
                <w:szCs w:val="20"/>
                <w:color w:val="auto"/>
              </w:rPr>
            </w:pPr>
            <w:r>
              <w:rPr>
                <w:rFonts w:ascii="Arial" w:cs="Arial" w:eastAsia="Arial" w:hAnsi="Arial"/>
                <w:sz w:val="10"/>
                <w:szCs w:val="10"/>
                <w:b w:val="1"/>
                <w:bCs w:val="1"/>
                <w:color w:val="auto"/>
              </w:rPr>
              <w:t>53,544</w:t>
            </w: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Conversion of Class A common stock</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ind w:left="220"/>
              <w:spacing w:after="0"/>
              <w:rPr>
                <w:sz w:val="20"/>
                <w:szCs w:val="20"/>
                <w:color w:val="auto"/>
              </w:rPr>
            </w:pPr>
            <w:r>
              <w:rPr>
                <w:rFonts w:ascii="Arial" w:cs="Arial" w:eastAsia="Arial" w:hAnsi="Arial"/>
                <w:sz w:val="10"/>
                <w:szCs w:val="10"/>
                <w:b w:val="1"/>
                <w:bCs w:val="1"/>
                <w:color w:val="auto"/>
              </w:rPr>
              <w:t>to Class B common stock</w:t>
            </w:r>
          </w:p>
        </w:tc>
        <w:tc>
          <w:tcPr>
            <w:tcW w:w="260" w:type="dxa"/>
            <w:vAlign w:val="bottom"/>
          </w:tcPr>
          <w:p>
            <w:pPr>
              <w:spacing w:after="0"/>
              <w:rPr>
                <w:sz w:val="10"/>
                <w:szCs w:val="10"/>
                <w:color w:val="auto"/>
              </w:rPr>
            </w:pPr>
          </w:p>
        </w:tc>
        <w:tc>
          <w:tcPr>
            <w:tcW w:w="700" w:type="dxa"/>
            <w:vAlign w:val="bottom"/>
          </w:tcPr>
          <w:p>
            <w:pPr>
              <w:jc w:val="right"/>
              <w:ind w:right="110"/>
              <w:spacing w:after="0"/>
              <w:rPr>
                <w:sz w:val="20"/>
                <w:szCs w:val="20"/>
                <w:color w:val="auto"/>
              </w:rPr>
            </w:pPr>
            <w:r>
              <w:rPr>
                <w:rFonts w:ascii="Arial" w:cs="Arial" w:eastAsia="Arial" w:hAnsi="Arial"/>
                <w:sz w:val="10"/>
                <w:szCs w:val="10"/>
                <w:b w:val="1"/>
                <w:bCs w:val="1"/>
                <w:color w:val="auto"/>
              </w:rPr>
              <w:t>(10)</w:t>
            </w:r>
          </w:p>
        </w:tc>
        <w:tc>
          <w:tcPr>
            <w:tcW w:w="240" w:type="dxa"/>
            <w:vAlign w:val="bottom"/>
          </w:tcPr>
          <w:p>
            <w:pPr>
              <w:spacing w:after="0"/>
              <w:rPr>
                <w:sz w:val="10"/>
                <w:szCs w:val="10"/>
                <w:color w:val="auto"/>
              </w:rPr>
            </w:pPr>
          </w:p>
        </w:tc>
        <w:tc>
          <w:tcPr>
            <w:tcW w:w="680" w:type="dxa"/>
            <w:vAlign w:val="bottom"/>
          </w:tcPr>
          <w:p>
            <w:pPr>
              <w:jc w:val="right"/>
              <w:ind w:right="90"/>
              <w:spacing w:after="0"/>
              <w:rPr>
                <w:sz w:val="20"/>
                <w:szCs w:val="20"/>
                <w:color w:val="auto"/>
              </w:rPr>
            </w:pPr>
            <w:r>
              <w:rPr>
                <w:rFonts w:ascii="Arial" w:cs="Arial" w:eastAsia="Arial" w:hAnsi="Arial"/>
                <w:sz w:val="10"/>
                <w:szCs w:val="10"/>
                <w:b w:val="1"/>
                <w:bCs w:val="1"/>
                <w:color w:val="auto"/>
              </w:rPr>
              <w:t>10</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24"/>
        </w:trPr>
        <w:tc>
          <w:tcPr>
            <w:tcW w:w="2060" w:type="dxa"/>
            <w:vAlign w:val="bottom"/>
          </w:tcPr>
          <w:p>
            <w:pPr>
              <w:spacing w:after="0"/>
              <w:rPr>
                <w:sz w:val="20"/>
                <w:szCs w:val="20"/>
                <w:color w:val="auto"/>
              </w:rPr>
            </w:pPr>
            <w:r>
              <w:rPr>
                <w:rFonts w:ascii="Arial" w:cs="Arial" w:eastAsia="Arial" w:hAnsi="Arial"/>
                <w:sz w:val="10"/>
                <w:szCs w:val="10"/>
                <w:b w:val="1"/>
                <w:bCs w:val="1"/>
                <w:color w:val="auto"/>
              </w:rPr>
              <w:t>Taxes arising from employee stock plans</w:t>
            </w: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jc w:val="right"/>
              <w:ind w:right="110"/>
              <w:spacing w:after="0"/>
              <w:rPr>
                <w:sz w:val="20"/>
                <w:szCs w:val="20"/>
                <w:color w:val="auto"/>
              </w:rPr>
            </w:pPr>
            <w:r>
              <w:rPr>
                <w:rFonts w:ascii="Arial" w:cs="Arial" w:eastAsia="Arial" w:hAnsi="Arial"/>
                <w:sz w:val="10"/>
                <w:szCs w:val="10"/>
                <w:b w:val="1"/>
                <w:bCs w:val="1"/>
                <w:color w:val="auto"/>
              </w:rPr>
              <w:t>740</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31"/>
        </w:trPr>
        <w:tc>
          <w:tcPr>
            <w:tcW w:w="2060" w:type="dxa"/>
            <w:vAlign w:val="bottom"/>
          </w:tcPr>
          <w:p>
            <w:pPr>
              <w:spacing w:after="0"/>
              <w:rPr>
                <w:sz w:val="20"/>
                <w:szCs w:val="20"/>
                <w:color w:val="auto"/>
              </w:rPr>
            </w:pPr>
            <w:r>
              <w:rPr>
                <w:rFonts w:ascii="Arial" w:cs="Arial" w:eastAsia="Arial" w:hAnsi="Arial"/>
                <w:sz w:val="10"/>
                <w:szCs w:val="10"/>
                <w:b w:val="1"/>
                <w:bCs w:val="1"/>
                <w:color w:val="auto"/>
              </w:rPr>
              <w:t>Cash flow hedge</w:t>
            </w: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(948)</w:t>
            </w:r>
          </w:p>
        </w:tc>
        <w:tc>
          <w:tcPr>
            <w:tcW w:w="8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r>
        <w:trPr>
          <w:trHeight w:val="112"/>
        </w:trPr>
        <w:tc>
          <w:tcPr>
            <w:tcW w:w="2060" w:type="dxa"/>
            <w:vAlign w:val="bottom"/>
          </w:tcPr>
          <w:p>
            <w:pPr>
              <w:spacing w:after="0" w:line="103" w:lineRule="exact"/>
              <w:rPr>
                <w:sz w:val="20"/>
                <w:szCs w:val="20"/>
                <w:color w:val="auto"/>
              </w:rPr>
            </w:pPr>
            <w:r>
              <w:rPr>
                <w:rFonts w:ascii="Arial" w:cs="Arial" w:eastAsia="Arial" w:hAnsi="Arial"/>
                <w:sz w:val="10"/>
                <w:szCs w:val="10"/>
                <w:b w:val="1"/>
                <w:bCs w:val="1"/>
                <w:color w:val="auto"/>
              </w:rPr>
              <w:t>Balance, December 31, 2012</w:t>
            </w:r>
          </w:p>
        </w:tc>
        <w:tc>
          <w:tcPr>
            <w:tcW w:w="260" w:type="dxa"/>
            <w:vAlign w:val="bottom"/>
            <w:tcBorders>
              <w:bottom w:val="single" w:sz="8" w:color="auto"/>
            </w:tcBorders>
          </w:tcPr>
          <w:p>
            <w:pPr>
              <w:ind w:left="180"/>
              <w:spacing w:after="0" w:line="112" w:lineRule="exact"/>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b w:val="1"/>
                <w:bCs w:val="1"/>
                <w:color w:val="auto"/>
              </w:rPr>
              <w:t>1,219</w:t>
            </w:r>
          </w:p>
        </w:tc>
        <w:tc>
          <w:tcPr>
            <w:tcW w:w="240" w:type="dxa"/>
            <w:vAlign w:val="bottom"/>
            <w:tcBorders>
              <w:bottom w:val="single" w:sz="8" w:color="auto"/>
            </w:tcBorders>
          </w:tcPr>
          <w:p>
            <w:pPr>
              <w:ind w:left="160"/>
              <w:spacing w:after="0" w:line="112"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90"/>
              <w:spacing w:after="0" w:line="112" w:lineRule="exact"/>
              <w:rPr>
                <w:sz w:val="20"/>
                <w:szCs w:val="20"/>
                <w:color w:val="auto"/>
              </w:rPr>
            </w:pPr>
            <w:r>
              <w:rPr>
                <w:rFonts w:ascii="Arial" w:cs="Arial" w:eastAsia="Arial" w:hAnsi="Arial"/>
                <w:sz w:val="10"/>
                <w:szCs w:val="10"/>
                <w:b w:val="1"/>
                <w:bCs w:val="1"/>
                <w:color w:val="auto"/>
              </w:rPr>
              <w:t>18,781</w:t>
            </w:r>
          </w:p>
        </w:tc>
        <w:tc>
          <w:tcPr>
            <w:tcW w:w="340" w:type="dxa"/>
            <w:vAlign w:val="bottom"/>
            <w:tcBorders>
              <w:bottom w:val="single" w:sz="8" w:color="auto"/>
            </w:tcBorders>
          </w:tcPr>
          <w:p>
            <w:pPr>
              <w:jc w:val="right"/>
              <w:ind w:right="48"/>
              <w:spacing w:after="0" w:line="112" w:lineRule="exact"/>
              <w:rPr>
                <w:sz w:val="20"/>
                <w:szCs w:val="20"/>
                <w:color w:val="auto"/>
              </w:rPr>
            </w:pPr>
            <w:r>
              <w:rPr>
                <w:rFonts w:ascii="Arial" w:cs="Arial" w:eastAsia="Arial" w:hAnsi="Arial"/>
                <w:sz w:val="10"/>
                <w:szCs w:val="10"/>
                <w:b w:val="1"/>
                <w:bCs w:val="1"/>
                <w:color w:val="auto"/>
              </w:rPr>
              <w:t>$</w:t>
            </w:r>
          </w:p>
        </w:tc>
        <w:tc>
          <w:tcPr>
            <w:tcW w:w="60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b w:val="1"/>
                <w:bCs w:val="1"/>
                <w:color w:val="auto"/>
              </w:rPr>
              <w:t>240,746</w:t>
            </w:r>
          </w:p>
        </w:tc>
        <w:tc>
          <w:tcPr>
            <w:tcW w:w="22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b w:val="1"/>
                <w:bCs w:val="1"/>
                <w:color w:val="auto"/>
              </w:rPr>
              <w:t>4,546,775</w:t>
            </w:r>
          </w:p>
        </w:tc>
        <w:tc>
          <w:tcPr>
            <w:tcW w:w="340" w:type="dxa"/>
            <w:vAlign w:val="bottom"/>
            <w:tcBorders>
              <w:bottom w:val="single" w:sz="8" w:color="auto"/>
            </w:tcBorders>
          </w:tcPr>
          <w:p>
            <w:pPr>
              <w:jc w:val="right"/>
              <w:ind w:right="47"/>
              <w:spacing w:after="0" w:line="112" w:lineRule="exact"/>
              <w:rPr>
                <w:sz w:val="20"/>
                <w:szCs w:val="20"/>
                <w:color w:val="auto"/>
              </w:rPr>
            </w:pPr>
            <w:r>
              <w:rPr>
                <w:rFonts w:ascii="Arial" w:cs="Arial" w:eastAsia="Arial" w:hAnsi="Arial"/>
                <w:sz w:val="10"/>
                <w:szCs w:val="10"/>
                <w:b w:val="1"/>
                <w:bCs w:val="1"/>
                <w:color w:val="auto"/>
              </w:rPr>
              <w:t>$</w:t>
            </w:r>
          </w:p>
        </w:tc>
        <w:tc>
          <w:tcPr>
            <w:tcW w:w="58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b w:val="1"/>
                <w:bCs w:val="1"/>
                <w:color w:val="auto"/>
              </w:rPr>
              <w:t>26,072</w:t>
            </w:r>
          </w:p>
        </w:tc>
        <w:tc>
          <w:tcPr>
            <w:tcW w:w="24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70"/>
              <w:spacing w:after="0" w:line="112" w:lineRule="exact"/>
              <w:rPr>
                <w:sz w:val="20"/>
                <w:szCs w:val="20"/>
                <w:color w:val="auto"/>
              </w:rPr>
            </w:pPr>
            <w:r>
              <w:rPr>
                <w:rFonts w:ascii="Arial" w:cs="Arial" w:eastAsia="Arial" w:hAnsi="Arial"/>
                <w:sz w:val="10"/>
                <w:szCs w:val="10"/>
                <w:b w:val="1"/>
                <w:bCs w:val="1"/>
                <w:color w:val="auto"/>
              </w:rPr>
              <w:t>110,553</w:t>
            </w:r>
          </w:p>
        </w:tc>
        <w:tc>
          <w:tcPr>
            <w:tcW w:w="300" w:type="dxa"/>
            <w:vAlign w:val="bottom"/>
            <w:tcBorders>
              <w:bottom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w:t>
            </w:r>
          </w:p>
        </w:tc>
        <w:tc>
          <w:tcPr>
            <w:tcW w:w="76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b w:val="1"/>
                <w:bCs w:val="1"/>
                <w:color w:val="auto"/>
              </w:rPr>
              <w:t>117,169</w:t>
            </w:r>
          </w:p>
        </w:tc>
        <w:tc>
          <w:tcPr>
            <w:tcW w:w="300" w:type="dxa"/>
            <w:vAlign w:val="bottom"/>
            <w:tcBorders>
              <w:bottom w:val="single" w:sz="8" w:color="auto"/>
            </w:tcBorders>
          </w:tcPr>
          <w:p>
            <w:pPr>
              <w:ind w:left="160"/>
              <w:spacing w:after="0" w:line="112"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tcPr>
          <w:p>
            <w:pPr>
              <w:jc w:val="right"/>
              <w:ind w:right="110"/>
              <w:spacing w:after="0" w:line="112" w:lineRule="exact"/>
              <w:rPr>
                <w:sz w:val="20"/>
                <w:szCs w:val="20"/>
                <w:color w:val="auto"/>
              </w:rPr>
            </w:pPr>
            <w:r>
              <w:rPr>
                <w:rFonts w:ascii="Arial" w:cs="Arial" w:eastAsia="Arial" w:hAnsi="Arial"/>
                <w:sz w:val="10"/>
                <w:szCs w:val="10"/>
                <w:b w:val="1"/>
                <w:bCs w:val="1"/>
                <w:color w:val="auto"/>
              </w:rPr>
              <w:t>(940)</w:t>
            </w:r>
          </w:p>
        </w:tc>
        <w:tc>
          <w:tcPr>
            <w:tcW w:w="860" w:type="dxa"/>
            <w:vAlign w:val="bottom"/>
            <w:tcBorders>
              <w:bottom w:val="single" w:sz="8" w:color="auto"/>
            </w:tcBorders>
          </w:tcPr>
          <w:p>
            <w:pPr>
              <w:jc w:val="right"/>
              <w:ind w:right="50"/>
              <w:spacing w:after="0" w:line="112" w:lineRule="exact"/>
              <w:rPr>
                <w:sz w:val="20"/>
                <w:szCs w:val="20"/>
                <w:color w:val="auto"/>
              </w:rPr>
            </w:pPr>
            <w:r>
              <w:rPr>
                <w:rFonts w:ascii="Arial" w:cs="Arial" w:eastAsia="Arial" w:hAnsi="Arial"/>
                <w:sz w:val="10"/>
                <w:szCs w:val="10"/>
                <w:b w:val="1"/>
                <w:bCs w:val="1"/>
                <w:color w:val="auto"/>
              </w:rPr>
              <w:t>$ (2,474,347)</w:t>
            </w:r>
          </w:p>
        </w:tc>
        <w:tc>
          <w:tcPr>
            <w:tcW w:w="460" w:type="dxa"/>
            <w:vAlign w:val="bottom"/>
            <w:tcBorders>
              <w:bottom w:val="single" w:sz="8" w:color="auto"/>
            </w:tcBorders>
          </w:tcPr>
          <w:p>
            <w:pPr>
              <w:jc w:val="right"/>
              <w:ind w:right="148"/>
              <w:spacing w:after="0" w:line="112" w:lineRule="exact"/>
              <w:rPr>
                <w:sz w:val="20"/>
                <w:szCs w:val="20"/>
                <w:color w:val="auto"/>
              </w:rPr>
            </w:pPr>
            <w:r>
              <w:rPr>
                <w:rFonts w:ascii="Arial" w:cs="Arial" w:eastAsia="Arial" w:hAnsi="Arial"/>
                <w:sz w:val="10"/>
                <w:szCs w:val="10"/>
                <w:b w:val="1"/>
                <w:bCs w:val="1"/>
                <w:color w:val="auto"/>
              </w:rPr>
              <w:t>$</w:t>
            </w:r>
          </w:p>
        </w:tc>
      </w:tr>
      <w:tr>
        <w:trPr>
          <w:trHeight w:val="20"/>
        </w:trPr>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3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8" w:right="139" w:bottom="1440" w:gutter="0" w:footer="0" w:header="0"/>
        </w:sectPr>
      </w:pPr>
    </w:p>
    <w:bookmarkStart w:id="87" w:name="page88"/>
    <w:bookmarkEnd w:id="8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8" w:name="page89"/>
    <w:bookmarkEnd w:id="88"/>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7" w:lineRule="exact"/>
        <w:rPr>
          <w:sz w:val="20"/>
          <w:szCs w:val="20"/>
          <w:color w:val="auto"/>
        </w:rPr>
      </w:pPr>
    </w:p>
    <w:p>
      <w:pPr>
        <w:ind w:left="329" w:hanging="329"/>
        <w:spacing w:after="0"/>
        <w:tabs>
          <w:tab w:leader="none" w:pos="329"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NATURE OF OPERATIONS</w:t>
      </w:r>
    </w:p>
    <w:p>
      <w:pPr>
        <w:spacing w:after="0" w:line="197"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 cable television systems, newspaper publishing (principally The Washington Post) and television broadcasting (through the ownership and operation o television broadcast stations).</w:t>
      </w:r>
    </w:p>
    <w:p>
      <w:pPr>
        <w:spacing w:after="0" w:line="155" w:lineRule="exact"/>
        <w:rPr>
          <w:sz w:val="20"/>
          <w:szCs w:val="20"/>
          <w:color w:val="auto"/>
        </w:rPr>
      </w:pPr>
    </w:p>
    <w:p>
      <w:pPr>
        <w:ind w:left="9" w:right="40"/>
        <w:spacing w:after="0" w:line="255" w:lineRule="auto"/>
        <w:rPr>
          <w:sz w:val="20"/>
          <w:szCs w:val="20"/>
          <w:color w:val="auto"/>
        </w:rPr>
      </w:pPr>
      <w:r>
        <w:rPr>
          <w:rFonts w:ascii="Arial" w:cs="Arial" w:eastAsia="Arial" w:hAnsi="Arial"/>
          <w:sz w:val="17"/>
          <w:szCs w:val="17"/>
          <w:b w:val="1"/>
          <w:bCs w:val="1"/>
          <w:color w:val="auto"/>
        </w:rPr>
        <w:t>Education</w:t>
      </w:r>
      <w:r>
        <w:rPr>
          <w:rFonts w:ascii="Arial" w:cs="Arial" w:eastAsia="Arial" w:hAnsi="Arial"/>
          <w:sz w:val="17"/>
          <w:szCs w:val="17"/>
          <w:color w:val="auto"/>
        </w:rPr>
        <w:t>—Kaplan, Inc. provides an extensive range of educational services for students and professionals. Kaplan’s various businesses comprise t</w:t>
      </w:r>
      <w:r>
        <w:rPr>
          <w:rFonts w:ascii="Arial" w:cs="Arial" w:eastAsia="Arial" w:hAnsi="Arial"/>
          <w:sz w:val="17"/>
          <w:szCs w:val="17"/>
          <w:b w:val="1"/>
          <w:bCs w:val="1"/>
          <w:color w:val="auto"/>
        </w:rPr>
        <w:t xml:space="preserve"> </w:t>
      </w:r>
      <w:r>
        <w:rPr>
          <w:rFonts w:ascii="Arial" w:cs="Arial" w:eastAsia="Arial" w:hAnsi="Arial"/>
          <w:sz w:val="17"/>
          <w:szCs w:val="17"/>
          <w:color w:val="auto"/>
        </w:rPr>
        <w:t>categories: Higher Education, Test Preparation and Kaplan International.</w:t>
      </w:r>
    </w:p>
    <w:p>
      <w:pPr>
        <w:spacing w:after="0" w:line="14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Media</w:t>
      </w:r>
      <w:r>
        <w:rPr>
          <w:rFonts w:ascii="Arial" w:cs="Arial" w:eastAsia="Arial" w:hAnsi="Arial"/>
          <w:sz w:val="17"/>
          <w:szCs w:val="17"/>
          <w:color w:val="auto"/>
        </w:rPr>
        <w:t>—The Company’s diversified media operations consist of cable television operations, newspaper publishing and television broadcasting.</w:t>
      </w:r>
    </w:p>
    <w:p>
      <w:pPr>
        <w:spacing w:after="0" w:line="115" w:lineRule="exact"/>
        <w:rPr>
          <w:sz w:val="20"/>
          <w:szCs w:val="20"/>
          <w:color w:val="auto"/>
        </w:rPr>
      </w:pPr>
    </w:p>
    <w:p>
      <w:pPr>
        <w:ind w:left="9"/>
        <w:spacing w:after="0" w:line="255" w:lineRule="auto"/>
        <w:rPr>
          <w:sz w:val="20"/>
          <w:szCs w:val="20"/>
          <w:color w:val="auto"/>
        </w:rPr>
      </w:pPr>
      <w:r>
        <w:rPr>
          <w:rFonts w:ascii="Arial" w:cs="Arial" w:eastAsia="Arial" w:hAnsi="Arial"/>
          <w:sz w:val="17"/>
          <w:szCs w:val="17"/>
          <w:i w:val="1"/>
          <w:iCs w:val="1"/>
          <w:color w:val="auto"/>
        </w:rPr>
        <w:t>Cable television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Cable ONE provides cable services that include basic video, digital video, high-speed data and telephone service in the midwestern</w:t>
      </w:r>
      <w:r>
        <w:rPr>
          <w:rFonts w:ascii="Arial" w:cs="Arial" w:eastAsia="Arial" w:hAnsi="Arial"/>
          <w:sz w:val="17"/>
          <w:szCs w:val="17"/>
          <w:i w:val="1"/>
          <w:iCs w:val="1"/>
          <w:color w:val="auto"/>
        </w:rPr>
        <w:t xml:space="preserve"> </w:t>
      </w:r>
      <w:r>
        <w:rPr>
          <w:rFonts w:ascii="Arial" w:cs="Arial" w:eastAsia="Arial" w:hAnsi="Arial"/>
          <w:sz w:val="17"/>
          <w:szCs w:val="17"/>
          <w:color w:val="auto"/>
        </w:rPr>
        <w:t>western and southern states of the United States.</w:t>
      </w:r>
    </w:p>
    <w:p>
      <w:pPr>
        <w:spacing w:after="0" w:line="83" w:lineRule="exact"/>
        <w:rPr>
          <w:sz w:val="20"/>
          <w:szCs w:val="20"/>
          <w:color w:val="auto"/>
        </w:rPr>
      </w:pPr>
    </w:p>
    <w:p>
      <w:pPr>
        <w:ind w:left="9"/>
        <w:spacing w:after="0" w:line="235" w:lineRule="auto"/>
        <w:rPr>
          <w:sz w:val="20"/>
          <w:szCs w:val="20"/>
          <w:color w:val="auto"/>
        </w:rPr>
      </w:pPr>
      <w:r>
        <w:rPr>
          <w:rFonts w:ascii="Arial" w:cs="Arial" w:eastAsia="Arial" w:hAnsi="Arial"/>
          <w:sz w:val="17"/>
          <w:szCs w:val="17"/>
          <w:i w:val="1"/>
          <w:iCs w:val="1"/>
          <w:color w:val="auto"/>
        </w:rPr>
        <w:t xml:space="preserve">Newspaper publishing. </w:t>
      </w:r>
      <w:r>
        <w:rPr>
          <w:rFonts w:ascii="Arial" w:cs="Arial" w:eastAsia="Arial" w:hAnsi="Arial"/>
          <w:sz w:val="17"/>
          <w:szCs w:val="17"/>
          <w:color w:val="auto"/>
        </w:rPr>
        <w:t>Washington Post Media publishes The Washington Post (the Post), which is the largest and most widely circulated morning da</w:t>
      </w:r>
      <w:r>
        <w:rPr>
          <w:rFonts w:ascii="Arial" w:cs="Arial" w:eastAsia="Arial" w:hAnsi="Arial"/>
          <w:sz w:val="17"/>
          <w:szCs w:val="17"/>
          <w:i w:val="1"/>
          <w:iCs w:val="1"/>
          <w:color w:val="auto"/>
        </w:rPr>
        <w:t xml:space="preserve"> </w:t>
      </w:r>
      <w:r>
        <w:rPr>
          <w:rFonts w:ascii="Arial" w:cs="Arial" w:eastAsia="Arial" w:hAnsi="Arial"/>
          <w:sz w:val="17"/>
          <w:szCs w:val="17"/>
          <w:color w:val="auto"/>
        </w:rPr>
        <w:t>and Sunday newspaper in the Washington, DC, metropolitan area (including large portions of Maryland and northern Virginia), primarily distributed by delivery. Washington Post Media also produces washingtonpost.com, an Internet site that features news and information products, as well as the full editorial content of the Post. Through the Company’s other newspaper publishing businesses, the Company also publishes weekly publications and ta distributed within the Washington, DC, metropolitan area and elsewhere, and produces other websites.</w:t>
      </w:r>
    </w:p>
    <w:p>
      <w:pPr>
        <w:spacing w:after="0" w:line="98" w:lineRule="exact"/>
        <w:rPr>
          <w:sz w:val="20"/>
          <w:szCs w:val="20"/>
          <w:color w:val="auto"/>
        </w:rPr>
      </w:pPr>
    </w:p>
    <w:p>
      <w:pPr>
        <w:jc w:val="both"/>
        <w:ind w:left="9"/>
        <w:spacing w:after="0"/>
        <w:rPr>
          <w:sz w:val="20"/>
          <w:szCs w:val="20"/>
          <w:color w:val="auto"/>
        </w:rPr>
      </w:pPr>
      <w:r>
        <w:rPr>
          <w:rFonts w:ascii="Arial" w:cs="Arial" w:eastAsia="Arial" w:hAnsi="Arial"/>
          <w:sz w:val="17"/>
          <w:szCs w:val="17"/>
          <w:i w:val="1"/>
          <w:iCs w:val="1"/>
          <w:color w:val="auto"/>
        </w:rPr>
        <w:t xml:space="preserve">Television broadcasting. </w:t>
      </w:r>
      <w:r>
        <w:rPr>
          <w:rFonts w:ascii="Arial" w:cs="Arial" w:eastAsia="Arial" w:hAnsi="Arial"/>
          <w:sz w:val="17"/>
          <w:szCs w:val="17"/>
          <w:color w:val="auto"/>
        </w:rPr>
        <w:t>The Company owns six VHF television stations located in Houston, TX; Detroit, MI; Miami, FL; Orlando, FL; San Antonio, TX</w:t>
      </w:r>
      <w:r>
        <w:rPr>
          <w:rFonts w:ascii="Arial" w:cs="Arial" w:eastAsia="Arial" w:hAnsi="Arial"/>
          <w:sz w:val="17"/>
          <w:szCs w:val="17"/>
          <w:i w:val="1"/>
          <w:iCs w:val="1"/>
          <w:color w:val="auto"/>
        </w:rPr>
        <w:t xml:space="preserve"> </w:t>
      </w:r>
      <w:r>
        <w:rPr>
          <w:rFonts w:ascii="Arial" w:cs="Arial" w:eastAsia="Arial" w:hAnsi="Arial"/>
          <w:sz w:val="17"/>
          <w:szCs w:val="17"/>
          <w:color w:val="auto"/>
        </w:rPr>
        <w:t>Jacksonville, FL. Other than the Company’s Jacksonville station, WJXT, the Company’s television stations are affiliated with one of the major national networks.</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77" w:lineRule="exact"/>
        <w:rPr>
          <w:sz w:val="20"/>
          <w:szCs w:val="20"/>
          <w:color w:val="auto"/>
        </w:rPr>
      </w:pPr>
    </w:p>
    <w:p>
      <w:pPr>
        <w:jc w:val="both"/>
        <w:ind w:left="9"/>
        <w:spacing w:after="0" w:line="236" w:lineRule="auto"/>
        <w:rPr>
          <w:sz w:val="20"/>
          <w:szCs w:val="20"/>
          <w:color w:val="auto"/>
        </w:rPr>
      </w:pPr>
      <w:r>
        <w:rPr>
          <w:rFonts w:ascii="Arial" w:cs="Arial" w:eastAsia="Arial" w:hAnsi="Arial"/>
          <w:sz w:val="17"/>
          <w:szCs w:val="17"/>
          <w:b w:val="1"/>
          <w:bCs w:val="1"/>
          <w:color w:val="auto"/>
        </w:rPr>
        <w:t xml:space="preserve">Fiscal Year. </w:t>
      </w:r>
      <w:r>
        <w:rPr>
          <w:rFonts w:ascii="Arial" w:cs="Arial" w:eastAsia="Arial" w:hAnsi="Arial"/>
          <w:sz w:val="17"/>
          <w:szCs w:val="17"/>
          <w:color w:val="auto"/>
        </w:rPr>
        <w:t>In 2011, the Company changed its fiscal year from a 52 to 53-week fiscal year ending on the Sunday nearest December 31 to a quarterl</w:t>
      </w:r>
      <w:r>
        <w:rPr>
          <w:rFonts w:ascii="Arial" w:cs="Arial" w:eastAsia="Arial" w:hAnsi="Arial"/>
          <w:sz w:val="17"/>
          <w:szCs w:val="17"/>
          <w:b w:val="1"/>
          <w:bCs w:val="1"/>
          <w:color w:val="auto"/>
        </w:rPr>
        <w:t xml:space="preserve"> </w:t>
      </w:r>
      <w:r>
        <w:rPr>
          <w:rFonts w:ascii="Arial" w:cs="Arial" w:eastAsia="Arial" w:hAnsi="Arial"/>
          <w:sz w:val="17"/>
          <w:szCs w:val="17"/>
          <w:color w:val="auto"/>
        </w:rPr>
        <w:t>month end, with the new fiscal year ending on December 31 of each year. The fiscal years 2012 and 2011, which ended on December 31, 2012 and 2 respectively, included approximately 52 weeks. Fiscal year 2010, which ended on January 2, 2011, included 52 weeks. Subsidiaries of the Company r on a calendar-year basis, with the exception of most of the newspaper publishing operations, which report on a 52 to 53-week fiscal year ending on th Sunday nearest December 31.</w:t>
      </w:r>
    </w:p>
    <w:p>
      <w:pPr>
        <w:spacing w:after="0" w:line="156" w:lineRule="exact"/>
        <w:rPr>
          <w:sz w:val="20"/>
          <w:szCs w:val="20"/>
          <w:color w:val="auto"/>
        </w:rPr>
      </w:pPr>
    </w:p>
    <w:p>
      <w:pPr>
        <w:jc w:val="both"/>
        <w:ind w:left="9"/>
        <w:spacing w:after="0" w:line="264" w:lineRule="auto"/>
        <w:rPr>
          <w:sz w:val="20"/>
          <w:szCs w:val="20"/>
          <w:color w:val="auto"/>
        </w:rPr>
      </w:pPr>
      <w:r>
        <w:rPr>
          <w:rFonts w:ascii="Arial" w:cs="Arial" w:eastAsia="Arial" w:hAnsi="Arial"/>
          <w:sz w:val="16"/>
          <w:szCs w:val="16"/>
          <w:b w:val="1"/>
          <w:bCs w:val="1"/>
          <w:color w:val="auto"/>
        </w:rPr>
        <w:t xml:space="preserve">Basis of Presentation and Principles of Consolidation. </w:t>
      </w:r>
      <w:r>
        <w:rPr>
          <w:rFonts w:ascii="Arial" w:cs="Arial" w:eastAsia="Arial" w:hAnsi="Arial"/>
          <w:sz w:val="16"/>
          <w:szCs w:val="16"/>
          <w:color w:val="auto"/>
        </w:rPr>
        <w:t>The accompanying Consolidated Financial Statements have been prepared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(GAAP) in the United States and include the assets, liabilities, results of operations and cash flows of the Co and its majority-owned and controlled subsidiaries. All significant intercompany accounts and transactions have been eliminated in consolidation.</w:t>
      </w:r>
    </w:p>
    <w:p>
      <w:pPr>
        <w:spacing w:after="0" w:line="137" w:lineRule="exact"/>
        <w:rPr>
          <w:sz w:val="20"/>
          <w:szCs w:val="20"/>
          <w:color w:val="auto"/>
        </w:rPr>
      </w:pPr>
    </w:p>
    <w:p>
      <w:pPr>
        <w:jc w:val="both"/>
        <w:ind w:left="9"/>
        <w:spacing w:after="0" w:line="255" w:lineRule="auto"/>
        <w:rPr>
          <w:sz w:val="20"/>
          <w:szCs w:val="20"/>
          <w:color w:val="auto"/>
        </w:rPr>
      </w:pPr>
      <w:r>
        <w:rPr>
          <w:rFonts w:ascii="Arial" w:cs="Arial" w:eastAsia="Arial" w:hAnsi="Arial"/>
          <w:sz w:val="17"/>
          <w:szCs w:val="17"/>
          <w:b w:val="1"/>
          <w:bCs w:val="1"/>
          <w:color w:val="auto"/>
        </w:rPr>
        <w:t xml:space="preserve">Reclassifications. </w:t>
      </w:r>
      <w:r>
        <w:rPr>
          <w:rFonts w:ascii="Arial" w:cs="Arial" w:eastAsia="Arial" w:hAnsi="Arial"/>
          <w:sz w:val="17"/>
          <w:szCs w:val="17"/>
          <w:color w:val="auto"/>
        </w:rPr>
        <w:t>Certain amounts in previously issued financial statements have been reclassified to conform with the 2012 presentation, which inc</w:t>
      </w:r>
      <w:r>
        <w:rPr>
          <w:rFonts w:ascii="Arial" w:cs="Arial" w:eastAsia="Arial" w:hAnsi="Arial"/>
          <w:sz w:val="17"/>
          <w:szCs w:val="17"/>
          <w:b w:val="1"/>
          <w:bCs w:val="1"/>
          <w:color w:val="auto"/>
        </w:rPr>
        <w:t xml:space="preserve"> </w:t>
      </w:r>
      <w:r>
        <w:rPr>
          <w:rFonts w:ascii="Arial" w:cs="Arial" w:eastAsia="Arial" w:hAnsi="Arial"/>
          <w:sz w:val="17"/>
          <w:szCs w:val="17"/>
          <w:color w:val="auto"/>
        </w:rPr>
        <w:t>the reclassification of the results of operations of certain businesses as discontinued operations for all periods presented.</w:t>
      </w:r>
    </w:p>
    <w:p>
      <w:pPr>
        <w:spacing w:after="0" w:line="143" w:lineRule="exact"/>
        <w:rPr>
          <w:sz w:val="20"/>
          <w:szCs w:val="20"/>
          <w:color w:val="auto"/>
        </w:rPr>
      </w:pPr>
    </w:p>
    <w:p>
      <w:pPr>
        <w:jc w:val="both"/>
        <w:ind w:left="9"/>
        <w:spacing w:after="0" w:line="257"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judgments that affe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reported in the financial statements. Management bases its estimates and assumptions on historical experience and on various other factors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37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18" w:right="139" w:bottom="1440" w:gutter="0" w:footer="0" w:header="0"/>
        </w:sectPr>
      </w:pPr>
    </w:p>
    <w:bookmarkStart w:id="89" w:name="page90"/>
    <w:bookmarkEnd w:id="89"/>
    <w:p>
      <w:pPr>
        <w:jc w:val="both"/>
        <w:spacing w:after="0" w:line="238" w:lineRule="auto"/>
        <w:rPr>
          <w:sz w:val="20"/>
          <w:szCs w:val="20"/>
          <w:color w:val="auto"/>
        </w:rPr>
      </w:pPr>
      <w:r>
        <w:rPr>
          <w:rFonts w:ascii="Arial" w:cs="Arial" w:eastAsia="Arial" w:hAnsi="Arial"/>
          <w:sz w:val="17"/>
          <w:szCs w:val="17"/>
          <w:b w:val="1"/>
          <w:bCs w:val="1"/>
          <w:color w:val="auto"/>
        </w:rPr>
        <w:t xml:space="preserve">Business Combinations. </w:t>
      </w:r>
      <w:r>
        <w:rPr>
          <w:rFonts w:ascii="Arial" w:cs="Arial" w:eastAsia="Arial" w:hAnsi="Arial"/>
          <w:sz w:val="17"/>
          <w:szCs w:val="17"/>
          <w:color w:val="auto"/>
        </w:rPr>
        <w:t>The purchase price of an acquisition is allocated to the assets acquired, including intangible assets, and liabilities assume</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their respective fair values at the acquisition date. Acquisition-related costs are expensed as incurred. The excess of the cost of an acquired over the net of the amounts assigned to the assets acquired and liabilities assumed is recognized as goodwill. The net assets and results of operation acquired entity are included in the Company’s Consolidated Financial Statements from the acquisition date.</w:t>
      </w:r>
    </w:p>
    <w:p>
      <w:pPr>
        <w:spacing w:after="0" w:line="155"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b w:val="1"/>
          <w:bCs w:val="1"/>
          <w:color w:val="auto"/>
        </w:rPr>
        <w:t xml:space="preserve">Cash and Cash Equivalents. </w:t>
      </w:r>
      <w:r>
        <w:rPr>
          <w:rFonts w:ascii="Arial" w:cs="Arial" w:eastAsia="Arial" w:hAnsi="Arial"/>
          <w:sz w:val="17"/>
          <w:szCs w:val="17"/>
          <w:color w:val="auto"/>
        </w:rPr>
        <w:t>Cash and cash equivalents consist of cash on hand, short-term investments with original maturities of three months or</w:t>
      </w:r>
      <w:r>
        <w:rPr>
          <w:rFonts w:ascii="Arial" w:cs="Arial" w:eastAsia="Arial" w:hAnsi="Arial"/>
          <w:sz w:val="17"/>
          <w:szCs w:val="17"/>
          <w:b w:val="1"/>
          <w:bCs w:val="1"/>
          <w:color w:val="auto"/>
        </w:rPr>
        <w:t xml:space="preserve"> </w:t>
      </w:r>
      <w:r>
        <w:rPr>
          <w:rFonts w:ascii="Arial" w:cs="Arial" w:eastAsia="Arial" w:hAnsi="Arial"/>
          <w:sz w:val="17"/>
          <w:szCs w:val="17"/>
          <w:color w:val="auto"/>
        </w:rPr>
        <w:t>and investments in money market funds with weighted average maturities of three months or less.</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Restricted Cash. </w:t>
      </w:r>
      <w:r>
        <w:rPr>
          <w:rFonts w:ascii="Arial" w:cs="Arial" w:eastAsia="Arial" w:hAnsi="Arial"/>
          <w:sz w:val="17"/>
          <w:szCs w:val="17"/>
          <w:color w:val="auto"/>
        </w:rPr>
        <w:t>Restricted cash represents amounts held for students that were received from U.S. Federal and state governments under various a</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and loan programs, such as Title IV of the U.S. Federal Higher Education Act of 1965 (Higher Education Act), as amended, that the Company is required to maintain pursuant to U.S. Department of Education (DOE) and other regulations. Restricted cash also includes certain funds that the Com may be required to return if a student who receives Title IV program funds withdraws from a program. At December 31, 2012, restricted cash also incl funds required to be held by higher education institutions in Australia for prepaid tuition.</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Concentration of Credit Risk. </w:t>
      </w:r>
      <w:r>
        <w:rPr>
          <w:rFonts w:ascii="Arial" w:cs="Arial" w:eastAsia="Arial" w:hAnsi="Arial"/>
          <w:sz w:val="17"/>
          <w:szCs w:val="17"/>
          <w:color w:val="auto"/>
        </w:rPr>
        <w:t>Cash and cash equivalents are maintained with several financial institutions domestically and internationally. Deposits</w:t>
      </w:r>
      <w:r>
        <w:rPr>
          <w:rFonts w:ascii="Arial" w:cs="Arial" w:eastAsia="Arial" w:hAnsi="Arial"/>
          <w:sz w:val="17"/>
          <w:szCs w:val="17"/>
          <w:b w:val="1"/>
          <w:bCs w:val="1"/>
          <w:color w:val="auto"/>
        </w:rPr>
        <w:t xml:space="preserve"> </w:t>
      </w:r>
      <w:r>
        <w:rPr>
          <w:rFonts w:ascii="Arial" w:cs="Arial" w:eastAsia="Arial" w:hAnsi="Arial"/>
          <w:sz w:val="17"/>
          <w:szCs w:val="17"/>
          <w:color w:val="auto"/>
        </w:rPr>
        <w:t>with banks may exceed the amount of insurance provided on such deposits. Generally, these deposits may be redeemed upon demand and are maint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tra accounts receivable.</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Allowance for Doubtful Accounts. </w:t>
      </w:r>
      <w:r>
        <w:rPr>
          <w:rFonts w:ascii="Arial" w:cs="Arial" w:eastAsia="Arial" w:hAnsi="Arial"/>
          <w:sz w:val="17"/>
          <w:szCs w:val="17"/>
          <w:color w:val="auto"/>
        </w:rPr>
        <w:t>Accounts receivable have been reduced by an allowance for amounts that may be uncollectible in the future. Thi</w:t>
      </w:r>
      <w:r>
        <w:rPr>
          <w:rFonts w:ascii="Arial" w:cs="Arial" w:eastAsia="Arial" w:hAnsi="Arial"/>
          <w:sz w:val="17"/>
          <w:szCs w:val="17"/>
          <w:b w:val="1"/>
          <w:bCs w:val="1"/>
          <w:color w:val="auto"/>
        </w:rPr>
        <w:t xml:space="preserve"> </w:t>
      </w:r>
      <w:r>
        <w:rPr>
          <w:rFonts w:ascii="Arial" w:cs="Arial" w:eastAsia="Arial" w:hAnsi="Arial"/>
          <w:sz w:val="17"/>
          <w:szCs w:val="17"/>
          <w:color w:val="auto"/>
        </w:rPr>
        <w:t>estimated allowance is based primarily on the aging category, historical trends and management’s evaluation of the financial condition of the customer Accounts receivable also have been reduced by an estimate of advertising rate adjustments and discounts, based on estimates of advertising volume contract customers who are eligible for advertising rate adjustments and discounts.</w:t>
      </w:r>
    </w:p>
    <w:p>
      <w:pPr>
        <w:spacing w:after="0" w:line="155"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color w:val="auto"/>
        </w:rPr>
        <w:t xml:space="preserve">Investments in Marketable Equity Securities. </w:t>
      </w:r>
      <w:r>
        <w:rPr>
          <w:rFonts w:ascii="Arial" w:cs="Arial" w:eastAsia="Arial" w:hAnsi="Arial"/>
          <w:sz w:val="17"/>
          <w:szCs w:val="17"/>
          <w:color w:val="auto"/>
        </w:rPr>
        <w:t>The Company’s investments in marketable equity securities are classified as available-for-sale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are recorded at fair value in the Consolidated Financial Statements, with the change in fair value during the period excluded from earnings a recorded net of income taxes as a separate component of other comprehensive income. If the fair value of a marketable equity security declines below cost basis and the decline is considered other than temporary, the Company will record a write-down, which is included in earnings. The Company use average cost method to determine the basis of the securities sold or reclassified out of other comprehensive income.</w:t>
      </w:r>
    </w:p>
    <w:p>
      <w:pPr>
        <w:spacing w:after="0" w:line="156"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The carrying amounts reported in the Company’s Consolidated Financial Statements for cash and cash equiva</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cash, accounts receivable, accounts payable and accrued liabilities, the current portion of deferred revenue and the current portion of debt approximate fair value because of the short-term nature of these financial instruments. The fair value of long-term debt is determined based on a num of observable inputs, including the current market activity of the Company’s publicly traded notes, trends in investor demands and market values of comparable publicly traded debt. The fair value of the interest rate hedge is determined based on a number of observable inputs, including time to mat and market interest rates.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Inventories are stated at the lower of cost or current market value. Cost of newsprint is determined on the first-in, first-out (FIFO) method</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is recorded at cost and includes interest capitalized in connection with major long-ter</w:t>
      </w:r>
      <w:r>
        <w:rPr>
          <w:rFonts w:ascii="Arial" w:cs="Arial" w:eastAsia="Arial" w:hAnsi="Arial"/>
          <w:sz w:val="17"/>
          <w:szCs w:val="17"/>
          <w:b w:val="1"/>
          <w:bCs w:val="1"/>
          <w:color w:val="auto"/>
        </w:rPr>
        <w:t xml:space="preserve"> </w:t>
      </w:r>
      <w:r>
        <w:rPr>
          <w:rFonts w:ascii="Arial" w:cs="Arial" w:eastAsia="Arial" w:hAnsi="Arial"/>
          <w:sz w:val="17"/>
          <w:szCs w:val="17"/>
          <w:color w:val="auto"/>
        </w:rPr>
        <w:t>construction projects. Replacements and major improvements are capitalized; maintenance and repairs are expensed as incurred. Depreciation is calculated using the straight-line method over the estimated useful lives of the property, plant and equipment: 3 to 20 years for machinery and equipm and 20 to 50 years for buildings. The costs of leasehold improvements are amortized over the lesser of their useful lives or the terms of the respective leases.</w:t>
      </w:r>
    </w:p>
    <w:p>
      <w:pPr>
        <w:spacing w:after="0" w:line="38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90" w:name="page91"/>
    <w:bookmarkEnd w:id="90"/>
    <w:p>
      <w:pPr>
        <w:spacing w:after="0" w:line="233" w:lineRule="auto"/>
        <w:rPr>
          <w:sz w:val="20"/>
          <w:szCs w:val="20"/>
          <w:color w:val="auto"/>
        </w:rPr>
      </w:pPr>
      <w:r>
        <w:rPr>
          <w:rFonts w:ascii="Arial" w:cs="Arial" w:eastAsia="Arial" w:hAnsi="Arial"/>
          <w:sz w:val="17"/>
          <w:szCs w:val="17"/>
          <w:color w:val="auto"/>
        </w:rPr>
        <w:t>The cable television division capitalizes costs associated with the construction of cable transmission and distribution facilities and new cable service installations. Costs include all direct labor and materials, as well as certain indirect costs. The cost of subsequent disconnects and reconnects are exp as they are incurred.</w:t>
      </w:r>
    </w:p>
    <w:p>
      <w:pPr>
        <w:spacing w:after="0" w:line="155"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b w:val="1"/>
          <w:bCs w:val="1"/>
          <w:color w:val="auto"/>
        </w:rPr>
        <w:t xml:space="preserve">Evaluation of Long-Lived Assets. </w:t>
      </w:r>
      <w:r>
        <w:rPr>
          <w:rFonts w:ascii="Arial" w:cs="Arial" w:eastAsia="Arial" w:hAnsi="Arial"/>
          <w:sz w:val="17"/>
          <w:szCs w:val="17"/>
          <w:color w:val="auto"/>
        </w:rPr>
        <w:t>The recoverability of long-lived assets and finite-lived intangible assets is assessed whenever adverse events 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in circumstances indicate that recorded values may not be recoverable. A long-lived asset is considered to not be recoverable when the undiscounted estimated future cash flows are less than the asset’s recorded value. An impairment charge is measured based on estimated fair marke value, determined primarily using estimated future cash flows on a discounted basis. Losses on long-lived assets to be disposed of are determined in similar manner, but the fair market value would be reduced for estimated costs to dispose.</w:t>
      </w:r>
    </w:p>
    <w:p>
      <w:pPr>
        <w:spacing w:after="0" w:line="15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color w:val="auto"/>
        </w:rPr>
        <w:t xml:space="preserve">Goodwill and Other Intangible Assets. </w:t>
      </w:r>
      <w:r>
        <w:rPr>
          <w:rFonts w:ascii="Arial" w:cs="Arial" w:eastAsia="Arial" w:hAnsi="Arial"/>
          <w:sz w:val="17"/>
          <w:szCs w:val="17"/>
          <w:color w:val="auto"/>
        </w:rPr>
        <w:t>Goodwill is the excess of purchase price over the fair value of identified net assets of businesses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intangible assets with an indefinite life are principally from franchise agreements at its cable television division, as the Company expects it cable franchise agreements to provide the Company with substantial benefit for a period that extends beyond the foreseeable horizon, and the Compa cable television division historically has obtained renewals and extensions of such agreements for nominal costs and without any material modification the agreements. Amortized intangible assets are primarily student and customer relationships and trade names and trademarks, with amortization per up to 10 years.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Company reviews goodwill and indefinite-lived intangible assets at least annually, as of November 30, for possible impairment. Goodwill and indef lived intangible assets are reviewed for possible impairment between annual tests if an event occurs or circumstances change that would more likely t not reduce the fair value of the reporting unit or indefinite-lived intangible asset below its carrying value. The Company tests its goodwill at the reportin level, which is an operating segment or one level below an operating segment. In reviewing the carrying value of indefinite-lived intangible assets at th cable television division, the Company aggregates its cable systems on a regional basis. The Company initially assesses qualitative factors to determi is necessary to perform the two-step goodwill impairment review or indefinite-lived intangible asset quantitative impairment review. The Company revie the goodwill for impairment using the two-step process and the indefinite-lived intangible assets using the quantitative process if, based on its assessm the qualitative factors, it determines that it is more likely than not that the fair value of a reporting unit or indefinite-lived intangible asset is less than its carrying value, or if it decides to bypass the qualitative assessment. The Company reviews the carrying value of goodwill and indefinite-lived intangible assets utilizing a discounted cash flow model, and, where appropriate, a market value approach is also utilized to supplement the discounted cash flo model. The Company makes assumptions regarding estimated future cash flows, discount rates, long-term growth rates and market values to determi each reporting unit’s and indefinite-lived intangible asset’s estimated fair value. If these estimates or related assumptions change in the future, the Co may be required to record impairment charges.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The Company uses the equity method of accounting for its investments in and earnings or losses of affiliates that it does 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but over which it exerts significant influence. The Company considers whether the fair values of any of its equity method investments have dec below their carrying value whenever adverse events or changes in circumstances indicate that recorded values may not be recoverable. If the Compa considered any such decline to be other than temporary (based on various factors, including historical financial results, product development activities the overall health of the affiliate’s industry), a write-down would be recorded to estimated fair value.</w:t>
      </w:r>
    </w:p>
    <w:p>
      <w:pPr>
        <w:spacing w:after="0" w:line="156" w:lineRule="exact"/>
        <w:rPr>
          <w:sz w:val="20"/>
          <w:szCs w:val="20"/>
          <w:color w:val="auto"/>
        </w:rPr>
      </w:pPr>
    </w:p>
    <w:p>
      <w:pPr>
        <w:jc w:val="both"/>
        <w:ind w:right="20"/>
        <w:spacing w:after="0" w:line="236" w:lineRule="auto"/>
        <w:rPr>
          <w:sz w:val="20"/>
          <w:szCs w:val="20"/>
          <w:color w:val="auto"/>
        </w:rPr>
      </w:pPr>
      <w:r>
        <w:rPr>
          <w:rFonts w:ascii="Arial" w:cs="Arial" w:eastAsia="Arial" w:hAnsi="Arial"/>
          <w:sz w:val="17"/>
          <w:szCs w:val="17"/>
          <w:b w:val="1"/>
          <w:bCs w:val="1"/>
          <w:color w:val="auto"/>
        </w:rPr>
        <w:t xml:space="preserve">Cost Method Investments. </w:t>
      </w:r>
      <w:r>
        <w:rPr>
          <w:rFonts w:ascii="Arial" w:cs="Arial" w:eastAsia="Arial" w:hAnsi="Arial"/>
          <w:sz w:val="17"/>
          <w:szCs w:val="17"/>
          <w:color w:val="auto"/>
        </w:rPr>
        <w:t>The Company uses the cost method of accounting for its minority investments in nonpublic companies where it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influence over the operations and management of the investee. Investments are recorded at the lower of cost or fair value as estimated by management. Charges recorded to write down cost method investments to their estimated fair value and gross realized gains or losses upon the sale method investments are included in other (expense) income, net, in the Company’s Consolidated Financial Statements. Fair value estimates are base review of the investees’ product development activities, historical financial results and projected discounted cash flows.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Revenue is recognized when persuasive evidence of an arrangement exists, the fees are fixed or determinable, the product o</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has been delivered and collectability is reasonably assured. The Company considers the terms of each arrangement to determine the appropr accounting treatment.</w:t>
      </w:r>
    </w:p>
    <w:p>
      <w:pPr>
        <w:spacing w:after="0" w:line="38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91" w:name="page92"/>
    <w:bookmarkEnd w:id="91"/>
    <w:p>
      <w:pPr>
        <w:spacing w:after="0" w:line="253" w:lineRule="auto"/>
        <w:rPr>
          <w:sz w:val="20"/>
          <w:szCs w:val="20"/>
          <w:color w:val="auto"/>
        </w:rPr>
      </w:pPr>
      <w:r>
        <w:rPr>
          <w:rFonts w:ascii="Arial" w:cs="Arial" w:eastAsia="Arial" w:hAnsi="Arial"/>
          <w:sz w:val="16"/>
          <w:szCs w:val="16"/>
          <w:i w:val="1"/>
          <w:iCs w:val="1"/>
          <w:color w:val="auto"/>
        </w:rPr>
        <w:t xml:space="preserve">Education revenues. </w:t>
      </w:r>
      <w:r>
        <w:rPr>
          <w:rFonts w:ascii="Arial" w:cs="Arial" w:eastAsia="Arial" w:hAnsi="Arial"/>
          <w:sz w:val="16"/>
          <w:szCs w:val="16"/>
          <w:color w:val="auto"/>
        </w:rPr>
        <w:t>Tuition revenue is recognized ratably over the period of instruction as services are delivered to students, net of any refunds, corp</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scholarships and employee tuition discounts. At Kaplan’s Test Preparation (KTP) and International divisions, estimates of average student c length are developed for each course, and these estimates are evaluated on an ongoing basis and adjusted as necessary. Online access revenue is recognized ratably over the period of access. Course material revenue is recognized over the same period as the tuition or online access, if related, or the products are delivered, if not related. Other revenues, such as student support services, are recognized when the services are provided.</w:t>
      </w:r>
    </w:p>
    <w:p>
      <w:pPr>
        <w:spacing w:after="0" w:line="153"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 Higher Education (KHE), through the Kaplan Commitment program, provides first-time students with a risk-free trial period. Under the program monitors academic progress and conducts assessments to help determine whether students are likely to be successful in their chosen course of study Students who withdraw or are subject to dismissal during the risk-free trial period do not incur any significant financial obligation. The Company does n recognize revenues related to coursework until the students complete the risk-free period, meet the academic requirements and decide to continue wit studies, at which time the fees become fixed and determinable.</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Cable television revenues. </w:t>
      </w:r>
      <w:r>
        <w:rPr>
          <w:rFonts w:ascii="Arial" w:cs="Arial" w:eastAsia="Arial" w:hAnsi="Arial"/>
          <w:sz w:val="17"/>
          <w:szCs w:val="17"/>
          <w:color w:val="auto"/>
        </w:rPr>
        <w:t>Cable television revenues are primarily derived from subscriber fees for video, high-speed Internet and phone services, an</w:t>
      </w:r>
      <w:r>
        <w:rPr>
          <w:rFonts w:ascii="Arial" w:cs="Arial" w:eastAsia="Arial" w:hAnsi="Arial"/>
          <w:sz w:val="17"/>
          <w:szCs w:val="17"/>
          <w:i w:val="1"/>
          <w:iCs w:val="1"/>
          <w:color w:val="auto"/>
        </w:rPr>
        <w:t xml:space="preserve"> </w:t>
      </w:r>
      <w:r>
        <w:rPr>
          <w:rFonts w:ascii="Arial" w:cs="Arial" w:eastAsia="Arial" w:hAnsi="Arial"/>
          <w:sz w:val="17"/>
          <w:szCs w:val="17"/>
          <w:color w:val="auto"/>
        </w:rPr>
        <w:t>from advertising. Cable subscriber revenue is recognized monthly as services are delivered. Advertising revenue is recognized when the commercials programs are aired.</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Newspaper publishing and television broadcasting revenues. </w:t>
      </w:r>
      <w:r>
        <w:rPr>
          <w:rFonts w:ascii="Arial" w:cs="Arial" w:eastAsia="Arial" w:hAnsi="Arial"/>
          <w:sz w:val="17"/>
          <w:szCs w:val="17"/>
          <w:color w:val="auto"/>
        </w:rPr>
        <w:t>Media advertising revenues are recognized, net of agency commissions, when the unde</w:t>
      </w:r>
      <w:r>
        <w:rPr>
          <w:rFonts w:ascii="Arial" w:cs="Arial" w:eastAsia="Arial" w:hAnsi="Arial"/>
          <w:sz w:val="17"/>
          <w:szCs w:val="17"/>
          <w:i w:val="1"/>
          <w:iCs w:val="1"/>
          <w:color w:val="auto"/>
        </w:rPr>
        <w:t xml:space="preserve"> </w:t>
      </w:r>
      <w:r>
        <w:rPr>
          <w:rFonts w:ascii="Arial" w:cs="Arial" w:eastAsia="Arial" w:hAnsi="Arial"/>
          <w:sz w:val="17"/>
          <w:szCs w:val="17"/>
          <w:color w:val="auto"/>
        </w:rPr>
        <w:t>advertisement is published or broadcast. Revenues from newspaper subscriptions and retail sales are recognized upon the later of delivery or publicat date, with adequate provision made for anticipated sales returns.</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Sales returns. </w:t>
      </w:r>
      <w:r>
        <w:rPr>
          <w:rFonts w:ascii="Arial" w:cs="Arial" w:eastAsia="Arial" w:hAnsi="Arial"/>
          <w:sz w:val="17"/>
          <w:szCs w:val="17"/>
          <w:color w:val="auto"/>
        </w:rPr>
        <w:t>Consistent with industry practice, certain of the Company’s products, such as newspapers, are sold with the right of return. The Compa</w:t>
      </w:r>
      <w:r>
        <w:rPr>
          <w:rFonts w:ascii="Arial" w:cs="Arial" w:eastAsia="Arial" w:hAnsi="Arial"/>
          <w:sz w:val="17"/>
          <w:szCs w:val="17"/>
          <w:i w:val="1"/>
          <w:iCs w:val="1"/>
          <w:color w:val="auto"/>
        </w:rPr>
        <w:t xml:space="preserve"> </w:t>
      </w:r>
      <w:r>
        <w:rPr>
          <w:rFonts w:ascii="Arial" w:cs="Arial" w:eastAsia="Arial" w:hAnsi="Arial"/>
          <w:sz w:val="17"/>
          <w:szCs w:val="17"/>
          <w:color w:val="auto"/>
        </w:rPr>
        <w:t>records, as a reduction of revenue, the estimated impact of such returns. The Company bases its estimates for sales returns on historical experience has not experienced significant fluctuations between estimated and actual return activity.</w:t>
      </w:r>
    </w:p>
    <w:p>
      <w:pPr>
        <w:spacing w:after="0" w:line="146"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Amounts received from customers in advance of revenue recognition are deferred as liabilities. Deferred revenue to be earned afte</w:t>
      </w:r>
      <w:r>
        <w:rPr>
          <w:rFonts w:ascii="Arial" w:cs="Arial" w:eastAsia="Arial" w:hAnsi="Arial"/>
          <w:sz w:val="17"/>
          <w:szCs w:val="17"/>
          <w:i w:val="1"/>
          <w:iCs w:val="1"/>
          <w:color w:val="auto"/>
        </w:rPr>
        <w:t xml:space="preserve"> </w:t>
      </w:r>
      <w:r>
        <w:rPr>
          <w:rFonts w:ascii="Arial" w:cs="Arial" w:eastAsia="Arial" w:hAnsi="Arial"/>
          <w:sz w:val="17"/>
          <w:szCs w:val="17"/>
          <w:color w:val="auto"/>
        </w:rPr>
        <w:t>year is included in other noncurrent liabilities in the Company’s Consolidated Financial Statements.</w:t>
      </w:r>
    </w:p>
    <w:p>
      <w:pPr>
        <w:spacing w:after="0" w:line="132"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The Company leases substantially all of its educational facilities and enters into various other lease agreements in conducting its business. A</w:t>
      </w:r>
      <w:r>
        <w:rPr>
          <w:rFonts w:ascii="Arial" w:cs="Arial" w:eastAsia="Arial" w:hAnsi="Arial"/>
          <w:sz w:val="17"/>
          <w:szCs w:val="17"/>
          <w:b w:val="1"/>
          <w:bCs w:val="1"/>
          <w:color w:val="auto"/>
        </w:rPr>
        <w:t xml:space="preserve"> </w:t>
      </w:r>
      <w:r>
        <w:rPr>
          <w:rFonts w:ascii="Arial" w:cs="Arial" w:eastAsia="Arial" w:hAnsi="Arial"/>
          <w:sz w:val="17"/>
          <w:szCs w:val="17"/>
          <w:color w:val="auto"/>
        </w:rPr>
        <w:t>inception of each lease, the Company evaluates the lease agreement to determine whether the lease is an operating or capital lease. Additionally, ma the Company’s lease agreements contain renewal options, tenant improvement allowances, rent holidays and/or rent escalation clauses. When such i are included in a lease agreement, the Company records a deferred rent asset or liability in the Consolidated Financial Statements and records these in rent expense evenly over the terms of the lease.</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 is also required to make additional payments under operating lease terms for taxes, insurance and other operating expenses incurred d the operating lease period; such items are expensed as incurred. Rental deposits are included as other assets in the Consolidated Financial Statemen lease agreements that require payments in advance or deposits held for security that are refundable, less any damages, at the end of the respective l</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Pensions and Other Postretirement Benefits. </w:t>
      </w:r>
      <w:r>
        <w:rPr>
          <w:rFonts w:ascii="Arial" w:cs="Arial" w:eastAsia="Arial" w:hAnsi="Arial"/>
          <w:sz w:val="17"/>
          <w:szCs w:val="17"/>
          <w:color w:val="auto"/>
        </w:rPr>
        <w:t>The Company maintains various pension and incentive savings plans and contributes to multiemploy</w:t>
      </w:r>
      <w:r>
        <w:rPr>
          <w:rFonts w:ascii="Arial" w:cs="Arial" w:eastAsia="Arial" w:hAnsi="Arial"/>
          <w:sz w:val="17"/>
          <w:szCs w:val="17"/>
          <w:b w:val="1"/>
          <w:bCs w:val="1"/>
          <w:color w:val="auto"/>
        </w:rPr>
        <w:t xml:space="preserve"> </w:t>
      </w:r>
      <w:r>
        <w:rPr>
          <w:rFonts w:ascii="Arial" w:cs="Arial" w:eastAsia="Arial" w:hAnsi="Arial"/>
          <w:sz w:val="17"/>
          <w:szCs w:val="17"/>
          <w:color w:val="auto"/>
        </w:rPr>
        <w:t>plans on behalf of certain union-represented employee groups. Substantially all of the Company’s employees are covered by these plans. The Compa also provides health care and life insurance benefits to certain retired employees. These employees become eligible for benefits after meeting age an service requirements.</w:t>
      </w:r>
    </w:p>
    <w:p>
      <w:pPr>
        <w:spacing w:after="0" w:line="163"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Company recognizes the overfunded or underfunded status of a defined benefit postretirement plan (other than a multiemployer plan) as an asset liability in its statement of financial position and recognizes changes in that funded status in the fiscal year in which the changes occur through comprehensive income. The Company measures changes in the funded status of its plans using the projected unit credit method and several actuaria assumptions, the most significant of which are the discount rate, the long-term rate of asset return and rate of compensation increase. The Company measurement date of December 31 for its pension and other postretirement benefit plans.</w:t>
      </w:r>
    </w:p>
    <w:p>
      <w:pPr>
        <w:spacing w:after="0" w:line="20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30" w:right="139" w:bottom="1440" w:gutter="0" w:footer="0" w:header="0"/>
        </w:sectPr>
      </w:pPr>
    </w:p>
    <w:bookmarkStart w:id="92" w:name="page93"/>
    <w:bookmarkEnd w:id="92"/>
    <w:p>
      <w:pPr>
        <w:jc w:val="both"/>
        <w:spacing w:after="0" w:line="236" w:lineRule="auto"/>
        <w:rPr>
          <w:sz w:val="20"/>
          <w:szCs w:val="20"/>
          <w:color w:val="auto"/>
        </w:rPr>
      </w:pPr>
      <w:r>
        <w:rPr>
          <w:rFonts w:ascii="Arial" w:cs="Arial" w:eastAsia="Arial" w:hAnsi="Arial"/>
          <w:sz w:val="17"/>
          <w:szCs w:val="17"/>
          <w:b w:val="1"/>
          <w:bCs w:val="1"/>
          <w:color w:val="auto"/>
        </w:rPr>
        <w:t xml:space="preserve">Self-Insurance. </w:t>
      </w:r>
      <w:r>
        <w:rPr>
          <w:rFonts w:ascii="Arial" w:cs="Arial" w:eastAsia="Arial" w:hAnsi="Arial"/>
          <w:sz w:val="17"/>
          <w:szCs w:val="17"/>
          <w:color w:val="auto"/>
        </w:rPr>
        <w:t>The Company uses a combination of insurance and self-insurance for a number of risks, including claims related to employee health</w:t>
      </w:r>
      <w:r>
        <w:rPr>
          <w:rFonts w:ascii="Arial" w:cs="Arial" w:eastAsia="Arial" w:hAnsi="Arial"/>
          <w:sz w:val="17"/>
          <w:szCs w:val="17"/>
          <w:b w:val="1"/>
          <w:bCs w:val="1"/>
          <w:color w:val="auto"/>
        </w:rPr>
        <w:t xml:space="preserve"> </w:t>
      </w:r>
      <w:r>
        <w:rPr>
          <w:rFonts w:ascii="Arial" w:cs="Arial" w:eastAsia="Arial" w:hAnsi="Arial"/>
          <w:sz w:val="17"/>
          <w:szCs w:val="17"/>
          <w:color w:val="auto"/>
        </w:rPr>
        <w:t>and dental care, disability benefits, workers’ compensation, general liability, property damage and business interruption. Liabilities associated with the plans are estimated based on, among other things, the Company’s historical claims experience, severity factors and other actuarial assumptions. The expected loss accruals are based on estimates, and while the Company believes that the amounts accrued are adequate, the ultimate loss may differ the amounts provided.</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Company accounts for income taxes under the asset and liability method, which requires the recognition of deferred tax assets a</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for the expected future tax consequences of events that have been included in the financial statements. Under this method, deferred tax ass and liabilities are determined based on the differences between the financial statements and tax basis of assets and liabilities using enacted tax rates effect for the year in which the differences are expected to reverse. The effect of a change in tax rates on deferred tax assets and liabilities is recogniz income in the period that includes the enactment date.</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Company records net deferred tax assets to the extent that it believes these assets will more likely than not be realized. In making such determin the Company considers all available positive and negative evidence, including future reversals of existing taxable temporary differences, projected futu taxable income, tax planning strategies and recent financial operations; this evaluation is made on an ongoing basis. In the event the Company were t determine that it was able to realize net deferred income tax assets in the future in excess of their net recorded amount, the Company would record an adjustment to the valuation allowance, which would reduce the provision for income taxes.</w:t>
      </w:r>
    </w:p>
    <w:p>
      <w:pPr>
        <w:spacing w:after="0" w:line="17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recognizes a tax benefit from an uncertain tax position when it is more likely than not that the position will be sustained upon examinati including resolutions of any related appeals or litigation processes, based on the technical merits. The Company records a liability for the difference be the benefit recognized and measured for financial statement purposes and the tax position taken or expected to be taken on the Company’s tax return Changes in the estimate are recorded in the period in which such determination is made.</w:t>
      </w:r>
    </w:p>
    <w:p>
      <w:pPr>
        <w:spacing w:after="0" w:line="155"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b w:val="1"/>
          <w:bCs w:val="1"/>
          <w:color w:val="auto"/>
        </w:rPr>
        <w:t xml:space="preserve">Foreign Currency Translation. </w:t>
      </w:r>
      <w:r>
        <w:rPr>
          <w:rFonts w:ascii="Arial" w:cs="Arial" w:eastAsia="Arial" w:hAnsi="Arial"/>
          <w:sz w:val="17"/>
          <w:szCs w:val="17"/>
          <w:color w:val="auto"/>
        </w:rPr>
        <w:t>Income and expense accounts of the Company’s non-United States operations where the local currency is the functi</w:t>
      </w:r>
      <w:r>
        <w:rPr>
          <w:rFonts w:ascii="Arial" w:cs="Arial" w:eastAsia="Arial" w:hAnsi="Arial"/>
          <w:sz w:val="17"/>
          <w:szCs w:val="17"/>
          <w:b w:val="1"/>
          <w:bCs w:val="1"/>
          <w:color w:val="auto"/>
        </w:rPr>
        <w:t xml:space="preserve"> </w:t>
      </w:r>
      <w:r>
        <w:rPr>
          <w:rFonts w:ascii="Arial" w:cs="Arial" w:eastAsia="Arial" w:hAnsi="Arial"/>
          <w:sz w:val="17"/>
          <w:szCs w:val="17"/>
          <w:color w:val="auto"/>
        </w:rPr>
        <w:t>currency are translated into United States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Equity-Based Compensation. </w:t>
      </w:r>
      <w:r>
        <w:rPr>
          <w:rFonts w:ascii="Arial" w:cs="Arial" w:eastAsia="Arial" w:hAnsi="Arial"/>
          <w:sz w:val="17"/>
          <w:szCs w:val="17"/>
          <w:color w:val="auto"/>
        </w:rPr>
        <w:t>The Company measures compensation expense for awards settled in shares based on the grant date fair value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award. The Company measures compensation expense for awards settled in cash, or that may be settled in cash, based on the fair value at each rep date. The Company recognizes the expense over the requisite service period, which is generally the vesting period of the award.</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Basic earnings per share is calculated under the two-class method. The Company treats restricted stock as a participating secu</w:t>
      </w:r>
      <w:r>
        <w:rPr>
          <w:rFonts w:ascii="Arial" w:cs="Arial" w:eastAsia="Arial" w:hAnsi="Arial"/>
          <w:sz w:val="16"/>
          <w:szCs w:val="16"/>
          <w:b w:val="1"/>
          <w:bCs w:val="1"/>
          <w:color w:val="auto"/>
        </w:rPr>
        <w:t xml:space="preserve"> </w:t>
      </w:r>
      <w:r>
        <w:rPr>
          <w:rFonts w:ascii="Arial" w:cs="Arial" w:eastAsia="Arial" w:hAnsi="Arial"/>
          <w:sz w:val="16"/>
          <w:szCs w:val="16"/>
          <w:color w:val="auto"/>
        </w:rPr>
        <w:t>due to its nonforfeitable right to dividends. Under the two-class method, the Company allocates to the participating securities their portion of dividends declared and undistributed earnings to the extent the participating securities may share in the earnings as if all earnings for the period had been distrib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 during the period includes the dilutive effect of the assumed exercise of options and restricted stock issuable under the Company’s stock plans. The di effect of potentially dilutive securities is reflected in diluted earnings per share by application of the treasury stock method.</w:t>
      </w:r>
    </w:p>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 xml:space="preserve">Comprehensive Income. </w:t>
      </w:r>
      <w:r>
        <w:rPr>
          <w:rFonts w:ascii="Arial" w:cs="Arial" w:eastAsia="Arial" w:hAnsi="Arial"/>
          <w:sz w:val="17"/>
          <w:szCs w:val="17"/>
          <w:color w:val="auto"/>
        </w:rPr>
        <w:t>Comprehensive income consists of net income, foreign currency translation adjustments, the change in unrealized gains (l</w:t>
      </w:r>
      <w:r>
        <w:rPr>
          <w:rFonts w:ascii="Arial" w:cs="Arial" w:eastAsia="Arial" w:hAnsi="Arial"/>
          <w:sz w:val="17"/>
          <w:szCs w:val="17"/>
          <w:b w:val="1"/>
          <w:bCs w:val="1"/>
          <w:color w:val="auto"/>
        </w:rPr>
        <w:t xml:space="preserve"> </w:t>
      </w:r>
      <w:r>
        <w:rPr>
          <w:rFonts w:ascii="Arial" w:cs="Arial" w:eastAsia="Arial" w:hAnsi="Arial"/>
          <w:sz w:val="17"/>
          <w:szCs w:val="17"/>
          <w:color w:val="auto"/>
        </w:rPr>
        <w:t>on investments in marketable equity securities, net changes in cash flow hedge and pension and other postretirement plan adjustments.</w:t>
      </w:r>
    </w:p>
    <w:p>
      <w:pPr>
        <w:spacing w:after="0" w:line="37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28" w:right="139" w:bottom="1440" w:gutter="0" w:footer="0" w:header="0"/>
        </w:sectPr>
      </w:pPr>
    </w:p>
    <w:bookmarkStart w:id="93" w:name="page94"/>
    <w:bookmarkEnd w:id="93"/>
    <w:p>
      <w:pPr>
        <w:jc w:val="both"/>
        <w:ind w:left="9"/>
        <w:spacing w:after="0" w:line="236"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A business is classified as a discontinued operation when (i) the operations and cash flows of the business can be clearly</w:t>
      </w:r>
      <w:r>
        <w:rPr>
          <w:rFonts w:ascii="Arial" w:cs="Arial" w:eastAsia="Arial" w:hAnsi="Arial"/>
          <w:sz w:val="17"/>
          <w:szCs w:val="17"/>
          <w:b w:val="1"/>
          <w:bCs w:val="1"/>
          <w:color w:val="auto"/>
        </w:rPr>
        <w:t xml:space="preserve"> </w:t>
      </w:r>
      <w:r>
        <w:rPr>
          <w:rFonts w:ascii="Arial" w:cs="Arial" w:eastAsia="Arial" w:hAnsi="Arial"/>
          <w:sz w:val="17"/>
          <w:szCs w:val="17"/>
          <w:color w:val="auto"/>
        </w:rPr>
        <w:t>distinguished and have been or will be eliminated from the Company’s ongoing operations; (ii) the business has either been disposed of or is classified held for sale; and (iii) the Company will not have any significant continuing involvement in the operations of the business after the disposal transaction results of discontinued operations (as well as the gain or loss on the disposal) are aggregated and separately presented in the Company’s Consolidate Statements of Operations, net of income taxes.</w:t>
      </w:r>
    </w:p>
    <w:p>
      <w:pPr>
        <w:spacing w:after="0" w:line="156" w:lineRule="exact"/>
        <w:rPr>
          <w:sz w:val="20"/>
          <w:szCs w:val="20"/>
          <w:color w:val="auto"/>
        </w:rPr>
      </w:pPr>
    </w:p>
    <w:p>
      <w:pPr>
        <w:ind w:left="9"/>
        <w:spacing w:after="0" w:line="232" w:lineRule="auto"/>
        <w:rPr>
          <w:sz w:val="20"/>
          <w:szCs w:val="20"/>
          <w:color w:val="auto"/>
        </w:rPr>
      </w:pPr>
      <w:r>
        <w:rPr>
          <w:rFonts w:ascii="Arial" w:cs="Arial" w:eastAsia="Arial" w:hAnsi="Arial"/>
          <w:sz w:val="17"/>
          <w:szCs w:val="17"/>
          <w:b w:val="1"/>
          <w:bCs w:val="1"/>
          <w:color w:val="auto"/>
        </w:rPr>
        <w:t xml:space="preserve">Recently Adopted and Issued Accounting Pronouncements. </w:t>
      </w:r>
      <w:r>
        <w:rPr>
          <w:rFonts w:ascii="Arial" w:cs="Arial" w:eastAsia="Arial" w:hAnsi="Arial"/>
          <w:sz w:val="17"/>
          <w:szCs w:val="17"/>
          <w:color w:val="auto"/>
        </w:rPr>
        <w:t>In June 2011, the Financial Accounting Standards Board (“FASB”) issued an amend</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 to increase the prominence of items reported in other comprehensive income. The amendment eliminates the option to present components other comprehensive income as part of the statement of changes in stockholders' equity and requires that all changes in stockholders' equity be prese either in a single continuous statement of comprehensive income or in two separate but consecutive statements. In addition, the amendment requires companies to present on the face of the financial statements reclassification adjustments for items that are reclassified from other comprehensive inco net income in the statement(s) where the components of net income and the components of other comprehensive income are presented. The amendm does not affect how earnings per share is calculated or presented. This amendment is effective for interim and fiscal years beginning after December 2011, and must be applied retrospectively. In December 2011, the FASB deferred the requirements related to the presentation of reclassification adjustments. The adoption of the amendment not deferred by the FASB in the first quarter of 2012 is reflected in the Company's Consolidated Statem Comprehensive Income.</w:t>
      </w:r>
    </w:p>
    <w:p>
      <w:pPr>
        <w:spacing w:after="0" w:line="178"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In February 2013, the FASB issued final guidance on the presentation of reclassifications out of other comprehensive income. The amendments requi entity to provide information about the amounts reclassified out of other comprehensive income by component. In addition, an entity is required to pres either on the face of the income statement or in a footnote, significant amounts reclassified out of accumulated other comprehensive income by the respective line items of net income, only if the amount reclassified is required by GAAP to be reclassified to net income in its entirety in the same repo period. For other amounts that are not required under GAAP to be reclassified in their entirety to net income, an entity is required to cross-reference to disclosures required under GAAP that provide detail about those amounts. This amendment is effective for interim and fiscal years beginning after December 15, 2012. The amended standard will not impact the Company’s financial position or results of operations.</w:t>
      </w:r>
    </w:p>
    <w:p>
      <w:pPr>
        <w:spacing w:after="0" w:line="174"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In July 2012, the FASB issued new guidance that amends the current indefinite-lived intangible assets impairment testing process. The new guidance permits an entity to first assess qualitative factors to determine whether it is more likely than not that the fair value of its indefinite-lived intangible asse less than its carrying amount as a basis for determining whether it is necessary to perform the quantitative impairment test. Previous guidance require entity to test indefinite-lived intangible assets for impairment, on at least an annual basis, by comparing the fair value of an indefinite-lived intangible a with its carrying amount. The new guidance is effective for annual and interim impairment tests performed for fiscal years beginning after September 1 2012. Early adoption is permitted if an entity's financial statements for the most recent period have not yet been issued. The Company early adopted t guidance at the beginning of the fourth quarter of 2012.</w:t>
      </w:r>
    </w:p>
    <w:p>
      <w:pPr>
        <w:spacing w:after="0" w:line="158" w:lineRule="exact"/>
        <w:rPr>
          <w:sz w:val="20"/>
          <w:szCs w:val="20"/>
          <w:color w:val="auto"/>
        </w:rPr>
      </w:pPr>
    </w:p>
    <w:p>
      <w:pPr>
        <w:ind w:left="329" w:hanging="329"/>
        <w:spacing w:after="0"/>
        <w:tabs>
          <w:tab w:leader="none" w:pos="329"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DISCONTINUED OPERATIONS</w:t>
      </w:r>
    </w:p>
    <w:p>
      <w:pPr>
        <w:spacing w:after="0" w:line="197" w:lineRule="exact"/>
        <w:rPr>
          <w:sz w:val="20"/>
          <w:szCs w:val="20"/>
          <w:color w:val="auto"/>
        </w:rPr>
      </w:pPr>
    </w:p>
    <w:p>
      <w:pPr>
        <w:jc w:val="both"/>
        <w:ind w:left="9"/>
        <w:spacing w:after="0" w:line="244" w:lineRule="auto"/>
        <w:rPr>
          <w:sz w:val="20"/>
          <w:szCs w:val="20"/>
          <w:color w:val="auto"/>
        </w:rPr>
      </w:pPr>
      <w:r>
        <w:rPr>
          <w:rFonts w:ascii="Arial" w:cs="Arial" w:eastAsia="Arial" w:hAnsi="Arial"/>
          <w:sz w:val="16"/>
          <w:szCs w:val="16"/>
          <w:color w:val="auto"/>
        </w:rPr>
        <w:t>In August 2012, the Company completed the sale of Kidum and recorded a pre-tax gain of $3.6 million and an after-tax gain of $10.2 million related to sale in the third quarter of 2012. On July 31, 2012, the Company disposed of its interest in Avenue100 Media Solutions, Inc. and recorded a pre-tax lo $5.7 million related to the disposition. An income tax benefit of $44.5 million was also recorded in the third quarter of 2012 as the Company determine Avenue100 had no value. The income tax benefit was due to the Company’s tax basis in the stock of Avenue100 exceeding its net book value, as a re goodwill and other intangible asset impairment charges recorded in 2008, 2010 and 2011 for which no tax benefit was previously recorded. In April 20 the Company completed the sale of Kaplan EduNeering. Under the terms of the agreement, the purchaser acquired the stock of EduNeering and rece substantially all the assets and liabilities. In the second quarter of 2012, the Company recorded an after-tax gain of $18.5 million related to this sale. In February 2012, Kaplan completed the stock sale of Kaplan Learning Technologies (KLT) and recorded an after-tax loss on the sale of $1.9 million. The Company recorded $23.2 million of income tax benefits in the first quarter of 2012 in connection with the sale of its stock in EduNeering and KLT relate the excess of the outside stock tax basis over the net book value of the net assets disposed. This activity is included in Income (Loss) from</w:t>
      </w:r>
    </w:p>
    <w:p>
      <w:pPr>
        <w:spacing w:after="0" w:line="20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94" w:name="page95"/>
    <w:bookmarkEnd w:id="94"/>
    <w:p>
      <w:pPr>
        <w:ind w:left="9"/>
        <w:spacing w:after="0"/>
        <w:rPr>
          <w:sz w:val="20"/>
          <w:szCs w:val="20"/>
          <w:color w:val="auto"/>
        </w:rPr>
      </w:pPr>
      <w:r>
        <w:rPr>
          <w:rFonts w:ascii="Arial" w:cs="Arial" w:eastAsia="Arial" w:hAnsi="Arial"/>
          <w:sz w:val="17"/>
          <w:szCs w:val="17"/>
          <w:color w:val="auto"/>
        </w:rPr>
        <w:t>Discontinued Operations, Net of Tax in the Company’s Consolidated Statement of Operations for the fiscal year ended December 31, 2012.</w:t>
      </w:r>
    </w:p>
    <w:p>
      <w:pPr>
        <w:spacing w:after="0" w:line="177" w:lineRule="exact"/>
        <w:rPr>
          <w:sz w:val="20"/>
          <w:szCs w:val="20"/>
          <w:color w:val="auto"/>
        </w:rPr>
      </w:pPr>
    </w:p>
    <w:p>
      <w:pPr>
        <w:jc w:val="both"/>
        <w:ind w:left="9"/>
        <w:spacing w:after="0" w:line="230" w:lineRule="auto"/>
        <w:rPr>
          <w:sz w:val="20"/>
          <w:szCs w:val="20"/>
          <w:color w:val="auto"/>
        </w:rPr>
      </w:pPr>
      <w:r>
        <w:rPr>
          <w:rFonts w:ascii="Arial" w:cs="Arial" w:eastAsia="Arial" w:hAnsi="Arial"/>
          <w:sz w:val="17"/>
          <w:szCs w:val="17"/>
          <w:color w:val="auto"/>
        </w:rPr>
        <w:t>In October 2011, Kaplan completed the sale of Kaplan Compliance Solutions (KCS). Under the terms of the asset purchase agreement, the buyer rec KCS’s net working capital, tangible and intangible assets and assumed certain liabilities. The Company recorded an after-tax gain on the transaction o million. In July 2011, Kaplan completed the sale of Kaplan Virtual Education (KVE). Under the terms of the asset purchase agreement, the buyer recei KVE’s intellectual property, education programs and selected other long-lived assets. The Company recorded an after-tax loss on the transaction of $1 million. This activity is included in Income (Loss) from Discontinued Operations, Net of Tax in the Company's Consolidated Statement of Operations fo year 2011.</w:t>
      </w:r>
    </w:p>
    <w:p>
      <w:pPr>
        <w:spacing w:after="0" w:line="179"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In April 2010, Kaplan completed the sale of Education Connection and in September 2010, the Company completed the sale of Newsweek magazine. Newsweek employees were participants in The Washington Post Company Retirement Plan, and the Company had historically allocated Newsweek a pension credit for segment reporting purposes. Since the associated pension assets and liabilities were retained by the Company, the associated pens credit of $25.8 million for fiscal year 2010 has been excluded from the reclassification of Newsweek results to discontinued operations. In 2010, News recorded $4.7 million in accelerated depreciation and property, plant and equipment write-downs in anticipation of the sale.</w:t>
      </w:r>
    </w:p>
    <w:p>
      <w:pPr>
        <w:spacing w:after="0" w:line="170"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The results of operations of Kidum, Avenue100, Kaplan EduNeering, KLT, KCS, KVE, Education Connection and the magazine publishing division for 2011 and 2010, where applicable, are included in the Company’s Consolidated Statements of Operations as Income (Loss) from Discontinued Operati Net of Tax. All corresponding prior period operating results presented in the Company’s Consolidated Financial Statements and the accompanying not have been reclassified to reflect the discontinued operations presented. The Company did not reclassify its Consolidated Statements of Cash Flows o year Consolidated Balance Sheet to reflect the discontinued operations.</w:t>
      </w:r>
    </w:p>
    <w:p>
      <w:pPr>
        <w:spacing w:after="0" w:line="176" w:lineRule="exact"/>
        <w:rPr>
          <w:sz w:val="20"/>
          <w:szCs w:val="20"/>
          <w:color w:val="auto"/>
        </w:rPr>
      </w:pPr>
    </w:p>
    <w:p>
      <w:pPr>
        <w:ind w:left="9" w:right="280"/>
        <w:spacing w:after="0" w:line="235" w:lineRule="auto"/>
        <w:rPr>
          <w:sz w:val="20"/>
          <w:szCs w:val="20"/>
          <w:color w:val="auto"/>
        </w:rPr>
      </w:pPr>
      <w:r>
        <w:rPr>
          <w:rFonts w:ascii="Arial" w:cs="Arial" w:eastAsia="Arial" w:hAnsi="Arial"/>
          <w:sz w:val="17"/>
          <w:szCs w:val="17"/>
          <w:color w:val="auto"/>
        </w:rPr>
        <w:t>The summarized income (loss) from discontinued operations, net of tax, for the years ended December 31, 2012 and 2011 and January 2, 2011 is presented below:</w:t>
      </w:r>
    </w:p>
    <w:p>
      <w:pPr>
        <w:spacing w:after="0" w:line="162"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color w:val="auto"/>
              </w:rPr>
              <w:t>2011</w:t>
            </w:r>
          </w:p>
        </w:tc>
        <w:tc>
          <w:tcPr>
            <w:tcW w:w="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7540" w:type="dxa"/>
            <w:vAlign w:val="bottom"/>
          </w:tcPr>
          <w:p>
            <w:pPr>
              <w:spacing w:after="0" w:line="150" w:lineRule="exact"/>
              <w:rPr>
                <w:sz w:val="20"/>
                <w:szCs w:val="20"/>
                <w:color w:val="auto"/>
              </w:rPr>
            </w:pPr>
            <w:r>
              <w:rPr>
                <w:rFonts w:ascii="Arial" w:cs="Arial" w:eastAsia="Arial" w:hAnsi="Arial"/>
                <w:sz w:val="15"/>
                <w:szCs w:val="15"/>
                <w:color w:val="auto"/>
              </w:rPr>
              <w:t>Operating revenues</w:t>
            </w:r>
          </w:p>
        </w:tc>
        <w:tc>
          <w:tcPr>
            <w:tcW w:w="34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67"/>
              <w:spacing w:after="0" w:line="150" w:lineRule="exact"/>
              <w:rPr>
                <w:sz w:val="20"/>
                <w:szCs w:val="20"/>
                <w:color w:val="auto"/>
              </w:rPr>
            </w:pPr>
            <w:r>
              <w:rPr>
                <w:rFonts w:ascii="Arial" w:cs="Arial" w:eastAsia="Arial" w:hAnsi="Arial"/>
                <w:sz w:val="15"/>
                <w:szCs w:val="15"/>
                <w:b w:val="1"/>
                <w:bCs w:val="1"/>
                <w:color w:val="auto"/>
              </w:rPr>
              <w:t>35,342</w:t>
            </w:r>
          </w:p>
        </w:tc>
        <w:tc>
          <w:tcPr>
            <w:tcW w:w="38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7"/>
              <w:spacing w:after="0" w:line="150" w:lineRule="exact"/>
              <w:rPr>
                <w:sz w:val="20"/>
                <w:szCs w:val="20"/>
                <w:color w:val="auto"/>
              </w:rPr>
            </w:pPr>
            <w:r>
              <w:rPr>
                <w:rFonts w:ascii="Arial" w:cs="Arial" w:eastAsia="Arial" w:hAnsi="Arial"/>
                <w:sz w:val="15"/>
                <w:szCs w:val="15"/>
                <w:color w:val="auto"/>
              </w:rPr>
              <w:t>118,457</w:t>
            </w:r>
          </w:p>
        </w:tc>
        <w:tc>
          <w:tcPr>
            <w:tcW w:w="38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90"/>
        </w:trPr>
        <w:tc>
          <w:tcPr>
            <w:tcW w:w="7540" w:type="dxa"/>
            <w:vAlign w:val="bottom"/>
          </w:tcPr>
          <w:p>
            <w:pPr>
              <w:spacing w:after="0"/>
              <w:rPr>
                <w:sz w:val="20"/>
                <w:szCs w:val="20"/>
                <w:color w:val="auto"/>
              </w:rPr>
            </w:pPr>
            <w:r>
              <w:rPr>
                <w:rFonts w:ascii="Arial" w:cs="Arial" w:eastAsia="Arial" w:hAnsi="Arial"/>
                <w:sz w:val="15"/>
                <w:szCs w:val="15"/>
                <w:color w:val="auto"/>
              </w:rPr>
              <w:t>Operating costs and expenses</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(42,583)</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(155,720)</w:t>
            </w: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r>
      <w:tr>
        <w:trPr>
          <w:trHeight w:val="150"/>
        </w:trPr>
        <w:tc>
          <w:tcPr>
            <w:tcW w:w="7540" w:type="dxa"/>
            <w:vAlign w:val="bottom"/>
          </w:tcPr>
          <w:p>
            <w:pPr>
              <w:spacing w:after="0" w:line="150" w:lineRule="exact"/>
              <w:rPr>
                <w:sz w:val="20"/>
                <w:szCs w:val="20"/>
                <w:color w:val="auto"/>
              </w:rPr>
            </w:pPr>
            <w:r>
              <w:rPr>
                <w:rFonts w:ascii="Arial" w:cs="Arial" w:eastAsia="Arial" w:hAnsi="Arial"/>
                <w:sz w:val="15"/>
                <w:szCs w:val="15"/>
                <w:color w:val="auto"/>
              </w:rPr>
              <w:t>Loss from discontinued operations</w:t>
            </w:r>
          </w:p>
        </w:tc>
        <w:tc>
          <w:tcPr>
            <w:tcW w:w="340" w:type="dxa"/>
            <w:vAlign w:val="bottom"/>
          </w:tcPr>
          <w:p>
            <w:pPr>
              <w:spacing w:after="0"/>
              <w:rPr>
                <w:sz w:val="13"/>
                <w:szCs w:val="13"/>
                <w:color w:val="auto"/>
              </w:rPr>
            </w:pPr>
          </w:p>
        </w:tc>
        <w:tc>
          <w:tcPr>
            <w:tcW w:w="920" w:type="dxa"/>
            <w:vAlign w:val="bottom"/>
          </w:tcPr>
          <w:p>
            <w:pPr>
              <w:jc w:val="right"/>
              <w:ind w:right="67"/>
              <w:spacing w:after="0" w:line="150" w:lineRule="exact"/>
              <w:rPr>
                <w:sz w:val="20"/>
                <w:szCs w:val="20"/>
                <w:color w:val="auto"/>
              </w:rPr>
            </w:pPr>
            <w:r>
              <w:rPr>
                <w:rFonts w:ascii="Arial" w:cs="Arial" w:eastAsia="Arial" w:hAnsi="Arial"/>
                <w:sz w:val="15"/>
                <w:szCs w:val="15"/>
                <w:b w:val="1"/>
                <w:bCs w:val="1"/>
                <w:color w:val="auto"/>
              </w:rPr>
              <w:t>(7,241)</w:t>
            </w:r>
          </w:p>
        </w:tc>
        <w:tc>
          <w:tcPr>
            <w:tcW w:w="380" w:type="dxa"/>
            <w:vAlign w:val="bottom"/>
          </w:tcPr>
          <w:p>
            <w:pPr>
              <w:spacing w:after="0"/>
              <w:rPr>
                <w:sz w:val="13"/>
                <w:szCs w:val="13"/>
                <w:color w:val="auto"/>
              </w:rPr>
            </w:pPr>
          </w:p>
        </w:tc>
        <w:tc>
          <w:tcPr>
            <w:tcW w:w="980" w:type="dxa"/>
            <w:vAlign w:val="bottom"/>
          </w:tcPr>
          <w:p>
            <w:pPr>
              <w:jc w:val="right"/>
              <w:ind w:right="67"/>
              <w:spacing w:after="0" w:line="150" w:lineRule="exact"/>
              <w:rPr>
                <w:sz w:val="20"/>
                <w:szCs w:val="20"/>
                <w:color w:val="auto"/>
              </w:rPr>
            </w:pPr>
            <w:r>
              <w:rPr>
                <w:rFonts w:ascii="Arial" w:cs="Arial" w:eastAsia="Arial" w:hAnsi="Arial"/>
                <w:sz w:val="15"/>
                <w:szCs w:val="15"/>
                <w:color w:val="auto"/>
              </w:rPr>
              <w:t>(37,263)</w:t>
            </w:r>
          </w:p>
        </w:tc>
        <w:tc>
          <w:tcPr>
            <w:tcW w:w="380" w:type="dxa"/>
            <w:vAlign w:val="bottom"/>
          </w:tcPr>
          <w:p>
            <w:pPr>
              <w:spacing w:after="0"/>
              <w:rPr>
                <w:sz w:val="13"/>
                <w:szCs w:val="13"/>
                <w:color w:val="auto"/>
              </w:rPr>
            </w:pP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(8</w:t>
            </w:r>
          </w:p>
        </w:tc>
      </w:tr>
      <w:tr>
        <w:trPr>
          <w:trHeight w:val="190"/>
        </w:trPr>
        <w:tc>
          <w:tcPr>
            <w:tcW w:w="7540" w:type="dxa"/>
            <w:vAlign w:val="bottom"/>
          </w:tcPr>
          <w:p>
            <w:pPr>
              <w:spacing w:after="0"/>
              <w:rPr>
                <w:sz w:val="20"/>
                <w:szCs w:val="20"/>
                <w:color w:val="auto"/>
              </w:rPr>
            </w:pPr>
            <w:r>
              <w:rPr>
                <w:rFonts w:ascii="Arial" w:cs="Arial" w:eastAsia="Arial" w:hAnsi="Arial"/>
                <w:sz w:val="15"/>
                <w:szCs w:val="15"/>
                <w:color w:val="auto"/>
              </w:rPr>
              <w:t>Benefit from income taxes</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(2,068)</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(8,433)</w:t>
            </w: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50"/>
        </w:trPr>
        <w:tc>
          <w:tcPr>
            <w:tcW w:w="7540" w:type="dxa"/>
            <w:vAlign w:val="bottom"/>
          </w:tcPr>
          <w:p>
            <w:pPr>
              <w:spacing w:after="0" w:line="150" w:lineRule="exact"/>
              <w:rPr>
                <w:sz w:val="20"/>
                <w:szCs w:val="20"/>
                <w:color w:val="auto"/>
              </w:rPr>
            </w:pPr>
            <w:r>
              <w:rPr>
                <w:rFonts w:ascii="Arial" w:cs="Arial" w:eastAsia="Arial" w:hAnsi="Arial"/>
                <w:sz w:val="15"/>
                <w:szCs w:val="15"/>
                <w:b w:val="1"/>
                <w:bCs w:val="1"/>
                <w:color w:val="auto"/>
              </w:rPr>
              <w:t>Net Loss from Discontinued Operations</w:t>
            </w:r>
          </w:p>
        </w:tc>
        <w:tc>
          <w:tcPr>
            <w:tcW w:w="340" w:type="dxa"/>
            <w:vAlign w:val="bottom"/>
          </w:tcPr>
          <w:p>
            <w:pPr>
              <w:spacing w:after="0"/>
              <w:rPr>
                <w:sz w:val="13"/>
                <w:szCs w:val="13"/>
                <w:color w:val="auto"/>
              </w:rPr>
            </w:pPr>
          </w:p>
        </w:tc>
        <w:tc>
          <w:tcPr>
            <w:tcW w:w="920" w:type="dxa"/>
            <w:vAlign w:val="bottom"/>
          </w:tcPr>
          <w:p>
            <w:pPr>
              <w:jc w:val="right"/>
              <w:ind w:right="67"/>
              <w:spacing w:after="0" w:line="150" w:lineRule="exact"/>
              <w:rPr>
                <w:sz w:val="20"/>
                <w:szCs w:val="20"/>
                <w:color w:val="auto"/>
              </w:rPr>
            </w:pPr>
            <w:r>
              <w:rPr>
                <w:rFonts w:ascii="Arial" w:cs="Arial" w:eastAsia="Arial" w:hAnsi="Arial"/>
                <w:sz w:val="15"/>
                <w:szCs w:val="15"/>
                <w:b w:val="1"/>
                <w:bCs w:val="1"/>
                <w:color w:val="auto"/>
              </w:rPr>
              <w:t>(5,173)</w:t>
            </w:r>
          </w:p>
        </w:tc>
        <w:tc>
          <w:tcPr>
            <w:tcW w:w="380" w:type="dxa"/>
            <w:vAlign w:val="bottom"/>
          </w:tcPr>
          <w:p>
            <w:pPr>
              <w:spacing w:after="0"/>
              <w:rPr>
                <w:sz w:val="13"/>
                <w:szCs w:val="13"/>
                <w:color w:val="auto"/>
              </w:rPr>
            </w:pPr>
          </w:p>
        </w:tc>
        <w:tc>
          <w:tcPr>
            <w:tcW w:w="980" w:type="dxa"/>
            <w:vAlign w:val="bottom"/>
          </w:tcPr>
          <w:p>
            <w:pPr>
              <w:jc w:val="right"/>
              <w:ind w:right="67"/>
              <w:spacing w:after="0" w:line="150" w:lineRule="exact"/>
              <w:rPr>
                <w:sz w:val="20"/>
                <w:szCs w:val="20"/>
                <w:color w:val="auto"/>
              </w:rPr>
            </w:pPr>
            <w:r>
              <w:rPr>
                <w:rFonts w:ascii="Arial" w:cs="Arial" w:eastAsia="Arial" w:hAnsi="Arial"/>
                <w:sz w:val="15"/>
                <w:szCs w:val="15"/>
                <w:color w:val="auto"/>
              </w:rPr>
              <w:t>(28,830)</w:t>
            </w:r>
          </w:p>
        </w:tc>
        <w:tc>
          <w:tcPr>
            <w:tcW w:w="380" w:type="dxa"/>
            <w:vAlign w:val="bottom"/>
          </w:tcPr>
          <w:p>
            <w:pPr>
              <w:spacing w:after="0"/>
              <w:rPr>
                <w:sz w:val="13"/>
                <w:szCs w:val="13"/>
                <w:color w:val="auto"/>
              </w:rPr>
            </w:pPr>
          </w:p>
        </w:tc>
        <w:tc>
          <w:tcPr>
            <w:tcW w:w="40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7540" w:type="dxa"/>
            <w:vAlign w:val="bottom"/>
          </w:tcPr>
          <w:p>
            <w:pPr>
              <w:spacing w:after="0"/>
              <w:rPr>
                <w:sz w:val="20"/>
                <w:szCs w:val="20"/>
                <w:color w:val="auto"/>
              </w:rPr>
            </w:pPr>
            <w:r>
              <w:rPr>
                <w:rFonts w:ascii="Arial" w:cs="Arial" w:eastAsia="Arial" w:hAnsi="Arial"/>
                <w:sz w:val="15"/>
                <w:szCs w:val="15"/>
                <w:color w:val="auto"/>
              </w:rPr>
              <w:t>Gain (loss) on sales and disposition of discontinued operations</w:t>
            </w:r>
          </w:p>
        </w:tc>
        <w:tc>
          <w:tcPr>
            <w:tcW w:w="34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23,759</w:t>
            </w:r>
          </w:p>
        </w:tc>
        <w:tc>
          <w:tcPr>
            <w:tcW w:w="380" w:type="dxa"/>
            <w:vAlign w:val="bottom"/>
          </w:tcPr>
          <w:p>
            <w:pPr>
              <w:spacing w:after="0"/>
              <w:rPr>
                <w:sz w:val="15"/>
                <w:szCs w:val="15"/>
                <w:color w:val="auto"/>
              </w:rPr>
            </w:pPr>
          </w:p>
        </w:tc>
        <w:tc>
          <w:tcPr>
            <w:tcW w:w="980" w:type="dxa"/>
            <w:vAlign w:val="bottom"/>
          </w:tcPr>
          <w:p>
            <w:pPr>
              <w:jc w:val="right"/>
              <w:ind w:right="67"/>
              <w:spacing w:after="0"/>
              <w:rPr>
                <w:sz w:val="20"/>
                <w:szCs w:val="20"/>
                <w:color w:val="auto"/>
              </w:rPr>
            </w:pPr>
            <w:r>
              <w:rPr>
                <w:rFonts w:ascii="Arial" w:cs="Arial" w:eastAsia="Arial" w:hAnsi="Arial"/>
                <w:sz w:val="15"/>
                <w:szCs w:val="15"/>
                <w:color w:val="auto"/>
              </w:rPr>
              <w:t>2,975</w:t>
            </w:r>
          </w:p>
        </w:tc>
        <w:tc>
          <w:tcPr>
            <w:tcW w:w="3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7540" w:type="dxa"/>
            <w:vAlign w:val="bottom"/>
          </w:tcPr>
          <w:p>
            <w:pPr>
              <w:spacing w:after="0"/>
              <w:rPr>
                <w:sz w:val="20"/>
                <w:szCs w:val="20"/>
                <w:color w:val="auto"/>
              </w:rPr>
            </w:pPr>
            <w:r>
              <w:rPr>
                <w:rFonts w:ascii="Arial" w:cs="Arial" w:eastAsia="Arial" w:hAnsi="Arial"/>
                <w:sz w:val="15"/>
                <w:szCs w:val="15"/>
                <w:color w:val="auto"/>
              </w:rPr>
              <w:t>(Benefit) provision for income taxes on sales and disposition of discontinued operations</w:t>
            </w: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(64,591)</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2,616</w:t>
            </w: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166"/>
        </w:trPr>
        <w:tc>
          <w:tcPr>
            <w:tcW w:w="7540" w:type="dxa"/>
            <w:vAlign w:val="bottom"/>
          </w:tcPr>
          <w:p>
            <w:pPr>
              <w:spacing w:after="0" w:line="167" w:lineRule="exact"/>
              <w:rPr>
                <w:sz w:val="20"/>
                <w:szCs w:val="20"/>
                <w:color w:val="auto"/>
              </w:rPr>
            </w:pPr>
            <w:r>
              <w:rPr>
                <w:rFonts w:ascii="Arial" w:cs="Arial" w:eastAsia="Arial" w:hAnsi="Arial"/>
                <w:sz w:val="15"/>
                <w:szCs w:val="15"/>
                <w:b w:val="1"/>
                <w:bCs w:val="1"/>
                <w:color w:val="auto"/>
              </w:rPr>
              <w:t>Income (Loss) from Discontinued Operations, Net of Tax</w:t>
            </w:r>
          </w:p>
        </w:tc>
        <w:tc>
          <w:tcPr>
            <w:tcW w:w="3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83,177</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(28,471)</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w:t>
            </w:r>
          </w:p>
        </w:tc>
      </w:tr>
      <w:tr>
        <w:trPr>
          <w:trHeight w:val="20"/>
        </w:trPr>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9" w:hanging="329"/>
        <w:spacing w:after="0"/>
        <w:tabs>
          <w:tab w:leader="none" w:pos="329"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6"/>
          <w:szCs w:val="16"/>
          <w:b w:val="1"/>
          <w:bCs w:val="1"/>
          <w:color w:val="auto"/>
        </w:rPr>
        <w:t xml:space="preserve">Investments in Marketable Equity Securities. </w:t>
      </w:r>
      <w:r>
        <w:rPr>
          <w:rFonts w:ascii="Arial" w:cs="Arial" w:eastAsia="Arial" w:hAnsi="Arial"/>
          <w:sz w:val="16"/>
          <w:szCs w:val="16"/>
          <w:color w:val="auto"/>
        </w:rPr>
        <w:t>Investments in marketable equity securities at December 31, 2012 and 2011 consist of the following:</w:t>
      </w:r>
    </w:p>
    <w:p>
      <w:pPr>
        <w:spacing w:after="0" w:line="232"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90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040" w:type="dxa"/>
            <w:vAlign w:val="bottom"/>
          </w:tcPr>
          <w:p>
            <w:pPr>
              <w:spacing w:after="0" w:line="150" w:lineRule="exact"/>
              <w:rPr>
                <w:sz w:val="20"/>
                <w:szCs w:val="20"/>
                <w:color w:val="auto"/>
              </w:rPr>
            </w:pPr>
            <w:r>
              <w:rPr>
                <w:rFonts w:ascii="Arial" w:cs="Arial" w:eastAsia="Arial" w:hAnsi="Arial"/>
                <w:sz w:val="15"/>
                <w:szCs w:val="15"/>
                <w:color w:val="auto"/>
              </w:rPr>
              <w:t>Total cost</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ind w:right="129"/>
              <w:spacing w:after="0" w:line="150" w:lineRule="exact"/>
              <w:rPr>
                <w:sz w:val="20"/>
                <w:szCs w:val="20"/>
                <w:color w:val="auto"/>
              </w:rPr>
            </w:pPr>
            <w:r>
              <w:rPr>
                <w:rFonts w:ascii="Arial" w:cs="Arial" w:eastAsia="Arial" w:hAnsi="Arial"/>
                <w:sz w:val="15"/>
                <w:szCs w:val="15"/>
                <w:b w:val="1"/>
                <w:bCs w:val="1"/>
                <w:color w:val="auto"/>
              </w:rPr>
              <w:t>195,832</w:t>
            </w:r>
          </w:p>
        </w:tc>
        <w:tc>
          <w:tcPr>
            <w:tcW w:w="4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r>
      <w:tr>
        <w:trPr>
          <w:trHeight w:val="190"/>
        </w:trPr>
        <w:tc>
          <w:tcPr>
            <w:tcW w:w="9040" w:type="dxa"/>
            <w:vAlign w:val="bottom"/>
          </w:tcPr>
          <w:p>
            <w:pPr>
              <w:spacing w:after="0"/>
              <w:rPr>
                <w:sz w:val="20"/>
                <w:szCs w:val="20"/>
                <w:color w:val="auto"/>
              </w:rPr>
            </w:pPr>
            <w:r>
              <w:rPr>
                <w:rFonts w:ascii="Arial" w:cs="Arial" w:eastAsia="Arial" w:hAnsi="Arial"/>
                <w:sz w:val="15"/>
                <w:szCs w:val="15"/>
                <w:color w:val="auto"/>
              </w:rPr>
              <w:t>Net unrealized gains</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5"/>
                <w:szCs w:val="15"/>
                <w:b w:val="1"/>
                <w:bCs w:val="1"/>
                <w:color w:val="auto"/>
              </w:rPr>
              <w:t>184,255</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040" w:type="dxa"/>
            <w:vAlign w:val="bottom"/>
          </w:tcPr>
          <w:p>
            <w:pPr>
              <w:spacing w:after="0" w:line="167" w:lineRule="exact"/>
              <w:rPr>
                <w:sz w:val="20"/>
                <w:szCs w:val="20"/>
                <w:color w:val="auto"/>
              </w:rPr>
            </w:pPr>
            <w:r>
              <w:rPr>
                <w:rFonts w:ascii="Arial" w:cs="Arial" w:eastAsia="Arial" w:hAnsi="Arial"/>
                <w:sz w:val="15"/>
                <w:szCs w:val="15"/>
                <w:b w:val="1"/>
                <w:bCs w:val="1"/>
                <w:color w:val="auto"/>
              </w:rPr>
              <w:t>Total Fair Value</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ind w:right="129"/>
              <w:spacing w:after="0" w:line="167" w:lineRule="exact"/>
              <w:rPr>
                <w:sz w:val="20"/>
                <w:szCs w:val="20"/>
                <w:color w:val="auto"/>
              </w:rPr>
            </w:pPr>
            <w:r>
              <w:rPr>
                <w:rFonts w:ascii="Arial" w:cs="Arial" w:eastAsia="Arial" w:hAnsi="Arial"/>
                <w:sz w:val="15"/>
                <w:szCs w:val="15"/>
                <w:b w:val="1"/>
                <w:bCs w:val="1"/>
                <w:color w:val="auto"/>
              </w:rPr>
              <w:t>380,087</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r>
      <w:tr>
        <w:trPr>
          <w:trHeight w:val="20"/>
        </w:trPr>
        <w:tc>
          <w:tcPr>
            <w:tcW w:w="9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At December 31, 2012 and 2011, the Company owned 2,214 shares of Berkshire Hathaway Inc. (Berkshire) Class A common stock and 424,250 shar Berkshire Class B common stock, respectively. The Company's ownership of Berkshire accounted for $ 334.9 million, or 88%, and $286.4 million, or 94 the total fair value of the Company's investments in marketable equity securities at December 31, 2012 and December 31, 2011, respectively.</w:t>
      </w:r>
    </w:p>
    <w:p>
      <w:pPr>
        <w:spacing w:after="0" w:line="167" w:lineRule="exact"/>
        <w:rPr>
          <w:sz w:val="20"/>
          <w:szCs w:val="20"/>
          <w:color w:val="auto"/>
        </w:rPr>
      </w:pPr>
    </w:p>
    <w:p>
      <w:pPr>
        <w:ind w:left="9"/>
        <w:spacing w:after="0" w:line="248" w:lineRule="auto"/>
        <w:rPr>
          <w:sz w:val="20"/>
          <w:szCs w:val="20"/>
          <w:color w:val="auto"/>
        </w:rPr>
      </w:pPr>
      <w:r>
        <w:rPr>
          <w:rFonts w:ascii="Arial" w:cs="Arial" w:eastAsia="Arial" w:hAnsi="Arial"/>
          <w:sz w:val="16"/>
          <w:szCs w:val="16"/>
          <w:color w:val="auto"/>
        </w:rPr>
        <w:t>Berkshire is a holding company owning subsidiaries engaged in a number of diverse business activities, the most significant of which consists of prop and casualty insurance businesses conducted on both a direct and reinsurance basis. Berkshire also owns approximately 23% of the common stock o Company. The chairman, chief executive officer and largest shareholder of Berkshire, Mr. Warren Buffet, was a member of the Company’s Board of Directors until May 2011, at which time Mr. Buffet retired from the Company’s Board. The Company's investment in Berkshire common</w:t>
      </w:r>
    </w:p>
    <w:p>
      <w:pPr>
        <w:spacing w:after="0" w:line="195"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95" w:name="page96"/>
    <w:bookmarkEnd w:id="95"/>
    <w:p>
      <w:pPr>
        <w:jc w:val="both"/>
        <w:ind w:left="9"/>
        <w:spacing w:after="0" w:line="235" w:lineRule="auto"/>
        <w:rPr>
          <w:sz w:val="20"/>
          <w:szCs w:val="20"/>
          <w:color w:val="auto"/>
        </w:rPr>
      </w:pPr>
      <w:r>
        <w:rPr>
          <w:rFonts w:ascii="Arial" w:cs="Arial" w:eastAsia="Arial" w:hAnsi="Arial"/>
          <w:sz w:val="17"/>
          <w:szCs w:val="17"/>
          <w:color w:val="auto"/>
        </w:rPr>
        <w:t>stock is less than 1% of the consolidated equity of Berkshire. At December 31, 2012 and 2011, the unrealized gain related to the Company's Berkshire investment totaled $177.6 million and $129.1 million, respectively.</w:t>
      </w:r>
    </w:p>
    <w:p>
      <w:pPr>
        <w:spacing w:after="0" w:line="176"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At the end of 2012, the Company’s investment in Strayer Education, Inc. had been in an unrealized loss position for almost six months. The Company evaluated this investment for other-than-temporary impairment based on various factors, including the duration and severity of the unrealized loss; the reason for the decline in value; the potential recovery period; and the Company’s ability and intent to hold the investment. Based on this evaluation, th Company concluded that the unrealized loss was other-than-temporary and recorded an $18.0 million write-down of the investment.</w:t>
      </w:r>
    </w:p>
    <w:p>
      <w:pPr>
        <w:spacing w:after="0" w:line="170"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At the end of the first quarter of 2011, the Company’s investment in Corinthian Colleges, Inc. had been in an unrealized loss position for over six mont The Company evaluated this investment for other-than-temporary impairment based on various factors, including the duration and severity of the unre loss; the reason for the decline in value; the potential recovery period; and the Company’s ability and intent to hold the investment. Based on this eval the Company concluded the unrealized loss was other-than-temporary and recorded a $30.7 million write-down of the investment. The investment con to decline, and in the third quarter of 2011, the Company recorded an additional $23.1 million write-down of the investment.</w:t>
      </w:r>
    </w:p>
    <w:p>
      <w:pPr>
        <w:spacing w:after="0" w:line="170"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Company invested $45.0 million in marketable equity securities during 2012. There were no new investments of marketable equity securities in 20 and 2010. During 2012, proceeds from sales of marketable equity securities were $2.0 million, and net realized gains on such sales were $0.5 million. were no sales of marketable equity securities during 2011 and 2010.</w:t>
      </w:r>
    </w:p>
    <w:p>
      <w:pPr>
        <w:spacing w:after="0" w:line="155" w:lineRule="exact"/>
        <w:rPr>
          <w:sz w:val="20"/>
          <w:szCs w:val="20"/>
          <w:color w:val="auto"/>
        </w:rPr>
      </w:pPr>
    </w:p>
    <w:p>
      <w:pPr>
        <w:jc w:val="both"/>
        <w:ind w:left="9"/>
        <w:spacing w:after="0" w:line="255" w:lineRule="auto"/>
        <w:rPr>
          <w:sz w:val="20"/>
          <w:szCs w:val="20"/>
          <w:color w:val="auto"/>
        </w:rPr>
      </w:pPr>
      <w:r>
        <w:rPr>
          <w:rFonts w:ascii="Arial" w:cs="Arial" w:eastAsia="Arial" w:hAnsi="Arial"/>
          <w:sz w:val="17"/>
          <w:szCs w:val="17"/>
          <w:b w:val="1"/>
          <w:bCs w:val="1"/>
          <w:color w:val="auto"/>
        </w:rPr>
        <w:t xml:space="preserve">Investments in Affiliates. </w:t>
      </w:r>
      <w:r>
        <w:rPr>
          <w:rFonts w:ascii="Arial" w:cs="Arial" w:eastAsia="Arial" w:hAnsi="Arial"/>
          <w:sz w:val="17"/>
          <w:szCs w:val="17"/>
          <w:color w:val="auto"/>
        </w:rPr>
        <w:t>At the end of 2012, the Company holds a 16.5% interest in Classified Ventures, LLC, which owns and operates several lea</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businesses in the online classified advertising space, and several other investments.</w:t>
      </w:r>
    </w:p>
    <w:p>
      <w:pPr>
        <w:spacing w:after="0" w:line="163"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In the third quarter of 2011, the Company recorded impairment charges of $9.2 million on the Company’s interest in Bowater Mersey Paper Company Limited as a result of the challenging economic environment for newsprint producers. During the fourth quarter of 2012, the Company sold its 49% inte in the common stock of Bowater Mersey Paper Company Limited for a nominal amount; no loss was recorded as the investment had previously been down to zero.</w:t>
      </w:r>
    </w:p>
    <w:p>
      <w:pPr>
        <w:spacing w:after="0" w:line="155" w:lineRule="exact"/>
        <w:rPr>
          <w:sz w:val="20"/>
          <w:szCs w:val="20"/>
          <w:color w:val="auto"/>
        </w:rPr>
      </w:pPr>
    </w:p>
    <w:p>
      <w:pPr>
        <w:ind w:left="309" w:hanging="309"/>
        <w:spacing w:after="0"/>
        <w:tabs>
          <w:tab w:leader="none" w:pos="309"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 ACCOUNTS PAYABLE AND ACCRUED LIABILITIES</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Accounts receivable at December 31, 2012 and 2011, consist of the following:</w:t>
      </w:r>
    </w:p>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9140" w:type="dxa"/>
            <w:vAlign w:val="bottom"/>
          </w:tcPr>
          <w:p>
            <w:pPr>
              <w:spacing w:after="0" w:line="168" w:lineRule="exact"/>
              <w:rPr>
                <w:sz w:val="20"/>
                <w:szCs w:val="20"/>
                <w:color w:val="auto"/>
              </w:rPr>
            </w:pPr>
            <w:r>
              <w:rPr>
                <w:rFonts w:ascii="Arial" w:cs="Arial" w:eastAsia="Arial" w:hAnsi="Arial"/>
                <w:sz w:val="15"/>
                <w:szCs w:val="15"/>
                <w:color w:val="auto"/>
              </w:rPr>
              <w:t>Trade accounts receivable, less estimated returns, doubtful accounts and allowances</w:t>
            </w:r>
          </w:p>
        </w:tc>
        <w:tc>
          <w:tcPr>
            <w:tcW w:w="24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w w:val="95"/>
              </w:rPr>
              <w:t>$</w:t>
            </w:r>
          </w:p>
        </w:tc>
        <w:tc>
          <w:tcPr>
            <w:tcW w:w="900" w:type="dxa"/>
            <w:vAlign w:val="bottom"/>
            <w:vMerge w:val="restart"/>
          </w:tcPr>
          <w:p>
            <w:pPr>
              <w:jc w:val="right"/>
              <w:ind w:right="69"/>
              <w:spacing w:after="0"/>
              <w:rPr>
                <w:sz w:val="20"/>
                <w:szCs w:val="20"/>
                <w:color w:val="auto"/>
              </w:rPr>
            </w:pPr>
            <w:r>
              <w:rPr>
                <w:rFonts w:ascii="Arial" w:cs="Arial" w:eastAsia="Arial" w:hAnsi="Arial"/>
                <w:sz w:val="15"/>
                <w:szCs w:val="15"/>
                <w:b w:val="1"/>
                <w:bCs w:val="1"/>
                <w:color w:val="auto"/>
              </w:rPr>
              <w:t>379,355</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140" w:type="dxa"/>
            <w:vAlign w:val="bottom"/>
          </w:tcPr>
          <w:p>
            <w:pPr>
              <w:ind w:left="220"/>
              <w:spacing w:after="0" w:line="156" w:lineRule="exact"/>
              <w:rPr>
                <w:sz w:val="20"/>
                <w:szCs w:val="20"/>
                <w:color w:val="auto"/>
              </w:rPr>
            </w:pPr>
            <w:r>
              <w:rPr>
                <w:rFonts w:ascii="Arial" w:cs="Arial" w:eastAsia="Arial" w:hAnsi="Arial"/>
                <w:sz w:val="15"/>
                <w:szCs w:val="15"/>
                <w:color w:val="auto"/>
              </w:rPr>
              <w:t>of $35,462 and $50,225</w:t>
            </w:r>
          </w:p>
        </w:tc>
        <w:tc>
          <w:tcPr>
            <w:tcW w:w="2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6"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Other accounts receivable</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19,849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9140" w:type="dxa"/>
            <w:vAlign w:val="bottom"/>
          </w:tcPr>
          <w:p>
            <w:pPr>
              <w:spacing w:after="0"/>
              <w:rPr>
                <w:sz w:val="14"/>
                <w:szCs w:val="14"/>
                <w:color w:val="auto"/>
              </w:rPr>
            </w:pP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399,204</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9" w:right="20"/>
        <w:spacing w:after="0" w:line="235" w:lineRule="auto"/>
        <w:rPr>
          <w:sz w:val="20"/>
          <w:szCs w:val="20"/>
          <w:color w:val="auto"/>
        </w:rPr>
      </w:pPr>
      <w:r>
        <w:rPr>
          <w:rFonts w:ascii="Arial" w:cs="Arial" w:eastAsia="Arial" w:hAnsi="Arial"/>
          <w:sz w:val="17"/>
          <w:szCs w:val="17"/>
          <w:color w:val="auto"/>
        </w:rPr>
        <w:t>The changes in allowance for doubtful accounts and returns and allowance for advertising rate adjustments and discounts during 2012, 2011 and 201 as follows:</w:t>
      </w:r>
    </w:p>
    <w:p>
      <w:pPr>
        <w:spacing w:after="0" w:line="160"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center"/>
              <w:ind w:right="209"/>
              <w:spacing w:after="0"/>
              <w:rPr>
                <w:sz w:val="20"/>
                <w:szCs w:val="20"/>
                <w:color w:val="auto"/>
              </w:rPr>
            </w:pPr>
            <w:r>
              <w:rPr>
                <w:rFonts w:ascii="Arial" w:cs="Arial" w:eastAsia="Arial" w:hAnsi="Arial"/>
                <w:sz w:val="12"/>
                <w:szCs w:val="12"/>
                <w:b w:val="1"/>
                <w:bCs w:val="1"/>
                <w:color w:val="auto"/>
              </w:rPr>
              <w:t>Additions –</w:t>
            </w: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Balanc</w:t>
            </w: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269"/>
              <w:spacing w:after="0" w:line="137" w:lineRule="exact"/>
              <w:rPr>
                <w:sz w:val="20"/>
                <w:szCs w:val="20"/>
                <w:color w:val="auto"/>
              </w:rPr>
            </w:pPr>
            <w:r>
              <w:rPr>
                <w:rFonts w:ascii="Arial" w:cs="Arial" w:eastAsia="Arial" w:hAnsi="Arial"/>
                <w:sz w:val="12"/>
                <w:szCs w:val="12"/>
                <w:b w:val="1"/>
                <w:bCs w:val="1"/>
                <w:color w:val="auto"/>
              </w:rPr>
              <w:t>Balance at</w:t>
            </w:r>
          </w:p>
        </w:tc>
        <w:tc>
          <w:tcPr>
            <w:tcW w:w="320" w:type="dxa"/>
            <w:vAlign w:val="bottom"/>
          </w:tcPr>
          <w:p>
            <w:pPr>
              <w:spacing w:after="0"/>
              <w:rPr>
                <w:sz w:val="11"/>
                <w:szCs w:val="11"/>
                <w:color w:val="auto"/>
              </w:rPr>
            </w:pPr>
          </w:p>
        </w:tc>
        <w:tc>
          <w:tcPr>
            <w:tcW w:w="1160" w:type="dxa"/>
            <w:vAlign w:val="bottom"/>
          </w:tcPr>
          <w:p>
            <w:pPr>
              <w:jc w:val="center"/>
              <w:ind w:right="189"/>
              <w:spacing w:after="0" w:line="137" w:lineRule="exact"/>
              <w:rPr>
                <w:sz w:val="20"/>
                <w:szCs w:val="20"/>
                <w:color w:val="auto"/>
              </w:rPr>
            </w:pPr>
            <w:r>
              <w:rPr>
                <w:rFonts w:ascii="Arial" w:cs="Arial" w:eastAsia="Arial" w:hAnsi="Arial"/>
                <w:sz w:val="12"/>
                <w:szCs w:val="12"/>
                <w:b w:val="1"/>
                <w:bCs w:val="1"/>
                <w:color w:val="auto"/>
              </w:rPr>
              <w:t>Charged to</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jc w:val="right"/>
              <w:ind w:right="71"/>
              <w:spacing w:after="0" w:line="137" w:lineRule="exact"/>
              <w:rPr>
                <w:sz w:val="20"/>
                <w:szCs w:val="20"/>
                <w:color w:val="auto"/>
              </w:rPr>
            </w:pPr>
            <w:r>
              <w:rPr>
                <w:rFonts w:ascii="Arial" w:cs="Arial" w:eastAsia="Arial" w:hAnsi="Arial"/>
                <w:sz w:val="12"/>
                <w:szCs w:val="12"/>
                <w:b w:val="1"/>
                <w:bCs w:val="1"/>
                <w:color w:val="auto"/>
              </w:rPr>
              <w:t>at</w:t>
            </w: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center"/>
              <w:ind w:right="249"/>
              <w:spacing w:after="0" w:line="137" w:lineRule="exact"/>
              <w:rPr>
                <w:sz w:val="20"/>
                <w:szCs w:val="20"/>
                <w:color w:val="auto"/>
              </w:rPr>
            </w:pPr>
            <w:r>
              <w:rPr>
                <w:rFonts w:ascii="Arial" w:cs="Arial" w:eastAsia="Arial" w:hAnsi="Arial"/>
                <w:sz w:val="12"/>
                <w:szCs w:val="12"/>
                <w:b w:val="1"/>
                <w:bCs w:val="1"/>
                <w:color w:val="auto"/>
              </w:rPr>
              <w:t>Beginning</w:t>
            </w:r>
          </w:p>
        </w:tc>
        <w:tc>
          <w:tcPr>
            <w:tcW w:w="320" w:type="dxa"/>
            <w:vAlign w:val="bottom"/>
          </w:tcPr>
          <w:p>
            <w:pPr>
              <w:spacing w:after="0"/>
              <w:rPr>
                <w:sz w:val="11"/>
                <w:szCs w:val="11"/>
                <w:color w:val="auto"/>
              </w:rPr>
            </w:pPr>
          </w:p>
        </w:tc>
        <w:tc>
          <w:tcPr>
            <w:tcW w:w="1160" w:type="dxa"/>
            <w:vAlign w:val="bottom"/>
          </w:tcPr>
          <w:p>
            <w:pPr>
              <w:jc w:val="center"/>
              <w:ind w:right="209"/>
              <w:spacing w:after="0" w:line="137" w:lineRule="exact"/>
              <w:rPr>
                <w:sz w:val="20"/>
                <w:szCs w:val="20"/>
                <w:color w:val="auto"/>
              </w:rPr>
            </w:pPr>
            <w:r>
              <w:rPr>
                <w:rFonts w:ascii="Arial" w:cs="Arial" w:eastAsia="Arial" w:hAnsi="Arial"/>
                <w:sz w:val="12"/>
                <w:szCs w:val="12"/>
                <w:b w:val="1"/>
                <w:bCs w:val="1"/>
                <w:color w:val="auto"/>
              </w:rPr>
              <w:t>Costs and</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End of</w:t>
            </w:r>
          </w:p>
        </w:tc>
        <w:tc>
          <w:tcPr>
            <w:tcW w:w="0" w:type="dxa"/>
            <w:vAlign w:val="bottom"/>
          </w:tcPr>
          <w:p>
            <w:pPr>
              <w:spacing w:after="0"/>
              <w:rPr>
                <w:sz w:val="1"/>
                <w:szCs w:val="1"/>
                <w:color w:val="auto"/>
              </w:rPr>
            </w:pPr>
          </w:p>
        </w:tc>
      </w:tr>
      <w:tr>
        <w:trPr>
          <w:trHeight w:val="151"/>
        </w:trPr>
        <w:tc>
          <w:tcPr>
            <w:tcW w:w="5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69"/>
              <w:spacing w:after="0"/>
              <w:rPr>
                <w:sz w:val="20"/>
                <w:szCs w:val="20"/>
                <w:color w:val="auto"/>
              </w:rPr>
            </w:pPr>
            <w:r>
              <w:rPr>
                <w:rFonts w:ascii="Arial" w:cs="Arial" w:eastAsia="Arial" w:hAnsi="Arial"/>
                <w:sz w:val="12"/>
                <w:szCs w:val="12"/>
                <w:b w:val="1"/>
                <w:bCs w:val="1"/>
                <w:color w:val="auto"/>
              </w:rPr>
              <w:t>of Period</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89"/>
              <w:spacing w:after="0"/>
              <w:rPr>
                <w:sz w:val="20"/>
                <w:szCs w:val="20"/>
                <w:color w:val="auto"/>
              </w:rPr>
            </w:pPr>
            <w:r>
              <w:rPr>
                <w:rFonts w:ascii="Arial" w:cs="Arial" w:eastAsia="Arial" w:hAnsi="Arial"/>
                <w:sz w:val="12"/>
                <w:szCs w:val="12"/>
                <w:b w:val="1"/>
                <w:bCs w:val="1"/>
                <w:color w:val="auto"/>
              </w:rPr>
              <w:t>Expenses</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Deductions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Period</w:t>
            </w:r>
          </w:p>
        </w:tc>
        <w:tc>
          <w:tcPr>
            <w:tcW w:w="0" w:type="dxa"/>
            <w:vAlign w:val="bottom"/>
          </w:tcPr>
          <w:p>
            <w:pPr>
              <w:spacing w:after="0"/>
              <w:rPr>
                <w:sz w:val="1"/>
                <w:szCs w:val="1"/>
                <w:color w:val="auto"/>
              </w:rPr>
            </w:pPr>
          </w:p>
        </w:tc>
      </w:tr>
      <w:tr>
        <w:trPr>
          <w:trHeight w:val="150"/>
        </w:trPr>
        <w:tc>
          <w:tcPr>
            <w:tcW w:w="5500" w:type="dxa"/>
            <w:vAlign w:val="bottom"/>
          </w:tcPr>
          <w:p>
            <w:pPr>
              <w:spacing w:after="0" w:line="150" w:lineRule="exact"/>
              <w:rPr>
                <w:sz w:val="20"/>
                <w:szCs w:val="20"/>
                <w:color w:val="auto"/>
              </w:rPr>
            </w:pPr>
            <w:r>
              <w:rPr>
                <w:rFonts w:ascii="Arial" w:cs="Arial" w:eastAsia="Arial" w:hAnsi="Arial"/>
                <w:sz w:val="15"/>
                <w:szCs w:val="15"/>
                <w:b w:val="1"/>
                <w:bCs w:val="1"/>
                <w:color w:val="auto"/>
              </w:rPr>
              <w:t>Year Ended December 31, 2012</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500" w:type="dxa"/>
            <w:vAlign w:val="bottom"/>
          </w:tcPr>
          <w:p>
            <w:pPr>
              <w:spacing w:after="0"/>
              <w:rPr>
                <w:sz w:val="20"/>
                <w:szCs w:val="20"/>
                <w:color w:val="auto"/>
              </w:rPr>
            </w:pPr>
            <w:r>
              <w:rPr>
                <w:rFonts w:ascii="Arial" w:cs="Arial" w:eastAsia="Arial" w:hAnsi="Arial"/>
                <w:sz w:val="15"/>
                <w:szCs w:val="15"/>
                <w:b w:val="1"/>
                <w:bCs w:val="1"/>
                <w:color w:val="auto"/>
              </w:rPr>
              <w:t>Allowance for doubtful accounts and returns</w:t>
            </w:r>
          </w:p>
        </w:tc>
        <w:tc>
          <w:tcPr>
            <w:tcW w:w="240" w:type="dxa"/>
            <w:vAlign w:val="bottom"/>
          </w:tcPr>
          <w:p>
            <w:pPr>
              <w:jc w:val="right"/>
              <w:ind w:right="86"/>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ind w:right="69"/>
              <w:spacing w:after="0"/>
              <w:rPr>
                <w:sz w:val="20"/>
                <w:szCs w:val="20"/>
                <w:color w:val="auto"/>
              </w:rPr>
            </w:pPr>
            <w:r>
              <w:rPr>
                <w:rFonts w:ascii="Arial" w:cs="Arial" w:eastAsia="Arial" w:hAnsi="Arial"/>
                <w:sz w:val="15"/>
                <w:szCs w:val="15"/>
                <w:b w:val="1"/>
                <w:bCs w:val="1"/>
                <w:color w:val="auto"/>
              </w:rPr>
              <w:t>48,199</w:t>
            </w:r>
          </w:p>
        </w:tc>
        <w:tc>
          <w:tcPr>
            <w:tcW w:w="3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69"/>
              <w:spacing w:after="0"/>
              <w:rPr>
                <w:sz w:val="20"/>
                <w:szCs w:val="20"/>
                <w:color w:val="auto"/>
              </w:rPr>
            </w:pPr>
            <w:r>
              <w:rPr>
                <w:rFonts w:ascii="Arial" w:cs="Arial" w:eastAsia="Arial" w:hAnsi="Arial"/>
                <w:sz w:val="15"/>
                <w:szCs w:val="15"/>
                <w:b w:val="1"/>
                <w:bCs w:val="1"/>
                <w:color w:val="auto"/>
              </w:rPr>
              <w:t>55,605</w:t>
            </w:r>
          </w:p>
        </w:tc>
        <w:tc>
          <w:tcPr>
            <w:tcW w:w="3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47"/>
              <w:spacing w:after="0"/>
              <w:rPr>
                <w:sz w:val="20"/>
                <w:szCs w:val="20"/>
                <w:color w:val="auto"/>
              </w:rPr>
            </w:pPr>
            <w:r>
              <w:rPr>
                <w:rFonts w:ascii="Arial" w:cs="Arial" w:eastAsia="Arial" w:hAnsi="Arial"/>
                <w:sz w:val="15"/>
                <w:szCs w:val="15"/>
                <w:b w:val="1"/>
                <w:bCs w:val="1"/>
                <w:color w:val="auto"/>
              </w:rPr>
              <w:t>(70,192)</w:t>
            </w:r>
          </w:p>
        </w:tc>
        <w:tc>
          <w:tcPr>
            <w:tcW w:w="1020" w:type="dxa"/>
            <w:vAlign w:val="bottom"/>
          </w:tcPr>
          <w:p>
            <w:pPr>
              <w:jc w:val="right"/>
              <w:ind w:right="731"/>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0"/>
        </w:trPr>
        <w:tc>
          <w:tcPr>
            <w:tcW w:w="5500" w:type="dxa"/>
            <w:vAlign w:val="bottom"/>
          </w:tcPr>
          <w:p>
            <w:pPr>
              <w:spacing w:after="0"/>
              <w:rPr>
                <w:sz w:val="20"/>
                <w:szCs w:val="20"/>
                <w:color w:val="auto"/>
              </w:rPr>
            </w:pPr>
            <w:r>
              <w:rPr>
                <w:rFonts w:ascii="Arial" w:cs="Arial" w:eastAsia="Arial" w:hAnsi="Arial"/>
                <w:sz w:val="15"/>
                <w:szCs w:val="15"/>
                <w:b w:val="1"/>
                <w:bCs w:val="1"/>
                <w:color w:val="auto"/>
              </w:rPr>
              <w:t>Allowance for advertising rate adjustments and discounts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2,026</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15,088</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(15,264)</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500" w:type="dxa"/>
            <w:vAlign w:val="bottom"/>
          </w:tcPr>
          <w:p>
            <w:pPr>
              <w:spacing w:after="0"/>
              <w:rPr>
                <w:sz w:val="14"/>
                <w:szCs w:val="14"/>
                <w:color w:val="auto"/>
              </w:rPr>
            </w:pPr>
          </w:p>
        </w:tc>
        <w:tc>
          <w:tcPr>
            <w:tcW w:w="2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50,225</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70,693</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(85,456)</w:t>
            </w:r>
          </w:p>
        </w:tc>
        <w:tc>
          <w:tcPr>
            <w:tcW w:w="1020" w:type="dxa"/>
            <w:vAlign w:val="bottom"/>
            <w:tcBorders>
              <w:bottom w:val="single" w:sz="8" w:color="auto"/>
            </w:tcBorders>
          </w:tcPr>
          <w:p>
            <w:pPr>
              <w:jc w:val="right"/>
              <w:ind w:right="731"/>
              <w:spacing w:after="0" w:line="167" w:lineRule="exact"/>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5"/>
                <w:szCs w:val="15"/>
                <w:color w:val="auto"/>
              </w:rPr>
              <w:t>Year Ended December 31, 2011</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500" w:type="dxa"/>
            <w:vAlign w:val="bottom"/>
          </w:tcPr>
          <w:p>
            <w:pPr>
              <w:spacing w:after="0"/>
              <w:rPr>
                <w:sz w:val="20"/>
                <w:szCs w:val="20"/>
                <w:color w:val="auto"/>
              </w:rPr>
            </w:pPr>
            <w:r>
              <w:rPr>
                <w:rFonts w:ascii="Arial" w:cs="Arial" w:eastAsia="Arial" w:hAnsi="Arial"/>
                <w:sz w:val="15"/>
                <w:szCs w:val="15"/>
                <w:color w:val="auto"/>
              </w:rPr>
              <w:t>Allowance for doubtful accounts and returns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69"/>
              <w:spacing w:after="0"/>
              <w:rPr>
                <w:sz w:val="20"/>
                <w:szCs w:val="20"/>
                <w:color w:val="auto"/>
              </w:rPr>
            </w:pPr>
            <w:r>
              <w:rPr>
                <w:rFonts w:ascii="Arial" w:cs="Arial" w:eastAsia="Arial" w:hAnsi="Arial"/>
                <w:sz w:val="15"/>
                <w:szCs w:val="15"/>
                <w:color w:val="auto"/>
              </w:rPr>
              <w:t>67,007</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9"/>
              <w:spacing w:after="0"/>
              <w:rPr>
                <w:sz w:val="20"/>
                <w:szCs w:val="20"/>
                <w:color w:val="auto"/>
              </w:rPr>
            </w:pPr>
            <w:r>
              <w:rPr>
                <w:rFonts w:ascii="Arial" w:cs="Arial" w:eastAsia="Arial" w:hAnsi="Arial"/>
                <w:sz w:val="15"/>
                <w:szCs w:val="15"/>
                <w:color w:val="auto"/>
              </w:rPr>
              <w:t>61,327</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(80,135)</w:t>
            </w:r>
          </w:p>
        </w:tc>
        <w:tc>
          <w:tcPr>
            <w:tcW w:w="1020" w:type="dxa"/>
            <w:vAlign w:val="bottom"/>
          </w:tcPr>
          <w:p>
            <w:pPr>
              <w:jc w:val="right"/>
              <w:ind w:right="73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20"/>
                <w:szCs w:val="20"/>
                <w:color w:val="auto"/>
              </w:rPr>
            </w:pPr>
            <w:r>
              <w:rPr>
                <w:rFonts w:ascii="Arial" w:cs="Arial" w:eastAsia="Arial" w:hAnsi="Arial"/>
                <w:sz w:val="15"/>
                <w:szCs w:val="15"/>
                <w:color w:val="auto"/>
              </w:rPr>
              <w:t>Allowance for advertising rate adjustments and discounts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3,174</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11,868</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(13,016)</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00" w:type="dxa"/>
            <w:vAlign w:val="bottom"/>
          </w:tcPr>
          <w:p>
            <w:pPr>
              <w:spacing w:after="0"/>
              <w:rPr>
                <w:sz w:val="14"/>
                <w:szCs w:val="14"/>
                <w:color w:val="auto"/>
              </w:rPr>
            </w:pPr>
          </w:p>
        </w:tc>
        <w:tc>
          <w:tcPr>
            <w:tcW w:w="2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70,181</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73,195</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(93,151)</w:t>
            </w:r>
          </w:p>
        </w:tc>
        <w:tc>
          <w:tcPr>
            <w:tcW w:w="1020" w:type="dxa"/>
            <w:vAlign w:val="bottom"/>
            <w:tcBorders>
              <w:bottom w:val="single" w:sz="8" w:color="auto"/>
            </w:tcBorders>
          </w:tcPr>
          <w:p>
            <w:pPr>
              <w:jc w:val="right"/>
              <w:ind w:right="731"/>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5"/>
                <w:szCs w:val="15"/>
                <w:color w:val="auto"/>
              </w:rPr>
              <w:t>Year Ended January 2, 2011</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5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500" w:type="dxa"/>
            <w:vAlign w:val="bottom"/>
          </w:tcPr>
          <w:p>
            <w:pPr>
              <w:spacing w:after="0"/>
              <w:rPr>
                <w:sz w:val="20"/>
                <w:szCs w:val="20"/>
                <w:color w:val="auto"/>
              </w:rPr>
            </w:pPr>
            <w:r>
              <w:rPr>
                <w:rFonts w:ascii="Arial" w:cs="Arial" w:eastAsia="Arial" w:hAnsi="Arial"/>
                <w:sz w:val="15"/>
                <w:szCs w:val="15"/>
                <w:color w:val="auto"/>
              </w:rPr>
              <w:t>Allowance for doubtful accounts and returns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69"/>
              <w:spacing w:after="0"/>
              <w:rPr>
                <w:sz w:val="20"/>
                <w:szCs w:val="20"/>
                <w:color w:val="auto"/>
              </w:rPr>
            </w:pPr>
            <w:r>
              <w:rPr>
                <w:rFonts w:ascii="Arial" w:cs="Arial" w:eastAsia="Arial" w:hAnsi="Arial"/>
                <w:sz w:val="15"/>
                <w:szCs w:val="15"/>
                <w:color w:val="auto"/>
              </w:rPr>
              <w:t>98,286</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9"/>
              <w:spacing w:after="0"/>
              <w:rPr>
                <w:sz w:val="20"/>
                <w:szCs w:val="20"/>
                <w:color w:val="auto"/>
              </w:rPr>
            </w:pPr>
            <w:r>
              <w:rPr>
                <w:rFonts w:ascii="Arial" w:cs="Arial" w:eastAsia="Arial" w:hAnsi="Arial"/>
                <w:sz w:val="15"/>
                <w:szCs w:val="15"/>
                <w:color w:val="auto"/>
              </w:rPr>
              <w:t>137,888</w:t>
            </w:r>
          </w:p>
        </w:tc>
        <w:tc>
          <w:tcPr>
            <w:tcW w:w="3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47"/>
              <w:spacing w:after="0"/>
              <w:rPr>
                <w:sz w:val="20"/>
                <w:szCs w:val="20"/>
                <w:color w:val="auto"/>
              </w:rPr>
            </w:pPr>
            <w:r>
              <w:rPr>
                <w:rFonts w:ascii="Arial" w:cs="Arial" w:eastAsia="Arial" w:hAnsi="Arial"/>
                <w:sz w:val="15"/>
                <w:szCs w:val="15"/>
                <w:color w:val="auto"/>
              </w:rPr>
              <w:t>(169,167)</w:t>
            </w:r>
          </w:p>
        </w:tc>
        <w:tc>
          <w:tcPr>
            <w:tcW w:w="1020" w:type="dxa"/>
            <w:vAlign w:val="bottom"/>
          </w:tcPr>
          <w:p>
            <w:pPr>
              <w:jc w:val="right"/>
              <w:ind w:right="731"/>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2"/>
        </w:trPr>
        <w:tc>
          <w:tcPr>
            <w:tcW w:w="5500" w:type="dxa"/>
            <w:vAlign w:val="bottom"/>
          </w:tcPr>
          <w:p>
            <w:pPr>
              <w:spacing w:after="0"/>
              <w:rPr>
                <w:sz w:val="20"/>
                <w:szCs w:val="20"/>
                <w:color w:val="auto"/>
              </w:rPr>
            </w:pPr>
            <w:r>
              <w:rPr>
                <w:rFonts w:ascii="Arial" w:cs="Arial" w:eastAsia="Arial" w:hAnsi="Arial"/>
                <w:sz w:val="15"/>
                <w:szCs w:val="15"/>
                <w:color w:val="auto"/>
              </w:rPr>
              <w:t>Allowance for advertising rate adjustments and discounts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8,495</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12,216</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(17,537)</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500" w:type="dxa"/>
            <w:vAlign w:val="bottom"/>
          </w:tcPr>
          <w:p>
            <w:pPr>
              <w:spacing w:after="0"/>
              <w:rPr>
                <w:sz w:val="14"/>
                <w:szCs w:val="14"/>
                <w:color w:val="auto"/>
              </w:rPr>
            </w:pPr>
          </w:p>
        </w:tc>
        <w:tc>
          <w:tcPr>
            <w:tcW w:w="24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106,781</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150,104</w:t>
            </w:r>
          </w:p>
        </w:tc>
        <w:tc>
          <w:tcPr>
            <w:tcW w:w="3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(186,704)</w:t>
            </w:r>
          </w:p>
        </w:tc>
        <w:tc>
          <w:tcPr>
            <w:tcW w:w="1020" w:type="dxa"/>
            <w:vAlign w:val="bottom"/>
            <w:tcBorders>
              <w:bottom w:val="single" w:sz="8" w:color="auto"/>
            </w:tcBorders>
          </w:tcPr>
          <w:p>
            <w:pPr>
              <w:jc w:val="right"/>
              <w:ind w:right="731"/>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96" w:name="page97"/>
    <w:bookmarkEnd w:id="96"/>
    <w:p>
      <w:pPr>
        <w:spacing w:after="0"/>
        <w:rPr>
          <w:sz w:val="20"/>
          <w:szCs w:val="20"/>
          <w:color w:val="auto"/>
        </w:rPr>
      </w:pPr>
      <w:r>
        <w:rPr>
          <w:rFonts w:ascii="Arial" w:cs="Arial" w:eastAsia="Arial" w:hAnsi="Arial"/>
          <w:sz w:val="17"/>
          <w:szCs w:val="17"/>
          <w:color w:val="auto"/>
        </w:rPr>
        <w:t>Accounts payable and accrued liabilities at December 31, 2012 and 2011,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Accounts payable and accrued liabilities</w:t>
            </w:r>
          </w:p>
        </w:tc>
        <w:tc>
          <w:tcPr>
            <w:tcW w:w="2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ind w:right="69"/>
              <w:spacing w:after="0" w:line="150" w:lineRule="exact"/>
              <w:rPr>
                <w:sz w:val="20"/>
                <w:szCs w:val="20"/>
                <w:color w:val="auto"/>
              </w:rPr>
            </w:pPr>
            <w:r>
              <w:rPr>
                <w:rFonts w:ascii="Arial" w:cs="Arial" w:eastAsia="Arial" w:hAnsi="Arial"/>
                <w:sz w:val="15"/>
                <w:szCs w:val="15"/>
                <w:b w:val="1"/>
                <w:bCs w:val="1"/>
                <w:color w:val="auto"/>
              </w:rPr>
              <w:t>310,294</w:t>
            </w:r>
          </w:p>
        </w:tc>
        <w:tc>
          <w:tcPr>
            <w:tcW w:w="3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3</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Accrued compensation and related benefits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b w:val="1"/>
                <w:bCs w:val="1"/>
                <w:color w:val="auto"/>
              </w:rPr>
              <w:t>176,102</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9140" w:type="dxa"/>
            <w:vAlign w:val="bottom"/>
          </w:tcPr>
          <w:p>
            <w:pPr>
              <w:spacing w:after="0"/>
              <w:rPr>
                <w:sz w:val="14"/>
                <w:szCs w:val="14"/>
                <w:color w:val="auto"/>
              </w:rPr>
            </w:pP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b w:val="1"/>
                <w:bCs w:val="1"/>
                <w:color w:val="auto"/>
              </w:rPr>
              <w:t>486,396</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Cash overdrafts of $0.9 million and $2.1 million are included in accounts payable and accrued liabilities at December 31, 2012 and 2011,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PLANT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at December 31, 2012 and 2011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Land</w:t>
            </w:r>
          </w:p>
        </w:tc>
        <w:tc>
          <w:tcPr>
            <w:tcW w:w="280" w:type="dxa"/>
            <w:vAlign w:val="bottom"/>
          </w:tcPr>
          <w:p>
            <w:pPr>
              <w:jc w:val="right"/>
              <w:ind w:right="106"/>
              <w:spacing w:after="0" w:line="150" w:lineRule="exact"/>
              <w:rPr>
                <w:sz w:val="20"/>
                <w:szCs w:val="20"/>
                <w:color w:val="auto"/>
              </w:rPr>
            </w:pPr>
            <w:r>
              <w:rPr>
                <w:rFonts w:ascii="Arial" w:cs="Arial" w:eastAsia="Arial" w:hAnsi="Arial"/>
                <w:sz w:val="15"/>
                <w:szCs w:val="15"/>
                <w:b w:val="1"/>
                <w:bCs w:val="1"/>
                <w:color w:val="auto"/>
                <w:w w:val="95"/>
              </w:rPr>
              <w:t>$</w:t>
            </w:r>
          </w:p>
        </w:tc>
        <w:tc>
          <w:tcPr>
            <w:tcW w:w="1080" w:type="dxa"/>
            <w:vAlign w:val="bottom"/>
          </w:tcPr>
          <w:p>
            <w:pPr>
              <w:jc w:val="right"/>
              <w:ind w:right="47"/>
              <w:spacing w:after="0" w:line="150" w:lineRule="exact"/>
              <w:rPr>
                <w:sz w:val="20"/>
                <w:szCs w:val="20"/>
                <w:color w:val="auto"/>
              </w:rPr>
            </w:pPr>
            <w:r>
              <w:rPr>
                <w:rFonts w:ascii="Arial" w:cs="Arial" w:eastAsia="Arial" w:hAnsi="Arial"/>
                <w:sz w:val="15"/>
                <w:szCs w:val="15"/>
                <w:b w:val="1"/>
                <w:bCs w:val="1"/>
                <w:color w:val="auto"/>
              </w:rPr>
              <w:t>42,992</w:t>
            </w:r>
          </w:p>
        </w:tc>
        <w:tc>
          <w:tcPr>
            <w:tcW w:w="400" w:type="dxa"/>
            <w:vAlign w:val="bottom"/>
          </w:tcPr>
          <w:p>
            <w:pPr>
              <w:jc w:val="right"/>
              <w:ind w:right="106"/>
              <w:spacing w:after="0" w:line="150" w:lineRule="exact"/>
              <w:rPr>
                <w:sz w:val="20"/>
                <w:szCs w:val="20"/>
                <w:color w:val="auto"/>
              </w:rPr>
            </w:pPr>
            <w:r>
              <w:rPr>
                <w:rFonts w:ascii="Arial" w:cs="Arial" w:eastAsia="Arial" w:hAnsi="Arial"/>
                <w:sz w:val="15"/>
                <w:szCs w:val="15"/>
                <w:color w:val="auto"/>
              </w:rPr>
              <w:t>$</w:t>
            </w:r>
          </w:p>
        </w:tc>
        <w:tc>
          <w:tcPr>
            <w:tcW w:w="500" w:type="dxa"/>
            <w:vAlign w:val="bottom"/>
          </w:tcPr>
          <w:p>
            <w:pPr>
              <w:spacing w:after="0"/>
              <w:rPr>
                <w:sz w:val="13"/>
                <w:szCs w:val="13"/>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Buildings</w:t>
            </w:r>
          </w:p>
        </w:tc>
        <w:tc>
          <w:tcPr>
            <w:tcW w:w="28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364,844</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Machinery, equipment and fixtures</w:t>
            </w:r>
          </w:p>
        </w:tc>
        <w:tc>
          <w:tcPr>
            <w:tcW w:w="28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2,617,344</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2,4</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Leasehold improvements</w:t>
            </w:r>
          </w:p>
        </w:tc>
        <w:tc>
          <w:tcPr>
            <w:tcW w:w="28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314,555</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Construction in progress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66,734</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r>
      <w:tr>
        <w:trPr>
          <w:trHeight w:val="150"/>
        </w:trPr>
        <w:tc>
          <w:tcPr>
            <w:tcW w:w="8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47"/>
              <w:spacing w:after="0" w:line="150" w:lineRule="exact"/>
              <w:rPr>
                <w:sz w:val="20"/>
                <w:szCs w:val="20"/>
                <w:color w:val="auto"/>
              </w:rPr>
            </w:pPr>
            <w:r>
              <w:rPr>
                <w:rFonts w:ascii="Arial" w:cs="Arial" w:eastAsia="Arial" w:hAnsi="Arial"/>
                <w:sz w:val="15"/>
                <w:szCs w:val="15"/>
                <w:b w:val="1"/>
                <w:bCs w:val="1"/>
                <w:color w:val="auto"/>
              </w:rPr>
              <w:t>3,406,469</w:t>
            </w:r>
          </w:p>
        </w:tc>
        <w:tc>
          <w:tcPr>
            <w:tcW w:w="40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5"/>
                <w:szCs w:val="15"/>
                <w:color w:val="auto"/>
              </w:rPr>
              <w:t>3,2</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Less accumulated depreciation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(2,325,232)</w:t>
            </w:r>
          </w:p>
        </w:tc>
        <w:tc>
          <w:tcPr>
            <w:tcW w:w="4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w:t>
            </w:r>
          </w:p>
        </w:tc>
      </w:tr>
      <w:tr>
        <w:trPr>
          <w:trHeight w:val="166"/>
        </w:trPr>
        <w:tc>
          <w:tcPr>
            <w:tcW w:w="8680" w:type="dxa"/>
            <w:vAlign w:val="bottom"/>
          </w:tcPr>
          <w:p>
            <w:pPr>
              <w:spacing w:after="0"/>
              <w:rPr>
                <w:sz w:val="14"/>
                <w:szCs w:val="14"/>
                <w:color w:val="auto"/>
              </w:rPr>
            </w:pPr>
          </w:p>
        </w:tc>
        <w:tc>
          <w:tcPr>
            <w:tcW w:w="2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w w:val="95"/>
              </w:rPr>
              <w:t>$</w:t>
            </w:r>
          </w:p>
        </w:tc>
        <w:tc>
          <w:tcPr>
            <w:tcW w:w="10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1,081,237</w:t>
            </w:r>
          </w:p>
        </w:tc>
        <w:tc>
          <w:tcPr>
            <w:tcW w:w="4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$268.6 million, $249.1 million and $242.4 million in 2012, 2011 and 2010, respectively.</w:t>
      </w:r>
    </w:p>
    <w:p>
      <w:pPr>
        <w:spacing w:after="0" w:line="15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6"/>
          <w:szCs w:val="16"/>
          <w:b w:val="1"/>
          <w:bCs w:val="1"/>
          <w:color w:val="auto"/>
        </w:rPr>
        <w:t>ACQUISITIONS AND DISPOSITIONS</w:t>
      </w:r>
    </w:p>
    <w:p>
      <w:pPr>
        <w:spacing w:after="0" w:line="19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Company completed business acquisitions totaling approximately $55.6 million, $136.5 million and $14.1 million, in 2012, 2011 and 2010, respect The assets and liabilities of the companies acquired have been recorded at their estimated fair values at the date of acquisition.</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During 2012, the Company completed five business acquisitions totaling approximately $55.6 million. In November 2012, the Company completed its acquisition of a controlling interest in Celtic Healthcare, Inc. (Celtic), a provider of home health care and hospice services in the northeastern and mid-Atlantic regions. The operating results of Celtic are included in other businesses. The fair value of the noncontrolling interest in Celtic was $5.9 million acquisition date, determined using a market approach. The minority shareholder has an option to put their shares to the Company from 2018 to 2022, the Company has an option to buy the shares of the minority shareholder in 2022. The Company also acquired three small businesses in its education division and one small business in other businesses. The purchase price allocations mostly comprised goodwill and other intangible assets on a prelim basis.</w:t>
      </w:r>
    </w:p>
    <w:p>
      <w:pPr>
        <w:spacing w:after="0" w:line="17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 divested its interest in Avenue100 Media Solutions in July 2012, which was previously reported in other businesses. Kaplan completed sales of Kidum in August 2012, EduNeering in April 2012 and Kaplan Learning Technologies in February 2012, which were part of the Kaplan Venture division. Consequently, the Company’s income from continuing operations excludes results from these businesses, which have been reclassified to discontinued operations (see Note 3).</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February 2013, the Company announced that it had signed an agreement to sell The Herald, a daily and Sunday newspaper headquartered in Ever WA; the transaction is expected to close in March 2013.</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During 2011, the Company completed five business acquisitions totaling approximately $ 136.5 million, including assumed debt of $5.5 million and oth assumed liabilities. Kaplan acquired three businesses in its Kaplan International division, one business in its KHE division and one business in its Kap Ventures division. These included the May 2011 acquisitions of Franklyn Scholar and Carrick Education Group, leading national providers of vocationa training and higher education in Australia, and the June 2011 acquisition of Structuralia, a provider of e-learning for the engineering and infrastructure in Spain. During 2010, the Company acquired six businesses for $14.1 million. Kaplan acquired two small businesses in its KTP division, one small bu in its Ventures division and one small business in its International</w:t>
      </w:r>
    </w:p>
    <w:p>
      <w:pPr>
        <w:spacing w:after="0" w:line="20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97" w:name="page98"/>
    <w:bookmarkEnd w:id="97"/>
    <w:p>
      <w:pPr>
        <w:ind w:left="9" w:right="280"/>
        <w:spacing w:after="0" w:line="235" w:lineRule="auto"/>
        <w:rPr>
          <w:sz w:val="20"/>
          <w:szCs w:val="20"/>
          <w:color w:val="auto"/>
        </w:rPr>
      </w:pPr>
      <w:r>
        <w:rPr>
          <w:rFonts w:ascii="Arial" w:cs="Arial" w:eastAsia="Arial" w:hAnsi="Arial"/>
          <w:sz w:val="17"/>
          <w:szCs w:val="17"/>
          <w:color w:val="auto"/>
        </w:rPr>
        <w:t>division. The Company made two small acquisitions in its cable television and other businesses divisions. The purchase price allocations for these acquisitions mostly comprised goodwill, other intangible assets and property, plant and equipment.</w:t>
      </w:r>
    </w:p>
    <w:p>
      <w:pPr>
        <w:spacing w:after="0" w:line="176"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Kaplan completed the sales of KVE in July 2011 and KCS in October 2011, which were part of Kaplan Ventures and KHE, respectively. In April 2010, Kaplan completed the sale of Education Connection, which was part of Kaplan Ventures, and in September 2010, the Company completed the sale of Newsweek. Consequently, the Company’s income from continuing operations excludes results from these businesses, which have been reclassified to discontinued operations (see Note 3).</w:t>
      </w:r>
    </w:p>
    <w:p>
      <w:pPr>
        <w:spacing w:after="0" w:line="155" w:lineRule="exact"/>
        <w:rPr>
          <w:sz w:val="20"/>
          <w:szCs w:val="20"/>
          <w:color w:val="auto"/>
        </w:rPr>
      </w:pPr>
    </w:p>
    <w:p>
      <w:pPr>
        <w:ind w:left="329" w:hanging="329"/>
        <w:spacing w:after="0"/>
        <w:tabs>
          <w:tab w:leader="none" w:pos="329"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OTHER INTANGIBLE ASSETS</w:t>
      </w:r>
    </w:p>
    <w:p>
      <w:pPr>
        <w:spacing w:after="0" w:line="197"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As part of the Company’s annual impairment review, the KTP reporting unit failed the step one goodwill impairment test, and, therefore, a step two ana was performed. As a result of the step two analysis, the Company recorded a goodwill and other long-lived asset impairment charge of $111.6 million. Company estimated the fair value utilizing a discounted cash flow model, supported by a market approach. The impairment charge is the result of a re slowdown in enrollment growth at KTP, operating losses for the past three years and other factors. A substantial portion of the impairment charge is du the amount of unrecognized intangible assets identified in the step two analysis.</w:t>
      </w:r>
    </w:p>
    <w:p>
      <w:pPr>
        <w:spacing w:after="0" w:line="176"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education division made several changes to its operating and reporting structure in the first quarter of 2011 and 2010, changing the composition o reporting units within KTP and KHE. The changes resulted in the reassignment of the assets and liabilities to the reporting units affected. The goodwill allocated to the reporting units affected using the relative fair value approach.</w:t>
      </w:r>
    </w:p>
    <w:p>
      <w:pPr>
        <w:spacing w:after="0" w:line="175"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As a result of continued challenges in the lead generation industry, in both the third quarters of 2011 and 2010, the Company performed interim review the carrying value of goodwill and other intangible assets at its online lead generation business. The business failed the step one goodwill impairment and the Company performed a step two analysis, resulting in an $11.9 million and a $27.5 million goodwill and other intangible assets impairment cha the third quarters of 2011 and 2010, respectively. The Company estimated the fair value utilizing a discounted cash flow model. The impairment charg included in “Income (Loss) from Discontinued Operations, Net of Tax” in the Company’s Consolidated Statements of Operations (see Note 3).</w:t>
      </w:r>
    </w:p>
    <w:p>
      <w:pPr>
        <w:spacing w:after="0" w:line="170" w:lineRule="exact"/>
        <w:rPr>
          <w:sz w:val="20"/>
          <w:szCs w:val="20"/>
          <w:color w:val="auto"/>
        </w:rPr>
      </w:pPr>
    </w:p>
    <w:p>
      <w:pPr>
        <w:jc w:val="both"/>
        <w:ind w:left="9" w:right="60"/>
        <w:spacing w:after="0" w:line="233" w:lineRule="auto"/>
        <w:rPr>
          <w:sz w:val="20"/>
          <w:szCs w:val="20"/>
          <w:color w:val="auto"/>
        </w:rPr>
      </w:pPr>
      <w:r>
        <w:rPr>
          <w:rFonts w:ascii="Arial" w:cs="Arial" w:eastAsia="Arial" w:hAnsi="Arial"/>
          <w:sz w:val="17"/>
          <w:szCs w:val="17"/>
          <w:color w:val="auto"/>
        </w:rPr>
        <w:t>Amortization of intangible assets for the years ended December 31, 2012 and 2011, and January 2, 2011, was $21.0 million, $22.3 million and $21.6 respectively. Amortization of intangible assets is estimated to be approximately $15 million in 2013, $9 million in 2014, $7 million in 2015, $6 million in $5 million in 2017 and $4 million thereafter.</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The changes in the carrying amount of goodwill, by segment, during 2012 and 2011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07"/>
              <w:spacing w:after="0"/>
              <w:rPr>
                <w:sz w:val="20"/>
                <w:szCs w:val="20"/>
                <w:color w:val="auto"/>
              </w:rPr>
            </w:pPr>
            <w:r>
              <w:rPr>
                <w:rFonts w:ascii="Arial" w:cs="Arial" w:eastAsia="Arial" w:hAnsi="Arial"/>
                <w:sz w:val="12"/>
                <w:szCs w:val="12"/>
                <w:b w:val="1"/>
                <w:bCs w:val="1"/>
                <w:color w:val="auto"/>
              </w:rPr>
              <w:t>Cable</w:t>
            </w:r>
          </w:p>
        </w:tc>
        <w:tc>
          <w:tcPr>
            <w:tcW w:w="220" w:type="dxa"/>
            <w:vAlign w:val="bottom"/>
          </w:tcPr>
          <w:p>
            <w:pPr>
              <w:spacing w:after="0"/>
              <w:rPr>
                <w:sz w:val="12"/>
                <w:szCs w:val="12"/>
                <w:color w:val="auto"/>
              </w:rPr>
            </w:pPr>
          </w:p>
        </w:tc>
        <w:tc>
          <w:tcPr>
            <w:tcW w:w="920" w:type="dxa"/>
            <w:vAlign w:val="bottom"/>
          </w:tcPr>
          <w:p>
            <w:pPr>
              <w:jc w:val="right"/>
              <w:ind w:right="147"/>
              <w:spacing w:after="0"/>
              <w:rPr>
                <w:sz w:val="20"/>
                <w:szCs w:val="20"/>
                <w:color w:val="auto"/>
              </w:rPr>
            </w:pPr>
            <w:r>
              <w:rPr>
                <w:rFonts w:ascii="Arial" w:cs="Arial" w:eastAsia="Arial" w:hAnsi="Arial"/>
                <w:sz w:val="12"/>
                <w:szCs w:val="12"/>
                <w:b w:val="1"/>
                <w:bCs w:val="1"/>
                <w:color w:val="auto"/>
              </w:rPr>
              <w:t>Newspaper</w:t>
            </w:r>
          </w:p>
        </w:tc>
        <w:tc>
          <w:tcPr>
            <w:tcW w:w="160" w:type="dxa"/>
            <w:vAlign w:val="bottom"/>
          </w:tcPr>
          <w:p>
            <w:pPr>
              <w:spacing w:after="0"/>
              <w:rPr>
                <w:sz w:val="12"/>
                <w:szCs w:val="12"/>
                <w:color w:val="auto"/>
              </w:rPr>
            </w:pPr>
          </w:p>
        </w:tc>
        <w:tc>
          <w:tcPr>
            <w:tcW w:w="960" w:type="dxa"/>
            <w:vAlign w:val="bottom"/>
          </w:tcPr>
          <w:p>
            <w:pPr>
              <w:jc w:val="right"/>
              <w:ind w:right="167"/>
              <w:spacing w:after="0"/>
              <w:rPr>
                <w:sz w:val="20"/>
                <w:szCs w:val="20"/>
                <w:color w:val="auto"/>
              </w:rPr>
            </w:pPr>
            <w:r>
              <w:rPr>
                <w:rFonts w:ascii="Arial" w:cs="Arial" w:eastAsia="Arial" w:hAnsi="Arial"/>
                <w:sz w:val="12"/>
                <w:szCs w:val="12"/>
                <w:b w:val="1"/>
                <w:bCs w:val="1"/>
                <w:color w:val="auto"/>
              </w:rPr>
              <w:t>Television</w:t>
            </w:r>
          </w:p>
        </w:tc>
        <w:tc>
          <w:tcPr>
            <w:tcW w:w="200" w:type="dxa"/>
            <w:vAlign w:val="bottom"/>
          </w:tcPr>
          <w:p>
            <w:pPr>
              <w:spacing w:after="0"/>
              <w:rPr>
                <w:sz w:val="12"/>
                <w:szCs w:val="12"/>
                <w:color w:val="auto"/>
              </w:rPr>
            </w:pPr>
          </w:p>
        </w:tc>
        <w:tc>
          <w:tcPr>
            <w:tcW w:w="940" w:type="dxa"/>
            <w:vAlign w:val="bottom"/>
          </w:tcPr>
          <w:p>
            <w:pPr>
              <w:jc w:val="right"/>
              <w:ind w:right="307"/>
              <w:spacing w:after="0"/>
              <w:rPr>
                <w:sz w:val="20"/>
                <w:szCs w:val="20"/>
                <w:color w:val="auto"/>
              </w:rPr>
            </w:pPr>
            <w:r>
              <w:rPr>
                <w:rFonts w:ascii="Arial" w:cs="Arial" w:eastAsia="Arial" w:hAnsi="Arial"/>
                <w:sz w:val="12"/>
                <w:szCs w:val="12"/>
                <w:b w:val="1"/>
                <w:bCs w:val="1"/>
                <w:color w:val="auto"/>
              </w:rPr>
              <w:t>Other</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Education</w:t>
            </w: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Television</w:t>
            </w: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67"/>
              <w:spacing w:after="0"/>
              <w:rPr>
                <w:sz w:val="20"/>
                <w:szCs w:val="20"/>
                <w:color w:val="auto"/>
              </w:rPr>
            </w:pPr>
            <w:r>
              <w:rPr>
                <w:rFonts w:ascii="Arial" w:cs="Arial" w:eastAsia="Arial" w:hAnsi="Arial"/>
                <w:sz w:val="12"/>
                <w:szCs w:val="12"/>
                <w:b w:val="1"/>
                <w:bCs w:val="1"/>
                <w:color w:val="auto"/>
              </w:rPr>
              <w:t>Publishing</w:t>
            </w: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Broadcasting</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27"/>
              <w:spacing w:after="0"/>
              <w:rPr>
                <w:sz w:val="20"/>
                <w:szCs w:val="20"/>
                <w:color w:val="auto"/>
              </w:rPr>
            </w:pPr>
            <w:r>
              <w:rPr>
                <w:rFonts w:ascii="Arial" w:cs="Arial" w:eastAsia="Arial" w:hAnsi="Arial"/>
                <w:sz w:val="12"/>
                <w:szCs w:val="12"/>
                <w:b w:val="1"/>
                <w:bCs w:val="1"/>
                <w:color w:val="auto"/>
              </w:rPr>
              <w:t>Businesses</w:t>
            </w:r>
          </w:p>
        </w:tc>
        <w:tc>
          <w:tcPr>
            <w:tcW w:w="3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w w:val="78"/>
              </w:rPr>
              <w:t>Tota</w:t>
            </w:r>
          </w:p>
        </w:tc>
        <w:tc>
          <w:tcPr>
            <w:tcW w:w="0" w:type="dxa"/>
            <w:vAlign w:val="bottom"/>
          </w:tcPr>
          <w:p>
            <w:pPr>
              <w:spacing w:after="0"/>
              <w:rPr>
                <w:sz w:val="1"/>
                <w:szCs w:val="1"/>
                <w:color w:val="auto"/>
              </w:rPr>
            </w:pPr>
          </w:p>
        </w:tc>
      </w:tr>
      <w:tr>
        <w:trPr>
          <w:trHeight w:val="168"/>
        </w:trPr>
        <w:tc>
          <w:tcPr>
            <w:tcW w:w="4360" w:type="dxa"/>
            <w:vAlign w:val="bottom"/>
          </w:tcPr>
          <w:p>
            <w:pPr>
              <w:spacing w:after="0" w:line="168" w:lineRule="exact"/>
              <w:rPr>
                <w:sz w:val="20"/>
                <w:szCs w:val="20"/>
                <w:color w:val="auto"/>
              </w:rPr>
            </w:pPr>
            <w:r>
              <w:rPr>
                <w:rFonts w:ascii="Arial" w:cs="Arial" w:eastAsia="Arial" w:hAnsi="Arial"/>
                <w:sz w:val="15"/>
                <w:szCs w:val="15"/>
                <w:color w:val="auto"/>
              </w:rPr>
              <w:t>Balance as of January 2, 2011</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1,073,089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85,488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81,183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203,165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100,152</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400" w:type="dxa"/>
            <w:vAlign w:val="bottom"/>
          </w:tcPr>
          <w:p>
            <w:pPr>
              <w:ind w:left="180"/>
              <w:spacing w:after="0"/>
              <w:rPr>
                <w:sz w:val="20"/>
                <w:szCs w:val="20"/>
                <w:color w:val="auto"/>
              </w:rPr>
            </w:pPr>
            <w:r>
              <w:rPr>
                <w:rFonts w:ascii="Arial" w:cs="Arial" w:eastAsia="Arial" w:hAnsi="Arial"/>
                <w:sz w:val="15"/>
                <w:szCs w:val="15"/>
                <w:color w:val="auto"/>
                <w:w w:val="95"/>
              </w:rPr>
              <w:t>1,5</w:t>
            </w:r>
          </w:p>
        </w:tc>
        <w:tc>
          <w:tcPr>
            <w:tcW w:w="0" w:type="dxa"/>
            <w:vAlign w:val="bottom"/>
          </w:tcPr>
          <w:p>
            <w:pPr>
              <w:spacing w:after="0"/>
              <w:rPr>
                <w:sz w:val="1"/>
                <w:szCs w:val="1"/>
                <w:color w:val="auto"/>
              </w:rPr>
            </w:pPr>
          </w:p>
        </w:tc>
      </w:tr>
      <w:tr>
        <w:trPr>
          <w:trHeight w:val="172"/>
        </w:trPr>
        <w:tc>
          <w:tcPr>
            <w:tcW w:w="43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(15,529)</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(65,772)</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(85,419)</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1,057,560</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85,488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15,411</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203,165</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14,733</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80"/>
              <w:spacing w:after="0" w:line="167" w:lineRule="exact"/>
              <w:rPr>
                <w:sz w:val="20"/>
                <w:szCs w:val="20"/>
                <w:color w:val="auto"/>
              </w:rPr>
            </w:pPr>
            <w:r>
              <w:rPr>
                <w:rFonts w:ascii="Arial" w:cs="Arial" w:eastAsia="Arial" w:hAnsi="Arial"/>
                <w:sz w:val="15"/>
                <w:szCs w:val="15"/>
                <w:color w:val="auto"/>
                <w:w w:val="95"/>
              </w:rPr>
              <w:t>1,3</w:t>
            </w:r>
          </w:p>
        </w:tc>
        <w:tc>
          <w:tcPr>
            <w:tcW w:w="0" w:type="dxa"/>
            <w:vAlign w:val="bottom"/>
          </w:tcPr>
          <w:p>
            <w:pPr>
              <w:spacing w:after="0"/>
              <w:rPr>
                <w:sz w:val="1"/>
                <w:szCs w:val="1"/>
                <w:color w:val="auto"/>
              </w:rPr>
            </w:pPr>
          </w:p>
        </w:tc>
      </w:tr>
      <w:tr>
        <w:trPr>
          <w:trHeight w:val="168"/>
        </w:trPr>
        <w:tc>
          <w:tcPr>
            <w:tcW w:w="4360" w:type="dxa"/>
            <w:vAlign w:val="bottom"/>
          </w:tcPr>
          <w:p>
            <w:pPr>
              <w:spacing w:after="0" w:line="168" w:lineRule="exact"/>
              <w:rPr>
                <w:sz w:val="20"/>
                <w:szCs w:val="20"/>
                <w:color w:val="auto"/>
              </w:rPr>
            </w:pPr>
            <w:r>
              <w:rPr>
                <w:rFonts w:ascii="Arial" w:cs="Arial" w:eastAsia="Arial" w:hAnsi="Arial"/>
                <w:sz w:val="15"/>
                <w:szCs w:val="15"/>
                <w:color w:val="auto"/>
              </w:rPr>
              <w:t>Acquisitions</w:t>
            </w:r>
          </w:p>
        </w:tc>
        <w:tc>
          <w:tcPr>
            <w:tcW w:w="200" w:type="dxa"/>
            <w:vAlign w:val="bottom"/>
          </w:tcPr>
          <w:p>
            <w:pPr>
              <w:spacing w:after="0"/>
              <w:rPr>
                <w:sz w:val="14"/>
                <w:szCs w:val="14"/>
                <w:color w:val="auto"/>
              </w:rPr>
            </w:pPr>
          </w:p>
        </w:tc>
        <w:tc>
          <w:tcPr>
            <w:tcW w:w="1100" w:type="dxa"/>
            <w:vAlign w:val="bottom"/>
          </w:tcPr>
          <w:p>
            <w:pPr>
              <w:jc w:val="right"/>
              <w:ind w:right="6"/>
              <w:spacing w:after="0" w:line="168" w:lineRule="exact"/>
              <w:rPr>
                <w:sz w:val="20"/>
                <w:szCs w:val="20"/>
                <w:color w:val="auto"/>
              </w:rPr>
            </w:pPr>
            <w:r>
              <w:rPr>
                <w:rFonts w:ascii="Arial" w:cs="Arial" w:eastAsia="Arial" w:hAnsi="Arial"/>
                <w:sz w:val="15"/>
                <w:szCs w:val="15"/>
                <w:color w:val="auto"/>
              </w:rPr>
              <w:t>78,643</w:t>
            </w:r>
          </w:p>
        </w:tc>
        <w:tc>
          <w:tcPr>
            <w:tcW w:w="2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color w:val="auto"/>
              </w:rPr>
              <w:t>Impairment</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(11,923)</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color w:val="auto"/>
              </w:rPr>
              <w:t>Dispositions</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(21,144)</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2"/>
        </w:trPr>
        <w:tc>
          <w:tcPr>
            <w:tcW w:w="436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(6,936)</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4360" w:type="dxa"/>
            <w:vAlign w:val="bottom"/>
          </w:tcPr>
          <w:p>
            <w:pPr>
              <w:spacing w:after="0" w:line="168" w:lineRule="exact"/>
              <w:rPr>
                <w:sz w:val="20"/>
                <w:szCs w:val="20"/>
                <w:color w:val="auto"/>
              </w:rPr>
            </w:pPr>
            <w:r>
              <w:rPr>
                <w:rFonts w:ascii="Arial" w:cs="Arial" w:eastAsia="Arial" w:hAnsi="Arial"/>
                <w:sz w:val="15"/>
                <w:szCs w:val="15"/>
                <w:color w:val="auto"/>
              </w:rPr>
              <w:t>Balance as of December 31, 2011</w:t>
            </w: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2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color w:val="auto"/>
              </w:rPr>
              <w:t>1,116,615</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85,488</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81,183</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color w:val="auto"/>
              </w:rPr>
              <w:t>203,165</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100,152</w:t>
            </w:r>
          </w:p>
        </w:tc>
        <w:tc>
          <w:tcPr>
            <w:tcW w:w="320" w:type="dxa"/>
            <w:vAlign w:val="bottom"/>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5"/>
                <w:szCs w:val="15"/>
                <w:color w:val="auto"/>
                <w:w w:val="95"/>
              </w:rPr>
              <w:t>1,5</w:t>
            </w:r>
          </w:p>
        </w:tc>
        <w:tc>
          <w:tcPr>
            <w:tcW w:w="0" w:type="dxa"/>
            <w:vAlign w:val="bottom"/>
          </w:tcPr>
          <w:p>
            <w:pPr>
              <w:spacing w:after="0"/>
              <w:rPr>
                <w:sz w:val="1"/>
                <w:szCs w:val="1"/>
                <w:color w:val="auto"/>
              </w:rPr>
            </w:pPr>
          </w:p>
        </w:tc>
      </w:tr>
      <w:tr>
        <w:trPr>
          <w:trHeight w:val="172"/>
        </w:trPr>
        <w:tc>
          <w:tcPr>
            <w:tcW w:w="436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(8,492)</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(65,772)</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(97,342)</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66"/>
        </w:trPr>
        <w:tc>
          <w:tcPr>
            <w:tcW w:w="4360" w:type="dxa"/>
            <w:vAlign w:val="bottom"/>
            <w:vMerge w:val="restart"/>
          </w:tcPr>
          <w:p>
            <w:pPr>
              <w:spacing w:after="0"/>
              <w:rPr>
                <w:sz w:val="20"/>
                <w:szCs w:val="20"/>
                <w:color w:val="auto"/>
              </w:rPr>
            </w:pPr>
            <w:r>
              <w:rPr>
                <w:rFonts w:ascii="Arial" w:cs="Arial" w:eastAsia="Arial" w:hAnsi="Arial"/>
                <w:sz w:val="15"/>
                <w:szCs w:val="15"/>
                <w:b w:val="1"/>
                <w:bCs w:val="1"/>
                <w:color w:val="auto"/>
              </w:rPr>
              <w:t>Acquisitions</w:t>
            </w: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1,108,123</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85,488</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15,411</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203,165</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color w:val="auto"/>
              </w:rPr>
              <w:t>2,810</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80"/>
              <w:spacing w:after="0" w:line="167" w:lineRule="exact"/>
              <w:rPr>
                <w:sz w:val="20"/>
                <w:szCs w:val="20"/>
                <w:color w:val="auto"/>
              </w:rPr>
            </w:pPr>
            <w:r>
              <w:rPr>
                <w:rFonts w:ascii="Arial" w:cs="Arial" w:eastAsia="Arial" w:hAnsi="Arial"/>
                <w:sz w:val="15"/>
                <w:szCs w:val="15"/>
                <w:color w:val="auto"/>
                <w:w w:val="95"/>
              </w:rPr>
              <w:t>1,4</w:t>
            </w:r>
          </w:p>
        </w:tc>
        <w:tc>
          <w:tcPr>
            <w:tcW w:w="0" w:type="dxa"/>
            <w:vAlign w:val="bottom"/>
          </w:tcPr>
          <w:p>
            <w:pPr>
              <w:spacing w:after="0"/>
              <w:rPr>
                <w:sz w:val="1"/>
                <w:szCs w:val="1"/>
                <w:color w:val="auto"/>
              </w:rPr>
            </w:pPr>
          </w:p>
        </w:tc>
      </w:tr>
      <w:tr>
        <w:trPr>
          <w:trHeight w:val="150"/>
        </w:trPr>
        <w:tc>
          <w:tcPr>
            <w:tcW w:w="4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7,364</w:t>
            </w:r>
          </w:p>
        </w:tc>
        <w:tc>
          <w:tcPr>
            <w:tcW w:w="240" w:type="dxa"/>
            <w:vAlign w:val="bottom"/>
          </w:tcPr>
          <w:p>
            <w:pPr>
              <w:spacing w:after="0"/>
              <w:rPr>
                <w:sz w:val="13"/>
                <w:szCs w:val="13"/>
                <w:color w:val="auto"/>
              </w:rPr>
            </w:pPr>
          </w:p>
        </w:tc>
        <w:tc>
          <w:tcPr>
            <w:tcW w:w="9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3"/>
                <w:szCs w:val="13"/>
                <w:color w:val="auto"/>
              </w:rPr>
            </w:pPr>
          </w:p>
        </w:tc>
        <w:tc>
          <w:tcPr>
            <w:tcW w:w="92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3"/>
                <w:szCs w:val="13"/>
                <w:color w:val="auto"/>
              </w:rPr>
            </w:pPr>
          </w:p>
        </w:tc>
        <w:tc>
          <w:tcPr>
            <w:tcW w:w="96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940" w:type="dxa"/>
            <w:vAlign w:val="bottom"/>
          </w:tcPr>
          <w:p>
            <w:pPr>
              <w:jc w:val="right"/>
              <w:ind w:right="7"/>
              <w:spacing w:after="0" w:line="150" w:lineRule="exact"/>
              <w:rPr>
                <w:sz w:val="20"/>
                <w:szCs w:val="20"/>
                <w:color w:val="auto"/>
              </w:rPr>
            </w:pPr>
            <w:r>
              <w:rPr>
                <w:rFonts w:ascii="Arial" w:cs="Arial" w:eastAsia="Arial" w:hAnsi="Arial"/>
                <w:sz w:val="15"/>
                <w:szCs w:val="15"/>
                <w:b w:val="1"/>
                <w:bCs w:val="1"/>
                <w:color w:val="auto"/>
              </w:rPr>
              <w:t>16,242</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b w:val="1"/>
                <w:bCs w:val="1"/>
                <w:color w:val="auto"/>
              </w:rPr>
              <w:t>Impairment</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(102,259)</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0" w:type="dxa"/>
            <w:vAlign w:val="bottom"/>
          </w:tcPr>
          <w:p>
            <w:pPr>
              <w:spacing w:after="0"/>
              <w:rPr>
                <w:sz w:val="1"/>
                <w:szCs w:val="1"/>
                <w:color w:val="auto"/>
              </w:rPr>
            </w:pPr>
          </w:p>
        </w:tc>
      </w:tr>
      <w:tr>
        <w:trPr>
          <w:trHeight w:val="174"/>
        </w:trPr>
        <w:tc>
          <w:tcPr>
            <w:tcW w:w="4360" w:type="dxa"/>
            <w:vAlign w:val="bottom"/>
          </w:tcPr>
          <w:p>
            <w:pPr>
              <w:spacing w:after="0"/>
              <w:rPr>
                <w:sz w:val="20"/>
                <w:szCs w:val="20"/>
                <w:color w:val="auto"/>
              </w:rPr>
            </w:pPr>
            <w:r>
              <w:rPr>
                <w:rFonts w:ascii="Arial" w:cs="Arial" w:eastAsia="Arial" w:hAnsi="Arial"/>
                <w:sz w:val="15"/>
                <w:szCs w:val="15"/>
                <w:b w:val="1"/>
                <w:bCs w:val="1"/>
                <w:color w:val="auto"/>
              </w:rPr>
              <w:t>Dispositions</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(29,000)</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90"/>
        </w:trPr>
        <w:tc>
          <w:tcPr>
            <w:tcW w:w="436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 and other</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10,571</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360" w:type="dxa"/>
            <w:vAlign w:val="bottom"/>
          </w:tcPr>
          <w:p>
            <w:pPr>
              <w:spacing w:after="0" w:line="150" w:lineRule="exact"/>
              <w:rPr>
                <w:sz w:val="20"/>
                <w:szCs w:val="20"/>
                <w:color w:val="auto"/>
              </w:rPr>
            </w:pPr>
            <w:r>
              <w:rPr>
                <w:rFonts w:ascii="Arial" w:cs="Arial" w:eastAsia="Arial" w:hAnsi="Arial"/>
                <w:sz w:val="15"/>
                <w:szCs w:val="15"/>
                <w:b w:val="1"/>
                <w:bCs w:val="1"/>
                <w:color w:val="auto"/>
              </w:rPr>
              <w:t>Balance as of December 31, 2012</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360" w:type="dxa"/>
            <w:vAlign w:val="bottom"/>
          </w:tcPr>
          <w:p>
            <w:pPr>
              <w:ind w:left="220"/>
              <w:spacing w:after="0"/>
              <w:rPr>
                <w:sz w:val="20"/>
                <w:szCs w:val="20"/>
                <w:color w:val="auto"/>
              </w:rPr>
            </w:pPr>
            <w:r>
              <w:rPr>
                <w:rFonts w:ascii="Arial" w:cs="Arial" w:eastAsia="Arial" w:hAnsi="Arial"/>
                <w:sz w:val="15"/>
                <w:szCs w:val="15"/>
                <w:b w:val="1"/>
                <w:bCs w:val="1"/>
                <w:color w:val="auto"/>
              </w:rPr>
              <w:t>Goodwill</w:t>
            </w:r>
          </w:p>
        </w:tc>
        <w:tc>
          <w:tcPr>
            <w:tcW w:w="200" w:type="dxa"/>
            <w:vAlign w:val="bottom"/>
          </w:tcPr>
          <w:p>
            <w:pPr>
              <w:spacing w:after="0"/>
              <w:rPr>
                <w:sz w:val="15"/>
                <w:szCs w:val="15"/>
                <w:color w:val="auto"/>
              </w:rPr>
            </w:pPr>
          </w:p>
        </w:tc>
        <w:tc>
          <w:tcPr>
            <w:tcW w:w="1100" w:type="dxa"/>
            <w:vAlign w:val="bottom"/>
          </w:tcPr>
          <w:p>
            <w:pPr>
              <w:jc w:val="right"/>
              <w:ind w:right="6"/>
              <w:spacing w:after="0"/>
              <w:rPr>
                <w:sz w:val="20"/>
                <w:szCs w:val="20"/>
                <w:color w:val="auto"/>
              </w:rPr>
            </w:pPr>
            <w:r>
              <w:rPr>
                <w:rFonts w:ascii="Arial" w:cs="Arial" w:eastAsia="Arial" w:hAnsi="Arial"/>
                <w:sz w:val="15"/>
                <w:szCs w:val="15"/>
                <w:b w:val="1"/>
                <w:bCs w:val="1"/>
                <w:color w:val="auto"/>
              </w:rPr>
              <w:t>1,097,058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85,488</w:t>
            </w:r>
          </w:p>
        </w:tc>
        <w:tc>
          <w:tcPr>
            <w:tcW w:w="22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b w:val="1"/>
                <w:bCs w:val="1"/>
                <w:color w:val="auto"/>
              </w:rPr>
              <w:t>81,183</w:t>
            </w:r>
          </w:p>
        </w:tc>
        <w:tc>
          <w:tcPr>
            <w:tcW w:w="160" w:type="dxa"/>
            <w:vAlign w:val="bottom"/>
          </w:tcPr>
          <w:p>
            <w:pPr>
              <w:spacing w:after="0"/>
              <w:rPr>
                <w:sz w:val="15"/>
                <w:szCs w:val="15"/>
                <w:color w:val="auto"/>
              </w:rPr>
            </w:pPr>
          </w:p>
        </w:tc>
        <w:tc>
          <w:tcPr>
            <w:tcW w:w="960" w:type="dxa"/>
            <w:vAlign w:val="bottom"/>
          </w:tcPr>
          <w:p>
            <w:pPr>
              <w:jc w:val="right"/>
              <w:ind w:right="7"/>
              <w:spacing w:after="0"/>
              <w:rPr>
                <w:sz w:val="20"/>
                <w:szCs w:val="20"/>
                <w:color w:val="auto"/>
              </w:rPr>
            </w:pPr>
            <w:r>
              <w:rPr>
                <w:rFonts w:ascii="Arial" w:cs="Arial" w:eastAsia="Arial" w:hAnsi="Arial"/>
                <w:sz w:val="15"/>
                <w:szCs w:val="15"/>
                <w:b w:val="1"/>
                <w:bCs w:val="1"/>
                <w:color w:val="auto"/>
              </w:rPr>
              <w:t>203,165</w:t>
            </w:r>
          </w:p>
        </w:tc>
        <w:tc>
          <w:tcPr>
            <w:tcW w:w="200" w:type="dxa"/>
            <w:vAlign w:val="bottom"/>
          </w:tcPr>
          <w:p>
            <w:pPr>
              <w:spacing w:after="0"/>
              <w:rPr>
                <w:sz w:val="15"/>
                <w:szCs w:val="15"/>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b w:val="1"/>
                <w:bCs w:val="1"/>
                <w:color w:val="auto"/>
              </w:rPr>
              <w:t>19,052</w:t>
            </w:r>
          </w:p>
        </w:tc>
        <w:tc>
          <w:tcPr>
            <w:tcW w:w="320" w:type="dxa"/>
            <w:vAlign w:val="bottom"/>
          </w:tcPr>
          <w:p>
            <w:pPr>
              <w:spacing w:after="0"/>
              <w:rPr>
                <w:sz w:val="15"/>
                <w:szCs w:val="15"/>
                <w:color w:val="auto"/>
              </w:rPr>
            </w:pPr>
          </w:p>
        </w:tc>
        <w:tc>
          <w:tcPr>
            <w:tcW w:w="400" w:type="dxa"/>
            <w:vAlign w:val="bottom"/>
          </w:tcPr>
          <w:p>
            <w:pPr>
              <w:ind w:left="180"/>
              <w:spacing w:after="0"/>
              <w:rPr>
                <w:sz w:val="20"/>
                <w:szCs w:val="20"/>
                <w:color w:val="auto"/>
              </w:rPr>
            </w:pPr>
            <w:r>
              <w:rPr>
                <w:rFonts w:ascii="Arial" w:cs="Arial" w:eastAsia="Arial" w:hAnsi="Arial"/>
                <w:sz w:val="15"/>
                <w:szCs w:val="15"/>
                <w:b w:val="1"/>
                <w:bCs w:val="1"/>
                <w:color w:val="auto"/>
                <w:w w:val="95"/>
              </w:rPr>
              <w:t>1,4</w:t>
            </w:r>
          </w:p>
        </w:tc>
        <w:tc>
          <w:tcPr>
            <w:tcW w:w="0" w:type="dxa"/>
            <w:vAlign w:val="bottom"/>
          </w:tcPr>
          <w:p>
            <w:pPr>
              <w:spacing w:after="0"/>
              <w:rPr>
                <w:sz w:val="1"/>
                <w:szCs w:val="1"/>
                <w:color w:val="auto"/>
              </w:rPr>
            </w:pPr>
          </w:p>
        </w:tc>
      </w:tr>
      <w:tr>
        <w:trPr>
          <w:trHeight w:val="190"/>
        </w:trPr>
        <w:tc>
          <w:tcPr>
            <w:tcW w:w="4360" w:type="dxa"/>
            <w:vAlign w:val="bottom"/>
          </w:tcPr>
          <w:p>
            <w:pPr>
              <w:ind w:left="220"/>
              <w:spacing w:after="0"/>
              <w:rPr>
                <w:sz w:val="20"/>
                <w:szCs w:val="20"/>
                <w:color w:val="auto"/>
              </w:rPr>
            </w:pPr>
            <w:r>
              <w:rPr>
                <w:rFonts w:ascii="Arial" w:cs="Arial" w:eastAsia="Arial" w:hAnsi="Arial"/>
                <w:sz w:val="15"/>
                <w:szCs w:val="15"/>
                <w:b w:val="1"/>
                <w:bCs w:val="1"/>
                <w:color w:val="auto"/>
              </w:rPr>
              <w:t>Accumulated impairment losses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(102,259)</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(65,772)</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w:t>
            </w:r>
          </w:p>
        </w:tc>
        <w:tc>
          <w:tcPr>
            <w:tcW w:w="0" w:type="dxa"/>
            <w:vAlign w:val="bottom"/>
          </w:tcPr>
          <w:p>
            <w:pPr>
              <w:spacing w:after="0"/>
              <w:rPr>
                <w:sz w:val="1"/>
                <w:szCs w:val="1"/>
                <w:color w:val="auto"/>
              </w:rPr>
            </w:pPr>
          </w:p>
        </w:tc>
      </w:tr>
      <w:tr>
        <w:trPr>
          <w:trHeight w:val="166"/>
        </w:trPr>
        <w:tc>
          <w:tcPr>
            <w:tcW w:w="436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994,799</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85,488</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15,411</w:t>
            </w:r>
          </w:p>
        </w:tc>
        <w:tc>
          <w:tcPr>
            <w:tcW w:w="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203,165</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19,052</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ind w:left="180"/>
              <w:spacing w:after="0" w:line="167" w:lineRule="exact"/>
              <w:rPr>
                <w:sz w:val="20"/>
                <w:szCs w:val="20"/>
                <w:color w:val="auto"/>
              </w:rPr>
            </w:pPr>
            <w:r>
              <w:rPr>
                <w:rFonts w:ascii="Arial" w:cs="Arial" w:eastAsia="Arial" w:hAnsi="Arial"/>
                <w:sz w:val="15"/>
                <w:szCs w:val="15"/>
                <w:b w:val="1"/>
                <w:bCs w:val="1"/>
                <w:color w:val="auto"/>
                <w:w w:val="95"/>
              </w:rPr>
              <w:t>1,3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carrying amount of goodwill at the Company’s education division for 2012 and 2011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right"/>
              <w:ind w:right="407"/>
              <w:spacing w:after="0"/>
              <w:rPr>
                <w:sz w:val="20"/>
                <w:szCs w:val="20"/>
                <w:color w:val="auto"/>
              </w:rPr>
            </w:pPr>
            <w:r>
              <w:rPr>
                <w:rFonts w:ascii="Arial" w:cs="Arial" w:eastAsia="Arial" w:hAnsi="Arial"/>
                <w:sz w:val="12"/>
                <w:szCs w:val="12"/>
                <w:b w:val="1"/>
                <w:bCs w:val="1"/>
                <w:color w:val="auto"/>
              </w:rPr>
              <w:t>Higher</w:t>
            </w:r>
          </w:p>
        </w:tc>
        <w:tc>
          <w:tcPr>
            <w:tcW w:w="300" w:type="dxa"/>
            <w:vAlign w:val="bottom"/>
          </w:tcPr>
          <w:p>
            <w:pPr>
              <w:spacing w:after="0"/>
              <w:rPr>
                <w:sz w:val="12"/>
                <w:szCs w:val="12"/>
                <w:color w:val="auto"/>
              </w:rPr>
            </w:pPr>
          </w:p>
        </w:tc>
        <w:tc>
          <w:tcPr>
            <w:tcW w:w="1080" w:type="dxa"/>
            <w:vAlign w:val="bottom"/>
          </w:tcPr>
          <w:p>
            <w:pPr>
              <w:jc w:val="right"/>
              <w:ind w:right="467"/>
              <w:spacing w:after="0"/>
              <w:rPr>
                <w:sz w:val="20"/>
                <w:szCs w:val="20"/>
                <w:color w:val="auto"/>
              </w:rPr>
            </w:pPr>
            <w:r>
              <w:rPr>
                <w:rFonts w:ascii="Arial" w:cs="Arial" w:eastAsia="Arial" w:hAnsi="Arial"/>
                <w:sz w:val="12"/>
                <w:szCs w:val="12"/>
                <w:b w:val="1"/>
                <w:bCs w:val="1"/>
                <w:color w:val="auto"/>
              </w:rPr>
              <w:t>Test</w:t>
            </w:r>
          </w:p>
        </w:tc>
        <w:tc>
          <w:tcPr>
            <w:tcW w:w="280" w:type="dxa"/>
            <w:vAlign w:val="bottom"/>
          </w:tcPr>
          <w:p>
            <w:pPr>
              <w:spacing w:after="0"/>
              <w:rPr>
                <w:sz w:val="12"/>
                <w:szCs w:val="12"/>
                <w:color w:val="auto"/>
              </w:rPr>
            </w:pPr>
          </w:p>
        </w:tc>
        <w:tc>
          <w:tcPr>
            <w:tcW w:w="1080" w:type="dxa"/>
            <w:vAlign w:val="bottom"/>
          </w:tcPr>
          <w:p>
            <w:pPr>
              <w:jc w:val="right"/>
              <w:ind w:right="387"/>
              <w:spacing w:after="0"/>
              <w:rPr>
                <w:sz w:val="20"/>
                <w:szCs w:val="20"/>
                <w:color w:val="auto"/>
              </w:rPr>
            </w:pPr>
            <w:r>
              <w:rPr>
                <w:rFonts w:ascii="Arial" w:cs="Arial" w:eastAsia="Arial" w:hAnsi="Arial"/>
                <w:sz w:val="12"/>
                <w:szCs w:val="12"/>
                <w:b w:val="1"/>
                <w:bCs w:val="1"/>
                <w:color w:val="auto"/>
              </w:rPr>
              <w:t>Kaplan</w:t>
            </w:r>
          </w:p>
        </w:tc>
        <w:tc>
          <w:tcPr>
            <w:tcW w:w="360" w:type="dxa"/>
            <w:vAlign w:val="bottom"/>
          </w:tcPr>
          <w:p>
            <w:pPr>
              <w:spacing w:after="0"/>
              <w:rPr>
                <w:sz w:val="12"/>
                <w:szCs w:val="12"/>
                <w:color w:val="auto"/>
              </w:rPr>
            </w:pPr>
          </w:p>
        </w:tc>
        <w:tc>
          <w:tcPr>
            <w:tcW w:w="880" w:type="dxa"/>
            <w:vAlign w:val="bottom"/>
          </w:tcPr>
          <w:p>
            <w:pPr>
              <w:jc w:val="right"/>
              <w:ind w:right="327"/>
              <w:spacing w:after="0"/>
              <w:rPr>
                <w:sz w:val="20"/>
                <w:szCs w:val="20"/>
                <w:color w:val="auto"/>
              </w:rPr>
            </w:pPr>
            <w:r>
              <w:rPr>
                <w:rFonts w:ascii="Arial" w:cs="Arial" w:eastAsia="Arial" w:hAnsi="Arial"/>
                <w:sz w:val="12"/>
                <w:szCs w:val="12"/>
                <w:b w:val="1"/>
                <w:bCs w:val="1"/>
                <w:color w:val="auto"/>
              </w:rPr>
              <w:t>Kaplan</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07"/>
              <w:spacing w:after="0"/>
              <w:rPr>
                <w:sz w:val="20"/>
                <w:szCs w:val="20"/>
                <w:color w:val="auto"/>
              </w:rPr>
            </w:pPr>
            <w:r>
              <w:rPr>
                <w:rFonts w:ascii="Arial" w:cs="Arial" w:eastAsia="Arial" w:hAnsi="Arial"/>
                <w:sz w:val="12"/>
                <w:szCs w:val="12"/>
                <w:b w:val="1"/>
                <w:bCs w:val="1"/>
                <w:color w:val="auto"/>
              </w:rPr>
              <w:t>Education</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b w:val="1"/>
                <w:bCs w:val="1"/>
                <w:color w:val="auto"/>
              </w:rPr>
              <w:t>Preparation</w:t>
            </w: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07"/>
              <w:spacing w:after="0"/>
              <w:rPr>
                <w:sz w:val="20"/>
                <w:szCs w:val="20"/>
                <w:color w:val="auto"/>
              </w:rPr>
            </w:pPr>
            <w:r>
              <w:rPr>
                <w:rFonts w:ascii="Arial" w:cs="Arial" w:eastAsia="Arial" w:hAnsi="Arial"/>
                <w:sz w:val="12"/>
                <w:szCs w:val="12"/>
                <w:b w:val="1"/>
                <w:bCs w:val="1"/>
                <w:color w:val="auto"/>
              </w:rPr>
              <w:t>International</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67"/>
              <w:spacing w:after="0"/>
              <w:rPr>
                <w:sz w:val="20"/>
                <w:szCs w:val="20"/>
                <w:color w:val="auto"/>
              </w:rPr>
            </w:pPr>
            <w:r>
              <w:rPr>
                <w:rFonts w:ascii="Arial" w:cs="Arial" w:eastAsia="Arial" w:hAnsi="Arial"/>
                <w:sz w:val="12"/>
                <w:szCs w:val="12"/>
                <w:b w:val="1"/>
                <w:bCs w:val="1"/>
                <w:color w:val="auto"/>
              </w:rPr>
              <w:t>Ventures</w:t>
            </w:r>
          </w:p>
        </w:tc>
        <w:tc>
          <w:tcPr>
            <w:tcW w:w="4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20"/>
                <w:szCs w:val="20"/>
                <w:color w:val="auto"/>
              </w:rPr>
            </w:pPr>
            <w:r>
              <w:rPr>
                <w:rFonts w:ascii="Arial" w:cs="Arial" w:eastAsia="Arial" w:hAnsi="Arial"/>
                <w:sz w:val="15"/>
                <w:szCs w:val="15"/>
                <w:color w:val="auto"/>
              </w:rPr>
              <w:t>Balance as of January 2, 2011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2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335,226</w:t>
            </w:r>
          </w:p>
        </w:tc>
        <w:tc>
          <w:tcPr>
            <w:tcW w:w="30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7"/>
              <w:spacing w:after="0"/>
              <w:rPr>
                <w:sz w:val="20"/>
                <w:szCs w:val="20"/>
                <w:color w:val="auto"/>
              </w:rPr>
            </w:pPr>
            <w:r>
              <w:rPr>
                <w:rFonts w:ascii="Arial" w:cs="Arial" w:eastAsia="Arial" w:hAnsi="Arial"/>
                <w:sz w:val="15"/>
                <w:szCs w:val="15"/>
                <w:color w:val="auto"/>
              </w:rPr>
              <w:t>229,486</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444,940</w:t>
            </w:r>
          </w:p>
        </w:tc>
        <w:tc>
          <w:tcPr>
            <w:tcW w:w="3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7"/>
              <w:spacing w:after="0"/>
              <w:rPr>
                <w:sz w:val="20"/>
                <w:szCs w:val="20"/>
                <w:color w:val="auto"/>
              </w:rPr>
            </w:pPr>
            <w:r>
              <w:rPr>
                <w:rFonts w:ascii="Arial" w:cs="Arial" w:eastAsia="Arial" w:hAnsi="Arial"/>
                <w:sz w:val="15"/>
                <w:szCs w:val="15"/>
                <w:color w:val="auto"/>
              </w:rPr>
              <w:t>63,437</w:t>
            </w:r>
          </w:p>
        </w:tc>
        <w:tc>
          <w:tcPr>
            <w:tcW w:w="460" w:type="dxa"/>
            <w:vAlign w:val="bottom"/>
          </w:tcPr>
          <w:p>
            <w:pPr>
              <w:jc w:val="right"/>
              <w:ind w:right="166"/>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9"/>
        </w:trPr>
        <w:tc>
          <w:tcPr>
            <w:tcW w:w="492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(7,037)</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(8,492)</w:t>
            </w: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335,226</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222,449</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444,940</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54,945</w:t>
            </w: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5"/>
        </w:trPr>
        <w:tc>
          <w:tcPr>
            <w:tcW w:w="4920" w:type="dxa"/>
            <w:vAlign w:val="bottom"/>
          </w:tcPr>
          <w:p>
            <w:pPr>
              <w:spacing w:after="0"/>
              <w:rPr>
                <w:sz w:val="20"/>
                <w:szCs w:val="20"/>
                <w:color w:val="auto"/>
              </w:rPr>
            </w:pPr>
            <w:r>
              <w:rPr>
                <w:rFonts w:ascii="Arial" w:cs="Arial" w:eastAsia="Arial" w:hAnsi="Arial"/>
                <w:sz w:val="15"/>
                <w:szCs w:val="15"/>
                <w:color w:val="auto"/>
              </w:rPr>
              <w:t>Reallocation, net</w:t>
            </w:r>
          </w:p>
        </w:tc>
        <w:tc>
          <w:tcPr>
            <w:tcW w:w="18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91,043</w:t>
            </w:r>
          </w:p>
        </w:tc>
        <w:tc>
          <w:tcPr>
            <w:tcW w:w="300" w:type="dxa"/>
            <w:vAlign w:val="bottom"/>
          </w:tcPr>
          <w:p>
            <w:pPr>
              <w:spacing w:after="0"/>
              <w:rPr>
                <w:sz w:val="16"/>
                <w:szCs w:val="16"/>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color w:val="auto"/>
              </w:rPr>
              <w:t>(70,262)</w:t>
            </w:r>
          </w:p>
        </w:tc>
        <w:tc>
          <w:tcPr>
            <w:tcW w:w="28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5"/>
                <w:szCs w:val="15"/>
                <w:color w:val="auto"/>
              </w:rPr>
              <w:t>(20,781)</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Acquisitions</w:t>
            </w:r>
          </w:p>
        </w:tc>
        <w:tc>
          <w:tcPr>
            <w:tcW w:w="18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422</w:t>
            </w:r>
          </w:p>
        </w:tc>
        <w:tc>
          <w:tcPr>
            <w:tcW w:w="300" w:type="dxa"/>
            <w:vAlign w:val="bottom"/>
          </w:tcPr>
          <w:p>
            <w:pPr>
              <w:spacing w:after="0"/>
              <w:rPr>
                <w:sz w:val="16"/>
                <w:szCs w:val="16"/>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74,803</w:t>
            </w:r>
          </w:p>
        </w:tc>
        <w:tc>
          <w:tcPr>
            <w:tcW w:w="3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5"/>
                <w:szCs w:val="15"/>
                <w:color w:val="auto"/>
              </w:rPr>
              <w:t>3,418</w:t>
            </w: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20"/>
                <w:szCs w:val="20"/>
                <w:color w:val="auto"/>
              </w:rPr>
            </w:pPr>
            <w:r>
              <w:rPr>
                <w:rFonts w:ascii="Arial" w:cs="Arial" w:eastAsia="Arial" w:hAnsi="Arial"/>
                <w:sz w:val="15"/>
                <w:szCs w:val="15"/>
                <w:color w:val="auto"/>
              </w:rPr>
              <w:t>Dispositions</w:t>
            </w:r>
          </w:p>
        </w:tc>
        <w:tc>
          <w:tcPr>
            <w:tcW w:w="18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(17,479)</w:t>
            </w:r>
          </w:p>
        </w:tc>
        <w:tc>
          <w:tcPr>
            <w:tcW w:w="300" w:type="dxa"/>
            <w:vAlign w:val="bottom"/>
          </w:tcPr>
          <w:p>
            <w:pPr>
              <w:spacing w:after="0"/>
              <w:rPr>
                <w:sz w:val="16"/>
                <w:szCs w:val="16"/>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880" w:type="dxa"/>
            <w:vAlign w:val="bottom"/>
          </w:tcPr>
          <w:p>
            <w:pPr>
              <w:jc w:val="right"/>
              <w:ind w:right="67"/>
              <w:spacing w:after="0"/>
              <w:rPr>
                <w:sz w:val="20"/>
                <w:szCs w:val="20"/>
                <w:color w:val="auto"/>
              </w:rPr>
            </w:pPr>
            <w:r>
              <w:rPr>
                <w:rFonts w:ascii="Arial" w:cs="Arial" w:eastAsia="Arial" w:hAnsi="Arial"/>
                <w:sz w:val="15"/>
                <w:szCs w:val="15"/>
                <w:color w:val="auto"/>
              </w:rPr>
              <w:t>(3,665)</w:t>
            </w:r>
          </w:p>
        </w:tc>
        <w:tc>
          <w:tcPr>
            <w:tcW w:w="4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9"/>
        </w:trPr>
        <w:tc>
          <w:tcPr>
            <w:tcW w:w="4920" w:type="dxa"/>
            <w:vAlign w:val="bottom"/>
          </w:tcPr>
          <w:p>
            <w:pPr>
              <w:spacing w:after="0"/>
              <w:rPr>
                <w:sz w:val="20"/>
                <w:szCs w:val="20"/>
                <w:color w:val="auto"/>
              </w:rPr>
            </w:pPr>
            <w:r>
              <w:rPr>
                <w:rFonts w:ascii="Arial" w:cs="Arial" w:eastAsia="Arial" w:hAnsi="Arial"/>
                <w:sz w:val="15"/>
                <w:szCs w:val="15"/>
                <w:color w:val="auto"/>
              </w:rPr>
              <w:t>Foreign currency exchange rate changes and other</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(84)</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(3,807)</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(3,045)</w:t>
            </w: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4920" w:type="dxa"/>
            <w:vAlign w:val="bottom"/>
          </w:tcPr>
          <w:p>
            <w:pPr>
              <w:spacing w:after="0" w:line="168" w:lineRule="exact"/>
              <w:rPr>
                <w:sz w:val="20"/>
                <w:szCs w:val="20"/>
                <w:color w:val="auto"/>
              </w:rPr>
            </w:pPr>
            <w:r>
              <w:rPr>
                <w:rFonts w:ascii="Arial" w:cs="Arial" w:eastAsia="Arial" w:hAnsi="Arial"/>
                <w:sz w:val="15"/>
                <w:szCs w:val="15"/>
                <w:color w:val="auto"/>
              </w:rPr>
              <w:t>Balance as of December 31, 2011</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20" w:type="dxa"/>
            <w:vAlign w:val="bottom"/>
          </w:tcPr>
          <w:p>
            <w:pPr>
              <w:ind w:left="2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409,128</w:t>
            </w:r>
          </w:p>
        </w:tc>
        <w:tc>
          <w:tcPr>
            <w:tcW w:w="3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color w:val="auto"/>
              </w:rPr>
              <w:t>152,187</w:t>
            </w:r>
          </w:p>
        </w:tc>
        <w:tc>
          <w:tcPr>
            <w:tcW w:w="2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color w:val="auto"/>
              </w:rPr>
              <w:t>515,936</w:t>
            </w:r>
          </w:p>
        </w:tc>
        <w:tc>
          <w:tcPr>
            <w:tcW w:w="360" w:type="dxa"/>
            <w:vAlign w:val="bottom"/>
          </w:tcPr>
          <w:p>
            <w:pPr>
              <w:spacing w:after="0"/>
              <w:rPr>
                <w:sz w:val="15"/>
                <w:szCs w:val="15"/>
                <w:color w:val="auto"/>
              </w:rPr>
            </w:pPr>
          </w:p>
        </w:tc>
        <w:tc>
          <w:tcPr>
            <w:tcW w:w="880" w:type="dxa"/>
            <w:vAlign w:val="bottom"/>
          </w:tcPr>
          <w:p>
            <w:pPr>
              <w:jc w:val="right"/>
              <w:ind w:right="67"/>
              <w:spacing w:after="0"/>
              <w:rPr>
                <w:sz w:val="20"/>
                <w:szCs w:val="20"/>
                <w:color w:val="auto"/>
              </w:rPr>
            </w:pPr>
            <w:r>
              <w:rPr>
                <w:rFonts w:ascii="Arial" w:cs="Arial" w:eastAsia="Arial" w:hAnsi="Arial"/>
                <w:sz w:val="15"/>
                <w:szCs w:val="15"/>
                <w:color w:val="auto"/>
              </w:rPr>
              <w:t>39,364</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2"/>
        </w:trPr>
        <w:tc>
          <w:tcPr>
            <w:tcW w:w="4920" w:type="dxa"/>
            <w:vAlign w:val="bottom"/>
          </w:tcPr>
          <w:p>
            <w:pPr>
              <w:ind w:left="220"/>
              <w:spacing w:after="0"/>
              <w:rPr>
                <w:sz w:val="20"/>
                <w:szCs w:val="20"/>
                <w:color w:val="auto"/>
              </w:rPr>
            </w:pPr>
            <w:r>
              <w:rPr>
                <w:rFonts w:ascii="Arial" w:cs="Arial" w:eastAsia="Arial" w:hAnsi="Arial"/>
                <w:sz w:val="15"/>
                <w:szCs w:val="15"/>
                <w:color w:val="auto"/>
              </w:rPr>
              <w:t>Accumulated impairment losses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(8,492)</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4920" w:type="dxa"/>
            <w:vAlign w:val="bottom"/>
            <w:vMerge w:val="restart"/>
          </w:tcPr>
          <w:p>
            <w:pPr>
              <w:spacing w:after="0"/>
              <w:rPr>
                <w:sz w:val="20"/>
                <w:szCs w:val="20"/>
                <w:color w:val="auto"/>
              </w:rPr>
            </w:pPr>
            <w:r>
              <w:rPr>
                <w:rFonts w:ascii="Arial" w:cs="Arial" w:eastAsia="Arial" w:hAnsi="Arial"/>
                <w:sz w:val="15"/>
                <w:szCs w:val="15"/>
                <w:b w:val="1"/>
                <w:bCs w:val="1"/>
                <w:color w:val="auto"/>
              </w:rPr>
              <w:t>Acquisitions</w:t>
            </w: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409,128</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152,187</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515,936</w:t>
            </w: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30,872</w:t>
            </w: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50"/>
        </w:trPr>
        <w:tc>
          <w:tcPr>
            <w:tcW w:w="49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67"/>
              <w:spacing w:after="0" w:line="150" w:lineRule="exact"/>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3"/>
                <w:szCs w:val="13"/>
                <w:color w:val="auto"/>
              </w:rPr>
            </w:pPr>
          </w:p>
        </w:tc>
        <w:tc>
          <w:tcPr>
            <w:tcW w:w="1080" w:type="dxa"/>
            <w:vAlign w:val="bottom"/>
          </w:tcPr>
          <w:p>
            <w:pPr>
              <w:jc w:val="right"/>
              <w:ind w:right="47"/>
              <w:spacing w:after="0" w:line="150"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3"/>
                <w:szCs w:val="13"/>
                <w:color w:val="auto"/>
              </w:rPr>
            </w:pPr>
          </w:p>
        </w:tc>
        <w:tc>
          <w:tcPr>
            <w:tcW w:w="1080" w:type="dxa"/>
            <w:vAlign w:val="bottom"/>
          </w:tcPr>
          <w:p>
            <w:pPr>
              <w:jc w:val="right"/>
              <w:ind w:right="67"/>
              <w:spacing w:after="0" w:line="150" w:lineRule="exact"/>
              <w:rPr>
                <w:sz w:val="20"/>
                <w:szCs w:val="20"/>
                <w:color w:val="auto"/>
              </w:rPr>
            </w:pPr>
            <w:r>
              <w:rPr>
                <w:rFonts w:ascii="Arial" w:cs="Arial" w:eastAsia="Arial" w:hAnsi="Arial"/>
                <w:sz w:val="15"/>
                <w:szCs w:val="15"/>
                <w:b w:val="1"/>
                <w:bCs w:val="1"/>
                <w:color w:val="auto"/>
              </w:rPr>
              <w:t>7,364</w:t>
            </w:r>
          </w:p>
        </w:tc>
        <w:tc>
          <w:tcPr>
            <w:tcW w:w="360" w:type="dxa"/>
            <w:vAlign w:val="bottom"/>
          </w:tcPr>
          <w:p>
            <w:pPr>
              <w:spacing w:after="0"/>
              <w:rPr>
                <w:sz w:val="13"/>
                <w:szCs w:val="13"/>
                <w:color w:val="auto"/>
              </w:rPr>
            </w:pPr>
          </w:p>
        </w:tc>
        <w:tc>
          <w:tcPr>
            <w:tcW w:w="880" w:type="dxa"/>
            <w:vAlign w:val="bottom"/>
          </w:tcPr>
          <w:p>
            <w:pPr>
              <w:jc w:val="right"/>
              <w:ind w:right="67"/>
              <w:spacing w:after="0" w:line="150" w:lineRule="exact"/>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920" w:type="dxa"/>
            <w:vAlign w:val="bottom"/>
          </w:tcPr>
          <w:p>
            <w:pPr>
              <w:spacing w:after="0"/>
              <w:rPr>
                <w:sz w:val="20"/>
                <w:szCs w:val="20"/>
                <w:color w:val="auto"/>
              </w:rPr>
            </w:pPr>
            <w:r>
              <w:rPr>
                <w:rFonts w:ascii="Arial" w:cs="Arial" w:eastAsia="Arial" w:hAnsi="Arial"/>
                <w:sz w:val="15"/>
                <w:szCs w:val="15"/>
                <w:b w:val="1"/>
                <w:bCs w:val="1"/>
                <w:color w:val="auto"/>
              </w:rPr>
              <w:t>Impairment</w:t>
            </w:r>
          </w:p>
        </w:tc>
        <w:tc>
          <w:tcPr>
            <w:tcW w:w="1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(102,259)</w:t>
            </w:r>
          </w:p>
        </w:tc>
        <w:tc>
          <w:tcPr>
            <w:tcW w:w="2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88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0" w:type="dxa"/>
            <w:vAlign w:val="bottom"/>
          </w:tcPr>
          <w:p>
            <w:pPr>
              <w:spacing w:after="0"/>
              <w:rPr>
                <w:sz w:val="1"/>
                <w:szCs w:val="1"/>
                <w:color w:val="auto"/>
              </w:rPr>
            </w:pPr>
          </w:p>
        </w:tc>
      </w:tr>
      <w:tr>
        <w:trPr>
          <w:trHeight w:val="174"/>
        </w:trPr>
        <w:tc>
          <w:tcPr>
            <w:tcW w:w="4920" w:type="dxa"/>
            <w:vAlign w:val="bottom"/>
          </w:tcPr>
          <w:p>
            <w:pPr>
              <w:spacing w:after="0"/>
              <w:rPr>
                <w:sz w:val="20"/>
                <w:szCs w:val="20"/>
                <w:color w:val="auto"/>
              </w:rPr>
            </w:pPr>
            <w:r>
              <w:rPr>
                <w:rFonts w:ascii="Arial" w:cs="Arial" w:eastAsia="Arial" w:hAnsi="Arial"/>
                <w:sz w:val="15"/>
                <w:szCs w:val="15"/>
                <w:b w:val="1"/>
                <w:bCs w:val="1"/>
                <w:color w:val="auto"/>
              </w:rPr>
              <w:t>Dispositions</w:t>
            </w:r>
          </w:p>
        </w:tc>
        <w:tc>
          <w:tcPr>
            <w:tcW w:w="1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5"/>
                <w:szCs w:val="15"/>
                <w:color w:val="auto"/>
              </w:rPr>
            </w:pPr>
          </w:p>
        </w:tc>
        <w:tc>
          <w:tcPr>
            <w:tcW w:w="880" w:type="dxa"/>
            <w:vAlign w:val="bottom"/>
          </w:tcPr>
          <w:p>
            <w:pPr>
              <w:jc w:val="right"/>
              <w:ind w:right="67"/>
              <w:spacing w:after="0"/>
              <w:rPr>
                <w:sz w:val="20"/>
                <w:szCs w:val="20"/>
                <w:color w:val="auto"/>
              </w:rPr>
            </w:pPr>
            <w:r>
              <w:rPr>
                <w:rFonts w:ascii="Arial" w:cs="Arial" w:eastAsia="Arial" w:hAnsi="Arial"/>
                <w:sz w:val="15"/>
                <w:szCs w:val="15"/>
                <w:b w:val="1"/>
                <w:bCs w:val="1"/>
                <w:color w:val="auto"/>
              </w:rPr>
              <w:t>(29,000)</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20"/>
                <w:szCs w:val="20"/>
                <w:color w:val="auto"/>
              </w:rPr>
            </w:pPr>
            <w:r>
              <w:rPr>
                <w:rFonts w:ascii="Arial" w:cs="Arial" w:eastAsia="Arial" w:hAnsi="Arial"/>
                <w:sz w:val="15"/>
                <w:szCs w:val="15"/>
                <w:b w:val="1"/>
                <w:bCs w:val="1"/>
                <w:color w:val="auto"/>
              </w:rPr>
              <w:t>Foreign currency exchange rate changes and other</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56</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12,387</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(1,872)</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4920" w:type="dxa"/>
            <w:vAlign w:val="bottom"/>
          </w:tcPr>
          <w:p>
            <w:pPr>
              <w:spacing w:after="0"/>
              <w:rPr>
                <w:sz w:val="20"/>
                <w:szCs w:val="20"/>
                <w:color w:val="auto"/>
              </w:rPr>
            </w:pPr>
            <w:r>
              <w:rPr>
                <w:rFonts w:ascii="Arial" w:cs="Arial" w:eastAsia="Arial" w:hAnsi="Arial"/>
                <w:sz w:val="15"/>
                <w:szCs w:val="15"/>
                <w:b w:val="1"/>
                <w:bCs w:val="1"/>
                <w:color w:val="auto"/>
              </w:rPr>
              <w:t>Balance as of December 31, 2012</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920" w:type="dxa"/>
            <w:vAlign w:val="bottom"/>
          </w:tcPr>
          <w:p>
            <w:pPr>
              <w:ind w:left="220"/>
              <w:spacing w:after="0"/>
              <w:rPr>
                <w:sz w:val="20"/>
                <w:szCs w:val="20"/>
                <w:color w:val="auto"/>
              </w:rPr>
            </w:pPr>
            <w:r>
              <w:rPr>
                <w:rFonts w:ascii="Arial" w:cs="Arial" w:eastAsia="Arial" w:hAnsi="Arial"/>
                <w:sz w:val="15"/>
                <w:szCs w:val="15"/>
                <w:b w:val="1"/>
                <w:bCs w:val="1"/>
                <w:color w:val="auto"/>
              </w:rPr>
              <w:t>Goodwill</w:t>
            </w:r>
          </w:p>
        </w:tc>
        <w:tc>
          <w:tcPr>
            <w:tcW w:w="1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409,184</w:t>
            </w:r>
          </w:p>
        </w:tc>
        <w:tc>
          <w:tcPr>
            <w:tcW w:w="3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Arial" w:cs="Arial" w:eastAsia="Arial" w:hAnsi="Arial"/>
                <w:sz w:val="15"/>
                <w:szCs w:val="15"/>
                <w:b w:val="1"/>
                <w:bCs w:val="1"/>
                <w:color w:val="auto"/>
              </w:rPr>
              <w:t>152,187</w:t>
            </w:r>
          </w:p>
        </w:tc>
        <w:tc>
          <w:tcPr>
            <w:tcW w:w="280" w:type="dxa"/>
            <w:vAlign w:val="bottom"/>
          </w:tcPr>
          <w:p>
            <w:pPr>
              <w:spacing w:after="0"/>
              <w:rPr>
                <w:sz w:val="15"/>
                <w:szCs w:val="15"/>
                <w:color w:val="auto"/>
              </w:rPr>
            </w:pPr>
          </w:p>
        </w:tc>
        <w:tc>
          <w:tcPr>
            <w:tcW w:w="1080" w:type="dxa"/>
            <w:vAlign w:val="bottom"/>
          </w:tcPr>
          <w:p>
            <w:pPr>
              <w:jc w:val="right"/>
              <w:ind w:right="67"/>
              <w:spacing w:after="0"/>
              <w:rPr>
                <w:sz w:val="20"/>
                <w:szCs w:val="20"/>
                <w:color w:val="auto"/>
              </w:rPr>
            </w:pPr>
            <w:r>
              <w:rPr>
                <w:rFonts w:ascii="Arial" w:cs="Arial" w:eastAsia="Arial" w:hAnsi="Arial"/>
                <w:sz w:val="15"/>
                <w:szCs w:val="15"/>
                <w:b w:val="1"/>
                <w:bCs w:val="1"/>
                <w:color w:val="auto"/>
              </w:rPr>
              <w:t>535,687</w:t>
            </w:r>
          </w:p>
        </w:tc>
        <w:tc>
          <w:tcPr>
            <w:tcW w:w="360" w:type="dxa"/>
            <w:vAlign w:val="bottom"/>
          </w:tcPr>
          <w:p>
            <w:pPr>
              <w:spacing w:after="0"/>
              <w:rPr>
                <w:sz w:val="15"/>
                <w:szCs w:val="15"/>
                <w:color w:val="auto"/>
              </w:rPr>
            </w:pPr>
          </w:p>
        </w:tc>
        <w:tc>
          <w:tcPr>
            <w:tcW w:w="880" w:type="dxa"/>
            <w:vAlign w:val="bottom"/>
          </w:tcPr>
          <w:p>
            <w:pPr>
              <w:jc w:val="right"/>
              <w:ind w:right="67"/>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b w:val="1"/>
                <w:bCs w:val="1"/>
                <w:color w:val="auto"/>
              </w:rPr>
              <w:t>1,0</w:t>
            </w:r>
          </w:p>
        </w:tc>
        <w:tc>
          <w:tcPr>
            <w:tcW w:w="0" w:type="dxa"/>
            <w:vAlign w:val="bottom"/>
          </w:tcPr>
          <w:p>
            <w:pPr>
              <w:spacing w:after="0"/>
              <w:rPr>
                <w:sz w:val="1"/>
                <w:szCs w:val="1"/>
                <w:color w:val="auto"/>
              </w:rPr>
            </w:pPr>
          </w:p>
        </w:tc>
      </w:tr>
      <w:tr>
        <w:trPr>
          <w:trHeight w:val="190"/>
        </w:trPr>
        <w:tc>
          <w:tcPr>
            <w:tcW w:w="4920" w:type="dxa"/>
            <w:vAlign w:val="bottom"/>
          </w:tcPr>
          <w:p>
            <w:pPr>
              <w:ind w:left="220"/>
              <w:spacing w:after="0"/>
              <w:rPr>
                <w:sz w:val="20"/>
                <w:szCs w:val="20"/>
                <w:color w:val="auto"/>
              </w:rPr>
            </w:pPr>
            <w:r>
              <w:rPr>
                <w:rFonts w:ascii="Arial" w:cs="Arial" w:eastAsia="Arial" w:hAnsi="Arial"/>
                <w:sz w:val="15"/>
                <w:szCs w:val="15"/>
                <w:b w:val="1"/>
                <w:bCs w:val="1"/>
                <w:color w:val="auto"/>
              </w:rPr>
              <w:t>Accumulated impairment losses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(102,259)</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w:t>
            </w:r>
          </w:p>
        </w:tc>
        <w:tc>
          <w:tcPr>
            <w:tcW w:w="0" w:type="dxa"/>
            <w:vAlign w:val="bottom"/>
          </w:tcPr>
          <w:p>
            <w:pPr>
              <w:spacing w:after="0"/>
              <w:rPr>
                <w:sz w:val="1"/>
                <w:szCs w:val="1"/>
                <w:color w:val="auto"/>
              </w:rPr>
            </w:pPr>
          </w:p>
        </w:tc>
      </w:tr>
      <w:tr>
        <w:trPr>
          <w:trHeight w:val="166"/>
        </w:trPr>
        <w:tc>
          <w:tcPr>
            <w:tcW w:w="4920" w:type="dxa"/>
            <w:vAlign w:val="bottom"/>
          </w:tcPr>
          <w:p>
            <w:pPr>
              <w:spacing w:after="0"/>
              <w:rPr>
                <w:sz w:val="14"/>
                <w:szCs w:val="14"/>
                <w:color w:val="auto"/>
              </w:rPr>
            </w:pPr>
          </w:p>
        </w:tc>
        <w:tc>
          <w:tcPr>
            <w:tcW w:w="1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w w:val="95"/>
              </w:rPr>
              <w:t>$</w:t>
            </w:r>
          </w:p>
        </w:tc>
        <w:tc>
          <w:tcPr>
            <w:tcW w:w="10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409,184</w:t>
            </w: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49,928</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535,687</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24" w:right="1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auto"/>
        </w:rPr>
        <w:t>Other intangible assets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As of December 31, 2012</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2"/>
                <w:szCs w:val="12"/>
                <w:color w:val="auto"/>
              </w:rPr>
              <w:t>As of December 31, 2011</w:t>
            </w:r>
          </w:p>
        </w:tc>
        <w:tc>
          <w:tcPr>
            <w:tcW w:w="0" w:type="dxa"/>
            <w:vAlign w:val="bottom"/>
          </w:tcPr>
          <w:p>
            <w:pPr>
              <w:spacing w:after="0"/>
              <w:rPr>
                <w:sz w:val="1"/>
                <w:szCs w:val="1"/>
                <w:color w:val="auto"/>
              </w:rPr>
            </w:pPr>
          </w:p>
        </w:tc>
      </w:tr>
      <w:tr>
        <w:trPr>
          <w:trHeight w:val="114"/>
        </w:trPr>
        <w:tc>
          <w:tcPr>
            <w:tcW w:w="29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jc w:val="center"/>
              <w:ind w:right="8"/>
              <w:spacing w:after="0" w:line="114" w:lineRule="exact"/>
              <w:rPr>
                <w:sz w:val="20"/>
                <w:szCs w:val="20"/>
                <w:color w:val="auto"/>
              </w:rPr>
            </w:pPr>
            <w:r>
              <w:rPr>
                <w:rFonts w:ascii="Arial" w:cs="Arial" w:eastAsia="Arial" w:hAnsi="Arial"/>
                <w:sz w:val="12"/>
                <w:szCs w:val="12"/>
                <w:b w:val="1"/>
                <w:bCs w:val="1"/>
                <w:color w:val="auto"/>
              </w:rPr>
              <w:t>Gross</w:t>
            </w: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jc w:val="center"/>
              <w:ind w:right="210"/>
              <w:spacing w:after="0" w:line="114" w:lineRule="exact"/>
              <w:rPr>
                <w:sz w:val="20"/>
                <w:szCs w:val="20"/>
                <w:color w:val="auto"/>
              </w:rPr>
            </w:pPr>
            <w:r>
              <w:rPr>
                <w:rFonts w:ascii="Arial" w:cs="Arial" w:eastAsia="Arial" w:hAnsi="Arial"/>
                <w:sz w:val="12"/>
                <w:szCs w:val="12"/>
                <w:b w:val="1"/>
                <w:bCs w:val="1"/>
                <w:color w:val="auto"/>
              </w:rPr>
              <w:t>Net</w:t>
            </w:r>
          </w:p>
        </w:tc>
        <w:tc>
          <w:tcPr>
            <w:tcW w:w="180" w:type="dxa"/>
            <w:vAlign w:val="bottom"/>
          </w:tcPr>
          <w:p>
            <w:pPr>
              <w:spacing w:after="0"/>
              <w:rPr>
                <w:sz w:val="9"/>
                <w:szCs w:val="9"/>
                <w:color w:val="auto"/>
              </w:rPr>
            </w:pPr>
          </w:p>
        </w:tc>
        <w:tc>
          <w:tcPr>
            <w:tcW w:w="840" w:type="dxa"/>
            <w:vAlign w:val="bottom"/>
          </w:tcPr>
          <w:p>
            <w:pPr>
              <w:jc w:val="center"/>
              <w:ind w:right="109"/>
              <w:spacing w:after="0" w:line="114" w:lineRule="exact"/>
              <w:rPr>
                <w:sz w:val="20"/>
                <w:szCs w:val="20"/>
                <w:color w:val="auto"/>
              </w:rPr>
            </w:pPr>
            <w:r>
              <w:rPr>
                <w:rFonts w:ascii="Arial" w:cs="Arial" w:eastAsia="Arial" w:hAnsi="Arial"/>
                <w:sz w:val="12"/>
                <w:szCs w:val="12"/>
                <w:color w:val="auto"/>
              </w:rPr>
              <w:t>Gross</w:t>
            </w: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620" w:type="dxa"/>
            <w:vAlign w:val="bottom"/>
          </w:tcPr>
          <w:p>
            <w:pPr>
              <w:jc w:val="right"/>
              <w:spacing w:after="0" w:line="114" w:lineRule="exact"/>
              <w:rPr>
                <w:sz w:val="20"/>
                <w:szCs w:val="20"/>
                <w:color w:val="auto"/>
              </w:rPr>
            </w:pPr>
            <w:r>
              <w:rPr>
                <w:rFonts w:ascii="Arial" w:cs="Arial" w:eastAsia="Arial" w:hAnsi="Arial"/>
                <w:sz w:val="12"/>
                <w:szCs w:val="12"/>
                <w:color w:val="auto"/>
              </w:rPr>
              <w:t>Ne</w:t>
            </w: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1420" w:type="dxa"/>
            <w:vAlign w:val="bottom"/>
          </w:tcPr>
          <w:p>
            <w:pPr>
              <w:jc w:val="center"/>
              <w:ind w:left="49"/>
              <w:spacing w:after="0" w:line="137" w:lineRule="exact"/>
              <w:rPr>
                <w:sz w:val="20"/>
                <w:szCs w:val="20"/>
                <w:color w:val="auto"/>
              </w:rPr>
            </w:pPr>
            <w:r>
              <w:rPr>
                <w:rFonts w:ascii="Arial" w:cs="Arial" w:eastAsia="Arial" w:hAnsi="Arial"/>
                <w:sz w:val="12"/>
                <w:szCs w:val="12"/>
                <w:b w:val="1"/>
                <w:bCs w:val="1"/>
                <w:color w:val="auto"/>
              </w:rPr>
              <w:t>Useful Life</w:t>
            </w:r>
          </w:p>
        </w:tc>
        <w:tc>
          <w:tcPr>
            <w:tcW w:w="200" w:type="dxa"/>
            <w:vAlign w:val="bottom"/>
          </w:tcPr>
          <w:p>
            <w:pPr>
              <w:spacing w:after="0"/>
              <w:rPr>
                <w:sz w:val="11"/>
                <w:szCs w:val="11"/>
                <w:color w:val="auto"/>
              </w:rPr>
            </w:pPr>
          </w:p>
        </w:tc>
        <w:tc>
          <w:tcPr>
            <w:tcW w:w="840" w:type="dxa"/>
            <w:vAlign w:val="bottom"/>
          </w:tcPr>
          <w:p>
            <w:pPr>
              <w:jc w:val="center"/>
              <w:ind w:right="28"/>
              <w:spacing w:after="0" w:line="137" w:lineRule="exact"/>
              <w:rPr>
                <w:sz w:val="20"/>
                <w:szCs w:val="20"/>
                <w:color w:val="auto"/>
              </w:rPr>
            </w:pPr>
            <w:r>
              <w:rPr>
                <w:rFonts w:ascii="Arial" w:cs="Arial" w:eastAsia="Arial" w:hAnsi="Arial"/>
                <w:sz w:val="12"/>
                <w:szCs w:val="12"/>
                <w:b w:val="1"/>
                <w:bCs w:val="1"/>
                <w:color w:val="auto"/>
              </w:rPr>
              <w:t>Carrying</w:t>
            </w:r>
          </w:p>
        </w:tc>
        <w:tc>
          <w:tcPr>
            <w:tcW w:w="400" w:type="dxa"/>
            <w:vAlign w:val="bottom"/>
          </w:tcPr>
          <w:p>
            <w:pPr>
              <w:spacing w:after="0"/>
              <w:rPr>
                <w:sz w:val="11"/>
                <w:szCs w:val="11"/>
                <w:color w:val="auto"/>
              </w:rPr>
            </w:pPr>
          </w:p>
        </w:tc>
        <w:tc>
          <w:tcPr>
            <w:tcW w:w="1160" w:type="dxa"/>
            <w:vAlign w:val="bottom"/>
          </w:tcPr>
          <w:p>
            <w:pPr>
              <w:jc w:val="right"/>
              <w:ind w:right="229"/>
              <w:spacing w:after="0" w:line="137"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1"/>
                <w:szCs w:val="11"/>
                <w:color w:val="auto"/>
              </w:rPr>
            </w:pPr>
          </w:p>
        </w:tc>
        <w:tc>
          <w:tcPr>
            <w:tcW w:w="96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Carrying</w:t>
            </w:r>
          </w:p>
        </w:tc>
        <w:tc>
          <w:tcPr>
            <w:tcW w:w="180" w:type="dxa"/>
            <w:vAlign w:val="bottom"/>
          </w:tcPr>
          <w:p>
            <w:pPr>
              <w:spacing w:after="0"/>
              <w:rPr>
                <w:sz w:val="11"/>
                <w:szCs w:val="11"/>
                <w:color w:val="auto"/>
              </w:rPr>
            </w:pPr>
          </w:p>
        </w:tc>
        <w:tc>
          <w:tcPr>
            <w:tcW w:w="840" w:type="dxa"/>
            <w:vAlign w:val="bottom"/>
          </w:tcPr>
          <w:p>
            <w:pPr>
              <w:jc w:val="center"/>
              <w:ind w:right="109"/>
              <w:spacing w:after="0" w:line="137" w:lineRule="exact"/>
              <w:rPr>
                <w:sz w:val="20"/>
                <w:szCs w:val="20"/>
                <w:color w:val="auto"/>
              </w:rPr>
            </w:pPr>
            <w:r>
              <w:rPr>
                <w:rFonts w:ascii="Arial" w:cs="Arial" w:eastAsia="Arial" w:hAnsi="Arial"/>
                <w:sz w:val="12"/>
                <w:szCs w:val="12"/>
                <w:color w:val="auto"/>
              </w:rPr>
              <w:t>Carrying</w:t>
            </w:r>
          </w:p>
        </w:tc>
        <w:tc>
          <w:tcPr>
            <w:tcW w:w="220" w:type="dxa"/>
            <w:vAlign w:val="bottom"/>
          </w:tcPr>
          <w:p>
            <w:pPr>
              <w:spacing w:after="0"/>
              <w:rPr>
                <w:sz w:val="11"/>
                <w:szCs w:val="11"/>
                <w:color w:val="auto"/>
              </w:rPr>
            </w:pPr>
          </w:p>
        </w:tc>
        <w:tc>
          <w:tcPr>
            <w:tcW w:w="940" w:type="dxa"/>
            <w:vAlign w:val="bottom"/>
          </w:tcPr>
          <w:p>
            <w:pPr>
              <w:jc w:val="right"/>
              <w:ind w:right="109"/>
              <w:spacing w:after="0" w:line="137" w:lineRule="exact"/>
              <w:rPr>
                <w:sz w:val="20"/>
                <w:szCs w:val="20"/>
                <w:color w:val="auto"/>
              </w:rPr>
            </w:pPr>
            <w:r>
              <w:rPr>
                <w:rFonts w:ascii="Arial" w:cs="Arial" w:eastAsia="Arial" w:hAnsi="Arial"/>
                <w:sz w:val="12"/>
                <w:szCs w:val="12"/>
                <w:color w:val="auto"/>
              </w:rPr>
              <w:t>Accumulated</w:t>
            </w:r>
          </w:p>
        </w:tc>
        <w:tc>
          <w:tcPr>
            <w:tcW w:w="620" w:type="dxa"/>
            <w:vAlign w:val="bottom"/>
          </w:tcPr>
          <w:p>
            <w:pPr>
              <w:jc w:val="right"/>
              <w:spacing w:after="0" w:line="137" w:lineRule="exact"/>
              <w:rPr>
                <w:sz w:val="20"/>
                <w:szCs w:val="20"/>
                <w:color w:val="auto"/>
              </w:rPr>
            </w:pPr>
            <w:r>
              <w:rPr>
                <w:rFonts w:ascii="Arial" w:cs="Arial" w:eastAsia="Arial" w:hAnsi="Arial"/>
                <w:sz w:val="12"/>
                <w:szCs w:val="12"/>
                <w:color w:val="auto"/>
              </w:rPr>
              <w:t>Carr</w:t>
            </w:r>
          </w:p>
        </w:tc>
        <w:tc>
          <w:tcPr>
            <w:tcW w:w="0" w:type="dxa"/>
            <w:vAlign w:val="bottom"/>
          </w:tcPr>
          <w:p>
            <w:pPr>
              <w:spacing w:after="0"/>
              <w:rPr>
                <w:sz w:val="1"/>
                <w:szCs w:val="1"/>
                <w:color w:val="auto"/>
              </w:rPr>
            </w:pPr>
          </w:p>
        </w:tc>
      </w:tr>
      <w:tr>
        <w:trPr>
          <w:trHeight w:val="151"/>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420" w:type="dxa"/>
            <w:vAlign w:val="bottom"/>
            <w:tcBorders>
              <w:bottom w:val="single" w:sz="8" w:color="auto"/>
            </w:tcBorders>
          </w:tcPr>
          <w:p>
            <w:pPr>
              <w:jc w:val="center"/>
              <w:ind w:left="49"/>
              <w:spacing w:after="0"/>
              <w:rPr>
                <w:sz w:val="20"/>
                <w:szCs w:val="20"/>
                <w:color w:val="auto"/>
              </w:rPr>
            </w:pPr>
            <w:r>
              <w:rPr>
                <w:rFonts w:ascii="Arial" w:cs="Arial" w:eastAsia="Arial" w:hAnsi="Arial"/>
                <w:sz w:val="12"/>
                <w:szCs w:val="12"/>
                <w:b w:val="1"/>
                <w:bCs w:val="1"/>
                <w:color w:val="auto"/>
              </w:rPr>
              <w:t>Range</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2"/>
                <w:szCs w:val="12"/>
                <w:b w:val="1"/>
                <w:bCs w:val="1"/>
                <w:color w:val="auto"/>
              </w:rPr>
              <w:t>Amount</w:t>
            </w: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49"/>
              <w:spacing w:after="0"/>
              <w:rPr>
                <w:sz w:val="20"/>
                <w:szCs w:val="20"/>
                <w:color w:val="auto"/>
              </w:rPr>
            </w:pPr>
            <w:r>
              <w:rPr>
                <w:rFonts w:ascii="Arial" w:cs="Arial" w:eastAsia="Arial" w:hAnsi="Arial"/>
                <w:sz w:val="12"/>
                <w:szCs w:val="12"/>
                <w:b w:val="1"/>
                <w:bCs w:val="1"/>
                <w:color w:val="auto"/>
              </w:rPr>
              <w:t>Amortization</w:t>
            </w: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10"/>
              <w:spacing w:after="0"/>
              <w:rPr>
                <w:sz w:val="20"/>
                <w:szCs w:val="20"/>
                <w:color w:val="auto"/>
              </w:rPr>
            </w:pPr>
            <w:r>
              <w:rPr>
                <w:rFonts w:ascii="Arial" w:cs="Arial" w:eastAsia="Arial" w:hAnsi="Arial"/>
                <w:sz w:val="12"/>
                <w:szCs w:val="12"/>
                <w:b w:val="1"/>
                <w:bCs w:val="1"/>
                <w:color w:val="auto"/>
              </w:rPr>
              <w:t>Amount</w:t>
            </w: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09"/>
              <w:spacing w:after="0"/>
              <w:rPr>
                <w:sz w:val="20"/>
                <w:szCs w:val="20"/>
                <w:color w:val="auto"/>
              </w:rPr>
            </w:pPr>
            <w:r>
              <w:rPr>
                <w:rFonts w:ascii="Arial" w:cs="Arial" w:eastAsia="Arial" w:hAnsi="Arial"/>
                <w:sz w:val="12"/>
                <w:szCs w:val="12"/>
                <w:color w:val="auto"/>
              </w:rPr>
              <w:t>Amount</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2"/>
                <w:szCs w:val="12"/>
                <w:color w:val="auto"/>
              </w:rPr>
              <w:t>Amortization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Amo</w:t>
            </w:r>
          </w:p>
        </w:tc>
        <w:tc>
          <w:tcPr>
            <w:tcW w:w="0" w:type="dxa"/>
            <w:vAlign w:val="bottom"/>
          </w:tcPr>
          <w:p>
            <w:pPr>
              <w:spacing w:after="0"/>
              <w:rPr>
                <w:sz w:val="1"/>
                <w:szCs w:val="1"/>
                <w:color w:val="auto"/>
              </w:rPr>
            </w:pPr>
          </w:p>
        </w:tc>
      </w:tr>
      <w:tr>
        <w:trPr>
          <w:trHeight w:val="168"/>
        </w:trPr>
        <w:tc>
          <w:tcPr>
            <w:tcW w:w="2960" w:type="dxa"/>
            <w:vAlign w:val="bottom"/>
          </w:tcPr>
          <w:p>
            <w:pPr>
              <w:spacing w:after="0" w:line="168" w:lineRule="exact"/>
              <w:rPr>
                <w:sz w:val="20"/>
                <w:szCs w:val="20"/>
                <w:color w:val="auto"/>
              </w:rPr>
            </w:pPr>
            <w:r>
              <w:rPr>
                <w:rFonts w:ascii="Arial" w:cs="Arial" w:eastAsia="Arial" w:hAnsi="Arial"/>
                <w:sz w:val="15"/>
                <w:szCs w:val="15"/>
                <w:b w:val="1"/>
                <w:bCs w:val="1"/>
                <w:color w:val="auto"/>
              </w:rPr>
              <w:t>Amortized Intangible Assets</w:t>
            </w:r>
          </w:p>
        </w:tc>
        <w:tc>
          <w:tcPr>
            <w:tcW w:w="1420" w:type="dxa"/>
            <w:vAlign w:val="bottom"/>
            <w:vMerge w:val="restart"/>
          </w:tcPr>
          <w:p>
            <w:pPr>
              <w:jc w:val="center"/>
              <w:ind w:left="69"/>
              <w:spacing w:after="0"/>
              <w:rPr>
                <w:sz w:val="20"/>
                <w:szCs w:val="20"/>
                <w:color w:val="auto"/>
              </w:rPr>
            </w:pPr>
            <w:r>
              <w:rPr>
                <w:rFonts w:ascii="Arial" w:cs="Arial" w:eastAsia="Arial" w:hAnsi="Arial"/>
                <w:sz w:val="15"/>
                <w:szCs w:val="15"/>
                <w:b w:val="1"/>
                <w:bCs w:val="1"/>
                <w:color w:val="auto"/>
                <w:w w:val="99"/>
              </w:rPr>
              <w:t>2–5 years</w:t>
            </w: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14,008</w:t>
            </w:r>
          </w:p>
        </w:tc>
        <w:tc>
          <w:tcPr>
            <w:tcW w:w="400" w:type="dxa"/>
            <w:vAlign w:val="bottom"/>
            <w:vMerge w:val="restart"/>
          </w:tcPr>
          <w:p>
            <w:pPr>
              <w:jc w:val="right"/>
              <w:ind w:right="10"/>
              <w:spacing w:after="0"/>
              <w:rPr>
                <w:sz w:val="20"/>
                <w:szCs w:val="20"/>
                <w:color w:val="auto"/>
              </w:rPr>
            </w:pPr>
            <w:r>
              <w:rPr>
                <w:rFonts w:ascii="Arial" w:cs="Arial" w:eastAsia="Arial" w:hAnsi="Arial"/>
                <w:sz w:val="15"/>
                <w:szCs w:val="15"/>
                <w:b w:val="1"/>
                <w:bCs w:val="1"/>
                <w:color w:val="auto"/>
              </w:rPr>
              <w:t>$</w:t>
            </w:r>
          </w:p>
        </w:tc>
        <w:tc>
          <w:tcPr>
            <w:tcW w:w="1160" w:type="dxa"/>
            <w:vAlign w:val="bottom"/>
            <w:vMerge w:val="restart"/>
          </w:tcPr>
          <w:p>
            <w:pPr>
              <w:jc w:val="right"/>
              <w:ind w:right="269"/>
              <w:spacing w:after="0"/>
              <w:rPr>
                <w:sz w:val="20"/>
                <w:szCs w:val="20"/>
                <w:color w:val="auto"/>
              </w:rPr>
            </w:pPr>
            <w:r>
              <w:rPr>
                <w:rFonts w:ascii="Arial" w:cs="Arial" w:eastAsia="Arial" w:hAnsi="Arial"/>
                <w:sz w:val="15"/>
                <w:szCs w:val="15"/>
                <w:b w:val="1"/>
                <w:bCs w:val="1"/>
                <w:color w:val="auto"/>
              </w:rPr>
              <w:t>12,546</w:t>
            </w:r>
          </w:p>
        </w:tc>
        <w:tc>
          <w:tcPr>
            <w:tcW w:w="2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tcPr>
          <w:p>
            <w:pPr>
              <w:jc w:val="right"/>
              <w:ind w:right="70"/>
              <w:spacing w:after="0"/>
              <w:rPr>
                <w:sz w:val="20"/>
                <w:szCs w:val="20"/>
                <w:color w:val="auto"/>
              </w:rPr>
            </w:pPr>
            <w:r>
              <w:rPr>
                <w:rFonts w:ascii="Arial" w:cs="Arial" w:eastAsia="Arial" w:hAnsi="Arial"/>
                <w:sz w:val="15"/>
                <w:szCs w:val="15"/>
                <w:b w:val="1"/>
                <w:bCs w:val="1"/>
                <w:color w:val="auto"/>
              </w:rPr>
              <w:t>1,462</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Pr>
          <w:p>
            <w:pPr>
              <w:ind w:left="220"/>
              <w:spacing w:after="0" w:line="156" w:lineRule="exact"/>
              <w:rPr>
                <w:sz w:val="20"/>
                <w:szCs w:val="20"/>
                <w:color w:val="auto"/>
              </w:rPr>
            </w:pPr>
            <w:r>
              <w:rPr>
                <w:rFonts w:ascii="Arial" w:cs="Arial" w:eastAsia="Arial" w:hAnsi="Arial"/>
                <w:sz w:val="15"/>
                <w:szCs w:val="15"/>
                <w:color w:val="auto"/>
              </w:rPr>
              <w:t>Noncompete agreements</w:t>
            </w:r>
          </w:p>
        </w:tc>
        <w:tc>
          <w:tcPr>
            <w:tcW w:w="14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80" w:type="dxa"/>
            <w:vAlign w:val="bottom"/>
          </w:tcPr>
          <w:p>
            <w:pPr>
              <w:jc w:val="right"/>
              <w:ind w:right="26"/>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14,493</w:t>
            </w:r>
          </w:p>
        </w:tc>
        <w:tc>
          <w:tcPr>
            <w:tcW w:w="2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ind w:right="9"/>
              <w:spacing w:after="0" w:line="156" w:lineRule="exact"/>
              <w:rPr>
                <w:sz w:val="20"/>
                <w:szCs w:val="20"/>
                <w:color w:val="auto"/>
              </w:rPr>
            </w:pPr>
            <w:r>
              <w:rPr>
                <w:rFonts w:ascii="Arial" w:cs="Arial" w:eastAsia="Arial" w:hAnsi="Arial"/>
                <w:sz w:val="15"/>
                <w:szCs w:val="15"/>
                <w:color w:val="auto"/>
              </w:rPr>
              <w:t>10,764</w:t>
            </w:r>
          </w:p>
        </w:tc>
        <w:tc>
          <w:tcPr>
            <w:tcW w:w="620" w:type="dxa"/>
            <w:vAlign w:val="bottom"/>
          </w:tcPr>
          <w:p>
            <w:pPr>
              <w:jc w:val="right"/>
              <w:ind w:right="393"/>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960" w:type="dxa"/>
            <w:vAlign w:val="bottom"/>
          </w:tcPr>
          <w:p>
            <w:pPr>
              <w:ind w:left="220"/>
              <w:spacing w:after="0"/>
              <w:rPr>
                <w:sz w:val="20"/>
                <w:szCs w:val="20"/>
                <w:color w:val="auto"/>
              </w:rPr>
            </w:pPr>
            <w:r>
              <w:rPr>
                <w:rFonts w:ascii="Arial" w:cs="Arial" w:eastAsia="Arial" w:hAnsi="Arial"/>
                <w:sz w:val="15"/>
                <w:szCs w:val="15"/>
                <w:color w:val="auto"/>
              </w:rPr>
              <w:t>Student and customer relationships</w:t>
            </w:r>
          </w:p>
        </w:tc>
        <w:tc>
          <w:tcPr>
            <w:tcW w:w="142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73,693</w:t>
            </w:r>
          </w:p>
        </w:tc>
        <w:tc>
          <w:tcPr>
            <w:tcW w:w="40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Arial" w:cs="Arial" w:eastAsia="Arial" w:hAnsi="Arial"/>
                <w:sz w:val="15"/>
                <w:szCs w:val="15"/>
                <w:b w:val="1"/>
                <w:bCs w:val="1"/>
                <w:color w:val="auto"/>
              </w:rPr>
              <w:t>40,787</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32,906</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75,734</w:t>
            </w:r>
          </w:p>
        </w:tc>
        <w:tc>
          <w:tcPr>
            <w:tcW w:w="22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5"/>
                <w:szCs w:val="15"/>
                <w:color w:val="auto"/>
              </w:rPr>
              <w:t>47,888</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ind w:left="220"/>
              <w:spacing w:after="0"/>
              <w:rPr>
                <w:sz w:val="20"/>
                <w:szCs w:val="20"/>
                <w:color w:val="auto"/>
              </w:rPr>
            </w:pPr>
            <w:r>
              <w:rPr>
                <w:rFonts w:ascii="Arial" w:cs="Arial" w:eastAsia="Arial" w:hAnsi="Arial"/>
                <w:sz w:val="15"/>
                <w:szCs w:val="15"/>
                <w:color w:val="auto"/>
              </w:rPr>
              <w:t>Databases and technology</w:t>
            </w:r>
          </w:p>
        </w:tc>
        <w:tc>
          <w:tcPr>
            <w:tcW w:w="1420" w:type="dxa"/>
            <w:vAlign w:val="bottom"/>
          </w:tcPr>
          <w:p>
            <w:pPr>
              <w:jc w:val="center"/>
              <w:ind w:left="69"/>
              <w:spacing w:after="0"/>
              <w:rPr>
                <w:sz w:val="20"/>
                <w:szCs w:val="20"/>
                <w:color w:val="auto"/>
              </w:rPr>
            </w:pPr>
            <w:r>
              <w:rPr>
                <w:rFonts w:ascii="Arial" w:cs="Arial" w:eastAsia="Arial" w:hAnsi="Arial"/>
                <w:sz w:val="15"/>
                <w:szCs w:val="15"/>
                <w:b w:val="1"/>
                <w:bCs w:val="1"/>
                <w:color w:val="auto"/>
                <w:w w:val="99"/>
              </w:rPr>
              <w:t>3–5 years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6,457</w:t>
            </w:r>
          </w:p>
        </w:tc>
        <w:tc>
          <w:tcPr>
            <w:tcW w:w="40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Arial" w:cs="Arial" w:eastAsia="Arial" w:hAnsi="Arial"/>
                <w:sz w:val="15"/>
                <w:szCs w:val="15"/>
                <w:b w:val="1"/>
                <w:bCs w:val="1"/>
                <w:color w:val="auto"/>
              </w:rPr>
              <w:t>5,707</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750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10,514</w:t>
            </w:r>
          </w:p>
        </w:tc>
        <w:tc>
          <w:tcPr>
            <w:tcW w:w="22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5"/>
                <w:szCs w:val="15"/>
                <w:color w:val="auto"/>
              </w:rPr>
              <w:t>8,159</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ind w:left="220"/>
              <w:spacing w:after="0"/>
              <w:rPr>
                <w:sz w:val="20"/>
                <w:szCs w:val="20"/>
                <w:color w:val="auto"/>
              </w:rPr>
            </w:pPr>
            <w:r>
              <w:rPr>
                <w:rFonts w:ascii="Arial" w:cs="Arial" w:eastAsia="Arial" w:hAnsi="Arial"/>
                <w:sz w:val="15"/>
                <w:szCs w:val="15"/>
                <w:color w:val="auto"/>
              </w:rPr>
              <w:t>Trade names and trademarks</w:t>
            </w:r>
          </w:p>
        </w:tc>
        <w:tc>
          <w:tcPr>
            <w:tcW w:w="142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2–10 years</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26,634</w:t>
            </w:r>
          </w:p>
        </w:tc>
        <w:tc>
          <w:tcPr>
            <w:tcW w:w="400" w:type="dxa"/>
            <w:vAlign w:val="bottom"/>
          </w:tcPr>
          <w:p>
            <w:pPr>
              <w:spacing w:after="0"/>
              <w:rPr>
                <w:sz w:val="15"/>
                <w:szCs w:val="15"/>
                <w:color w:val="auto"/>
              </w:rPr>
            </w:pPr>
          </w:p>
        </w:tc>
        <w:tc>
          <w:tcPr>
            <w:tcW w:w="1160" w:type="dxa"/>
            <w:vAlign w:val="bottom"/>
          </w:tcPr>
          <w:p>
            <w:pPr>
              <w:jc w:val="right"/>
              <w:ind w:right="269"/>
              <w:spacing w:after="0"/>
              <w:rPr>
                <w:sz w:val="20"/>
                <w:szCs w:val="20"/>
                <w:color w:val="auto"/>
              </w:rPr>
            </w:pPr>
            <w:r>
              <w:rPr>
                <w:rFonts w:ascii="Arial" w:cs="Arial" w:eastAsia="Arial" w:hAnsi="Arial"/>
                <w:sz w:val="15"/>
                <w:szCs w:val="15"/>
                <w:b w:val="1"/>
                <w:bCs w:val="1"/>
                <w:color w:val="auto"/>
              </w:rPr>
              <w:t>18,185</w:t>
            </w:r>
          </w:p>
        </w:tc>
        <w:tc>
          <w:tcPr>
            <w:tcW w:w="200" w:type="dxa"/>
            <w:vAlign w:val="bottom"/>
          </w:tcPr>
          <w:p>
            <w:pPr>
              <w:spacing w:after="0"/>
              <w:rPr>
                <w:sz w:val="15"/>
                <w:szCs w:val="15"/>
                <w:color w:val="auto"/>
              </w:rPr>
            </w:pPr>
          </w:p>
        </w:tc>
        <w:tc>
          <w:tcPr>
            <w:tcW w:w="960" w:type="dxa"/>
            <w:vAlign w:val="bottom"/>
          </w:tcPr>
          <w:p>
            <w:pPr>
              <w:jc w:val="right"/>
              <w:ind w:right="70"/>
              <w:spacing w:after="0"/>
              <w:rPr>
                <w:sz w:val="20"/>
                <w:szCs w:val="20"/>
                <w:color w:val="auto"/>
              </w:rPr>
            </w:pPr>
            <w:r>
              <w:rPr>
                <w:rFonts w:ascii="Arial" w:cs="Arial" w:eastAsia="Arial" w:hAnsi="Arial"/>
                <w:sz w:val="15"/>
                <w:szCs w:val="15"/>
                <w:b w:val="1"/>
                <w:bCs w:val="1"/>
                <w:color w:val="auto"/>
              </w:rPr>
              <w:t>8,449</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36,222</w:t>
            </w:r>
          </w:p>
        </w:tc>
        <w:tc>
          <w:tcPr>
            <w:tcW w:w="22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Arial" w:cs="Arial" w:eastAsia="Arial" w:hAnsi="Arial"/>
                <w:sz w:val="15"/>
                <w:szCs w:val="15"/>
                <w:color w:val="auto"/>
              </w:rPr>
              <w:t>18,936</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20"/>
              <w:spacing w:after="0"/>
              <w:rPr>
                <w:sz w:val="20"/>
                <w:szCs w:val="20"/>
                <w:color w:val="auto"/>
              </w:rPr>
            </w:pPr>
            <w:r>
              <w:rPr>
                <w:rFonts w:ascii="Arial" w:cs="Arial" w:eastAsia="Arial" w:hAnsi="Arial"/>
                <w:sz w:val="15"/>
                <w:szCs w:val="15"/>
                <w:color w:val="auto"/>
              </w:rPr>
              <w:t>Other</w:t>
            </w:r>
          </w:p>
        </w:tc>
        <w:tc>
          <w:tcPr>
            <w:tcW w:w="1420" w:type="dxa"/>
            <w:vAlign w:val="bottom"/>
          </w:tcPr>
          <w:p>
            <w:pPr>
              <w:jc w:val="center"/>
              <w:ind w:left="69"/>
              <w:spacing w:after="0"/>
              <w:rPr>
                <w:sz w:val="20"/>
                <w:szCs w:val="20"/>
                <w:color w:val="auto"/>
              </w:rPr>
            </w:pPr>
            <w:r>
              <w:rPr>
                <w:rFonts w:ascii="Arial" w:cs="Arial" w:eastAsia="Arial" w:hAnsi="Arial"/>
                <w:sz w:val="15"/>
                <w:szCs w:val="15"/>
                <w:b w:val="1"/>
                <w:bCs w:val="1"/>
                <w:color w:val="auto"/>
                <w:w w:val="98"/>
              </w:rPr>
              <w:t>1–25 years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8,849</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b w:val="1"/>
                <w:bCs w:val="1"/>
                <w:color w:val="auto"/>
              </w:rPr>
              <w:t>6,839</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b w:val="1"/>
                <w:bCs w:val="1"/>
                <w:color w:val="auto"/>
              </w:rPr>
              <w:t>2,010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9,971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6,565</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129,641</w:t>
            </w:r>
          </w:p>
        </w:tc>
        <w:tc>
          <w:tcPr>
            <w:tcW w:w="40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269"/>
              <w:spacing w:after="0" w:line="167" w:lineRule="exact"/>
              <w:rPr>
                <w:sz w:val="20"/>
                <w:szCs w:val="20"/>
                <w:color w:val="auto"/>
              </w:rPr>
            </w:pPr>
            <w:r>
              <w:rPr>
                <w:rFonts w:ascii="Arial" w:cs="Arial" w:eastAsia="Arial" w:hAnsi="Arial"/>
                <w:sz w:val="15"/>
                <w:szCs w:val="15"/>
                <w:b w:val="1"/>
                <w:bCs w:val="1"/>
                <w:color w:val="auto"/>
              </w:rPr>
              <w:t>84,064</w:t>
            </w:r>
          </w:p>
        </w:tc>
        <w:tc>
          <w:tcPr>
            <w:tcW w:w="2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70"/>
              <w:spacing w:after="0" w:line="167" w:lineRule="exact"/>
              <w:rPr>
                <w:sz w:val="20"/>
                <w:szCs w:val="20"/>
                <w:color w:val="auto"/>
              </w:rPr>
            </w:pPr>
            <w:r>
              <w:rPr>
                <w:rFonts w:ascii="Arial" w:cs="Arial" w:eastAsia="Arial" w:hAnsi="Arial"/>
                <w:sz w:val="15"/>
                <w:szCs w:val="15"/>
                <w:b w:val="1"/>
                <w:bCs w:val="1"/>
                <w:color w:val="auto"/>
              </w:rPr>
              <w:t>45,577</w:t>
            </w: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146,934</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color w:val="auto"/>
              </w:rPr>
              <w:t>92,312</w:t>
            </w:r>
          </w:p>
        </w:tc>
        <w:tc>
          <w:tcPr>
            <w:tcW w:w="620" w:type="dxa"/>
            <w:vAlign w:val="bottom"/>
            <w:tcBorders>
              <w:bottom w:val="single" w:sz="8" w:color="auto"/>
            </w:tcBorders>
          </w:tcPr>
          <w:p>
            <w:pPr>
              <w:jc w:val="right"/>
              <w:ind w:right="393"/>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6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496,321</w:t>
            </w: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60" w:type="dxa"/>
            <w:vAlign w:val="bottom"/>
          </w:tcPr>
          <w:p>
            <w:pPr>
              <w:ind w:left="220"/>
              <w:spacing w:after="0" w:line="156" w:lineRule="exact"/>
              <w:rPr>
                <w:sz w:val="20"/>
                <w:szCs w:val="20"/>
                <w:color w:val="auto"/>
              </w:rPr>
            </w:pPr>
            <w:r>
              <w:rPr>
                <w:rFonts w:ascii="Arial" w:cs="Arial" w:eastAsia="Arial" w:hAnsi="Arial"/>
                <w:sz w:val="15"/>
                <w:szCs w:val="15"/>
                <w:color w:val="auto"/>
              </w:rPr>
              <w:t>Franchise agreements</w:t>
            </w:r>
          </w:p>
        </w:tc>
        <w:tc>
          <w:tcPr>
            <w:tcW w:w="14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jc w:val="right"/>
              <w:ind w:right="26"/>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56" w:lineRule="exact"/>
              <w:rPr>
                <w:sz w:val="20"/>
                <w:szCs w:val="20"/>
                <w:color w:val="auto"/>
              </w:rPr>
            </w:pPr>
            <w:r>
              <w:rPr>
                <w:rFonts w:ascii="Arial" w:cs="Arial" w:eastAsia="Arial" w:hAnsi="Arial"/>
                <w:sz w:val="15"/>
                <w:szCs w:val="15"/>
                <w:color w:val="auto"/>
              </w:rPr>
              <w:t>496,321</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60" w:type="dxa"/>
            <w:vAlign w:val="bottom"/>
          </w:tcPr>
          <w:p>
            <w:pPr>
              <w:ind w:left="220"/>
              <w:spacing w:after="0"/>
              <w:rPr>
                <w:sz w:val="20"/>
                <w:szCs w:val="20"/>
                <w:color w:val="auto"/>
              </w:rPr>
            </w:pPr>
            <w:r>
              <w:rPr>
                <w:rFonts w:ascii="Arial" w:cs="Arial" w:eastAsia="Arial" w:hAnsi="Arial"/>
                <w:sz w:val="15"/>
                <w:szCs w:val="15"/>
                <w:color w:val="auto"/>
              </w:rPr>
              <w:t>Wireless licenses</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22,150</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22,150</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60" w:type="dxa"/>
            <w:vAlign w:val="bottom"/>
          </w:tcPr>
          <w:p>
            <w:pPr>
              <w:ind w:left="220"/>
              <w:spacing w:after="0"/>
              <w:rPr>
                <w:sz w:val="20"/>
                <w:szCs w:val="20"/>
                <w:color w:val="auto"/>
              </w:rPr>
            </w:pPr>
            <w:r>
              <w:rPr>
                <w:rFonts w:ascii="Arial" w:cs="Arial" w:eastAsia="Arial" w:hAnsi="Arial"/>
                <w:sz w:val="15"/>
                <w:szCs w:val="15"/>
                <w:color w:val="auto"/>
              </w:rPr>
              <w:t>Licensure and accreditation</w:t>
            </w: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b w:val="1"/>
                <w:bCs w:val="1"/>
                <w:color w:val="auto"/>
              </w:rPr>
              <w:t>7,371</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7,862</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20"/>
              <w:spacing w:after="0"/>
              <w:rPr>
                <w:sz w:val="20"/>
                <w:szCs w:val="20"/>
                <w:color w:val="auto"/>
              </w:rPr>
            </w:pPr>
            <w:r>
              <w:rPr>
                <w:rFonts w:ascii="Arial" w:cs="Arial" w:eastAsia="Arial" w:hAnsi="Arial"/>
                <w:sz w:val="15"/>
                <w:szCs w:val="15"/>
                <w:color w:val="auto"/>
              </w:rPr>
              <w:t>Other</w:t>
            </w:r>
          </w:p>
        </w:tc>
        <w:tc>
          <w:tcPr>
            <w:tcW w:w="1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13,886</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4,308</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539,728</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530,641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Income from continuing operations before income taxes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color w:val="auto"/>
              </w:rPr>
              <w:t>2011</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7900" w:type="dxa"/>
            <w:vAlign w:val="bottom"/>
          </w:tcPr>
          <w:p>
            <w:pPr>
              <w:spacing w:after="0" w:line="150" w:lineRule="exact"/>
              <w:rPr>
                <w:sz w:val="20"/>
                <w:szCs w:val="20"/>
                <w:color w:val="auto"/>
              </w:rPr>
            </w:pPr>
            <w:r>
              <w:rPr>
                <w:rFonts w:ascii="Arial" w:cs="Arial" w:eastAsia="Arial" w:hAnsi="Arial"/>
                <w:sz w:val="15"/>
                <w:szCs w:val="15"/>
                <w:color w:val="auto"/>
              </w:rPr>
              <w:t>U.S.</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49"/>
              <w:spacing w:after="0" w:line="150" w:lineRule="exact"/>
              <w:rPr>
                <w:sz w:val="20"/>
                <w:szCs w:val="20"/>
                <w:color w:val="auto"/>
              </w:rPr>
            </w:pPr>
            <w:r>
              <w:rPr>
                <w:rFonts w:ascii="Arial" w:cs="Arial" w:eastAsia="Arial" w:hAnsi="Arial"/>
                <w:sz w:val="15"/>
                <w:szCs w:val="15"/>
                <w:b w:val="1"/>
                <w:bCs w:val="1"/>
                <w:color w:val="auto"/>
              </w:rPr>
              <w:t>103,094</w:t>
            </w:r>
          </w:p>
        </w:tc>
        <w:tc>
          <w:tcPr>
            <w:tcW w:w="3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69"/>
              <w:spacing w:after="0" w:line="150" w:lineRule="exact"/>
              <w:rPr>
                <w:sz w:val="20"/>
                <w:szCs w:val="20"/>
                <w:color w:val="auto"/>
              </w:rPr>
            </w:pPr>
            <w:r>
              <w:rPr>
                <w:rFonts w:ascii="Arial" w:cs="Arial" w:eastAsia="Arial" w:hAnsi="Arial"/>
                <w:sz w:val="15"/>
                <w:szCs w:val="15"/>
                <w:color w:val="auto"/>
              </w:rPr>
              <w:t>235,653</w:t>
            </w:r>
          </w:p>
        </w:tc>
        <w:tc>
          <w:tcPr>
            <w:tcW w:w="3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5</w:t>
            </w:r>
          </w:p>
        </w:tc>
      </w:tr>
      <w:tr>
        <w:trPr>
          <w:trHeight w:val="190"/>
        </w:trPr>
        <w:tc>
          <w:tcPr>
            <w:tcW w:w="7900" w:type="dxa"/>
            <w:vAlign w:val="bottom"/>
          </w:tcPr>
          <w:p>
            <w:pPr>
              <w:spacing w:after="0"/>
              <w:rPr>
                <w:sz w:val="20"/>
                <w:szCs w:val="20"/>
                <w:color w:val="auto"/>
              </w:rPr>
            </w:pPr>
            <w:r>
              <w:rPr>
                <w:rFonts w:ascii="Arial" w:cs="Arial" w:eastAsia="Arial" w:hAnsi="Arial"/>
                <w:sz w:val="15"/>
                <w:szCs w:val="15"/>
                <w:color w:val="auto"/>
              </w:rPr>
              <w:t>Non-U.S.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5"/>
                <w:szCs w:val="15"/>
                <w:b w:val="1"/>
                <w:bCs w:val="1"/>
                <w:color w:val="auto"/>
              </w:rPr>
              <w:t>17,516</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9"/>
              <w:spacing w:after="0"/>
              <w:rPr>
                <w:sz w:val="20"/>
                <w:szCs w:val="20"/>
                <w:color w:val="auto"/>
              </w:rPr>
            </w:pPr>
            <w:r>
              <w:rPr>
                <w:rFonts w:ascii="Arial" w:cs="Arial" w:eastAsia="Arial" w:hAnsi="Arial"/>
                <w:sz w:val="15"/>
                <w:szCs w:val="15"/>
                <w:color w:val="auto"/>
              </w:rPr>
              <w:t>11,875</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66"/>
        </w:trPr>
        <w:tc>
          <w:tcPr>
            <w:tcW w:w="7900" w:type="dxa"/>
            <w:vAlign w:val="bottom"/>
          </w:tcPr>
          <w:p>
            <w:pPr>
              <w:spacing w:after="0"/>
              <w:rPr>
                <w:sz w:val="14"/>
                <w:szCs w:val="14"/>
                <w:color w:val="auto"/>
              </w:rPr>
            </w:pP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49"/>
              <w:spacing w:after="0" w:line="167" w:lineRule="exact"/>
              <w:rPr>
                <w:sz w:val="20"/>
                <w:szCs w:val="20"/>
                <w:color w:val="auto"/>
              </w:rPr>
            </w:pPr>
            <w:r>
              <w:rPr>
                <w:rFonts w:ascii="Arial" w:cs="Arial" w:eastAsia="Arial" w:hAnsi="Arial"/>
                <w:sz w:val="15"/>
                <w:szCs w:val="15"/>
                <w:b w:val="1"/>
                <w:bCs w:val="1"/>
                <w:color w:val="auto"/>
              </w:rPr>
              <w:t>120,610</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9"/>
              <w:spacing w:after="0" w:line="167" w:lineRule="exact"/>
              <w:rPr>
                <w:sz w:val="20"/>
                <w:szCs w:val="20"/>
                <w:color w:val="auto"/>
              </w:rPr>
            </w:pPr>
            <w:r>
              <w:rPr>
                <w:rFonts w:ascii="Arial" w:cs="Arial" w:eastAsia="Arial" w:hAnsi="Arial"/>
                <w:sz w:val="15"/>
                <w:szCs w:val="15"/>
                <w:color w:val="auto"/>
              </w:rPr>
              <w:t>247,528</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2011 non-U.S. results include a loss from a $9.2 million impairment charge with respect to an investment in a non-U.S. affiliate.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on income from continuing operations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rPr>
              <w:t>Current</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26"/>
              <w:spacing w:after="0"/>
              <w:rPr>
                <w:sz w:val="20"/>
                <w:szCs w:val="20"/>
                <w:color w:val="auto"/>
              </w:rPr>
            </w:pPr>
            <w:r>
              <w:rPr>
                <w:rFonts w:ascii="Arial" w:cs="Arial" w:eastAsia="Arial" w:hAnsi="Arial"/>
                <w:sz w:val="12"/>
                <w:szCs w:val="12"/>
                <w:b w:val="1"/>
                <w:bCs w:val="1"/>
                <w:color w:val="auto"/>
              </w:rPr>
              <w:t>Deferred</w:t>
            </w:r>
          </w:p>
        </w:tc>
        <w:tc>
          <w:tcPr>
            <w:tcW w:w="4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w:t>
            </w:r>
          </w:p>
        </w:tc>
        <w:tc>
          <w:tcPr>
            <w:tcW w:w="0" w:type="dxa"/>
            <w:vAlign w:val="bottom"/>
          </w:tcPr>
          <w:p>
            <w:pPr>
              <w:spacing w:after="0"/>
              <w:rPr>
                <w:sz w:val="1"/>
                <w:szCs w:val="1"/>
                <w:color w:val="auto"/>
              </w:rPr>
            </w:pPr>
          </w:p>
        </w:tc>
      </w:tr>
      <w:tr>
        <w:trPr>
          <w:trHeight w:val="150"/>
        </w:trPr>
        <w:tc>
          <w:tcPr>
            <w:tcW w:w="7660" w:type="dxa"/>
            <w:vAlign w:val="bottom"/>
          </w:tcPr>
          <w:p>
            <w:pPr>
              <w:spacing w:after="0" w:line="150" w:lineRule="exact"/>
              <w:rPr>
                <w:sz w:val="20"/>
                <w:szCs w:val="20"/>
                <w:color w:val="auto"/>
              </w:rPr>
            </w:pPr>
            <w:r>
              <w:rPr>
                <w:rFonts w:ascii="Arial" w:cs="Arial" w:eastAsia="Arial" w:hAnsi="Arial"/>
                <w:sz w:val="15"/>
                <w:szCs w:val="15"/>
                <w:b w:val="1"/>
                <w:bCs w:val="1"/>
                <w:color w:val="auto"/>
              </w:rPr>
              <w:t>2012</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b w:val="1"/>
                <w:bCs w:val="1"/>
                <w:color w:val="auto"/>
              </w:rPr>
              <w:t>U.S. Federal</w:t>
            </w:r>
          </w:p>
        </w:tc>
        <w:tc>
          <w:tcPr>
            <w:tcW w:w="180" w:type="dxa"/>
            <w:vAlign w:val="bottom"/>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b w:val="1"/>
                <w:bCs w:val="1"/>
                <w:color w:val="auto"/>
              </w:rPr>
              <w:t>99,424</w:t>
            </w:r>
          </w:p>
        </w:tc>
        <w:tc>
          <w:tcPr>
            <w:tcW w:w="36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26"/>
              <w:spacing w:after="0"/>
              <w:rPr>
                <w:sz w:val="20"/>
                <w:szCs w:val="20"/>
                <w:color w:val="auto"/>
              </w:rPr>
            </w:pPr>
            <w:r>
              <w:rPr>
                <w:rFonts w:ascii="Arial" w:cs="Arial" w:eastAsia="Arial" w:hAnsi="Arial"/>
                <w:sz w:val="15"/>
                <w:szCs w:val="15"/>
                <w:b w:val="1"/>
                <w:bCs w:val="1"/>
                <w:color w:val="auto"/>
              </w:rPr>
              <w:t>(48,685)</w:t>
            </w:r>
          </w:p>
        </w:tc>
        <w:tc>
          <w:tcPr>
            <w:tcW w:w="40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b w:val="1"/>
                <w:bCs w:val="1"/>
                <w:color w:val="auto"/>
              </w:rPr>
              <w:t>State and Local</w:t>
            </w:r>
          </w:p>
        </w:tc>
        <w:tc>
          <w:tcPr>
            <w:tcW w:w="1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b w:val="1"/>
                <w:bCs w:val="1"/>
                <w:color w:val="auto"/>
              </w:rPr>
              <w:t>14,062</w:t>
            </w:r>
          </w:p>
        </w:tc>
        <w:tc>
          <w:tcPr>
            <w:tcW w:w="360" w:type="dxa"/>
            <w:vAlign w:val="bottom"/>
          </w:tcPr>
          <w:p>
            <w:pPr>
              <w:spacing w:after="0"/>
              <w:rPr>
                <w:sz w:val="15"/>
                <w:szCs w:val="15"/>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b w:val="1"/>
                <w:bCs w:val="1"/>
                <w:color w:val="auto"/>
              </w:rPr>
              <w:t>(5,135)</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60" w:type="dxa"/>
            <w:vAlign w:val="bottom"/>
          </w:tcPr>
          <w:p>
            <w:pPr>
              <w:spacing w:after="0"/>
              <w:rPr>
                <w:sz w:val="20"/>
                <w:szCs w:val="20"/>
                <w:color w:val="auto"/>
              </w:rPr>
            </w:pPr>
            <w:r>
              <w:rPr>
                <w:rFonts w:ascii="Arial" w:cs="Arial" w:eastAsia="Arial" w:hAnsi="Arial"/>
                <w:sz w:val="15"/>
                <w:szCs w:val="15"/>
                <w:b w:val="1"/>
                <w:bCs w:val="1"/>
                <w:color w:val="auto"/>
              </w:rPr>
              <w:t>Non-U.S.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12,631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(697)</w:t>
            </w: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126,117</w:t>
            </w:r>
          </w:p>
        </w:tc>
        <w:tc>
          <w:tcPr>
            <w:tcW w:w="3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(54,517)</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5"/>
                <w:szCs w:val="15"/>
                <w:color w:val="auto"/>
              </w:rPr>
              <w:t>2011</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U.S. Federal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40,450</w:t>
            </w: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26,732</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State and Local</w:t>
            </w:r>
          </w:p>
        </w:tc>
        <w:tc>
          <w:tcPr>
            <w:tcW w:w="1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15,937</w:t>
            </w:r>
          </w:p>
        </w:tc>
        <w:tc>
          <w:tcPr>
            <w:tcW w:w="360" w:type="dxa"/>
            <w:vAlign w:val="bottom"/>
          </w:tcPr>
          <w:p>
            <w:pPr>
              <w:spacing w:after="0"/>
              <w:rPr>
                <w:sz w:val="15"/>
                <w:szCs w:val="15"/>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10,475</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660" w:type="dxa"/>
            <w:vAlign w:val="bottom"/>
          </w:tcPr>
          <w:p>
            <w:pPr>
              <w:spacing w:after="0"/>
              <w:rPr>
                <w:sz w:val="20"/>
                <w:szCs w:val="20"/>
                <w:color w:val="auto"/>
              </w:rPr>
            </w:pPr>
            <w:r>
              <w:rPr>
                <w:rFonts w:ascii="Arial" w:cs="Arial" w:eastAsia="Arial" w:hAnsi="Arial"/>
                <w:sz w:val="15"/>
                <w:szCs w:val="15"/>
                <w:color w:val="auto"/>
              </w:rPr>
              <w:t>Non-U.S.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9,129</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(823)</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65,516</w:t>
            </w:r>
          </w:p>
        </w:tc>
        <w:tc>
          <w:tcPr>
            <w:tcW w:w="3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36,384</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5"/>
                <w:szCs w:val="15"/>
                <w:color w:val="auto"/>
              </w:rPr>
              <w:t>2010</w:t>
            </w: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U.S. Federal</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137,943</w:t>
            </w:r>
          </w:p>
        </w:tc>
        <w:tc>
          <w:tcPr>
            <w:tcW w:w="3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12,040</w:t>
            </w:r>
          </w:p>
        </w:tc>
        <w:tc>
          <w:tcPr>
            <w:tcW w:w="40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7660" w:type="dxa"/>
            <w:vAlign w:val="bottom"/>
          </w:tcPr>
          <w:p>
            <w:pPr>
              <w:spacing w:after="0"/>
              <w:rPr>
                <w:sz w:val="20"/>
                <w:szCs w:val="20"/>
                <w:color w:val="auto"/>
              </w:rPr>
            </w:pPr>
            <w:r>
              <w:rPr>
                <w:rFonts w:ascii="Arial" w:cs="Arial" w:eastAsia="Arial" w:hAnsi="Arial"/>
                <w:sz w:val="15"/>
                <w:szCs w:val="15"/>
                <w:color w:val="auto"/>
              </w:rPr>
              <w:t>State and Local</w:t>
            </w:r>
          </w:p>
        </w:tc>
        <w:tc>
          <w:tcPr>
            <w:tcW w:w="180" w:type="dxa"/>
            <w:vAlign w:val="bottom"/>
          </w:tcPr>
          <w:p>
            <w:pPr>
              <w:spacing w:after="0"/>
              <w:rPr>
                <w:sz w:val="15"/>
                <w:szCs w:val="15"/>
                <w:color w:val="auto"/>
              </w:rPr>
            </w:pPr>
          </w:p>
        </w:tc>
        <w:tc>
          <w:tcPr>
            <w:tcW w:w="1020" w:type="dxa"/>
            <w:vAlign w:val="bottom"/>
          </w:tcPr>
          <w:p>
            <w:pPr>
              <w:jc w:val="right"/>
              <w:ind w:right="126"/>
              <w:spacing w:after="0"/>
              <w:rPr>
                <w:sz w:val="20"/>
                <w:szCs w:val="20"/>
                <w:color w:val="auto"/>
              </w:rPr>
            </w:pPr>
            <w:r>
              <w:rPr>
                <w:rFonts w:ascii="Arial" w:cs="Arial" w:eastAsia="Arial" w:hAnsi="Arial"/>
                <w:sz w:val="15"/>
                <w:szCs w:val="15"/>
                <w:color w:val="auto"/>
              </w:rPr>
              <w:t>28,366</w:t>
            </w:r>
          </w:p>
        </w:tc>
        <w:tc>
          <w:tcPr>
            <w:tcW w:w="360" w:type="dxa"/>
            <w:vAlign w:val="bottom"/>
          </w:tcPr>
          <w:p>
            <w:pPr>
              <w:spacing w:after="0"/>
              <w:rPr>
                <w:sz w:val="15"/>
                <w:szCs w:val="15"/>
                <w:color w:val="auto"/>
              </w:rPr>
            </w:pPr>
          </w:p>
        </w:tc>
        <w:tc>
          <w:tcPr>
            <w:tcW w:w="1000" w:type="dxa"/>
            <w:vAlign w:val="bottom"/>
          </w:tcPr>
          <w:p>
            <w:pPr>
              <w:jc w:val="right"/>
              <w:ind w:right="126"/>
              <w:spacing w:after="0"/>
              <w:rPr>
                <w:sz w:val="20"/>
                <w:szCs w:val="20"/>
                <w:color w:val="auto"/>
              </w:rPr>
            </w:pPr>
            <w:r>
              <w:rPr>
                <w:rFonts w:ascii="Arial" w:cs="Arial" w:eastAsia="Arial" w:hAnsi="Arial"/>
                <w:sz w:val="15"/>
                <w:szCs w:val="15"/>
                <w:color w:val="auto"/>
              </w:rPr>
              <w:t>34,011</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660" w:type="dxa"/>
            <w:vAlign w:val="bottom"/>
          </w:tcPr>
          <w:p>
            <w:pPr>
              <w:spacing w:after="0"/>
              <w:rPr>
                <w:sz w:val="20"/>
                <w:szCs w:val="20"/>
                <w:color w:val="auto"/>
              </w:rPr>
            </w:pPr>
            <w:r>
              <w:rPr>
                <w:rFonts w:ascii="Arial" w:cs="Arial" w:eastAsia="Arial" w:hAnsi="Arial"/>
                <w:sz w:val="15"/>
                <w:szCs w:val="15"/>
                <w:color w:val="auto"/>
              </w:rPr>
              <w:t>Non-U.S.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11,030</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(990)</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60" w:type="dxa"/>
            <w:vAlign w:val="bottom"/>
          </w:tcPr>
          <w:p>
            <w:pPr>
              <w:spacing w:after="0"/>
              <w:rPr>
                <w:sz w:val="14"/>
                <w:szCs w:val="14"/>
                <w:color w:val="auto"/>
              </w:rPr>
            </w:pPr>
          </w:p>
        </w:tc>
        <w:tc>
          <w:tcPr>
            <w:tcW w:w="1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177,339</w:t>
            </w:r>
          </w:p>
        </w:tc>
        <w:tc>
          <w:tcPr>
            <w:tcW w:w="36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45,061</w:t>
            </w:r>
          </w:p>
        </w:tc>
        <w:tc>
          <w:tcPr>
            <w:tcW w:w="4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provision for income taxes on continuing operations exceeds the amount of income tax determined by applying the U.S. Federal statutory rate of income from continuing operations before taxes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7"/>
              <w:spacing w:after="0"/>
              <w:rPr>
                <w:sz w:val="20"/>
                <w:szCs w:val="20"/>
                <w:color w:val="auto"/>
              </w:rPr>
            </w:pPr>
            <w:r>
              <w:rPr>
                <w:rFonts w:ascii="Arial" w:cs="Arial" w:eastAsia="Arial" w:hAnsi="Arial"/>
                <w:sz w:val="12"/>
                <w:szCs w:val="12"/>
                <w:color w:val="auto"/>
              </w:rPr>
              <w:t>2011</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50"/>
        </w:trPr>
        <w:tc>
          <w:tcPr>
            <w:tcW w:w="7900" w:type="dxa"/>
            <w:vAlign w:val="bottom"/>
          </w:tcPr>
          <w:p>
            <w:pPr>
              <w:spacing w:after="0" w:line="150" w:lineRule="exact"/>
              <w:rPr>
                <w:sz w:val="20"/>
                <w:szCs w:val="20"/>
                <w:color w:val="auto"/>
              </w:rPr>
            </w:pPr>
            <w:r>
              <w:rPr>
                <w:rFonts w:ascii="Arial" w:cs="Arial" w:eastAsia="Arial" w:hAnsi="Arial"/>
                <w:sz w:val="15"/>
                <w:szCs w:val="15"/>
                <w:color w:val="auto"/>
              </w:rPr>
              <w:t>U.S. Federal taxes at statutory rate</w:t>
            </w:r>
          </w:p>
        </w:tc>
        <w:tc>
          <w:tcPr>
            <w:tcW w:w="22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47"/>
              <w:spacing w:after="0" w:line="150" w:lineRule="exact"/>
              <w:rPr>
                <w:sz w:val="20"/>
                <w:szCs w:val="20"/>
                <w:color w:val="auto"/>
              </w:rPr>
            </w:pPr>
            <w:r>
              <w:rPr>
                <w:rFonts w:ascii="Arial" w:cs="Arial" w:eastAsia="Arial" w:hAnsi="Arial"/>
                <w:sz w:val="15"/>
                <w:szCs w:val="15"/>
                <w:b w:val="1"/>
                <w:bCs w:val="1"/>
                <w:color w:val="auto"/>
              </w:rPr>
              <w:t>42,213</w:t>
            </w:r>
          </w:p>
        </w:tc>
        <w:tc>
          <w:tcPr>
            <w:tcW w:w="3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67"/>
              <w:spacing w:after="0" w:line="150" w:lineRule="exact"/>
              <w:rPr>
                <w:sz w:val="20"/>
                <w:szCs w:val="20"/>
                <w:color w:val="auto"/>
              </w:rPr>
            </w:pPr>
            <w:r>
              <w:rPr>
                <w:rFonts w:ascii="Arial" w:cs="Arial" w:eastAsia="Arial" w:hAnsi="Arial"/>
                <w:sz w:val="15"/>
                <w:szCs w:val="15"/>
                <w:color w:val="auto"/>
              </w:rPr>
              <w:t>86,635</w:t>
            </w:r>
          </w:p>
        </w:tc>
        <w:tc>
          <w:tcPr>
            <w:tcW w:w="3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State and local taxes, net of U.S. Federal tax</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9,247</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4,143</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20"/>
                <w:szCs w:val="20"/>
                <w:color w:val="auto"/>
              </w:rPr>
            </w:pPr>
            <w:r>
              <w:rPr>
                <w:rFonts w:ascii="Arial" w:cs="Arial" w:eastAsia="Arial" w:hAnsi="Arial"/>
                <w:sz w:val="15"/>
                <w:szCs w:val="15"/>
                <w:color w:val="auto"/>
              </w:rPr>
              <w:t>Valuation allowances against state tax benefits, net of U.S. Federal tax</w:t>
            </w:r>
          </w:p>
        </w:tc>
        <w:tc>
          <w:tcPr>
            <w:tcW w:w="220" w:type="dxa"/>
            <w:vAlign w:val="bottom"/>
          </w:tcPr>
          <w:p>
            <w:pPr>
              <w:spacing w:after="0"/>
              <w:rPr>
                <w:sz w:val="16"/>
                <w:szCs w:val="16"/>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(3,443)</w:t>
            </w:r>
          </w:p>
        </w:tc>
        <w:tc>
          <w:tcPr>
            <w:tcW w:w="360" w:type="dxa"/>
            <w:vAlign w:val="bottom"/>
          </w:tcPr>
          <w:p>
            <w:pPr>
              <w:spacing w:after="0"/>
              <w:rPr>
                <w:sz w:val="16"/>
                <w:szCs w:val="16"/>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9,748</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Tax provided on non-U.S. subsidiary earnings and distributions at less</w:t>
            </w:r>
          </w:p>
        </w:tc>
        <w:tc>
          <w:tcPr>
            <w:tcW w:w="220" w:type="dxa"/>
            <w:vAlign w:val="bottom"/>
          </w:tcPr>
          <w:p>
            <w:pPr>
              <w:spacing w:after="0"/>
              <w:rPr>
                <w:sz w:val="15"/>
                <w:szCs w:val="15"/>
                <w:color w:val="auto"/>
              </w:rPr>
            </w:pPr>
          </w:p>
        </w:tc>
        <w:tc>
          <w:tcPr>
            <w:tcW w:w="90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(7,320)</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900" w:type="dxa"/>
            <w:vAlign w:val="bottom"/>
          </w:tcPr>
          <w:p>
            <w:pPr>
              <w:ind w:left="220"/>
              <w:spacing w:after="0" w:line="156" w:lineRule="exact"/>
              <w:rPr>
                <w:sz w:val="20"/>
                <w:szCs w:val="20"/>
                <w:color w:val="auto"/>
              </w:rPr>
            </w:pPr>
            <w:r>
              <w:rPr>
                <w:rFonts w:ascii="Arial" w:cs="Arial" w:eastAsia="Arial" w:hAnsi="Arial"/>
                <w:sz w:val="15"/>
                <w:szCs w:val="15"/>
                <w:color w:val="auto"/>
              </w:rPr>
              <w:t>than the expected U.S. Federal statutory tax rate</w:t>
            </w:r>
          </w:p>
        </w:tc>
        <w:tc>
          <w:tcPr>
            <w:tcW w:w="22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jc w:val="right"/>
              <w:ind w:right="67"/>
              <w:spacing w:after="0" w:line="156" w:lineRule="exact"/>
              <w:rPr>
                <w:sz w:val="20"/>
                <w:szCs w:val="20"/>
                <w:color w:val="auto"/>
              </w:rPr>
            </w:pPr>
            <w:r>
              <w:rPr>
                <w:rFonts w:ascii="Arial" w:cs="Arial" w:eastAsia="Arial" w:hAnsi="Arial"/>
                <w:sz w:val="15"/>
                <w:szCs w:val="15"/>
                <w:color w:val="auto"/>
              </w:rPr>
              <w:t>(6,882)</w:t>
            </w:r>
          </w:p>
        </w:tc>
        <w:tc>
          <w:tcPr>
            <w:tcW w:w="340" w:type="dxa"/>
            <w:vAlign w:val="bottom"/>
          </w:tcPr>
          <w:p>
            <w:pPr>
              <w:spacing w:after="0"/>
              <w:rPr>
                <w:sz w:val="13"/>
                <w:szCs w:val="13"/>
                <w:color w:val="auto"/>
              </w:rPr>
            </w:pPr>
          </w:p>
        </w:tc>
        <w:tc>
          <w:tcPr>
            <w:tcW w:w="3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Valuation allowances against non-U.S. income tax benefits</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15,966</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8,072</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Goodwill impairments</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12,776</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U.S. Federal Manufacturing Deduction tax (benefit) expense</w:t>
            </w:r>
          </w:p>
        </w:tc>
        <w:tc>
          <w:tcPr>
            <w:tcW w:w="220" w:type="dxa"/>
            <w:vAlign w:val="bottom"/>
          </w:tcPr>
          <w:p>
            <w:pPr>
              <w:spacing w:after="0"/>
              <w:rPr>
                <w:sz w:val="15"/>
                <w:szCs w:val="15"/>
                <w:color w:val="auto"/>
              </w:rPr>
            </w:pPr>
          </w:p>
        </w:tc>
        <w:tc>
          <w:tcPr>
            <w:tcW w:w="900" w:type="dxa"/>
            <w:vAlign w:val="bottom"/>
          </w:tcPr>
          <w:p>
            <w:pPr>
              <w:jc w:val="right"/>
              <w:ind w:right="47"/>
              <w:spacing w:after="0"/>
              <w:rPr>
                <w:sz w:val="20"/>
                <w:szCs w:val="20"/>
                <w:color w:val="auto"/>
              </w:rPr>
            </w:pPr>
            <w:r>
              <w:rPr>
                <w:rFonts w:ascii="Arial" w:cs="Arial" w:eastAsia="Arial" w:hAnsi="Arial"/>
                <w:sz w:val="15"/>
                <w:szCs w:val="15"/>
                <w:b w:val="1"/>
                <w:bCs w:val="1"/>
                <w:color w:val="auto"/>
              </w:rPr>
              <w:t>(3,323)</w:t>
            </w:r>
          </w:p>
        </w:tc>
        <w:tc>
          <w:tcPr>
            <w:tcW w:w="360" w:type="dxa"/>
            <w:vAlign w:val="bottom"/>
          </w:tcPr>
          <w:p>
            <w:pPr>
              <w:spacing w:after="0"/>
              <w:rPr>
                <w:sz w:val="15"/>
                <w:szCs w:val="15"/>
                <w:color w:val="auto"/>
              </w:rPr>
            </w:pPr>
          </w:p>
        </w:tc>
        <w:tc>
          <w:tcPr>
            <w:tcW w:w="900" w:type="dxa"/>
            <w:vAlign w:val="bottom"/>
          </w:tcPr>
          <w:p>
            <w:pPr>
              <w:jc w:val="right"/>
              <w:ind w:right="67"/>
              <w:spacing w:after="0"/>
              <w:rPr>
                <w:sz w:val="20"/>
                <w:szCs w:val="20"/>
                <w:color w:val="auto"/>
              </w:rPr>
            </w:pPr>
            <w:r>
              <w:rPr>
                <w:rFonts w:ascii="Arial" w:cs="Arial" w:eastAsia="Arial" w:hAnsi="Arial"/>
                <w:sz w:val="15"/>
                <w:szCs w:val="15"/>
                <w:color w:val="auto"/>
              </w:rPr>
              <w:t>1,365</w:t>
            </w:r>
          </w:p>
        </w:tc>
        <w:tc>
          <w:tcPr>
            <w:tcW w:w="3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5"/>
                <w:szCs w:val="15"/>
                <w:color w:val="auto"/>
              </w:rPr>
              <w:t>Other, net</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5,484</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(1,181)</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6"/>
        </w:trPr>
        <w:tc>
          <w:tcPr>
            <w:tcW w:w="7900" w:type="dxa"/>
            <w:vAlign w:val="bottom"/>
          </w:tcPr>
          <w:p>
            <w:pPr>
              <w:spacing w:after="0" w:line="167" w:lineRule="exact"/>
              <w:rPr>
                <w:sz w:val="20"/>
                <w:szCs w:val="20"/>
                <w:color w:val="auto"/>
              </w:rPr>
            </w:pPr>
            <w:r>
              <w:rPr>
                <w:rFonts w:ascii="Arial" w:cs="Arial" w:eastAsia="Arial" w:hAnsi="Arial"/>
                <w:sz w:val="15"/>
                <w:szCs w:val="15"/>
                <w:b w:val="1"/>
                <w:bCs w:val="1"/>
                <w:color w:val="auto"/>
              </w:rPr>
              <w:t>Provision for Income Taxes</w:t>
            </w:r>
          </w:p>
        </w:tc>
        <w:tc>
          <w:tcPr>
            <w:tcW w:w="2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71,600</w:t>
            </w:r>
          </w:p>
        </w:tc>
        <w:tc>
          <w:tcPr>
            <w:tcW w:w="3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101,900</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24" w:right="139" w:bottom="1440" w:gutter="0" w:footer="0" w:header="0"/>
        </w:sectPr>
      </w:pPr>
    </w:p>
    <w:bookmarkStart w:id="100" w:name="page101"/>
    <w:bookmarkEnd w:id="100"/>
    <w:p>
      <w:pPr>
        <w:spacing w:after="0" w:line="235" w:lineRule="auto"/>
        <w:rPr>
          <w:sz w:val="20"/>
          <w:szCs w:val="20"/>
          <w:color w:val="auto"/>
        </w:rPr>
      </w:pPr>
      <w:r>
        <w:rPr>
          <w:rFonts w:ascii="Arial" w:cs="Arial" w:eastAsia="Arial" w:hAnsi="Arial"/>
          <w:sz w:val="17"/>
          <w:szCs w:val="17"/>
          <w:color w:val="auto"/>
        </w:rPr>
        <w:t>Results for 2011 include $1.4 million in income tax expense related to the U.S. Federal manufacturing deduction; this amount reflects a 2011 tax bene offset by a change in estimate for 2010.</w:t>
      </w:r>
    </w:p>
    <w:p>
      <w:pPr>
        <w:spacing w:after="0" w:line="176"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During 2012, 2011 and 2010, in addition to the income tax provision for continuing operations presented above, the Company also recorded tax benef discontinued operations. Losses from discontinued operations and gains or losses on sales and dispositions of discontinued operations have been reclassified from previously reported income from operations and reported separately as loss from discontinued operations, net of tax. Tax benefits of million, $5.8 million and $14.9 million with respect to discontinued operations were recorded in 2012, 2011 and 2010,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Deferred income taxes at December 31, 2012 and December 31, 2011,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Accrued postretirement benefits</w:t>
            </w:r>
          </w:p>
        </w:tc>
        <w:tc>
          <w:tcPr>
            <w:tcW w:w="24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w w:val="95"/>
              </w:rPr>
              <w:t>$</w:t>
            </w:r>
          </w:p>
        </w:tc>
        <w:tc>
          <w:tcPr>
            <w:tcW w:w="90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25,287</w:t>
            </w:r>
          </w:p>
        </w:tc>
        <w:tc>
          <w:tcPr>
            <w:tcW w:w="340" w:type="dxa"/>
            <w:vAlign w:val="bottom"/>
          </w:tcPr>
          <w:p>
            <w:pPr>
              <w:jc w:val="right"/>
              <w:ind w:right="66"/>
              <w:spacing w:after="0" w:line="150"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Other benefit obligations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123,306</w:t>
            </w:r>
          </w:p>
        </w:tc>
        <w:tc>
          <w:tcPr>
            <w:tcW w:w="340" w:type="dxa"/>
            <w:vAlign w:val="bottom"/>
          </w:tcPr>
          <w:p>
            <w:pPr>
              <w:spacing w:after="0"/>
              <w:rPr>
                <w:sz w:val="15"/>
                <w:szCs w:val="15"/>
                <w:color w:val="auto"/>
              </w:rPr>
            </w:pPr>
          </w:p>
        </w:tc>
        <w:tc>
          <w:tcPr>
            <w:tcW w:w="320" w:type="dxa"/>
            <w:vAlign w:val="bottom"/>
          </w:tcPr>
          <w:p>
            <w:pPr>
              <w:jc w:val="center"/>
              <w:ind w:left="127"/>
              <w:spacing w:after="0"/>
              <w:rPr>
                <w:sz w:val="20"/>
                <w:szCs w:val="20"/>
                <w:color w:val="auto"/>
              </w:rPr>
            </w:pPr>
            <w:r>
              <w:rPr>
                <w:rFonts w:ascii="Arial" w:cs="Arial" w:eastAsia="Arial" w:hAnsi="Arial"/>
                <w:sz w:val="15"/>
                <w:szCs w:val="15"/>
                <w:color w:val="auto"/>
                <w:w w:val="95"/>
              </w:rPr>
              <w:t>1</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Accounts receivable</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31,073</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State income tax loss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34,578</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U.S. Federal income tax loss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2,857</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U.S. Federal capital loss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10,837</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U.S. Federal foreign income tax credit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6,781</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Non-U.S. income tax loss carryforwards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27,039</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58,133</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b w:val="1"/>
                <w:bCs w:val="1"/>
                <w:color w:val="auto"/>
              </w:rPr>
              <w:t>Deferred Tax Assets</w:t>
            </w:r>
          </w:p>
        </w:tc>
        <w:tc>
          <w:tcPr>
            <w:tcW w:w="240" w:type="dxa"/>
            <w:vAlign w:val="bottom"/>
          </w:tcPr>
          <w:p>
            <w:pPr>
              <w:spacing w:after="0"/>
              <w:rPr>
                <w:sz w:val="13"/>
                <w:szCs w:val="13"/>
                <w:color w:val="auto"/>
              </w:rPr>
            </w:pPr>
          </w:p>
        </w:tc>
        <w:tc>
          <w:tcPr>
            <w:tcW w:w="90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319,891</w:t>
            </w:r>
          </w:p>
        </w:tc>
        <w:tc>
          <w:tcPr>
            <w:tcW w:w="340" w:type="dxa"/>
            <w:vAlign w:val="bottom"/>
          </w:tcPr>
          <w:p>
            <w:pPr>
              <w:spacing w:after="0"/>
              <w:rPr>
                <w:sz w:val="13"/>
                <w:szCs w:val="13"/>
                <w:color w:val="auto"/>
              </w:rPr>
            </w:pPr>
          </w:p>
        </w:tc>
        <w:tc>
          <w:tcPr>
            <w:tcW w:w="320" w:type="dxa"/>
            <w:vAlign w:val="bottom"/>
          </w:tcPr>
          <w:p>
            <w:pPr>
              <w:jc w:val="center"/>
              <w:ind w:left="127"/>
              <w:spacing w:after="0" w:line="150" w:lineRule="exact"/>
              <w:rPr>
                <w:sz w:val="20"/>
                <w:szCs w:val="20"/>
                <w:color w:val="auto"/>
              </w:rPr>
            </w:pPr>
            <w:r>
              <w:rPr>
                <w:rFonts w:ascii="Arial" w:cs="Arial" w:eastAsia="Arial" w:hAnsi="Arial"/>
                <w:sz w:val="15"/>
                <w:szCs w:val="15"/>
                <w:color w:val="auto"/>
                <w:w w:val="95"/>
              </w:rPr>
              <w:t>2</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Valuation allowances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(78,109)</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w w:val="89"/>
              </w:rPr>
              <w:t>(5</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Deferred Tax Assets, Net</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241,782</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127"/>
              <w:spacing w:after="0" w:line="167" w:lineRule="exact"/>
              <w:rPr>
                <w:sz w:val="20"/>
                <w:szCs w:val="20"/>
                <w:color w:val="auto"/>
              </w:rPr>
            </w:pPr>
            <w:r>
              <w:rPr>
                <w:rFonts w:ascii="Arial" w:cs="Arial" w:eastAsia="Arial" w:hAnsi="Arial"/>
                <w:sz w:val="15"/>
                <w:szCs w:val="15"/>
                <w:color w:val="auto"/>
                <w:w w:val="95"/>
              </w:rPr>
              <w:t>2</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Property, plant and equipment</w:t>
            </w:r>
          </w:p>
        </w:tc>
        <w:tc>
          <w:tcPr>
            <w:tcW w:w="240" w:type="dxa"/>
            <w:vAlign w:val="bottom"/>
          </w:tcPr>
          <w:p>
            <w:pPr>
              <w:spacing w:after="0"/>
              <w:rPr>
                <w:sz w:val="13"/>
                <w:szCs w:val="13"/>
                <w:color w:val="auto"/>
              </w:rPr>
            </w:pPr>
          </w:p>
        </w:tc>
        <w:tc>
          <w:tcPr>
            <w:tcW w:w="900" w:type="dxa"/>
            <w:vAlign w:val="bottom"/>
          </w:tcPr>
          <w:p>
            <w:pPr>
              <w:jc w:val="right"/>
              <w:ind w:right="66"/>
              <w:spacing w:after="0" w:line="150" w:lineRule="exact"/>
              <w:rPr>
                <w:sz w:val="20"/>
                <w:szCs w:val="20"/>
                <w:color w:val="auto"/>
              </w:rPr>
            </w:pPr>
            <w:r>
              <w:rPr>
                <w:rFonts w:ascii="Arial" w:cs="Arial" w:eastAsia="Arial" w:hAnsi="Arial"/>
                <w:sz w:val="15"/>
                <w:szCs w:val="15"/>
                <w:b w:val="1"/>
                <w:bCs w:val="1"/>
                <w:color w:val="auto"/>
              </w:rPr>
              <w:t>175,025</w:t>
            </w:r>
          </w:p>
        </w:tc>
        <w:tc>
          <w:tcPr>
            <w:tcW w:w="340" w:type="dxa"/>
            <w:vAlign w:val="bottom"/>
          </w:tcPr>
          <w:p>
            <w:pPr>
              <w:spacing w:after="0"/>
              <w:rPr>
                <w:sz w:val="13"/>
                <w:szCs w:val="13"/>
                <w:color w:val="auto"/>
              </w:rPr>
            </w:pPr>
          </w:p>
        </w:tc>
        <w:tc>
          <w:tcPr>
            <w:tcW w:w="320" w:type="dxa"/>
            <w:vAlign w:val="bottom"/>
          </w:tcPr>
          <w:p>
            <w:pPr>
              <w:jc w:val="center"/>
              <w:ind w:left="127"/>
              <w:spacing w:after="0" w:line="150" w:lineRule="exact"/>
              <w:rPr>
                <w:sz w:val="20"/>
                <w:szCs w:val="20"/>
                <w:color w:val="auto"/>
              </w:rPr>
            </w:pPr>
            <w:r>
              <w:rPr>
                <w:rFonts w:ascii="Arial" w:cs="Arial" w:eastAsia="Arial" w:hAnsi="Arial"/>
                <w:sz w:val="15"/>
                <w:szCs w:val="15"/>
                <w:color w:val="auto"/>
                <w:w w:val="95"/>
              </w:rPr>
              <w:t>2</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Prepaid pension cost</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241,846</w:t>
            </w:r>
          </w:p>
        </w:tc>
        <w:tc>
          <w:tcPr>
            <w:tcW w:w="340" w:type="dxa"/>
            <w:vAlign w:val="bottom"/>
          </w:tcPr>
          <w:p>
            <w:pPr>
              <w:spacing w:after="0"/>
              <w:rPr>
                <w:sz w:val="15"/>
                <w:szCs w:val="15"/>
                <w:color w:val="auto"/>
              </w:rPr>
            </w:pPr>
          </w:p>
        </w:tc>
        <w:tc>
          <w:tcPr>
            <w:tcW w:w="320" w:type="dxa"/>
            <w:vAlign w:val="bottom"/>
          </w:tcPr>
          <w:p>
            <w:pPr>
              <w:jc w:val="center"/>
              <w:ind w:left="127"/>
              <w:spacing w:after="0"/>
              <w:rPr>
                <w:sz w:val="20"/>
                <w:szCs w:val="20"/>
                <w:color w:val="auto"/>
              </w:rPr>
            </w:pPr>
            <w:r>
              <w:rPr>
                <w:rFonts w:ascii="Arial" w:cs="Arial" w:eastAsia="Arial" w:hAnsi="Arial"/>
                <w:sz w:val="15"/>
                <w:szCs w:val="15"/>
                <w:color w:val="auto"/>
                <w:w w:val="95"/>
              </w:rPr>
              <w:t>2</w:t>
            </w: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Unrealized gain on available-for-sale securities</w:t>
            </w:r>
          </w:p>
        </w:tc>
        <w:tc>
          <w:tcPr>
            <w:tcW w:w="2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5"/>
                <w:szCs w:val="15"/>
                <w:b w:val="1"/>
                <w:bCs w:val="1"/>
                <w:color w:val="auto"/>
              </w:rPr>
              <w:t>73,712</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Goodwill and other intangible assets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276,652</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ind w:left="127"/>
              <w:spacing w:after="0"/>
              <w:rPr>
                <w:sz w:val="20"/>
                <w:szCs w:val="20"/>
                <w:color w:val="auto"/>
              </w:rPr>
            </w:pPr>
            <w:r>
              <w:rPr>
                <w:rFonts w:ascii="Arial" w:cs="Arial" w:eastAsia="Arial" w:hAnsi="Arial"/>
                <w:sz w:val="15"/>
                <w:szCs w:val="15"/>
                <w:color w:val="auto"/>
                <w:w w:val="95"/>
              </w:rPr>
              <w:t>2</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Deferred Tax Liabilities</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767,235</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127"/>
              <w:spacing w:after="0" w:line="167" w:lineRule="exact"/>
              <w:rPr>
                <w:sz w:val="20"/>
                <w:szCs w:val="20"/>
                <w:color w:val="auto"/>
              </w:rPr>
            </w:pPr>
            <w:r>
              <w:rPr>
                <w:rFonts w:ascii="Arial" w:cs="Arial" w:eastAsia="Arial" w:hAnsi="Arial"/>
                <w:sz w:val="15"/>
                <w:szCs w:val="15"/>
                <w:color w:val="auto"/>
                <w:w w:val="95"/>
              </w:rPr>
              <w:t>7</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Deferred Income Tax Liabilities, Net</w:t>
            </w:r>
          </w:p>
        </w:tc>
        <w:tc>
          <w:tcPr>
            <w:tcW w:w="2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525,453</w:t>
            </w:r>
          </w:p>
        </w:tc>
        <w:tc>
          <w:tcPr>
            <w:tcW w:w="3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center"/>
              <w:ind w:left="127"/>
              <w:spacing w:after="0" w:line="167" w:lineRule="exact"/>
              <w:rPr>
                <w:sz w:val="20"/>
                <w:szCs w:val="20"/>
                <w:color w:val="auto"/>
              </w:rPr>
            </w:pPr>
            <w:r>
              <w:rPr>
                <w:rFonts w:ascii="Arial" w:cs="Arial" w:eastAsia="Arial" w:hAnsi="Arial"/>
                <w:sz w:val="15"/>
                <w:szCs w:val="15"/>
                <w:color w:val="auto"/>
                <w:w w:val="95"/>
              </w:rPr>
              <w:t>5</w:t>
            </w:r>
          </w:p>
        </w:tc>
      </w:tr>
      <w:tr>
        <w:trPr>
          <w:trHeight w:val="20"/>
        </w:trPr>
        <w:tc>
          <w:tcPr>
            <w:tcW w:w="9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has approximately $666.7 million of state income tax loss carryforwards available to offset future state taxable income. State income ta carryforwards, if unutilized, will start to expire approximately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tbl>
      <w:tblPr>
        <w:tblLayout w:type="fixed"/>
        <w:tblInd w:w="0" w:type="dxa"/>
        <w:tblCellMar>
          <w:top w:w="0" w:type="dxa"/>
          <w:left w:w="0" w:type="dxa"/>
          <w:bottom w:w="0" w:type="dxa"/>
          <w:right w:w="0" w:type="dxa"/>
        </w:tblCellMar>
      </w:tblPr>
      <w:tr>
        <w:trPr>
          <w:trHeight w:val="168"/>
        </w:trPr>
        <w:tc>
          <w:tcPr>
            <w:tcW w:w="1052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color w:val="auto"/>
              </w:rPr>
              <w:t>2013</w:t>
            </w:r>
          </w:p>
        </w:tc>
        <w:tc>
          <w:tcPr>
            <w:tcW w:w="420" w:type="dxa"/>
            <w:vAlign w:val="bottom"/>
            <w:tcBorders>
              <w:top w:val="single" w:sz="8" w:color="auto"/>
            </w:tcBorders>
          </w:tcPr>
          <w:p>
            <w:pPr>
              <w:jc w:val="right"/>
              <w:ind w:right="266"/>
              <w:spacing w:after="0" w:line="168" w:lineRule="exact"/>
              <w:rPr>
                <w:sz w:val="20"/>
                <w:szCs w:val="20"/>
                <w:color w:val="auto"/>
              </w:rPr>
            </w:pPr>
            <w:r>
              <w:rPr>
                <w:rFonts w:ascii="Arial" w:cs="Arial" w:eastAsia="Arial" w:hAnsi="Arial"/>
                <w:sz w:val="15"/>
                <w:szCs w:val="15"/>
                <w:color w:val="auto"/>
                <w:w w:val="71"/>
              </w:rPr>
              <w:t>$</w:t>
            </w: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2014</w:t>
            </w:r>
          </w:p>
        </w:tc>
        <w:tc>
          <w:tcPr>
            <w:tcW w:w="420" w:type="dxa"/>
            <w:vAlign w:val="bottom"/>
          </w:tcPr>
          <w:p>
            <w:pPr>
              <w:spacing w:after="0"/>
              <w:rPr>
                <w:sz w:val="15"/>
                <w:szCs w:val="15"/>
                <w:color w:val="auto"/>
              </w:rPr>
            </w:pP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2015</w:t>
            </w:r>
          </w:p>
        </w:tc>
        <w:tc>
          <w:tcPr>
            <w:tcW w:w="420" w:type="dxa"/>
            <w:vAlign w:val="bottom"/>
          </w:tcPr>
          <w:p>
            <w:pPr>
              <w:spacing w:after="0"/>
              <w:rPr>
                <w:sz w:val="15"/>
                <w:szCs w:val="15"/>
                <w:color w:val="auto"/>
              </w:rPr>
            </w:pP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2016</w:t>
            </w:r>
          </w:p>
        </w:tc>
        <w:tc>
          <w:tcPr>
            <w:tcW w:w="420" w:type="dxa"/>
            <w:vAlign w:val="bottom"/>
          </w:tcPr>
          <w:p>
            <w:pPr>
              <w:spacing w:after="0"/>
              <w:rPr>
                <w:sz w:val="15"/>
                <w:szCs w:val="15"/>
                <w:color w:val="auto"/>
              </w:rPr>
            </w:pPr>
          </w:p>
        </w:tc>
      </w:tr>
      <w:tr>
        <w:trPr>
          <w:trHeight w:val="174"/>
        </w:trPr>
        <w:tc>
          <w:tcPr>
            <w:tcW w:w="10520" w:type="dxa"/>
            <w:vAlign w:val="bottom"/>
          </w:tcPr>
          <w:p>
            <w:pPr>
              <w:spacing w:after="0"/>
              <w:rPr>
                <w:sz w:val="20"/>
                <w:szCs w:val="20"/>
                <w:color w:val="auto"/>
              </w:rPr>
            </w:pPr>
            <w:r>
              <w:rPr>
                <w:rFonts w:ascii="Arial" w:cs="Arial" w:eastAsia="Arial" w:hAnsi="Arial"/>
                <w:sz w:val="15"/>
                <w:szCs w:val="15"/>
                <w:color w:val="auto"/>
              </w:rPr>
              <w:t>2017</w:t>
            </w:r>
          </w:p>
        </w:tc>
        <w:tc>
          <w:tcPr>
            <w:tcW w:w="420" w:type="dxa"/>
            <w:vAlign w:val="bottom"/>
          </w:tcPr>
          <w:p>
            <w:pPr>
              <w:spacing w:after="0"/>
              <w:rPr>
                <w:sz w:val="15"/>
                <w:szCs w:val="15"/>
                <w:color w:val="auto"/>
              </w:rPr>
            </w:pPr>
          </w:p>
        </w:tc>
      </w:tr>
      <w:tr>
        <w:trPr>
          <w:trHeight w:val="172"/>
        </w:trPr>
        <w:tc>
          <w:tcPr>
            <w:tcW w:w="10520" w:type="dxa"/>
            <w:vAlign w:val="bottom"/>
          </w:tcPr>
          <w:p>
            <w:pPr>
              <w:spacing w:after="0"/>
              <w:rPr>
                <w:sz w:val="20"/>
                <w:szCs w:val="20"/>
                <w:color w:val="auto"/>
              </w:rPr>
            </w:pPr>
            <w:r>
              <w:rPr>
                <w:rFonts w:ascii="Arial" w:cs="Arial" w:eastAsia="Arial" w:hAnsi="Arial"/>
                <w:sz w:val="15"/>
                <w:szCs w:val="15"/>
                <w:color w:val="auto"/>
              </w:rPr>
              <w:t>2018 and after</w:t>
            </w:r>
          </w:p>
        </w:tc>
        <w:tc>
          <w:tcPr>
            <w:tcW w:w="420" w:type="dxa"/>
            <w:vAlign w:val="bottom"/>
            <w:tcBorders>
              <w:bottom w:val="single" w:sz="8" w:color="auto"/>
            </w:tcBorders>
          </w:tcPr>
          <w:p>
            <w:pPr>
              <w:spacing w:after="0"/>
              <w:rPr>
                <w:sz w:val="14"/>
                <w:szCs w:val="14"/>
                <w:color w:val="auto"/>
              </w:rPr>
            </w:pPr>
          </w:p>
        </w:tc>
      </w:tr>
      <w:tr>
        <w:trPr>
          <w:trHeight w:val="166"/>
        </w:trPr>
        <w:tc>
          <w:tcPr>
            <w:tcW w:w="10520" w:type="dxa"/>
            <w:vAlign w:val="bottom"/>
          </w:tcPr>
          <w:p>
            <w:pPr>
              <w:spacing w:after="0" w:line="167" w:lineRule="exact"/>
              <w:rPr>
                <w:sz w:val="20"/>
                <w:szCs w:val="20"/>
                <w:color w:val="auto"/>
              </w:rPr>
            </w:pPr>
            <w:r>
              <w:rPr>
                <w:rFonts w:ascii="Arial" w:cs="Arial" w:eastAsia="Arial" w:hAnsi="Arial"/>
                <w:sz w:val="15"/>
                <w:szCs w:val="15"/>
                <w:b w:val="1"/>
                <w:bCs w:val="1"/>
                <w:color w:val="auto"/>
              </w:rPr>
              <w:t>Total</w:t>
            </w:r>
          </w:p>
        </w:tc>
        <w:tc>
          <w:tcPr>
            <w:tcW w:w="420" w:type="dxa"/>
            <w:vAlign w:val="bottom"/>
            <w:tcBorders>
              <w:bottom w:val="single" w:sz="8" w:color="auto"/>
            </w:tcBorders>
          </w:tcPr>
          <w:p>
            <w:pPr>
              <w:jc w:val="right"/>
              <w:ind w:right="266"/>
              <w:spacing w:after="0" w:line="167" w:lineRule="exact"/>
              <w:rPr>
                <w:sz w:val="20"/>
                <w:szCs w:val="20"/>
                <w:color w:val="auto"/>
              </w:rPr>
            </w:pPr>
            <w:r>
              <w:rPr>
                <w:rFonts w:ascii="Arial" w:cs="Arial" w:eastAsia="Arial" w:hAnsi="Arial"/>
                <w:sz w:val="15"/>
                <w:szCs w:val="15"/>
                <w:b w:val="1"/>
                <w:bCs w:val="1"/>
                <w:color w:val="auto"/>
                <w:w w:val="71"/>
              </w:rPr>
              <w:t>$</w:t>
            </w:r>
          </w:p>
        </w:tc>
      </w:tr>
      <w:tr>
        <w:trPr>
          <w:trHeight w:val="20"/>
        </w:trPr>
        <w:tc>
          <w:tcPr>
            <w:tcW w:w="10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has recorded at December 31, 2012, approximately $34.6 million in deferred state income tax assets, net of U.S. Federal income tax, w respect to these state income tax loss carryforwards. The Company has established a full valuation allowance reducing the net recorded amount of de tax assets with respect to state tax loss carryforwards, since the Company has determined that it is more likely than not that the state tax losses may n fully utilized in the future to reduce state taxable income.</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Company has approximately $8.1 million of U.S. Federal income tax loss carryforwards obtained as a result of prior stock acquisitions. U.S. Fede income tax loss carryforwards are expected to be fully utilized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(in millions)</w:t>
      </w:r>
    </w:p>
    <w:tbl>
      <w:tblPr>
        <w:tblLayout w:type="fixed"/>
        <w:tblInd w:w="0" w:type="dxa"/>
        <w:tblCellMar>
          <w:top w:w="0" w:type="dxa"/>
          <w:left w:w="0" w:type="dxa"/>
          <w:bottom w:w="0" w:type="dxa"/>
          <w:right w:w="0" w:type="dxa"/>
        </w:tblCellMar>
      </w:tblPr>
      <w:tr>
        <w:trPr>
          <w:trHeight w:val="168"/>
        </w:trPr>
        <w:tc>
          <w:tcPr>
            <w:tcW w:w="1062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color w:val="auto"/>
              </w:rPr>
              <w:t>2013</w:t>
            </w:r>
          </w:p>
        </w:tc>
        <w:tc>
          <w:tcPr>
            <w:tcW w:w="320" w:type="dxa"/>
            <w:vAlign w:val="bottom"/>
            <w:tcBorders>
              <w:top w:val="single" w:sz="8" w:color="auto"/>
            </w:tcBorders>
          </w:tcPr>
          <w:p>
            <w:pPr>
              <w:jc w:val="right"/>
              <w:ind w:right="166"/>
              <w:spacing w:after="0" w:line="168" w:lineRule="exact"/>
              <w:rPr>
                <w:sz w:val="20"/>
                <w:szCs w:val="20"/>
                <w:color w:val="auto"/>
              </w:rPr>
            </w:pPr>
            <w:r>
              <w:rPr>
                <w:rFonts w:ascii="Arial" w:cs="Arial" w:eastAsia="Arial" w:hAnsi="Arial"/>
                <w:sz w:val="15"/>
                <w:szCs w:val="15"/>
                <w:color w:val="auto"/>
                <w:w w:val="71"/>
              </w:rPr>
              <w:t>$</w:t>
            </w: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2014</w:t>
            </w:r>
          </w:p>
        </w:tc>
        <w:tc>
          <w:tcPr>
            <w:tcW w:w="320" w:type="dxa"/>
            <w:vAlign w:val="bottom"/>
          </w:tcPr>
          <w:p>
            <w:pPr>
              <w:spacing w:after="0"/>
              <w:rPr>
                <w:sz w:val="15"/>
                <w:szCs w:val="15"/>
                <w:color w:val="auto"/>
              </w:rPr>
            </w:pP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2015</w:t>
            </w:r>
          </w:p>
        </w:tc>
        <w:tc>
          <w:tcPr>
            <w:tcW w:w="320" w:type="dxa"/>
            <w:vAlign w:val="bottom"/>
          </w:tcPr>
          <w:p>
            <w:pPr>
              <w:spacing w:after="0"/>
              <w:rPr>
                <w:sz w:val="15"/>
                <w:szCs w:val="15"/>
                <w:color w:val="auto"/>
              </w:rPr>
            </w:pP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2016</w:t>
            </w:r>
          </w:p>
        </w:tc>
        <w:tc>
          <w:tcPr>
            <w:tcW w:w="320" w:type="dxa"/>
            <w:vAlign w:val="bottom"/>
          </w:tcPr>
          <w:p>
            <w:pPr>
              <w:spacing w:after="0"/>
              <w:rPr>
                <w:sz w:val="15"/>
                <w:szCs w:val="15"/>
                <w:color w:val="auto"/>
              </w:rPr>
            </w:pPr>
          </w:p>
        </w:tc>
      </w:tr>
      <w:tr>
        <w:trPr>
          <w:trHeight w:val="174"/>
        </w:trPr>
        <w:tc>
          <w:tcPr>
            <w:tcW w:w="10620" w:type="dxa"/>
            <w:vAlign w:val="bottom"/>
          </w:tcPr>
          <w:p>
            <w:pPr>
              <w:spacing w:after="0"/>
              <w:rPr>
                <w:sz w:val="20"/>
                <w:szCs w:val="20"/>
                <w:color w:val="auto"/>
              </w:rPr>
            </w:pPr>
            <w:r>
              <w:rPr>
                <w:rFonts w:ascii="Arial" w:cs="Arial" w:eastAsia="Arial" w:hAnsi="Arial"/>
                <w:sz w:val="15"/>
                <w:szCs w:val="15"/>
                <w:color w:val="auto"/>
              </w:rPr>
              <w:t>2017</w:t>
            </w:r>
          </w:p>
        </w:tc>
        <w:tc>
          <w:tcPr>
            <w:tcW w:w="320" w:type="dxa"/>
            <w:vAlign w:val="bottom"/>
          </w:tcPr>
          <w:p>
            <w:pPr>
              <w:spacing w:after="0"/>
              <w:rPr>
                <w:sz w:val="15"/>
                <w:szCs w:val="15"/>
                <w:color w:val="auto"/>
              </w:rPr>
            </w:pPr>
          </w:p>
        </w:tc>
      </w:tr>
      <w:tr>
        <w:trPr>
          <w:trHeight w:val="172"/>
        </w:trPr>
        <w:tc>
          <w:tcPr>
            <w:tcW w:w="10620" w:type="dxa"/>
            <w:vAlign w:val="bottom"/>
          </w:tcPr>
          <w:p>
            <w:pPr>
              <w:spacing w:after="0"/>
              <w:rPr>
                <w:sz w:val="20"/>
                <w:szCs w:val="20"/>
                <w:color w:val="auto"/>
              </w:rPr>
            </w:pPr>
            <w:r>
              <w:rPr>
                <w:rFonts w:ascii="Arial" w:cs="Arial" w:eastAsia="Arial" w:hAnsi="Arial"/>
                <w:sz w:val="15"/>
                <w:szCs w:val="15"/>
                <w:color w:val="auto"/>
              </w:rPr>
              <w:t>2018 and after</w:t>
            </w:r>
          </w:p>
        </w:tc>
        <w:tc>
          <w:tcPr>
            <w:tcW w:w="320" w:type="dxa"/>
            <w:vAlign w:val="bottom"/>
            <w:tcBorders>
              <w:bottom w:val="single" w:sz="8" w:color="auto"/>
            </w:tcBorders>
          </w:tcPr>
          <w:p>
            <w:pPr>
              <w:spacing w:after="0"/>
              <w:rPr>
                <w:sz w:val="14"/>
                <w:szCs w:val="14"/>
                <w:color w:val="auto"/>
              </w:rPr>
            </w:pPr>
          </w:p>
        </w:tc>
      </w:tr>
      <w:tr>
        <w:trPr>
          <w:trHeight w:val="166"/>
        </w:trPr>
        <w:tc>
          <w:tcPr>
            <w:tcW w:w="10620" w:type="dxa"/>
            <w:vAlign w:val="bottom"/>
          </w:tcPr>
          <w:p>
            <w:pPr>
              <w:spacing w:after="0" w:line="167" w:lineRule="exact"/>
              <w:rPr>
                <w:sz w:val="20"/>
                <w:szCs w:val="20"/>
                <w:color w:val="auto"/>
              </w:rPr>
            </w:pPr>
            <w:r>
              <w:rPr>
                <w:rFonts w:ascii="Arial" w:cs="Arial" w:eastAsia="Arial" w:hAnsi="Arial"/>
                <w:sz w:val="15"/>
                <w:szCs w:val="15"/>
                <w:b w:val="1"/>
                <w:bCs w:val="1"/>
                <w:color w:val="auto"/>
              </w:rPr>
              <w:t>Total</w:t>
            </w:r>
          </w:p>
        </w:tc>
        <w:tc>
          <w:tcPr>
            <w:tcW w:w="32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w w:val="71"/>
              </w:rPr>
              <w:t>$</w:t>
            </w:r>
          </w:p>
        </w:tc>
      </w:tr>
      <w:tr>
        <w:trPr>
          <w:trHeight w:val="20"/>
        </w:trPr>
        <w:tc>
          <w:tcPr>
            <w:tcW w:w="10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01" w:name="page102"/>
    <w:bookmarkEnd w:id="101"/>
    <w:p>
      <w:pPr>
        <w:jc w:val="both"/>
        <w:spacing w:after="0" w:line="235" w:lineRule="auto"/>
        <w:rPr>
          <w:sz w:val="20"/>
          <w:szCs w:val="20"/>
          <w:color w:val="auto"/>
        </w:rPr>
      </w:pPr>
      <w:r>
        <w:rPr>
          <w:rFonts w:ascii="Arial" w:cs="Arial" w:eastAsia="Arial" w:hAnsi="Arial"/>
          <w:sz w:val="17"/>
          <w:szCs w:val="17"/>
          <w:color w:val="auto"/>
        </w:rPr>
        <w:t>The Company has established at December 31, 2012 approximately $2.9 million in U.S. Federal deferred tax assets with respect to these U.S. Federa income tax loss carryforwards.</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has approximately $27.8 million of U.S. Federal capital loss carryforwards obtained mainly as a result of dispositions during 2012 of the of former subsidiaries and an affiliate. U.S. Federal capital loss carryforwards are expected to be fully utilized for U.S. Federal tax purposes in the futu will expire at the end of 2017 if not utilized. The Company has recorded at December 31, 2012 approximately $10.8 million of deferred tax assets with respect to these U.S. Federal capital loss carryforwards.</w:t>
      </w:r>
    </w:p>
    <w:p>
      <w:pPr>
        <w:spacing w:after="0" w:line="162"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For U.S. Federal income tax purposes, the Company has approximately $6.8 million of foreign tax credits available to be credited against future U.S. Federal income tax liabilities. These U.S. Federal foreign tax credits are expected to be fully utilized in the future, but will expire at the end of 2022 if n utilized. The Company has established at December 31, 2012, approximately $6.8 million of U.S. Federal deferred tax assets with respect to these U. Federal foreign tax credit carryforwards.</w:t>
      </w:r>
    </w:p>
    <w:p>
      <w:pPr>
        <w:spacing w:after="0" w:line="162"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has approximately $93.0 million of non-U.S. income tax loss carryforwards as a result of operating losses and prior stock acquisitions, that are available to offset future non-U.S. taxable income, and has recorded with respect to these losses, approximately $27.0 million in non-U.S. def income tax assets. The Company has established approximately $25.2 million in valuation allowances against the deferred tax assets recorded for the portion of non-U.S. tax losses that may not be fully utilized to reduce future non-U.S. taxable income. The $93.0 million of non-U.S. income tax loss carryforwards consist of $84.6 million in losses that may be carried forward indefinitely; $3.0 million of losses that, if unutilized, will expire in varying am through 2017; and $5.4 million of losses that, if unutilized, will start to expire after 2017.</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Deferred tax valuation allowances and changes in deferred tax valuation allowances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53"/>
              <w:spacing w:after="0"/>
              <w:rPr>
                <w:sz w:val="20"/>
                <w:szCs w:val="20"/>
                <w:color w:val="auto"/>
              </w:rPr>
            </w:pPr>
            <w:r>
              <w:rPr>
                <w:rFonts w:ascii="Arial" w:cs="Arial" w:eastAsia="Arial" w:hAnsi="Arial"/>
                <w:sz w:val="12"/>
                <w:szCs w:val="12"/>
                <w:b w:val="1"/>
                <w:bCs w:val="1"/>
                <w:color w:val="auto"/>
              </w:rPr>
              <w:t>Additions –</w:t>
            </w: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37"/>
        </w:trPr>
        <w:tc>
          <w:tcPr>
            <w:tcW w:w="39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980" w:type="dxa"/>
            <w:vAlign w:val="bottom"/>
          </w:tcPr>
          <w:p>
            <w:pPr>
              <w:jc w:val="center"/>
              <w:ind w:right="172"/>
              <w:spacing w:after="0" w:line="137" w:lineRule="exact"/>
              <w:rPr>
                <w:sz w:val="20"/>
                <w:szCs w:val="20"/>
                <w:color w:val="auto"/>
              </w:rPr>
            </w:pPr>
            <w:r>
              <w:rPr>
                <w:rFonts w:ascii="Arial" w:cs="Arial" w:eastAsia="Arial" w:hAnsi="Arial"/>
                <w:sz w:val="12"/>
                <w:szCs w:val="12"/>
                <w:b w:val="1"/>
                <w:bCs w:val="1"/>
                <w:color w:val="auto"/>
              </w:rPr>
              <w:t>Balance at</w:t>
            </w:r>
          </w:p>
        </w:tc>
        <w:tc>
          <w:tcPr>
            <w:tcW w:w="280" w:type="dxa"/>
            <w:vAlign w:val="bottom"/>
          </w:tcPr>
          <w:p>
            <w:pPr>
              <w:spacing w:after="0"/>
              <w:rPr>
                <w:sz w:val="11"/>
                <w:szCs w:val="11"/>
                <w:color w:val="auto"/>
              </w:rPr>
            </w:pPr>
          </w:p>
        </w:tc>
        <w:tc>
          <w:tcPr>
            <w:tcW w:w="980" w:type="dxa"/>
            <w:vAlign w:val="bottom"/>
          </w:tcPr>
          <w:p>
            <w:pPr>
              <w:jc w:val="center"/>
              <w:ind w:right="133"/>
              <w:spacing w:after="0" w:line="137" w:lineRule="exact"/>
              <w:rPr>
                <w:sz w:val="20"/>
                <w:szCs w:val="20"/>
                <w:color w:val="auto"/>
              </w:rPr>
            </w:pPr>
            <w:r>
              <w:rPr>
                <w:rFonts w:ascii="Arial" w:cs="Arial" w:eastAsia="Arial" w:hAnsi="Arial"/>
                <w:sz w:val="12"/>
                <w:szCs w:val="12"/>
                <w:b w:val="1"/>
                <w:bCs w:val="1"/>
                <w:color w:val="auto"/>
              </w:rPr>
              <w:t>Charged to</w:t>
            </w: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Balan</w:t>
            </w:r>
          </w:p>
        </w:tc>
      </w:tr>
      <w:tr>
        <w:trPr>
          <w:trHeight w:val="137"/>
        </w:trPr>
        <w:tc>
          <w:tcPr>
            <w:tcW w:w="39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980" w:type="dxa"/>
            <w:vAlign w:val="bottom"/>
          </w:tcPr>
          <w:p>
            <w:pPr>
              <w:jc w:val="center"/>
              <w:ind w:right="172"/>
              <w:spacing w:after="0" w:line="137" w:lineRule="exact"/>
              <w:rPr>
                <w:sz w:val="20"/>
                <w:szCs w:val="20"/>
                <w:color w:val="auto"/>
              </w:rPr>
            </w:pPr>
            <w:r>
              <w:rPr>
                <w:rFonts w:ascii="Arial" w:cs="Arial" w:eastAsia="Arial" w:hAnsi="Arial"/>
                <w:sz w:val="12"/>
                <w:szCs w:val="12"/>
                <w:b w:val="1"/>
                <w:bCs w:val="1"/>
                <w:color w:val="auto"/>
              </w:rPr>
              <w:t>Beginning</w:t>
            </w:r>
          </w:p>
        </w:tc>
        <w:tc>
          <w:tcPr>
            <w:tcW w:w="280" w:type="dxa"/>
            <w:vAlign w:val="bottom"/>
          </w:tcPr>
          <w:p>
            <w:pPr>
              <w:spacing w:after="0"/>
              <w:rPr>
                <w:sz w:val="11"/>
                <w:szCs w:val="11"/>
                <w:color w:val="auto"/>
              </w:rPr>
            </w:pPr>
          </w:p>
        </w:tc>
        <w:tc>
          <w:tcPr>
            <w:tcW w:w="980" w:type="dxa"/>
            <w:vAlign w:val="bottom"/>
          </w:tcPr>
          <w:p>
            <w:pPr>
              <w:jc w:val="center"/>
              <w:ind w:right="153"/>
              <w:spacing w:after="0" w:line="137" w:lineRule="exact"/>
              <w:rPr>
                <w:sz w:val="20"/>
                <w:szCs w:val="20"/>
                <w:color w:val="auto"/>
              </w:rPr>
            </w:pPr>
            <w:r>
              <w:rPr>
                <w:rFonts w:ascii="Arial" w:cs="Arial" w:eastAsia="Arial" w:hAnsi="Arial"/>
                <w:sz w:val="12"/>
                <w:szCs w:val="12"/>
                <w:b w:val="1"/>
                <w:bCs w:val="1"/>
                <w:color w:val="auto"/>
              </w:rPr>
              <w:t>Costs and</w:t>
            </w: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End</w:t>
            </w:r>
          </w:p>
        </w:tc>
      </w:tr>
      <w:tr>
        <w:trPr>
          <w:trHeight w:val="151"/>
        </w:trPr>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72"/>
              <w:spacing w:after="0"/>
              <w:rPr>
                <w:sz w:val="20"/>
                <w:szCs w:val="20"/>
                <w:color w:val="auto"/>
              </w:rPr>
            </w:pPr>
            <w:r>
              <w:rPr>
                <w:rFonts w:ascii="Arial" w:cs="Arial" w:eastAsia="Arial" w:hAnsi="Arial"/>
                <w:sz w:val="12"/>
                <w:szCs w:val="12"/>
                <w:b w:val="1"/>
                <w:bCs w:val="1"/>
                <w:color w:val="auto"/>
              </w:rPr>
              <w:t>of Period</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3"/>
              <w:spacing w:after="0"/>
              <w:rPr>
                <w:sz w:val="20"/>
                <w:szCs w:val="20"/>
                <w:color w:val="auto"/>
              </w:rPr>
            </w:pPr>
            <w:r>
              <w:rPr>
                <w:rFonts w:ascii="Arial" w:cs="Arial" w:eastAsia="Arial" w:hAnsi="Arial"/>
                <w:sz w:val="12"/>
                <w:szCs w:val="12"/>
                <w:b w:val="1"/>
                <w:bCs w:val="1"/>
                <w:color w:val="auto"/>
              </w:rPr>
              <w:t>Expenses</w:t>
            </w: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Deductions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Peri</w:t>
            </w:r>
          </w:p>
        </w:tc>
      </w:tr>
      <w:tr>
        <w:trPr>
          <w:trHeight w:val="150"/>
        </w:trPr>
        <w:tc>
          <w:tcPr>
            <w:tcW w:w="3980" w:type="dxa"/>
            <w:vAlign w:val="bottom"/>
          </w:tcPr>
          <w:p>
            <w:pPr>
              <w:spacing w:after="0" w:line="150" w:lineRule="exact"/>
              <w:rPr>
                <w:sz w:val="20"/>
                <w:szCs w:val="20"/>
                <w:color w:val="auto"/>
              </w:rPr>
            </w:pPr>
            <w:r>
              <w:rPr>
                <w:rFonts w:ascii="Arial" w:cs="Arial" w:eastAsia="Arial" w:hAnsi="Arial"/>
                <w:sz w:val="15"/>
                <w:szCs w:val="15"/>
                <w:b w:val="1"/>
                <w:bCs w:val="1"/>
                <w:color w:val="auto"/>
              </w:rPr>
              <w:t>Year ended</w:t>
            </w:r>
          </w:p>
        </w:tc>
        <w:tc>
          <w:tcPr>
            <w:tcW w:w="2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92"/>
        </w:trPr>
        <w:tc>
          <w:tcPr>
            <w:tcW w:w="3980" w:type="dxa"/>
            <w:vAlign w:val="bottom"/>
          </w:tcPr>
          <w:p>
            <w:pPr>
              <w:spacing w:after="0"/>
              <w:rPr>
                <w:sz w:val="20"/>
                <w:szCs w:val="20"/>
                <w:color w:val="auto"/>
              </w:rPr>
            </w:pPr>
            <w:r>
              <w:rPr>
                <w:rFonts w:ascii="Arial" w:cs="Arial" w:eastAsia="Arial" w:hAnsi="Arial"/>
                <w:sz w:val="15"/>
                <w:szCs w:val="15"/>
                <w:b w:val="1"/>
                <w:bCs w:val="1"/>
                <w:color w:val="auto"/>
              </w:rPr>
              <w:t>December 31, 2012</w:t>
            </w:r>
          </w:p>
        </w:tc>
        <w:tc>
          <w:tcPr>
            <w:tcW w:w="28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52"/>
              <w:spacing w:after="0"/>
              <w:rPr>
                <w:sz w:val="20"/>
                <w:szCs w:val="20"/>
                <w:color w:val="auto"/>
              </w:rPr>
            </w:pPr>
            <w:r>
              <w:rPr>
                <w:rFonts w:ascii="Arial" w:cs="Arial" w:eastAsia="Arial" w:hAnsi="Arial"/>
                <w:sz w:val="15"/>
                <w:szCs w:val="15"/>
                <w:b w:val="1"/>
                <w:bCs w:val="1"/>
                <w:color w:val="auto"/>
              </w:rPr>
              <w:t>59,179</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53"/>
              <w:spacing w:after="0"/>
              <w:rPr>
                <w:sz w:val="20"/>
                <w:szCs w:val="20"/>
                <w:color w:val="auto"/>
              </w:rPr>
            </w:pPr>
            <w:r>
              <w:rPr>
                <w:rFonts w:ascii="Arial" w:cs="Arial" w:eastAsia="Arial" w:hAnsi="Arial"/>
                <w:sz w:val="15"/>
                <w:szCs w:val="15"/>
                <w:b w:val="1"/>
                <w:bCs w:val="1"/>
                <w:color w:val="auto"/>
              </w:rPr>
              <w:t>18,930</w:t>
            </w:r>
          </w:p>
        </w:tc>
        <w:tc>
          <w:tcPr>
            <w:tcW w:w="260" w:type="dxa"/>
            <w:vAlign w:val="bottom"/>
          </w:tcPr>
          <w:p>
            <w:pPr>
              <w:spacing w:after="0"/>
              <w:rPr>
                <w:sz w:val="16"/>
                <w:szCs w:val="16"/>
                <w:color w:val="auto"/>
              </w:rPr>
            </w:pPr>
          </w:p>
        </w:tc>
        <w:tc>
          <w:tcPr>
            <w:tcW w:w="1000" w:type="dxa"/>
            <w:vAlign w:val="bottom"/>
          </w:tcPr>
          <w:p>
            <w:pPr>
              <w:jc w:val="right"/>
              <w:ind w:right="69"/>
              <w:spacing w:after="0"/>
              <w:rPr>
                <w:sz w:val="20"/>
                <w:szCs w:val="20"/>
                <w:color w:val="auto"/>
              </w:rPr>
            </w:pPr>
            <w:r>
              <w:rPr>
                <w:rFonts w:ascii="Arial" w:cs="Arial" w:eastAsia="Arial" w:hAnsi="Arial"/>
                <w:sz w:val="15"/>
                <w:szCs w:val="15"/>
                <w:b w:val="1"/>
                <w:bCs w:val="1"/>
                <w:color w:val="auto"/>
              </w:rPr>
              <w:t>―</w:t>
            </w:r>
          </w:p>
        </w:tc>
        <w:tc>
          <w:tcPr>
            <w:tcW w:w="660" w:type="dxa"/>
            <w:vAlign w:val="bottom"/>
          </w:tcPr>
          <w:p>
            <w:pPr>
              <w:jc w:val="right"/>
              <w:ind w:right="392"/>
              <w:spacing w:after="0"/>
              <w:rPr>
                <w:sz w:val="20"/>
                <w:szCs w:val="20"/>
                <w:color w:val="auto"/>
              </w:rPr>
            </w:pPr>
            <w:r>
              <w:rPr>
                <w:rFonts w:ascii="Arial" w:cs="Arial" w:eastAsia="Arial" w:hAnsi="Arial"/>
                <w:sz w:val="15"/>
                <w:szCs w:val="15"/>
                <w:b w:val="1"/>
                <w:bCs w:val="1"/>
                <w:color w:val="auto"/>
              </w:rPr>
              <w:t>$</w:t>
            </w:r>
          </w:p>
        </w:tc>
      </w:tr>
      <w:tr>
        <w:trPr>
          <w:trHeight w:val="174"/>
        </w:trPr>
        <w:tc>
          <w:tcPr>
            <w:tcW w:w="3980" w:type="dxa"/>
            <w:vAlign w:val="bottom"/>
          </w:tcPr>
          <w:p>
            <w:pPr>
              <w:spacing w:after="0"/>
              <w:rPr>
                <w:sz w:val="20"/>
                <w:szCs w:val="20"/>
                <w:color w:val="auto"/>
              </w:rPr>
            </w:pPr>
            <w:r>
              <w:rPr>
                <w:rFonts w:ascii="Arial" w:cs="Arial" w:eastAsia="Arial" w:hAnsi="Arial"/>
                <w:sz w:val="15"/>
                <w:szCs w:val="15"/>
                <w:color w:val="auto"/>
              </w:rPr>
              <w:t>December 31, 2011</w:t>
            </w:r>
          </w:p>
        </w:tc>
        <w:tc>
          <w:tcPr>
            <w:tcW w:w="28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2"/>
              <w:spacing w:after="0"/>
              <w:rPr>
                <w:sz w:val="20"/>
                <w:szCs w:val="20"/>
                <w:color w:val="auto"/>
              </w:rPr>
            </w:pPr>
            <w:r>
              <w:rPr>
                <w:rFonts w:ascii="Arial" w:cs="Arial" w:eastAsia="Arial" w:hAnsi="Arial"/>
                <w:sz w:val="15"/>
                <w:szCs w:val="15"/>
                <w:color w:val="auto"/>
              </w:rPr>
              <w:t>41,359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3"/>
              <w:spacing w:after="0"/>
              <w:rPr>
                <w:sz w:val="20"/>
                <w:szCs w:val="20"/>
                <w:color w:val="auto"/>
              </w:rPr>
            </w:pPr>
            <w:r>
              <w:rPr>
                <w:rFonts w:ascii="Arial" w:cs="Arial" w:eastAsia="Arial" w:hAnsi="Arial"/>
                <w:sz w:val="15"/>
                <w:szCs w:val="15"/>
                <w:color w:val="auto"/>
              </w:rPr>
              <w:t>17,820</w:t>
            </w:r>
          </w:p>
        </w:tc>
        <w:tc>
          <w:tcPr>
            <w:tcW w:w="260" w:type="dxa"/>
            <w:vAlign w:val="bottom"/>
          </w:tcPr>
          <w:p>
            <w:pPr>
              <w:spacing w:after="0"/>
              <w:rPr>
                <w:sz w:val="15"/>
                <w:szCs w:val="15"/>
                <w:color w:val="auto"/>
              </w:rPr>
            </w:pPr>
          </w:p>
        </w:tc>
        <w:tc>
          <w:tcPr>
            <w:tcW w:w="1000" w:type="dxa"/>
            <w:vAlign w:val="bottom"/>
          </w:tcPr>
          <w:p>
            <w:pPr>
              <w:jc w:val="right"/>
              <w:ind w:right="69"/>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392"/>
              <w:spacing w:after="0"/>
              <w:rPr>
                <w:sz w:val="20"/>
                <w:szCs w:val="20"/>
                <w:color w:val="auto"/>
              </w:rPr>
            </w:pPr>
            <w:r>
              <w:rPr>
                <w:rFonts w:ascii="Arial" w:cs="Arial" w:eastAsia="Arial" w:hAnsi="Arial"/>
                <w:sz w:val="15"/>
                <w:szCs w:val="15"/>
                <w:color w:val="auto"/>
              </w:rPr>
              <w:t>$</w:t>
            </w:r>
          </w:p>
        </w:tc>
      </w:tr>
      <w:tr>
        <w:trPr>
          <w:trHeight w:val="179"/>
        </w:trPr>
        <w:tc>
          <w:tcPr>
            <w:tcW w:w="3980" w:type="dxa"/>
            <w:vAlign w:val="bottom"/>
          </w:tcPr>
          <w:p>
            <w:pPr>
              <w:spacing w:after="0"/>
              <w:rPr>
                <w:sz w:val="20"/>
                <w:szCs w:val="20"/>
                <w:color w:val="auto"/>
              </w:rPr>
            </w:pPr>
            <w:r>
              <w:rPr>
                <w:rFonts w:ascii="Arial" w:cs="Arial" w:eastAsia="Arial" w:hAnsi="Arial"/>
                <w:sz w:val="15"/>
                <w:szCs w:val="15"/>
                <w:color w:val="auto"/>
              </w:rPr>
              <w:t>January 2, 2011</w:t>
            </w:r>
          </w:p>
        </w:tc>
        <w:tc>
          <w:tcPr>
            <w:tcW w:w="28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2"/>
              <w:spacing w:after="0"/>
              <w:rPr>
                <w:sz w:val="20"/>
                <w:szCs w:val="20"/>
                <w:color w:val="auto"/>
              </w:rPr>
            </w:pPr>
            <w:r>
              <w:rPr>
                <w:rFonts w:ascii="Arial" w:cs="Arial" w:eastAsia="Arial" w:hAnsi="Arial"/>
                <w:sz w:val="15"/>
                <w:szCs w:val="15"/>
                <w:color w:val="auto"/>
              </w:rPr>
              <w:t>26,239</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3"/>
              <w:spacing w:after="0"/>
              <w:rPr>
                <w:sz w:val="20"/>
                <w:szCs w:val="20"/>
                <w:color w:val="auto"/>
              </w:rPr>
            </w:pPr>
            <w:r>
              <w:rPr>
                <w:rFonts w:ascii="Arial" w:cs="Arial" w:eastAsia="Arial" w:hAnsi="Arial"/>
                <w:sz w:val="15"/>
                <w:szCs w:val="15"/>
                <w:color w:val="auto"/>
              </w:rPr>
              <w:t>16,777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69"/>
              <w:spacing w:after="0"/>
              <w:rPr>
                <w:sz w:val="20"/>
                <w:szCs w:val="20"/>
                <w:color w:val="auto"/>
              </w:rPr>
            </w:pPr>
            <w:r>
              <w:rPr>
                <w:rFonts w:ascii="Arial" w:cs="Arial" w:eastAsia="Arial" w:hAnsi="Arial"/>
                <w:sz w:val="15"/>
                <w:szCs w:val="15"/>
                <w:color w:val="auto"/>
              </w:rPr>
              <w:t>(1,657)</w:t>
            </w:r>
          </w:p>
        </w:tc>
        <w:tc>
          <w:tcPr>
            <w:tcW w:w="660" w:type="dxa"/>
            <w:vAlign w:val="bottom"/>
          </w:tcPr>
          <w:p>
            <w:pPr>
              <w:jc w:val="right"/>
              <w:ind w:right="392"/>
              <w:spacing w:after="0"/>
              <w:rPr>
                <w:sz w:val="20"/>
                <w:szCs w:val="20"/>
                <w:color w:val="auto"/>
              </w:rPr>
            </w:pPr>
            <w:r>
              <w:rPr>
                <w:rFonts w:ascii="Arial" w:cs="Arial" w:eastAsia="Arial" w:hAnsi="Arial"/>
                <w:sz w:val="15"/>
                <w:szCs w:val="15"/>
                <w:color w:val="auto"/>
              </w:rPr>
              <w:t>$</w:t>
            </w:r>
          </w:p>
        </w:tc>
      </w:tr>
    </w:tbl>
    <w:p>
      <w:pPr>
        <w:spacing w:after="0" w:line="17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The Company has established $48.2 million in valuation allowances against deferred state tax assets recognized, net of U.S. Federal tax. As stated a approximately $34.6 million of the valuation allowances, net of U.S. Federal income tax, relate to state income tax loss carryforwards. The Company h established valuation allowances against state income tax assets recognized, without considering potentially offsetting deferred tax liabilities establish with respect to prepaid pension cost and goodwill. Prepaid pension cost and goodwill have not been considered a source of future taxable income for realizing deferred tax assets recognized since these temporary differences are not likely to reverse in the foreseeable future. The valuation allowances established against state income tax assets are recorded at the newspaper publishing division, the corporate office and the education division, and ma increase or decrease within the next 12 months, based on operating results or the market value of investment holdings; as a result, the Company is un to estimate the potential tax impact, given the uncertain operating and market environment. The Company will be monitoring future operating results a projected future operating results on a quarterly basis to determine whether the valuation allowances provided against deferred state tax assets shoul increased or decreased, as future circumstances warrant.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not established valuation allowances against any U.S. Federal deferred tax assets.</w:t>
      </w:r>
    </w:p>
    <w:p>
      <w:pPr>
        <w:spacing w:after="0" w:line="177"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Company has established $ 29.9 million in valuation allowances against non-U.S. deferred tax assets, and, as stated above, $25.2 million of the n U.S. valuation allowances relate to non-U.S. income tax loss carryforwards.</w:t>
      </w:r>
    </w:p>
    <w:p>
      <w:pPr>
        <w:spacing w:after="0" w:line="38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02" w:name="page103"/>
    <w:bookmarkEnd w:id="102"/>
    <w:p>
      <w:pPr>
        <w:spacing w:after="0" w:line="246" w:lineRule="auto"/>
        <w:rPr>
          <w:sz w:val="20"/>
          <w:szCs w:val="20"/>
          <w:color w:val="auto"/>
        </w:rPr>
      </w:pPr>
      <w:r>
        <w:rPr>
          <w:rFonts w:ascii="Arial" w:cs="Arial" w:eastAsia="Arial" w:hAnsi="Arial"/>
          <w:sz w:val="16"/>
          <w:szCs w:val="16"/>
          <w:color w:val="auto"/>
        </w:rPr>
        <w:t>Deferred U.S. Federal and state income taxes are recorded with respect to undistributed earnings of investments in non-U.S. subsidiaries to the exten taxable dividend income would be recognized if such earnings were distributed. Deferred income taxes recorded with respect to undistributed earning investments in non-U.S. subsidiaries are recorded net of foreign tax credits with respect to such undistributed earnings estimated to be creditable agai future U.S. Federal tax liabilities. At December 31, 2012, a net U.S. Federal and state deferred income tax liability of about $1.7 million was recorded respect to undistributed earnings of investments in non-U.S. subsidiaries based on the year-end position. At December 31, 2011, about $0.7 million of deferred U.S. Federal income tax assets were recorded since it was apparent that a portion of the temporary differences would reverse in 2012.</w:t>
      </w:r>
    </w:p>
    <w:p>
      <w:pPr>
        <w:spacing w:after="0" w:line="172"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Deferred U.S. Federal and state income taxes have not been recorded for the full book value and tax basis differences related to investments in non-U subsidiaries because such investments are expected to be indefinitely held. The book value exceeded the tax basis of investments in non-U.S. subsid by approximately $64.2 million and $60.6 million at December 31, 2012 and 2011, respectively; these differences would result in approximately $14.7 and $13.4 million of net additional U.S. Federal and state deferred tax liabilities, net of foreign tax credits related to undistributed earnings and estimat be creditable against future U.S. Federal tax liabilities, at December 31, 2012 and 2011, respectively. If investments in non-U.S. subsidiaries were held sale instead of expected to be held indefinitely, additional U.S. Federal and state deferred tax liabilities would be required to be recorded, and such de tax liabilities, if recorded, may exceed the above estimates.</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The Company does not currently anticipate that within the next 12 months there will be any events requiring the establishment of any valuation allowa against U.S. Federal net deferred tax assets. The valuation allowances established against non-U.S. deferred tax assets are recorded at the educatio division, as this is the only division with significant non-U.S operating activities, and these are largely related to the educations division’s operations in Australia. These valuation allowances may increase or decrease within the next 12 months, based on operating results; as a result, the Company is u to estimate the potential tax impact, given the uncertain operating environment. The Company will be monitoring future education division operating re and projected future operating results on a quarterly basis to determine whether the valuation allowances provided against non-U.S. deferred tax asse should be increased or decreased, as future circumstances warrant.</w:t>
      </w:r>
    </w:p>
    <w:p>
      <w:pPr>
        <w:spacing w:after="0" w:line="178"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 files income tax returns with the U.S. Federal government and in various state, local and non-U.S. governmental jurisdictions, with the consolidated U.S. Federal tax return filing considered the only major tax jurisdiction. The statute of limitations has expired on all consolidated U.S. Fed corporate income tax returns filed through 2008, and the Internal Revenue Service is not currently examining any of the post-2008 returns filed by the Company.</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Company endeavors to comply with tax laws and regulations where it does business, but cannot guarantee that, if challenged, the Company’s interpretation of all relevant tax laws and regulations will prevail and that all tax benefits recorded in the financial statements will ultimately be recogniz full. The Company has taken reasonable efforts to address uncertain tax positions and has determined that there are no material transactions and no material tax positions taken by the Company that would fail to meet the more-likely-than-not threshold for recognizing transactions or tax positions in t financial statements. Accordingly, the Company has not recorded a reserve for uncertain tax positions in the financial statements, and the Company d not expect any significant tax increase or decrease to occur within the next 12 months with respect to any transactions or tax positions taken and refle the financial statements. In making these determinations, the Company presumes that taxing authorities pursuing examinations of the Company’s compliance with tax law filing requirements will have full knowledge of all relevant information, and, if necessary, the Company will pursue resolution o disputed tax positions by appeals or litigation.</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03" w:name="page104"/>
    <w:bookmarkEnd w:id="103"/>
    <w:p>
      <w:pPr>
        <w:ind w:left="409" w:hanging="409"/>
        <w:spacing w:after="0"/>
        <w:tabs>
          <w:tab w:leader="none" w:pos="409"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Company’s borrowings at December 31, 2012 and 2011, consist of the following:</w:t>
      </w:r>
    </w:p>
    <w:p>
      <w:pPr>
        <w:spacing w:after="0" w:line="200" w:lineRule="exact"/>
        <w:rPr>
          <w:sz w:val="20"/>
          <w:szCs w:val="20"/>
          <w:color w:val="auto"/>
        </w:rPr>
      </w:pPr>
    </w:p>
    <w:tbl>
      <w:tblPr>
        <w:tblLayout w:type="fixed"/>
        <w:tblInd w:w="9"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Arial" w:cs="Arial" w:eastAsia="Arial" w:hAnsi="Arial"/>
                <w:sz w:val="12"/>
                <w:szCs w:val="12"/>
                <w:color w:val="auto"/>
              </w:rPr>
              <w:t>(in thousands)</w:t>
            </w:r>
          </w:p>
        </w:tc>
        <w:tc>
          <w:tcPr>
            <w:tcW w:w="5100" w:type="dxa"/>
            <w:vAlign w:val="bottom"/>
          </w:tcPr>
          <w:p>
            <w:pPr>
              <w:jc w:val="right"/>
              <w:ind w:right="538"/>
              <w:spacing w:after="0"/>
              <w:rPr>
                <w:sz w:val="20"/>
                <w:szCs w:val="20"/>
                <w:color w:val="auto"/>
              </w:rPr>
            </w:pPr>
            <w:r>
              <w:rPr>
                <w:rFonts w:ascii="Arial" w:cs="Arial" w:eastAsia="Arial" w:hAnsi="Arial"/>
                <w:sz w:val="12"/>
                <w:szCs w:val="12"/>
                <w:b w:val="1"/>
                <w:bCs w:val="1"/>
                <w:color w:val="auto"/>
              </w:rPr>
              <w:t>2012</w:t>
            </w:r>
          </w:p>
        </w:tc>
        <w:tc>
          <w:tcPr>
            <w:tcW w:w="800" w:type="dxa"/>
            <w:vAlign w:val="bottom"/>
          </w:tcPr>
          <w:p>
            <w:pPr>
              <w:jc w:val="right"/>
              <w:spacing w:after="0"/>
              <w:rPr>
                <w:sz w:val="20"/>
                <w:szCs w:val="20"/>
                <w:color w:val="auto"/>
              </w:rPr>
            </w:pPr>
            <w:r>
              <w:rPr>
                <w:rFonts w:ascii="Arial" w:cs="Arial" w:eastAsia="Arial" w:hAnsi="Arial"/>
                <w:sz w:val="12"/>
                <w:szCs w:val="12"/>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695325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9"/>
          </w:cols>
          <w:pgMar w:left="811" w:top="342" w:right="139" w:bottom="1440" w:gutter="0" w:footer="0" w:header="0"/>
        </w:sectPr>
      </w:pPr>
    </w:p>
    <w:p>
      <w:pPr>
        <w:spacing w:after="0" w:line="3" w:lineRule="exact"/>
        <w:rPr>
          <w:sz w:val="20"/>
          <w:szCs w:val="20"/>
          <w:color w:val="auto"/>
        </w:rPr>
      </w:pPr>
    </w:p>
    <w:p>
      <w:pPr>
        <w:ind w:left="9"/>
        <w:spacing w:after="0"/>
        <w:rPr>
          <w:sz w:val="20"/>
          <w:szCs w:val="20"/>
          <w:color w:val="auto"/>
        </w:rPr>
      </w:pPr>
      <w:r>
        <w:rPr>
          <w:rFonts w:ascii="Arial" w:cs="Arial" w:eastAsia="Arial" w:hAnsi="Arial"/>
          <w:sz w:val="14"/>
          <w:szCs w:val="14"/>
          <w:color w:val="auto"/>
        </w:rPr>
        <w:t>7.25% unsecured notes due February 1, 2019</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5"/>
          <w:szCs w:val="15"/>
          <w:color w:val="auto"/>
        </w:rPr>
        <w:t>USD Revolving credit borrowing</w:t>
      </w:r>
    </w:p>
    <w:p>
      <w:pPr>
        <w:spacing w:after="0" w:line="1" w:lineRule="exact"/>
        <w:rPr>
          <w:sz w:val="20"/>
          <w:szCs w:val="20"/>
          <w:color w:val="auto"/>
        </w:rPr>
      </w:pPr>
    </w:p>
    <w:p>
      <w:pPr>
        <w:ind w:left="9"/>
        <w:spacing w:after="0"/>
        <w:rPr>
          <w:sz w:val="20"/>
          <w:szCs w:val="20"/>
          <w:color w:val="auto"/>
        </w:rPr>
      </w:pPr>
      <w:r>
        <w:rPr>
          <w:rFonts w:ascii="Arial" w:cs="Arial" w:eastAsia="Arial" w:hAnsi="Arial"/>
          <w:sz w:val="15"/>
          <w:szCs w:val="15"/>
          <w:color w:val="auto"/>
        </w:rPr>
        <w:t>AUD Revolving credit borrowing</w:t>
      </w:r>
    </w:p>
    <w:p>
      <w:pPr>
        <w:spacing w:after="0" w:line="1" w:lineRule="exact"/>
        <w:rPr>
          <w:sz w:val="20"/>
          <w:szCs w:val="20"/>
          <w:color w:val="auto"/>
        </w:rPr>
      </w:pPr>
    </w:p>
    <w:p>
      <w:pPr>
        <w:ind w:left="9"/>
        <w:spacing w:after="0"/>
        <w:rPr>
          <w:sz w:val="20"/>
          <w:szCs w:val="20"/>
          <w:color w:val="auto"/>
        </w:rPr>
      </w:pPr>
      <w:r>
        <w:rPr>
          <w:rFonts w:ascii="Arial" w:cs="Arial" w:eastAsia="Arial" w:hAnsi="Arial"/>
          <w:sz w:val="15"/>
          <w:szCs w:val="15"/>
          <w:color w:val="auto"/>
        </w:rPr>
        <w:t>Commercial paper borrowings</w:t>
      </w:r>
    </w:p>
    <w:p>
      <w:pPr>
        <w:spacing w:after="0" w:line="1" w:lineRule="exact"/>
        <w:rPr>
          <w:sz w:val="20"/>
          <w:szCs w:val="20"/>
          <w:color w:val="auto"/>
        </w:rPr>
      </w:pPr>
    </w:p>
    <w:p>
      <w:pPr>
        <w:ind w:left="9"/>
        <w:spacing w:after="0"/>
        <w:rPr>
          <w:sz w:val="20"/>
          <w:szCs w:val="20"/>
          <w:color w:val="auto"/>
        </w:rPr>
      </w:pPr>
      <w:r>
        <w:rPr>
          <w:rFonts w:ascii="Arial" w:cs="Arial" w:eastAsia="Arial" w:hAnsi="Arial"/>
          <w:sz w:val="15"/>
          <w:szCs w:val="15"/>
          <w:color w:val="auto"/>
        </w:rPr>
        <w:t>Other indebtedness</w:t>
      </w:r>
    </w:p>
    <w:p>
      <w:pPr>
        <w:spacing w:after="0" w:line="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Total Debt</w:t>
      </w:r>
    </w:p>
    <w:p>
      <w:pPr>
        <w:spacing w:after="0" w:line="9" w:lineRule="exact"/>
        <w:rPr>
          <w:sz w:val="20"/>
          <w:szCs w:val="20"/>
          <w:color w:val="auto"/>
        </w:rPr>
      </w:pPr>
    </w:p>
    <w:p>
      <w:pPr>
        <w:ind w:left="9"/>
        <w:spacing w:after="0"/>
        <w:rPr>
          <w:sz w:val="20"/>
          <w:szCs w:val="20"/>
          <w:color w:val="auto"/>
        </w:rPr>
      </w:pPr>
      <w:r>
        <w:rPr>
          <w:rFonts w:ascii="Arial" w:cs="Arial" w:eastAsia="Arial" w:hAnsi="Arial"/>
          <w:sz w:val="15"/>
          <w:szCs w:val="15"/>
          <w:color w:val="auto"/>
        </w:rPr>
        <w:t>Less: current portion</w:t>
      </w:r>
    </w:p>
    <w:p>
      <w:pPr>
        <w:spacing w:after="0" w:line="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Total Long-Term Debt</w:t>
      </w:r>
    </w:p>
    <w:p>
      <w:pPr>
        <w:spacing w:after="0" w:line="20" w:lineRule="exact"/>
        <w:rPr>
          <w:sz w:val="20"/>
          <w:szCs w:val="20"/>
          <w:color w:val="auto"/>
        </w:rPr>
      </w:pPr>
      <w:r>
        <w:rPr>
          <w:sz w:val="20"/>
          <w:szCs w:val="20"/>
          <w:color w:val="auto"/>
        </w:rPr>
        <w:br w:type="column"/>
      </w:r>
    </w:p>
    <w:p>
      <w:pPr>
        <w:spacing w:after="0"/>
        <w:tabs>
          <w:tab w:leader="none" w:pos="560" w:val="left"/>
          <w:tab w:leader="none" w:pos="1480" w:val="left"/>
          <w:tab w:leader="none" w:pos="2020" w:val="left"/>
        </w:tabs>
        <w:rPr>
          <w:sz w:val="20"/>
          <w:szCs w:val="20"/>
          <w:color w:val="auto"/>
        </w:rPr>
      </w:pP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397,479</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3</w:t>
      </w:r>
    </w:p>
    <w:p>
      <w:pPr>
        <w:spacing w:after="0" w:line="4" w:lineRule="exact"/>
        <w:rPr>
          <w:sz w:val="20"/>
          <w:szCs w:val="20"/>
          <w:color w:val="auto"/>
        </w:rPr>
      </w:pPr>
    </w:p>
    <w:p>
      <w:pPr>
        <w:jc w:val="right"/>
        <w:ind w:right="1020"/>
        <w:spacing w:after="0"/>
        <w:rPr>
          <w:sz w:val="20"/>
          <w:szCs w:val="20"/>
          <w:color w:val="auto"/>
        </w:rPr>
      </w:pPr>
      <w:r>
        <w:rPr>
          <w:rFonts w:ascii="Arial" w:cs="Arial" w:eastAsia="Arial" w:hAnsi="Arial"/>
          <w:sz w:val="15"/>
          <w:szCs w:val="15"/>
          <w:b w:val="1"/>
          <w:bCs w:val="1"/>
          <w:color w:val="auto"/>
        </w:rPr>
        <w:t>240,121</w:t>
      </w:r>
    </w:p>
    <w:p>
      <w:pPr>
        <w:spacing w:after="0" w:line="1" w:lineRule="exact"/>
        <w:rPr>
          <w:sz w:val="20"/>
          <w:szCs w:val="20"/>
          <w:color w:val="auto"/>
        </w:rPr>
      </w:pPr>
    </w:p>
    <w:p>
      <w:pPr>
        <w:jc w:val="right"/>
        <w:ind w:right="1020"/>
        <w:spacing w:after="0"/>
        <w:rPr>
          <w:sz w:val="20"/>
          <w:szCs w:val="20"/>
          <w:color w:val="auto"/>
        </w:rPr>
      </w:pPr>
      <w:r>
        <w:rPr>
          <w:rFonts w:ascii="Arial" w:cs="Arial" w:eastAsia="Arial" w:hAnsi="Arial"/>
          <w:sz w:val="15"/>
          <w:szCs w:val="15"/>
          <w:b w:val="1"/>
          <w:bCs w:val="1"/>
          <w:color w:val="auto"/>
        </w:rPr>
        <w:t>51,915</w:t>
      </w:r>
    </w:p>
    <w:p>
      <w:pPr>
        <w:spacing w:after="0" w:line="1" w:lineRule="exact"/>
        <w:rPr>
          <w:sz w:val="20"/>
          <w:szCs w:val="20"/>
          <w:color w:val="auto"/>
        </w:rPr>
      </w:pPr>
    </w:p>
    <w:p>
      <w:pPr>
        <w:ind w:left="2040" w:hanging="1074"/>
        <w:spacing w:after="0"/>
        <w:tabs>
          <w:tab w:leader="none" w:pos="2040" w:val="left"/>
        </w:tabs>
        <w:numPr>
          <w:ilvl w:val="0"/>
          <w:numId w:val="60"/>
        </w:numPr>
        <w:rPr>
          <w:rFonts w:ascii="Arial" w:cs="Arial" w:eastAsia="Arial" w:hAnsi="Arial"/>
          <w:sz w:val="15"/>
          <w:szCs w:val="15"/>
          <w:b w:val="1"/>
          <w:bCs w:val="1"/>
          <w:color w:val="auto"/>
        </w:rPr>
      </w:pPr>
      <w:r>
        <w:rPr>
          <w:rFonts w:ascii="Arial" w:cs="Arial" w:eastAsia="Arial" w:hAnsi="Arial"/>
          <w:sz w:val="15"/>
          <w:szCs w:val="15"/>
          <w:color w:val="auto"/>
        </w:rPr>
        <w:t>1</w:t>
      </w:r>
    </w:p>
    <w:p>
      <w:pPr>
        <w:spacing w:after="0" w:line="1" w:lineRule="exact"/>
        <w:rPr>
          <w:rFonts w:ascii="Arial" w:cs="Arial" w:eastAsia="Arial" w:hAnsi="Arial"/>
          <w:sz w:val="15"/>
          <w:szCs w:val="15"/>
          <w:b w:val="1"/>
          <w:bCs w:val="1"/>
          <w:color w:val="auto"/>
        </w:rPr>
      </w:pPr>
    </w:p>
    <w:p>
      <w:pPr>
        <w:ind w:left="74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7,196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358265"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ind w:left="580"/>
        <w:spacing w:after="0"/>
        <w:tabs>
          <w:tab w:leader="none" w:pos="2020" w:val="left"/>
        </w:tabs>
        <w:rPr>
          <w:sz w:val="20"/>
          <w:szCs w:val="20"/>
          <w:color w:val="auto"/>
        </w:rPr>
      </w:pPr>
      <w:r>
        <w:rPr>
          <w:rFonts w:ascii="Arial" w:cs="Arial" w:eastAsia="Arial" w:hAnsi="Arial"/>
          <w:sz w:val="15"/>
          <w:szCs w:val="15"/>
          <w:b w:val="1"/>
          <w:bCs w:val="1"/>
          <w:color w:val="auto"/>
        </w:rPr>
        <w:t>696,711</w:t>
      </w:r>
      <w:r>
        <w:rPr>
          <w:sz w:val="20"/>
          <w:szCs w:val="20"/>
          <w:color w:val="auto"/>
        </w:rPr>
        <w:tab/>
      </w:r>
      <w:r>
        <w:rPr>
          <w:rFonts w:ascii="Arial" w:cs="Arial" w:eastAsia="Arial" w:hAnsi="Arial"/>
          <w:sz w:val="15"/>
          <w:szCs w:val="15"/>
          <w:color w:val="auto"/>
        </w:rPr>
        <w:t>5</w:t>
      </w:r>
    </w:p>
    <w:p>
      <w:pPr>
        <w:spacing w:after="0" w:line="9" w:lineRule="exact"/>
        <w:rPr>
          <w:sz w:val="20"/>
          <w:szCs w:val="20"/>
          <w:color w:val="auto"/>
        </w:rPr>
      </w:pPr>
    </w:p>
    <w:p>
      <w:pPr>
        <w:jc w:val="both"/>
        <w:ind w:left="480"/>
        <w:spacing w:after="0"/>
        <w:tabs>
          <w:tab w:leader="none" w:pos="1920" w:val="left"/>
        </w:tabs>
        <w:rPr>
          <w:sz w:val="20"/>
          <w:szCs w:val="20"/>
          <w:color w:val="auto"/>
        </w:rPr>
      </w:pPr>
      <w:r>
        <w:rPr>
          <w:rFonts w:ascii="Arial" w:cs="Arial" w:eastAsia="Arial" w:hAnsi="Arial"/>
          <w:sz w:val="15"/>
          <w:szCs w:val="15"/>
          <w:b w:val="1"/>
          <w:bCs w:val="1"/>
          <w:color w:val="auto"/>
        </w:rPr>
        <w:t>(243,327)</w:t>
      </w:r>
      <w:r>
        <w:rPr>
          <w:sz w:val="20"/>
          <w:szCs w:val="20"/>
          <w:color w:val="auto"/>
        </w:rPr>
        <w:tab/>
      </w: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135826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spacing w:after="0"/>
        <w:tabs>
          <w:tab w:leader="none" w:pos="560" w:val="left"/>
          <w:tab w:leader="none" w:pos="1480" w:val="left"/>
          <w:tab w:leader="none" w:pos="2020" w:val="left"/>
        </w:tabs>
        <w:rPr>
          <w:sz w:val="20"/>
          <w:szCs w:val="20"/>
          <w:color w:val="auto"/>
        </w:rPr>
      </w:pP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b w:val="1"/>
          <w:bCs w:val="1"/>
          <w:color w:val="auto"/>
        </w:rPr>
        <w:t>453,384</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135826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58265" cy="76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20320</wp:posOffset>
            </wp:positionV>
            <wp:extent cx="135826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58265" cy="76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8089" w:space="720"/>
            <w:col w:w="2140"/>
          </w:cols>
          <w:pgMar w:left="811" w:top="342" w:right="139" w:bottom="1440" w:gutter="0" w:footer="0" w:header="0"/>
          <w:type w:val="continuous"/>
        </w:sectPr>
      </w:pPr>
    </w:p>
    <w:p>
      <w:pPr>
        <w:spacing w:after="0" w:line="28"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On December 20, 2012, the Company borrowed $240 million under its revolving credit facility at an interest rate of 1.5107%; this was fully repaid on J 11, 2013. The Company did not have any outstanding commercial paper borrowing as of December 31, 2012. The Company did not borrow funds und USD revolving credit facility in 2011. At December 31, 2011, the average interest rate on the Company’s outstanding commercial paper borrowing was 0.5%. The Company’s other indebtedness at December 31, 2012, is at interest rates of 0% to 6% and matures from 2013 to 2017.</w:t>
      </w:r>
    </w:p>
    <w:p>
      <w:pPr>
        <w:spacing w:after="0" w:line="170"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In January 2009, the Company issued $400 million in unsecured ten-year fixed-rate notes due February 1, 2019 (the Notes). The Notes have a coupo of 7.25% per annum, payable semiannually on February 1 and August 1. Under the terms of the Notes, unless the Company has exercised its right to redeem the Notes, the Company is required to offer to repurchase the Notes in cash at 101% of the principal amount, plus accrued and unpaid interes upon the occurrence of both a Change of Control and Below Investment Grade Rating Events as described in the Prospectus Supplement of January 2009.</w:t>
      </w:r>
    </w:p>
    <w:p>
      <w:pPr>
        <w:spacing w:after="0" w:line="176" w:lineRule="exact"/>
        <w:rPr>
          <w:sz w:val="20"/>
          <w:szCs w:val="20"/>
          <w:color w:val="auto"/>
        </w:rPr>
      </w:pPr>
    </w:p>
    <w:p>
      <w:pPr>
        <w:ind w:left="9"/>
        <w:spacing w:after="0" w:line="244" w:lineRule="auto"/>
        <w:rPr>
          <w:sz w:val="20"/>
          <w:szCs w:val="20"/>
          <w:color w:val="auto"/>
        </w:rPr>
      </w:pPr>
      <w:r>
        <w:rPr>
          <w:rFonts w:ascii="Arial" w:cs="Arial" w:eastAsia="Arial" w:hAnsi="Arial"/>
          <w:sz w:val="16"/>
          <w:szCs w:val="16"/>
          <w:color w:val="auto"/>
        </w:rPr>
        <w:t>On June 17, 2011, the Company terminated its U.S. $500 million five-year revolving credit agreement, dated August 8, 2006, among the Company, th lenders party thereto and Citibank, N.A. (the 2006 Credit Agreement), in connection with the entrance into a new revolving credit facility. No borrowing outstanding under the 2006 Credit Agreement at the time of termination. On June 17, 2011, the Company entered into a credit agreement (the Credit Agreement) providing for a new U.S. $450 million, AUD 50 million four-year revolving credit facility (the Facility) with each of the lenders party thereto, JPMorgan Chase Bank, N.A. as Administrative Agent (JP Morgan), and J.P. Morgan Australia Limited as Australian Sub-Agent. The Facility consists o tranches: (a) U.S. $450 million and (b) AUD 50 million (subject, at the Company’s option, to conversion of the unused Australian dollar commitments in U.S. dollar commitments at a specified exchange rate). The Credit Agreement provides for an option to increase the total U.S. dollar commitments up aggregate amount of U.S. $700 million. The Company is required to pay a facility fee on a quarterly basis, based on the Company’s long-term debt rat of between 0.08% and 0.20% of the amount of the Facility. Any borrowings are made on an unsecured basis and bear interest at (a) for U.S. dollar borrowings, at the Company’s option, either (i) a fluctuating interest rate equal to the highest of JPMorgan’s prime rate, 0.50 percent above the Federa funds rate or the one-month eurodollar rate plus 1%, or (ii) the eurodollar rate for the applicable interest period; or (b) for Australian dollar borrowings, bank bill rate, in each case plus an applicable margin that depends on the Company’s long-term debt ratings. The Facility will expire on June 17, 2015 unless the Company and the banks agree to extend the term. Any outstanding borrowings must be repaid on or prior to the final termination date. The Agreement contains terms and conditions, including remedies in the event of a default by the Company, typical of facilities of this type and, among oth things, requires the Company to maintain at least $1.5 billion of consolidated stockholders’ equity.</w:t>
      </w:r>
    </w:p>
    <w:p>
      <w:pPr>
        <w:spacing w:after="0" w:line="173" w:lineRule="exact"/>
        <w:rPr>
          <w:sz w:val="20"/>
          <w:szCs w:val="20"/>
          <w:color w:val="auto"/>
        </w:rPr>
      </w:pPr>
    </w:p>
    <w:p>
      <w:pPr>
        <w:jc w:val="both"/>
        <w:ind w:left="9"/>
        <w:spacing w:after="0" w:line="245" w:lineRule="auto"/>
        <w:rPr>
          <w:sz w:val="20"/>
          <w:szCs w:val="20"/>
          <w:color w:val="auto"/>
        </w:rPr>
      </w:pPr>
      <w:r>
        <w:rPr>
          <w:rFonts w:ascii="Arial" w:cs="Arial" w:eastAsia="Arial" w:hAnsi="Arial"/>
          <w:sz w:val="16"/>
          <w:szCs w:val="16"/>
          <w:color w:val="auto"/>
        </w:rPr>
        <w:t>On September 7, 2011, the Company borrowed AUD 50 million under its revolving credit facility. On the same date, the Company entered into interest swap agreements with a total notional value of AUD 50 million and a maturity date of March 7, 2015. These interest rate swap agreements will pay the Company variable interest on the AUD 50 million notional amount at the three-month bank bill rate, and the Company will pay the counterparties a fixe of 4.5275%. These interest rate swap agreements were entered into to convert the variable rate Australian dollar borrowing under the revolving credit into a fixed rate borrowing. Based on the terms of the interest rate swap agreements and the underlying borrowing, these interest rate swap agreemen were determined to be effective and thus qualify as a cash flow hedge. As such, any changes in the fair value of these interest rate swaps are recorde other comprehensive income on the accompanying condensed consolidated balance sheets until earnings are affected by the variability of cash flows.</w:t>
      </w:r>
    </w:p>
    <w:p>
      <w:pPr>
        <w:spacing w:after="0" w:line="385"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42" w:right="139" w:bottom="1440" w:gutter="0" w:footer="0" w:header="0"/>
          <w:type w:val="continuous"/>
        </w:sectPr>
      </w:pPr>
    </w:p>
    <w:bookmarkStart w:id="104" w:name="page105"/>
    <w:bookmarkEnd w:id="104"/>
    <w:p>
      <w:pPr>
        <w:jc w:val="both"/>
        <w:ind w:left="9"/>
        <w:spacing w:after="0" w:line="233" w:lineRule="auto"/>
        <w:rPr>
          <w:sz w:val="20"/>
          <w:szCs w:val="20"/>
          <w:color w:val="auto"/>
        </w:rPr>
      </w:pPr>
      <w:r>
        <w:rPr>
          <w:rFonts w:ascii="Arial" w:cs="Arial" w:eastAsia="Arial" w:hAnsi="Arial"/>
          <w:sz w:val="17"/>
          <w:szCs w:val="17"/>
          <w:color w:val="auto"/>
        </w:rPr>
        <w:t>During 2012 and 2011, the Company had average borrowings outstanding of approximately $483.3 million and $ 426.7 million, respectively, at average annual interest rates of approximately 6.7% and 7.0%, respectively. The Company incurred net interest expense of $32.6 million, $29.1 million and $2 million during 2012, 2011 and 2010, respectively.</w:t>
      </w:r>
    </w:p>
    <w:p>
      <w:pPr>
        <w:spacing w:after="0" w:line="175"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At December 31, 2012 and 2011, the fair value of the Company’s 7.25% unsecured notes, based on quoted market prices, totaled $481.4 million and $460.5 million, respectively, compared with the carrying amount of $397.5 million and $397.1 million. The carrying value of the Company’s other unsec debt at December 31, 2012, approximates fair value.</w:t>
      </w:r>
    </w:p>
    <w:p>
      <w:pPr>
        <w:spacing w:after="0" w:line="155"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auto"/>
        </w:rPr>
        <w:t>11.  REDEEMABLE PREFERRED STOCK</w:t>
      </w:r>
    </w:p>
    <w:p>
      <w:pPr>
        <w:spacing w:after="0" w:line="197"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The Series A preferred stock has a par value of $ 1.00 per share and a liquidation preference of $1,000 per share; it is redeemable by the Company at time on or after October 1, 2015, at a redemption price of $1,000 per share. In addition, the holders of such stock have a right to require the Company purchase their shares at the redemption price during an annual 60-day election period. Dividends on the Series A preferred stock are payable four tim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159" w:lineRule="exact"/>
        <w:rPr>
          <w:sz w:val="20"/>
          <w:szCs w:val="20"/>
          <w:color w:val="auto"/>
        </w:rPr>
      </w:pPr>
    </w:p>
    <w:p>
      <w:pPr>
        <w:ind w:left="409" w:hanging="409"/>
        <w:spacing w:after="0"/>
        <w:tabs>
          <w:tab w:leader="none" w:pos="409"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STOCK, STOCK AWARDS AND STOCK OPTIONS</w:t>
      </w:r>
    </w:p>
    <w:p>
      <w:pPr>
        <w:spacing w:after="0" w:line="164" w:lineRule="exact"/>
        <w:rPr>
          <w:sz w:val="20"/>
          <w:szCs w:val="20"/>
          <w:color w:val="auto"/>
        </w:rPr>
      </w:pPr>
    </w:p>
    <w:p>
      <w:pPr>
        <w:jc w:val="both"/>
        <w:ind w:left="9"/>
        <w:spacing w:after="0" w:line="236" w:lineRule="auto"/>
        <w:rPr>
          <w:sz w:val="20"/>
          <w:szCs w:val="20"/>
          <w:color w:val="auto"/>
        </w:rPr>
      </w:pPr>
      <w:r>
        <w:rPr>
          <w:rFonts w:ascii="Arial" w:cs="Arial" w:eastAsia="Arial" w:hAnsi="Arial"/>
          <w:sz w:val="17"/>
          <w:szCs w:val="17"/>
          <w:b w:val="1"/>
          <w:bCs w:val="1"/>
          <w:color w:val="auto"/>
        </w:rPr>
        <w:t xml:space="preserve">Capital Stock. </w:t>
      </w:r>
      <w:r>
        <w:rPr>
          <w:rFonts w:ascii="Arial" w:cs="Arial" w:eastAsia="Arial" w:hAnsi="Arial"/>
          <w:sz w:val="17"/>
          <w:szCs w:val="17"/>
          <w:color w:val="auto"/>
        </w:rPr>
        <w:t>Each share of Class A common stock and Class B common stock participates equally in dividends. The Class B stock has limited voti</w:t>
      </w:r>
      <w:r>
        <w:rPr>
          <w:rFonts w:ascii="Arial" w:cs="Arial" w:eastAsia="Arial" w:hAnsi="Arial"/>
          <w:sz w:val="17"/>
          <w:szCs w:val="17"/>
          <w:b w:val="1"/>
          <w:bCs w:val="1"/>
          <w:color w:val="auto"/>
        </w:rPr>
        <w:t xml:space="preserve"> </w:t>
      </w:r>
      <w:r>
        <w:rPr>
          <w:rFonts w:ascii="Arial" w:cs="Arial" w:eastAsia="Arial" w:hAnsi="Arial"/>
          <w:sz w:val="17"/>
          <w:szCs w:val="17"/>
          <w:color w:val="auto"/>
        </w:rPr>
        <w:t>rights and as a class has the right to elect 30% of the Board of Directors; the Class A stock has unlimited voting rights, including the right to elect a ma of the Board of Directors. In 2012 and 2011, the Company’s Class A shareholders converted 10,000, or 1%, and 11,500, or 1%, respectively, of the Cl shares of the Company to an equal number of Class B shares. The conversions had no impact on the voting rights of the Class A and Class B commo stock.</w:t>
      </w:r>
    </w:p>
    <w:p>
      <w:pPr>
        <w:spacing w:after="0" w:line="163"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During 2012, 2011 and 2010, the Company purchased a total of 301,231, 644,948 and 1,057,940 shares, respectively, of its Class B common stock at cost of approximately $ 103.2 million, $248.1 million and $404.8 million, respectively. In September 2011, the Board of Directors increased the authoriz to repurchase a total of 750,000 shares of Class B common stock. The Company did not announce a ceiling price or a time limit for the purchases. Th authorization included 43,573 shares that remained under the previous authorization. At December 31, 2012, the Company had authorization from the Board of Directors to purchase up to 192,243 shares of Class B common stock.</w:t>
      </w:r>
    </w:p>
    <w:p>
      <w:pPr>
        <w:spacing w:after="0" w:line="156" w:lineRule="exact"/>
        <w:rPr>
          <w:sz w:val="20"/>
          <w:szCs w:val="20"/>
          <w:color w:val="auto"/>
        </w:rPr>
      </w:pPr>
    </w:p>
    <w:p>
      <w:pPr>
        <w:jc w:val="both"/>
        <w:ind w:left="9"/>
        <w:spacing w:after="0" w:line="250"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In 1982, the Company adopted a long-term incentive compensation plan, which, among other provisions, authorizes the awarding of</w:t>
      </w:r>
      <w:r>
        <w:rPr>
          <w:rFonts w:ascii="Arial" w:cs="Arial" w:eastAsia="Arial" w:hAnsi="Arial"/>
          <w:sz w:val="16"/>
          <w:szCs w:val="16"/>
          <w:b w:val="1"/>
          <w:bCs w:val="1"/>
          <w:color w:val="auto"/>
        </w:rPr>
        <w:t xml:space="preserve"> </w:t>
      </w:r>
      <w:r>
        <w:rPr>
          <w:rFonts w:ascii="Arial" w:cs="Arial" w:eastAsia="Arial" w:hAnsi="Arial"/>
          <w:sz w:val="16"/>
          <w:szCs w:val="16"/>
          <w:color w:val="auto"/>
        </w:rPr>
        <w:t>Class B common stock to key employees. Stock awards made under this incentive compensation plan are primarily subject to the general restriction th stock awarded to a participant will be forfeited and revert to Company ownership if the participant’s employment terminates before the end of a specifi period of service to the Company. Some of the awards are also subject to performance and market conditions and will be forfeited and revert to Comp ownership if the conditions are not met. At December 31, 2012, there were 302,055 shares reserved for issuance under the incentive compensation pl this number, 207,917 shares were subject to awards outstanding and 94,138 shares were available for future awards. Activity related to stock awards the long-term incentive compensation plan for the years ended December 31, 2012 and 2011, and January 2, 2011, was as follows:</w:t>
      </w:r>
    </w:p>
    <w:p>
      <w:pPr>
        <w:spacing w:after="0" w:line="154"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4700" w:type="dxa"/>
            <w:vAlign w:val="bottom"/>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color w:val="auto"/>
              </w:rPr>
              <w:t>2010</w:t>
            </w:r>
          </w:p>
        </w:tc>
      </w:tr>
      <w:tr>
        <w:trPr>
          <w:trHeight w:val="114"/>
        </w:trPr>
        <w:tc>
          <w:tcPr>
            <w:tcW w:w="4700" w:type="dxa"/>
            <w:vAlign w:val="bottom"/>
          </w:tcPr>
          <w:p>
            <w:pPr>
              <w:spacing w:after="0"/>
              <w:rPr>
                <w:sz w:val="9"/>
                <w:szCs w:val="9"/>
                <w:color w:val="auto"/>
              </w:rPr>
            </w:pPr>
          </w:p>
        </w:tc>
        <w:tc>
          <w:tcPr>
            <w:tcW w:w="1260" w:type="dxa"/>
            <w:vAlign w:val="bottom"/>
          </w:tcPr>
          <w:p>
            <w:pPr>
              <w:jc w:val="center"/>
              <w:ind w:right="291"/>
              <w:spacing w:after="0" w:line="11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9"/>
                <w:szCs w:val="9"/>
                <w:color w:val="auto"/>
              </w:rPr>
            </w:pPr>
          </w:p>
        </w:tc>
        <w:tc>
          <w:tcPr>
            <w:tcW w:w="980" w:type="dxa"/>
            <w:vAlign w:val="bottom"/>
          </w:tcPr>
          <w:p>
            <w:pPr>
              <w:jc w:val="center"/>
              <w:ind w:right="368"/>
              <w:spacing w:after="0" w:line="114" w:lineRule="exact"/>
              <w:rPr>
                <w:sz w:val="20"/>
                <w:szCs w:val="20"/>
                <w:color w:val="auto"/>
              </w:rPr>
            </w:pPr>
            <w:r>
              <w:rPr>
                <w:rFonts w:ascii="Arial" w:cs="Arial" w:eastAsia="Arial" w:hAnsi="Arial"/>
                <w:sz w:val="12"/>
                <w:szCs w:val="12"/>
                <w:b w:val="1"/>
                <w:bCs w:val="1"/>
                <w:color w:val="auto"/>
              </w:rPr>
              <w:t>Average</w:t>
            </w:r>
          </w:p>
        </w:tc>
        <w:tc>
          <w:tcPr>
            <w:tcW w:w="1200" w:type="dxa"/>
            <w:vAlign w:val="bottom"/>
          </w:tcPr>
          <w:p>
            <w:pPr>
              <w:jc w:val="center"/>
              <w:ind w:right="251"/>
              <w:spacing w:after="0" w:line="114" w:lineRule="exact"/>
              <w:rPr>
                <w:sz w:val="20"/>
                <w:szCs w:val="20"/>
                <w:color w:val="auto"/>
              </w:rPr>
            </w:pPr>
            <w:r>
              <w:rPr>
                <w:rFonts w:ascii="Arial" w:cs="Arial" w:eastAsia="Arial" w:hAnsi="Arial"/>
                <w:sz w:val="12"/>
                <w:szCs w:val="12"/>
                <w:color w:val="auto"/>
              </w:rPr>
              <w:t>Number</w:t>
            </w:r>
          </w:p>
        </w:tc>
        <w:tc>
          <w:tcPr>
            <w:tcW w:w="100" w:type="dxa"/>
            <w:vAlign w:val="bottom"/>
          </w:tcPr>
          <w:p>
            <w:pPr>
              <w:spacing w:after="0"/>
              <w:rPr>
                <w:sz w:val="9"/>
                <w:szCs w:val="9"/>
                <w:color w:val="auto"/>
              </w:rPr>
            </w:pPr>
          </w:p>
        </w:tc>
        <w:tc>
          <w:tcPr>
            <w:tcW w:w="960" w:type="dxa"/>
            <w:vAlign w:val="bottom"/>
          </w:tcPr>
          <w:p>
            <w:pPr>
              <w:jc w:val="center"/>
              <w:ind w:right="349"/>
              <w:spacing w:after="0" w:line="114" w:lineRule="exact"/>
              <w:rPr>
                <w:sz w:val="20"/>
                <w:szCs w:val="20"/>
                <w:color w:val="auto"/>
              </w:rPr>
            </w:pPr>
            <w:r>
              <w:rPr>
                <w:rFonts w:ascii="Arial" w:cs="Arial" w:eastAsia="Arial" w:hAnsi="Arial"/>
                <w:sz w:val="12"/>
                <w:szCs w:val="12"/>
                <w:color w:val="auto"/>
              </w:rPr>
              <w:t>Average</w:t>
            </w:r>
          </w:p>
        </w:tc>
        <w:tc>
          <w:tcPr>
            <w:tcW w:w="860" w:type="dxa"/>
            <w:vAlign w:val="bottom"/>
          </w:tcPr>
          <w:p>
            <w:pPr>
              <w:jc w:val="center"/>
              <w:spacing w:after="0" w:line="114" w:lineRule="exact"/>
              <w:rPr>
                <w:sz w:val="20"/>
                <w:szCs w:val="20"/>
                <w:color w:val="auto"/>
              </w:rPr>
            </w:pPr>
            <w:r>
              <w:rPr>
                <w:rFonts w:ascii="Arial" w:cs="Arial" w:eastAsia="Arial" w:hAnsi="Arial"/>
                <w:sz w:val="12"/>
                <w:szCs w:val="12"/>
                <w:color w:val="auto"/>
              </w:rPr>
              <w:t>Number</w:t>
            </w:r>
          </w:p>
        </w:tc>
        <w:tc>
          <w:tcPr>
            <w:tcW w:w="740" w:type="dxa"/>
            <w:vAlign w:val="bottom"/>
          </w:tcPr>
          <w:p>
            <w:pPr>
              <w:jc w:val="right"/>
              <w:spacing w:after="0" w:line="114" w:lineRule="exact"/>
              <w:rPr>
                <w:sz w:val="20"/>
                <w:szCs w:val="20"/>
                <w:color w:val="auto"/>
              </w:rPr>
            </w:pPr>
            <w:r>
              <w:rPr>
                <w:rFonts w:ascii="Arial" w:cs="Arial" w:eastAsia="Arial" w:hAnsi="Arial"/>
                <w:sz w:val="12"/>
                <w:szCs w:val="12"/>
                <w:color w:val="auto"/>
              </w:rPr>
              <w:t>Aver</w:t>
            </w:r>
          </w:p>
        </w:tc>
      </w:tr>
      <w:tr>
        <w:trPr>
          <w:trHeight w:val="137"/>
        </w:trPr>
        <w:tc>
          <w:tcPr>
            <w:tcW w:w="4700" w:type="dxa"/>
            <w:vAlign w:val="bottom"/>
          </w:tcPr>
          <w:p>
            <w:pPr>
              <w:spacing w:after="0"/>
              <w:rPr>
                <w:sz w:val="11"/>
                <w:szCs w:val="11"/>
                <w:color w:val="auto"/>
              </w:rPr>
            </w:pPr>
          </w:p>
        </w:tc>
        <w:tc>
          <w:tcPr>
            <w:tcW w:w="1260" w:type="dxa"/>
            <w:vAlign w:val="bottom"/>
          </w:tcPr>
          <w:p>
            <w:pPr>
              <w:jc w:val="center"/>
              <w:ind w:right="271"/>
              <w:spacing w:after="0" w:line="137" w:lineRule="exact"/>
              <w:rPr>
                <w:sz w:val="20"/>
                <w:szCs w:val="20"/>
                <w:color w:val="auto"/>
              </w:rPr>
            </w:pPr>
            <w:r>
              <w:rPr>
                <w:rFonts w:ascii="Arial" w:cs="Arial" w:eastAsia="Arial" w:hAnsi="Arial"/>
                <w:sz w:val="12"/>
                <w:szCs w:val="12"/>
                <w:b w:val="1"/>
                <w:bCs w:val="1"/>
                <w:color w:val="auto"/>
              </w:rPr>
              <w:t>of</w:t>
            </w:r>
          </w:p>
        </w:tc>
        <w:tc>
          <w:tcPr>
            <w:tcW w:w="1120" w:type="dxa"/>
            <w:vAlign w:val="bottom"/>
            <w:gridSpan w:val="2"/>
          </w:tcPr>
          <w:p>
            <w:pPr>
              <w:jc w:val="center"/>
              <w:ind w:right="248"/>
              <w:spacing w:after="0" w:line="137" w:lineRule="exact"/>
              <w:rPr>
                <w:sz w:val="20"/>
                <w:szCs w:val="20"/>
                <w:color w:val="auto"/>
              </w:rPr>
            </w:pPr>
            <w:r>
              <w:rPr>
                <w:rFonts w:ascii="Arial" w:cs="Arial" w:eastAsia="Arial" w:hAnsi="Arial"/>
                <w:sz w:val="12"/>
                <w:szCs w:val="12"/>
                <w:b w:val="1"/>
                <w:bCs w:val="1"/>
                <w:color w:val="auto"/>
              </w:rPr>
              <w:t>Grant-Date</w:t>
            </w:r>
          </w:p>
        </w:tc>
        <w:tc>
          <w:tcPr>
            <w:tcW w:w="1200" w:type="dxa"/>
            <w:vAlign w:val="bottom"/>
          </w:tcPr>
          <w:p>
            <w:pPr>
              <w:jc w:val="center"/>
              <w:ind w:right="231"/>
              <w:spacing w:after="0" w:line="137" w:lineRule="exact"/>
              <w:rPr>
                <w:sz w:val="20"/>
                <w:szCs w:val="20"/>
                <w:color w:val="auto"/>
              </w:rPr>
            </w:pPr>
            <w:r>
              <w:rPr>
                <w:rFonts w:ascii="Arial" w:cs="Arial" w:eastAsia="Arial" w:hAnsi="Arial"/>
                <w:sz w:val="12"/>
                <w:szCs w:val="12"/>
                <w:color w:val="auto"/>
                <w:w w:val="99"/>
              </w:rPr>
              <w:t>of</w:t>
            </w:r>
          </w:p>
        </w:tc>
        <w:tc>
          <w:tcPr>
            <w:tcW w:w="1060" w:type="dxa"/>
            <w:vAlign w:val="bottom"/>
            <w:gridSpan w:val="2"/>
          </w:tcPr>
          <w:p>
            <w:pPr>
              <w:jc w:val="center"/>
              <w:ind w:right="249"/>
              <w:spacing w:after="0" w:line="137" w:lineRule="exact"/>
              <w:rPr>
                <w:sz w:val="20"/>
                <w:szCs w:val="20"/>
                <w:color w:val="auto"/>
              </w:rPr>
            </w:pPr>
            <w:r>
              <w:rPr>
                <w:rFonts w:ascii="Arial" w:cs="Arial" w:eastAsia="Arial" w:hAnsi="Arial"/>
                <w:sz w:val="12"/>
                <w:szCs w:val="12"/>
                <w:color w:val="auto"/>
              </w:rPr>
              <w:t>Grant-Date</w:t>
            </w:r>
          </w:p>
        </w:tc>
        <w:tc>
          <w:tcPr>
            <w:tcW w:w="860" w:type="dxa"/>
            <w:vAlign w:val="bottom"/>
          </w:tcPr>
          <w:p>
            <w:pPr>
              <w:jc w:val="center"/>
              <w:spacing w:after="0" w:line="137" w:lineRule="exact"/>
              <w:rPr>
                <w:sz w:val="20"/>
                <w:szCs w:val="20"/>
                <w:color w:val="auto"/>
              </w:rPr>
            </w:pPr>
            <w:r>
              <w:rPr>
                <w:rFonts w:ascii="Arial" w:cs="Arial" w:eastAsia="Arial" w:hAnsi="Arial"/>
                <w:sz w:val="12"/>
                <w:szCs w:val="12"/>
                <w:color w:val="auto"/>
                <w:w w:val="99"/>
              </w:rPr>
              <w:t>of</w:t>
            </w: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Grant-</w:t>
            </w:r>
          </w:p>
        </w:tc>
      </w:tr>
      <w:tr>
        <w:trPr>
          <w:trHeight w:val="151"/>
        </w:trPr>
        <w:tc>
          <w:tcPr>
            <w:tcW w:w="47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91"/>
              <w:spacing w:after="0"/>
              <w:rPr>
                <w:sz w:val="20"/>
                <w:szCs w:val="20"/>
                <w:color w:val="auto"/>
              </w:rPr>
            </w:pPr>
            <w:r>
              <w:rPr>
                <w:rFonts w:ascii="Arial" w:cs="Arial" w:eastAsia="Arial" w:hAnsi="Arial"/>
                <w:sz w:val="12"/>
                <w:szCs w:val="12"/>
                <w:b w:val="1"/>
                <w:bCs w:val="1"/>
                <w:color w:val="auto"/>
              </w:rPr>
              <w:t>Shares</w:t>
            </w:r>
          </w:p>
        </w:tc>
        <w:tc>
          <w:tcPr>
            <w:tcW w:w="112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2"/>
                <w:szCs w:val="12"/>
                <w:b w:val="1"/>
                <w:bCs w:val="1"/>
                <w:color w:val="auto"/>
              </w:rPr>
              <w:t>Fair Value</w:t>
            </w:r>
          </w:p>
        </w:tc>
        <w:tc>
          <w:tcPr>
            <w:tcW w:w="1200" w:type="dxa"/>
            <w:vAlign w:val="bottom"/>
            <w:tcBorders>
              <w:bottom w:val="single" w:sz="8" w:color="auto"/>
            </w:tcBorders>
          </w:tcPr>
          <w:p>
            <w:pPr>
              <w:jc w:val="center"/>
              <w:ind w:right="251"/>
              <w:spacing w:after="0"/>
              <w:rPr>
                <w:sz w:val="20"/>
                <w:szCs w:val="20"/>
                <w:color w:val="auto"/>
              </w:rPr>
            </w:pPr>
            <w:r>
              <w:rPr>
                <w:rFonts w:ascii="Arial" w:cs="Arial" w:eastAsia="Arial" w:hAnsi="Arial"/>
                <w:sz w:val="12"/>
                <w:szCs w:val="12"/>
                <w:color w:val="auto"/>
              </w:rPr>
              <w:t>Shares</w:t>
            </w: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329"/>
              <w:spacing w:after="0"/>
              <w:rPr>
                <w:sz w:val="20"/>
                <w:szCs w:val="20"/>
                <w:color w:val="auto"/>
              </w:rPr>
            </w:pPr>
            <w:r>
              <w:rPr>
                <w:rFonts w:ascii="Arial" w:cs="Arial" w:eastAsia="Arial" w:hAnsi="Arial"/>
                <w:sz w:val="12"/>
                <w:szCs w:val="12"/>
                <w:color w:val="auto"/>
              </w:rPr>
              <w:t>Fair Value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Fair V</w:t>
            </w:r>
          </w:p>
        </w:tc>
      </w:tr>
      <w:tr>
        <w:trPr>
          <w:trHeight w:val="150"/>
        </w:trPr>
        <w:tc>
          <w:tcPr>
            <w:tcW w:w="4700" w:type="dxa"/>
            <w:vAlign w:val="bottom"/>
          </w:tcPr>
          <w:p>
            <w:pPr>
              <w:spacing w:after="0" w:line="150" w:lineRule="exact"/>
              <w:rPr>
                <w:sz w:val="20"/>
                <w:szCs w:val="20"/>
                <w:color w:val="auto"/>
              </w:rPr>
            </w:pPr>
            <w:r>
              <w:rPr>
                <w:rFonts w:ascii="Arial" w:cs="Arial" w:eastAsia="Arial" w:hAnsi="Arial"/>
                <w:sz w:val="15"/>
                <w:szCs w:val="15"/>
                <w:color w:val="auto"/>
              </w:rPr>
              <w:t>Beginning of year, unvested</w:t>
            </w:r>
          </w:p>
        </w:tc>
        <w:tc>
          <w:tcPr>
            <w:tcW w:w="1260" w:type="dxa"/>
            <w:vAlign w:val="bottom"/>
          </w:tcPr>
          <w:p>
            <w:pPr>
              <w:jc w:val="right"/>
              <w:ind w:right="311"/>
              <w:spacing w:after="0" w:line="150" w:lineRule="exact"/>
              <w:rPr>
                <w:sz w:val="20"/>
                <w:szCs w:val="20"/>
                <w:color w:val="auto"/>
              </w:rPr>
            </w:pPr>
            <w:r>
              <w:rPr>
                <w:rFonts w:ascii="Arial" w:cs="Arial" w:eastAsia="Arial" w:hAnsi="Arial"/>
                <w:sz w:val="15"/>
                <w:szCs w:val="15"/>
                <w:b w:val="1"/>
                <w:bCs w:val="1"/>
                <w:color w:val="auto"/>
              </w:rPr>
              <w:t>77,319</w:t>
            </w:r>
          </w:p>
        </w:tc>
        <w:tc>
          <w:tcPr>
            <w:tcW w:w="1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68"/>
              <w:spacing w:after="0" w:line="150" w:lineRule="exact"/>
              <w:rPr>
                <w:sz w:val="20"/>
                <w:szCs w:val="20"/>
                <w:color w:val="auto"/>
              </w:rPr>
            </w:pPr>
            <w:r>
              <w:rPr>
                <w:rFonts w:ascii="Arial" w:cs="Arial" w:eastAsia="Arial" w:hAnsi="Arial"/>
                <w:sz w:val="15"/>
                <w:szCs w:val="15"/>
                <w:b w:val="1"/>
                <w:bCs w:val="1"/>
                <w:color w:val="auto"/>
              </w:rPr>
              <w:t>424.45</w:t>
            </w:r>
          </w:p>
        </w:tc>
        <w:tc>
          <w:tcPr>
            <w:tcW w:w="1200" w:type="dxa"/>
            <w:vAlign w:val="bottom"/>
          </w:tcPr>
          <w:p>
            <w:pPr>
              <w:jc w:val="right"/>
              <w:ind w:right="331"/>
              <w:spacing w:after="0" w:line="150" w:lineRule="exact"/>
              <w:rPr>
                <w:sz w:val="20"/>
                <w:szCs w:val="20"/>
                <w:color w:val="auto"/>
              </w:rPr>
            </w:pPr>
            <w:r>
              <w:rPr>
                <w:rFonts w:ascii="Arial" w:cs="Arial" w:eastAsia="Arial" w:hAnsi="Arial"/>
                <w:sz w:val="15"/>
                <w:szCs w:val="15"/>
                <w:color w:val="auto"/>
              </w:rPr>
              <w:t>48,359</w:t>
            </w:r>
          </w:p>
        </w:tc>
        <w:tc>
          <w:tcPr>
            <w:tcW w:w="100" w:type="dxa"/>
            <w:vAlign w:val="bottom"/>
          </w:tcPr>
          <w:p>
            <w:pPr>
              <w:jc w:val="right"/>
              <w:spacing w:after="0" w:line="150" w:lineRule="exact"/>
              <w:rPr>
                <w:sz w:val="20"/>
                <w:szCs w:val="20"/>
                <w:color w:val="auto"/>
              </w:rPr>
            </w:pPr>
            <w:r>
              <w:rPr>
                <w:rFonts w:ascii="Arial" w:cs="Arial" w:eastAsia="Arial" w:hAnsi="Arial"/>
                <w:sz w:val="15"/>
                <w:szCs w:val="15"/>
                <w:color w:val="auto"/>
                <w:w w:val="71"/>
              </w:rPr>
              <w:t>$</w:t>
            </w:r>
          </w:p>
        </w:tc>
        <w:tc>
          <w:tcPr>
            <w:tcW w:w="960" w:type="dxa"/>
            <w:vAlign w:val="bottom"/>
          </w:tcPr>
          <w:p>
            <w:pPr>
              <w:jc w:val="right"/>
              <w:ind w:right="149"/>
              <w:spacing w:after="0" w:line="150" w:lineRule="exact"/>
              <w:rPr>
                <w:sz w:val="20"/>
                <w:szCs w:val="20"/>
                <w:color w:val="auto"/>
              </w:rPr>
            </w:pPr>
            <w:r>
              <w:rPr>
                <w:rFonts w:ascii="Arial" w:cs="Arial" w:eastAsia="Arial" w:hAnsi="Arial"/>
                <w:sz w:val="15"/>
                <w:szCs w:val="15"/>
                <w:color w:val="auto"/>
              </w:rPr>
              <w:t>498.95</w:t>
            </w:r>
          </w:p>
        </w:tc>
        <w:tc>
          <w:tcPr>
            <w:tcW w:w="860" w:type="dxa"/>
            <w:vAlign w:val="bottom"/>
          </w:tcPr>
          <w:p>
            <w:pPr>
              <w:jc w:val="right"/>
              <w:spacing w:after="0" w:line="150" w:lineRule="exact"/>
              <w:rPr>
                <w:sz w:val="20"/>
                <w:szCs w:val="20"/>
                <w:color w:val="auto"/>
              </w:rPr>
            </w:pPr>
            <w:r>
              <w:rPr>
                <w:rFonts w:ascii="Arial" w:cs="Arial" w:eastAsia="Arial" w:hAnsi="Arial"/>
                <w:sz w:val="15"/>
                <w:szCs w:val="15"/>
                <w:color w:val="auto"/>
              </w:rPr>
              <w:t>66,020</w:t>
            </w:r>
          </w:p>
        </w:tc>
        <w:tc>
          <w:tcPr>
            <w:tcW w:w="740" w:type="dxa"/>
            <w:vAlign w:val="bottom"/>
          </w:tcPr>
          <w:p>
            <w:pPr>
              <w:jc w:val="right"/>
              <w:ind w:right="254"/>
              <w:spacing w:after="0" w:line="150" w:lineRule="exact"/>
              <w:rPr>
                <w:sz w:val="20"/>
                <w:szCs w:val="20"/>
                <w:color w:val="auto"/>
              </w:rPr>
            </w:pPr>
            <w:r>
              <w:rPr>
                <w:rFonts w:ascii="Arial" w:cs="Arial" w:eastAsia="Arial" w:hAnsi="Arial"/>
                <w:sz w:val="15"/>
                <w:szCs w:val="15"/>
                <w:color w:val="auto"/>
              </w:rPr>
              <w:t>$</w:t>
            </w:r>
          </w:p>
        </w:tc>
      </w:tr>
      <w:tr>
        <w:trPr>
          <w:trHeight w:val="174"/>
        </w:trPr>
        <w:tc>
          <w:tcPr>
            <w:tcW w:w="4700" w:type="dxa"/>
            <w:vAlign w:val="bottom"/>
          </w:tcPr>
          <w:p>
            <w:pPr>
              <w:spacing w:after="0"/>
              <w:rPr>
                <w:sz w:val="20"/>
                <w:szCs w:val="20"/>
                <w:color w:val="auto"/>
              </w:rPr>
            </w:pPr>
            <w:r>
              <w:rPr>
                <w:rFonts w:ascii="Arial" w:cs="Arial" w:eastAsia="Arial" w:hAnsi="Arial"/>
                <w:sz w:val="15"/>
                <w:szCs w:val="15"/>
                <w:color w:val="auto"/>
              </w:rPr>
              <w:t>Awarded</w:t>
            </w:r>
          </w:p>
        </w:tc>
        <w:tc>
          <w:tcPr>
            <w:tcW w:w="1260" w:type="dxa"/>
            <w:vAlign w:val="bottom"/>
          </w:tcPr>
          <w:p>
            <w:pPr>
              <w:jc w:val="right"/>
              <w:ind w:right="311"/>
              <w:spacing w:after="0"/>
              <w:rPr>
                <w:sz w:val="20"/>
                <w:szCs w:val="20"/>
                <w:color w:val="auto"/>
              </w:rPr>
            </w:pPr>
            <w:r>
              <w:rPr>
                <w:rFonts w:ascii="Arial" w:cs="Arial" w:eastAsia="Arial" w:hAnsi="Arial"/>
                <w:sz w:val="15"/>
                <w:szCs w:val="15"/>
                <w:b w:val="1"/>
                <w:bCs w:val="1"/>
                <w:color w:val="auto"/>
              </w:rPr>
              <w:t>145,348</w:t>
            </w:r>
          </w:p>
        </w:tc>
        <w:tc>
          <w:tcPr>
            <w:tcW w:w="14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5"/>
                <w:szCs w:val="15"/>
                <w:b w:val="1"/>
                <w:bCs w:val="1"/>
                <w:color w:val="auto"/>
              </w:rPr>
              <w:t>321.56</w:t>
            </w:r>
          </w:p>
        </w:tc>
        <w:tc>
          <w:tcPr>
            <w:tcW w:w="1200" w:type="dxa"/>
            <w:vAlign w:val="bottom"/>
          </w:tcPr>
          <w:p>
            <w:pPr>
              <w:jc w:val="right"/>
              <w:ind w:right="331"/>
              <w:spacing w:after="0"/>
              <w:rPr>
                <w:sz w:val="20"/>
                <w:szCs w:val="20"/>
                <w:color w:val="auto"/>
              </w:rPr>
            </w:pPr>
            <w:r>
              <w:rPr>
                <w:rFonts w:ascii="Arial" w:cs="Arial" w:eastAsia="Arial" w:hAnsi="Arial"/>
                <w:sz w:val="15"/>
                <w:szCs w:val="15"/>
                <w:color w:val="auto"/>
              </w:rPr>
              <w:t>44,030</w:t>
            </w:r>
          </w:p>
        </w:tc>
        <w:tc>
          <w:tcPr>
            <w:tcW w:w="100" w:type="dxa"/>
            <w:vAlign w:val="bottom"/>
          </w:tcPr>
          <w:p>
            <w:pPr>
              <w:spacing w:after="0"/>
              <w:rPr>
                <w:sz w:val="15"/>
                <w:szCs w:val="15"/>
                <w:color w:val="auto"/>
              </w:rPr>
            </w:pPr>
          </w:p>
        </w:tc>
        <w:tc>
          <w:tcPr>
            <w:tcW w:w="960" w:type="dxa"/>
            <w:vAlign w:val="bottom"/>
          </w:tcPr>
          <w:p>
            <w:pPr>
              <w:jc w:val="right"/>
              <w:ind w:right="149"/>
              <w:spacing w:after="0"/>
              <w:rPr>
                <w:sz w:val="20"/>
                <w:szCs w:val="20"/>
                <w:color w:val="auto"/>
              </w:rPr>
            </w:pPr>
            <w:r>
              <w:rPr>
                <w:rFonts w:ascii="Arial" w:cs="Arial" w:eastAsia="Arial" w:hAnsi="Arial"/>
                <w:sz w:val="15"/>
                <w:szCs w:val="15"/>
                <w:color w:val="auto"/>
              </w:rPr>
              <w:t>432.09</w:t>
            </w:r>
          </w:p>
        </w:tc>
        <w:tc>
          <w:tcPr>
            <w:tcW w:w="860" w:type="dxa"/>
            <w:vAlign w:val="bottom"/>
          </w:tcPr>
          <w:p>
            <w:pPr>
              <w:jc w:val="right"/>
              <w:spacing w:after="0"/>
              <w:rPr>
                <w:sz w:val="20"/>
                <w:szCs w:val="20"/>
                <w:color w:val="auto"/>
              </w:rPr>
            </w:pPr>
            <w:r>
              <w:rPr>
                <w:rFonts w:ascii="Arial" w:cs="Arial" w:eastAsia="Arial" w:hAnsi="Arial"/>
                <w:sz w:val="15"/>
                <w:szCs w:val="15"/>
                <w:color w:val="auto"/>
              </w:rPr>
              <w:t>1,859</w:t>
            </w:r>
          </w:p>
        </w:tc>
        <w:tc>
          <w:tcPr>
            <w:tcW w:w="740" w:type="dxa"/>
            <w:vAlign w:val="bottom"/>
          </w:tcPr>
          <w:p>
            <w:pPr>
              <w:spacing w:after="0"/>
              <w:rPr>
                <w:sz w:val="15"/>
                <w:szCs w:val="15"/>
                <w:color w:val="auto"/>
              </w:rPr>
            </w:pPr>
          </w:p>
        </w:tc>
      </w:tr>
      <w:tr>
        <w:trPr>
          <w:trHeight w:val="174"/>
        </w:trPr>
        <w:tc>
          <w:tcPr>
            <w:tcW w:w="4700" w:type="dxa"/>
            <w:vAlign w:val="bottom"/>
          </w:tcPr>
          <w:p>
            <w:pPr>
              <w:spacing w:after="0"/>
              <w:rPr>
                <w:sz w:val="20"/>
                <w:szCs w:val="20"/>
                <w:color w:val="auto"/>
              </w:rPr>
            </w:pPr>
            <w:r>
              <w:rPr>
                <w:rFonts w:ascii="Arial" w:cs="Arial" w:eastAsia="Arial" w:hAnsi="Arial"/>
                <w:sz w:val="15"/>
                <w:szCs w:val="15"/>
                <w:color w:val="auto"/>
              </w:rPr>
              <w:t>Vested</w:t>
            </w:r>
          </w:p>
        </w:tc>
        <w:tc>
          <w:tcPr>
            <w:tcW w:w="1260" w:type="dxa"/>
            <w:vAlign w:val="bottom"/>
          </w:tcPr>
          <w:p>
            <w:pPr>
              <w:jc w:val="right"/>
              <w:ind w:right="311"/>
              <w:spacing w:after="0"/>
              <w:rPr>
                <w:sz w:val="20"/>
                <w:szCs w:val="20"/>
                <w:color w:val="auto"/>
              </w:rPr>
            </w:pPr>
            <w:r>
              <w:rPr>
                <w:rFonts w:ascii="Arial" w:cs="Arial" w:eastAsia="Arial" w:hAnsi="Arial"/>
                <w:sz w:val="15"/>
                <w:szCs w:val="15"/>
                <w:b w:val="1"/>
                <w:bCs w:val="1"/>
                <w:color w:val="auto"/>
              </w:rPr>
              <w:t>(7,134)</w:t>
            </w:r>
          </w:p>
        </w:tc>
        <w:tc>
          <w:tcPr>
            <w:tcW w:w="140" w:type="dxa"/>
            <w:vAlign w:val="bottom"/>
          </w:tcPr>
          <w:p>
            <w:pPr>
              <w:spacing w:after="0"/>
              <w:rPr>
                <w:sz w:val="15"/>
                <w:szCs w:val="15"/>
                <w:color w:val="auto"/>
              </w:rPr>
            </w:pPr>
          </w:p>
        </w:tc>
        <w:tc>
          <w:tcPr>
            <w:tcW w:w="980" w:type="dxa"/>
            <w:vAlign w:val="bottom"/>
          </w:tcPr>
          <w:p>
            <w:pPr>
              <w:jc w:val="right"/>
              <w:ind w:right="168"/>
              <w:spacing w:after="0"/>
              <w:rPr>
                <w:sz w:val="20"/>
                <w:szCs w:val="20"/>
                <w:color w:val="auto"/>
              </w:rPr>
            </w:pPr>
            <w:r>
              <w:rPr>
                <w:rFonts w:ascii="Arial" w:cs="Arial" w:eastAsia="Arial" w:hAnsi="Arial"/>
                <w:sz w:val="15"/>
                <w:szCs w:val="15"/>
                <w:b w:val="1"/>
                <w:bCs w:val="1"/>
                <w:color w:val="auto"/>
              </w:rPr>
              <w:t>499.06</w:t>
            </w:r>
          </w:p>
        </w:tc>
        <w:tc>
          <w:tcPr>
            <w:tcW w:w="1200" w:type="dxa"/>
            <w:vAlign w:val="bottom"/>
          </w:tcPr>
          <w:p>
            <w:pPr>
              <w:jc w:val="right"/>
              <w:ind w:right="331"/>
              <w:spacing w:after="0"/>
              <w:rPr>
                <w:sz w:val="20"/>
                <w:szCs w:val="20"/>
                <w:color w:val="auto"/>
              </w:rPr>
            </w:pPr>
            <w:r>
              <w:rPr>
                <w:rFonts w:ascii="Arial" w:cs="Arial" w:eastAsia="Arial" w:hAnsi="Arial"/>
                <w:sz w:val="15"/>
                <w:szCs w:val="15"/>
                <w:color w:val="auto"/>
              </w:rPr>
              <w:t>(13,132)</w:t>
            </w:r>
          </w:p>
        </w:tc>
        <w:tc>
          <w:tcPr>
            <w:tcW w:w="100" w:type="dxa"/>
            <w:vAlign w:val="bottom"/>
          </w:tcPr>
          <w:p>
            <w:pPr>
              <w:spacing w:after="0"/>
              <w:rPr>
                <w:sz w:val="15"/>
                <w:szCs w:val="15"/>
                <w:color w:val="auto"/>
              </w:rPr>
            </w:pPr>
          </w:p>
        </w:tc>
        <w:tc>
          <w:tcPr>
            <w:tcW w:w="960" w:type="dxa"/>
            <w:vAlign w:val="bottom"/>
          </w:tcPr>
          <w:p>
            <w:pPr>
              <w:jc w:val="right"/>
              <w:ind w:right="149"/>
              <w:spacing w:after="0"/>
              <w:rPr>
                <w:sz w:val="20"/>
                <w:szCs w:val="20"/>
                <w:color w:val="auto"/>
              </w:rPr>
            </w:pPr>
            <w:r>
              <w:rPr>
                <w:rFonts w:ascii="Arial" w:cs="Arial" w:eastAsia="Arial" w:hAnsi="Arial"/>
                <w:sz w:val="15"/>
                <w:szCs w:val="15"/>
                <w:color w:val="auto"/>
              </w:rPr>
              <w:t>722.67</w:t>
            </w:r>
          </w:p>
        </w:tc>
        <w:tc>
          <w:tcPr>
            <w:tcW w:w="860" w:type="dxa"/>
            <w:vAlign w:val="bottom"/>
          </w:tcPr>
          <w:p>
            <w:pPr>
              <w:jc w:val="right"/>
              <w:spacing w:after="0"/>
              <w:rPr>
                <w:sz w:val="20"/>
                <w:szCs w:val="20"/>
                <w:color w:val="auto"/>
              </w:rPr>
            </w:pPr>
            <w:r>
              <w:rPr>
                <w:rFonts w:ascii="Arial" w:cs="Arial" w:eastAsia="Arial" w:hAnsi="Arial"/>
                <w:sz w:val="15"/>
                <w:szCs w:val="15"/>
                <w:color w:val="auto"/>
              </w:rPr>
              <w:t>(2,644)</w:t>
            </w:r>
          </w:p>
        </w:tc>
        <w:tc>
          <w:tcPr>
            <w:tcW w:w="740" w:type="dxa"/>
            <w:vAlign w:val="bottom"/>
          </w:tcPr>
          <w:p>
            <w:pPr>
              <w:spacing w:after="0"/>
              <w:rPr>
                <w:sz w:val="15"/>
                <w:szCs w:val="15"/>
                <w:color w:val="auto"/>
              </w:rPr>
            </w:pPr>
          </w:p>
        </w:tc>
      </w:tr>
      <w:tr>
        <w:trPr>
          <w:trHeight w:val="190"/>
        </w:trPr>
        <w:tc>
          <w:tcPr>
            <w:tcW w:w="4700" w:type="dxa"/>
            <w:vAlign w:val="bottom"/>
          </w:tcPr>
          <w:p>
            <w:pPr>
              <w:spacing w:after="0"/>
              <w:rPr>
                <w:sz w:val="20"/>
                <w:szCs w:val="20"/>
                <w:color w:val="auto"/>
              </w:rPr>
            </w:pPr>
            <w:r>
              <w:rPr>
                <w:rFonts w:ascii="Arial" w:cs="Arial" w:eastAsia="Arial" w:hAnsi="Arial"/>
                <w:sz w:val="15"/>
                <w:szCs w:val="15"/>
                <w:color w:val="auto"/>
              </w:rPr>
              <w:t>Forfeited</w:t>
            </w:r>
          </w:p>
        </w:tc>
        <w:tc>
          <w:tcPr>
            <w:tcW w:w="1260" w:type="dxa"/>
            <w:vAlign w:val="bottom"/>
            <w:tcBorders>
              <w:bottom w:val="single" w:sz="8" w:color="auto"/>
            </w:tcBorders>
          </w:tcPr>
          <w:p>
            <w:pPr>
              <w:jc w:val="right"/>
              <w:ind w:right="311"/>
              <w:spacing w:after="0"/>
              <w:rPr>
                <w:sz w:val="20"/>
                <w:szCs w:val="20"/>
                <w:color w:val="auto"/>
              </w:rPr>
            </w:pPr>
            <w:r>
              <w:rPr>
                <w:rFonts w:ascii="Arial" w:cs="Arial" w:eastAsia="Arial" w:hAnsi="Arial"/>
                <w:sz w:val="15"/>
                <w:szCs w:val="15"/>
                <w:b w:val="1"/>
                <w:bCs w:val="1"/>
                <w:color w:val="auto"/>
              </w:rPr>
              <w:t>(7,616)</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8"/>
              <w:spacing w:after="0"/>
              <w:rPr>
                <w:sz w:val="20"/>
                <w:szCs w:val="20"/>
                <w:color w:val="auto"/>
              </w:rPr>
            </w:pPr>
            <w:r>
              <w:rPr>
                <w:rFonts w:ascii="Arial" w:cs="Arial" w:eastAsia="Arial" w:hAnsi="Arial"/>
                <w:sz w:val="15"/>
                <w:szCs w:val="15"/>
                <w:b w:val="1"/>
                <w:bCs w:val="1"/>
                <w:color w:val="auto"/>
              </w:rPr>
              <w:t>417.79</w:t>
            </w: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5"/>
                <w:szCs w:val="15"/>
                <w:color w:val="auto"/>
              </w:rPr>
              <w:t>(1,938)</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5"/>
                <w:szCs w:val="15"/>
                <w:color w:val="auto"/>
              </w:rPr>
              <w:t>436.31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(16,876)</w:t>
            </w:r>
          </w:p>
        </w:tc>
        <w:tc>
          <w:tcPr>
            <w:tcW w:w="740" w:type="dxa"/>
            <w:vAlign w:val="bottom"/>
            <w:tcBorders>
              <w:bottom w:val="single" w:sz="8" w:color="auto"/>
            </w:tcBorders>
          </w:tcPr>
          <w:p>
            <w:pPr>
              <w:spacing w:after="0"/>
              <w:rPr>
                <w:sz w:val="16"/>
                <w:szCs w:val="16"/>
                <w:color w:val="auto"/>
              </w:rPr>
            </w:pPr>
          </w:p>
        </w:tc>
      </w:tr>
      <w:tr>
        <w:trPr>
          <w:trHeight w:val="166"/>
        </w:trPr>
        <w:tc>
          <w:tcPr>
            <w:tcW w:w="4700" w:type="dxa"/>
            <w:vAlign w:val="bottom"/>
          </w:tcPr>
          <w:p>
            <w:pPr>
              <w:spacing w:after="0" w:line="167" w:lineRule="exact"/>
              <w:rPr>
                <w:sz w:val="20"/>
                <w:szCs w:val="20"/>
                <w:color w:val="auto"/>
              </w:rPr>
            </w:pPr>
            <w:r>
              <w:rPr>
                <w:rFonts w:ascii="Arial" w:cs="Arial" w:eastAsia="Arial" w:hAnsi="Arial"/>
                <w:sz w:val="15"/>
                <w:szCs w:val="15"/>
                <w:b w:val="1"/>
                <w:bCs w:val="1"/>
                <w:color w:val="auto"/>
              </w:rPr>
              <w:t>End of Year, Unvested</w:t>
            </w:r>
          </w:p>
        </w:tc>
        <w:tc>
          <w:tcPr>
            <w:tcW w:w="1260" w:type="dxa"/>
            <w:vAlign w:val="bottom"/>
            <w:tcBorders>
              <w:bottom w:val="single" w:sz="8" w:color="auto"/>
            </w:tcBorders>
          </w:tcPr>
          <w:p>
            <w:pPr>
              <w:jc w:val="right"/>
              <w:ind w:right="311"/>
              <w:spacing w:after="0" w:line="167" w:lineRule="exact"/>
              <w:rPr>
                <w:sz w:val="20"/>
                <w:szCs w:val="20"/>
                <w:color w:val="auto"/>
              </w:rPr>
            </w:pPr>
            <w:r>
              <w:rPr>
                <w:rFonts w:ascii="Arial" w:cs="Arial" w:eastAsia="Arial" w:hAnsi="Arial"/>
                <w:sz w:val="15"/>
                <w:szCs w:val="15"/>
                <w:b w:val="1"/>
                <w:bCs w:val="1"/>
                <w:color w:val="auto"/>
              </w:rPr>
              <w:t>207,917</w:t>
            </w:r>
          </w:p>
        </w:tc>
        <w:tc>
          <w:tcPr>
            <w:tcW w:w="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68"/>
              <w:spacing w:after="0" w:line="167" w:lineRule="exact"/>
              <w:rPr>
                <w:sz w:val="20"/>
                <w:szCs w:val="20"/>
                <w:color w:val="auto"/>
              </w:rPr>
            </w:pPr>
            <w:r>
              <w:rPr>
                <w:rFonts w:ascii="Arial" w:cs="Arial" w:eastAsia="Arial" w:hAnsi="Arial"/>
                <w:sz w:val="15"/>
                <w:szCs w:val="15"/>
                <w:b w:val="1"/>
                <w:bCs w:val="1"/>
                <w:color w:val="auto"/>
              </w:rPr>
              <w:t>350.21</w:t>
            </w:r>
          </w:p>
        </w:tc>
        <w:tc>
          <w:tcPr>
            <w:tcW w:w="1200" w:type="dxa"/>
            <w:vAlign w:val="bottom"/>
            <w:tcBorders>
              <w:bottom w:val="single" w:sz="8" w:color="auto"/>
            </w:tcBorders>
          </w:tcPr>
          <w:p>
            <w:pPr>
              <w:jc w:val="right"/>
              <w:ind w:right="331"/>
              <w:spacing w:after="0" w:line="167" w:lineRule="exact"/>
              <w:rPr>
                <w:sz w:val="20"/>
                <w:szCs w:val="20"/>
                <w:color w:val="auto"/>
              </w:rPr>
            </w:pPr>
            <w:r>
              <w:rPr>
                <w:rFonts w:ascii="Arial" w:cs="Arial" w:eastAsia="Arial" w:hAnsi="Arial"/>
                <w:sz w:val="15"/>
                <w:szCs w:val="15"/>
                <w:color w:val="auto"/>
              </w:rPr>
              <w:t>77,319</w:t>
            </w:r>
          </w:p>
        </w:tc>
        <w:tc>
          <w:tcPr>
            <w:tcW w:w="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49"/>
              <w:spacing w:after="0" w:line="167" w:lineRule="exact"/>
              <w:rPr>
                <w:sz w:val="20"/>
                <w:szCs w:val="20"/>
                <w:color w:val="auto"/>
              </w:rPr>
            </w:pPr>
            <w:r>
              <w:rPr>
                <w:rFonts w:ascii="Arial" w:cs="Arial" w:eastAsia="Arial" w:hAnsi="Arial"/>
                <w:sz w:val="15"/>
                <w:szCs w:val="15"/>
                <w:color w:val="auto"/>
              </w:rPr>
              <w:t>424.45</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48,359</w:t>
            </w:r>
          </w:p>
        </w:tc>
        <w:tc>
          <w:tcPr>
            <w:tcW w:w="740" w:type="dxa"/>
            <w:vAlign w:val="bottom"/>
            <w:tcBorders>
              <w:bottom w:val="single" w:sz="8" w:color="auto"/>
            </w:tcBorders>
          </w:tcPr>
          <w:p>
            <w:pPr>
              <w:jc w:val="right"/>
              <w:ind w:right="254"/>
              <w:spacing w:after="0" w:line="167" w:lineRule="exact"/>
              <w:rPr>
                <w:sz w:val="20"/>
                <w:szCs w:val="20"/>
                <w:color w:val="auto"/>
              </w:rPr>
            </w:pPr>
            <w:r>
              <w:rPr>
                <w:rFonts w:ascii="Arial" w:cs="Arial" w:eastAsia="Arial" w:hAnsi="Arial"/>
                <w:sz w:val="15"/>
                <w:szCs w:val="15"/>
                <w:color w:val="auto"/>
              </w:rPr>
              <w:t>$</w:t>
            </w: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For the share awards outstanding at December 31, 2012, the aforementioned restriction will lapse in 2013 for 28,555 shares, in 2014 for 2,674 shares 2015 for 41,968 shares, in 2016 for 24,850 shares, in 2017 for 67,370 shares and in 2018 for 42,500 shares. Also, in early 2013, the Company made awards of 7,681 shares. Stock-based</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auto"/>
        </w:rPr>
        <w:t>compensation costs resulting from Company stock awards were $11.4 million, $8.9 million and $4.8 million in 2012, 2011 and 2010, respectively.</w:t>
      </w:r>
    </w:p>
    <w:p>
      <w:pPr>
        <w:spacing w:after="0" w:line="17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As of December 31, 2012, there was $50.9 million of total unrecognized compensation expense related to this plan. That cost is expected to be recog on a straight-line basis over a weighted average period of 2.3 years.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The Company’s employee stock option plan reserves 1,900,000 shares of the Company’s Class B common stock for options to be gr</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plan. The purchase price of the shares covered by an option cannot be less than the fair value on the granting date. Options generally vest four years and have a maximum term of 10 years. At December 31, 2012, there were 351,675 shares reserved for issuance under the stock option pla which 125,694 shares were subject to options outstanding and 225,981 shares were available for future grants.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Activity related to options outstanding for the years ended December 31, 2012, December 31, 2011 and January 2, 2011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0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2"/>
                <w:szCs w:val="12"/>
                <w:color w:val="auto"/>
              </w:rPr>
              <w:t>2010</w:t>
            </w:r>
          </w:p>
        </w:tc>
      </w:tr>
      <w:tr>
        <w:trPr>
          <w:trHeight w:val="114"/>
        </w:trPr>
        <w:tc>
          <w:tcPr>
            <w:tcW w:w="4800" w:type="dxa"/>
            <w:vAlign w:val="bottom"/>
          </w:tcPr>
          <w:p>
            <w:pPr>
              <w:spacing w:after="0"/>
              <w:rPr>
                <w:sz w:val="9"/>
                <w:szCs w:val="9"/>
                <w:color w:val="auto"/>
              </w:rPr>
            </w:pPr>
          </w:p>
        </w:tc>
        <w:tc>
          <w:tcPr>
            <w:tcW w:w="1180" w:type="dxa"/>
            <w:vAlign w:val="bottom"/>
          </w:tcPr>
          <w:p>
            <w:pPr>
              <w:jc w:val="center"/>
              <w:ind w:right="292"/>
              <w:spacing w:after="0" w:line="11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9"/>
                <w:szCs w:val="9"/>
                <w:color w:val="auto"/>
              </w:rPr>
            </w:pPr>
          </w:p>
        </w:tc>
        <w:tc>
          <w:tcPr>
            <w:tcW w:w="980" w:type="dxa"/>
            <w:vAlign w:val="bottom"/>
          </w:tcPr>
          <w:p>
            <w:pPr>
              <w:jc w:val="center"/>
              <w:ind w:right="371"/>
              <w:spacing w:after="0" w:line="114" w:lineRule="exact"/>
              <w:rPr>
                <w:sz w:val="20"/>
                <w:szCs w:val="20"/>
                <w:color w:val="auto"/>
              </w:rPr>
            </w:pPr>
            <w:r>
              <w:rPr>
                <w:rFonts w:ascii="Arial" w:cs="Arial" w:eastAsia="Arial" w:hAnsi="Arial"/>
                <w:sz w:val="12"/>
                <w:szCs w:val="12"/>
                <w:b w:val="1"/>
                <w:bCs w:val="1"/>
                <w:color w:val="auto"/>
              </w:rPr>
              <w:t>Average</w:t>
            </w:r>
          </w:p>
        </w:tc>
        <w:tc>
          <w:tcPr>
            <w:tcW w:w="1200" w:type="dxa"/>
            <w:vAlign w:val="bottom"/>
          </w:tcPr>
          <w:p>
            <w:pPr>
              <w:jc w:val="center"/>
              <w:ind w:right="252"/>
              <w:spacing w:after="0" w:line="114" w:lineRule="exact"/>
              <w:rPr>
                <w:sz w:val="20"/>
                <w:szCs w:val="20"/>
                <w:color w:val="auto"/>
              </w:rPr>
            </w:pPr>
            <w:r>
              <w:rPr>
                <w:rFonts w:ascii="Arial" w:cs="Arial" w:eastAsia="Arial" w:hAnsi="Arial"/>
                <w:sz w:val="12"/>
                <w:szCs w:val="12"/>
                <w:color w:val="auto"/>
              </w:rPr>
              <w:t>Number</w:t>
            </w:r>
          </w:p>
        </w:tc>
        <w:tc>
          <w:tcPr>
            <w:tcW w:w="120" w:type="dxa"/>
            <w:vAlign w:val="bottom"/>
          </w:tcPr>
          <w:p>
            <w:pPr>
              <w:spacing w:after="0"/>
              <w:rPr>
                <w:sz w:val="9"/>
                <w:szCs w:val="9"/>
                <w:color w:val="auto"/>
              </w:rPr>
            </w:pPr>
          </w:p>
        </w:tc>
        <w:tc>
          <w:tcPr>
            <w:tcW w:w="940" w:type="dxa"/>
            <w:vAlign w:val="bottom"/>
          </w:tcPr>
          <w:p>
            <w:pPr>
              <w:jc w:val="center"/>
              <w:ind w:right="371"/>
              <w:spacing w:after="0" w:line="114" w:lineRule="exact"/>
              <w:rPr>
                <w:sz w:val="20"/>
                <w:szCs w:val="20"/>
                <w:color w:val="auto"/>
              </w:rPr>
            </w:pPr>
            <w:r>
              <w:rPr>
                <w:rFonts w:ascii="Arial" w:cs="Arial" w:eastAsia="Arial" w:hAnsi="Arial"/>
                <w:sz w:val="12"/>
                <w:szCs w:val="12"/>
                <w:color w:val="auto"/>
              </w:rPr>
              <w:t>Average</w:t>
            </w:r>
          </w:p>
        </w:tc>
        <w:tc>
          <w:tcPr>
            <w:tcW w:w="860" w:type="dxa"/>
            <w:vAlign w:val="bottom"/>
          </w:tcPr>
          <w:p>
            <w:pPr>
              <w:jc w:val="center"/>
              <w:spacing w:after="0" w:line="114" w:lineRule="exact"/>
              <w:rPr>
                <w:sz w:val="20"/>
                <w:szCs w:val="20"/>
                <w:color w:val="auto"/>
              </w:rPr>
            </w:pPr>
            <w:r>
              <w:rPr>
                <w:rFonts w:ascii="Arial" w:cs="Arial" w:eastAsia="Arial" w:hAnsi="Arial"/>
                <w:sz w:val="12"/>
                <w:szCs w:val="12"/>
                <w:color w:val="auto"/>
              </w:rPr>
              <w:t>Number</w:t>
            </w:r>
          </w:p>
        </w:tc>
        <w:tc>
          <w:tcPr>
            <w:tcW w:w="740" w:type="dxa"/>
            <w:vAlign w:val="bottom"/>
          </w:tcPr>
          <w:p>
            <w:pPr>
              <w:jc w:val="right"/>
              <w:spacing w:after="0" w:line="114" w:lineRule="exact"/>
              <w:rPr>
                <w:sz w:val="20"/>
                <w:szCs w:val="20"/>
                <w:color w:val="auto"/>
              </w:rPr>
            </w:pPr>
            <w:r>
              <w:rPr>
                <w:rFonts w:ascii="Arial" w:cs="Arial" w:eastAsia="Arial" w:hAnsi="Arial"/>
                <w:sz w:val="12"/>
                <w:szCs w:val="12"/>
                <w:color w:val="auto"/>
              </w:rPr>
              <w:t>Aver</w:t>
            </w:r>
          </w:p>
        </w:tc>
      </w:tr>
      <w:tr>
        <w:trPr>
          <w:trHeight w:val="137"/>
        </w:trPr>
        <w:tc>
          <w:tcPr>
            <w:tcW w:w="4800" w:type="dxa"/>
            <w:vAlign w:val="bottom"/>
          </w:tcPr>
          <w:p>
            <w:pPr>
              <w:spacing w:after="0"/>
              <w:rPr>
                <w:sz w:val="11"/>
                <w:szCs w:val="11"/>
                <w:color w:val="auto"/>
              </w:rPr>
            </w:pPr>
          </w:p>
        </w:tc>
        <w:tc>
          <w:tcPr>
            <w:tcW w:w="1180" w:type="dxa"/>
            <w:vAlign w:val="bottom"/>
          </w:tcPr>
          <w:p>
            <w:pPr>
              <w:jc w:val="center"/>
              <w:ind w:right="292"/>
              <w:spacing w:after="0" w:line="137" w:lineRule="exact"/>
              <w:rPr>
                <w:sz w:val="20"/>
                <w:szCs w:val="20"/>
                <w:color w:val="auto"/>
              </w:rPr>
            </w:pPr>
            <w:r>
              <w:rPr>
                <w:rFonts w:ascii="Arial" w:cs="Arial" w:eastAsia="Arial" w:hAnsi="Arial"/>
                <w:sz w:val="12"/>
                <w:szCs w:val="12"/>
                <w:b w:val="1"/>
                <w:bCs w:val="1"/>
                <w:color w:val="auto"/>
                <w:w w:val="87"/>
              </w:rPr>
              <w:t>of</w:t>
            </w:r>
          </w:p>
        </w:tc>
        <w:tc>
          <w:tcPr>
            <w:tcW w:w="120" w:type="dxa"/>
            <w:vAlign w:val="bottom"/>
          </w:tcPr>
          <w:p>
            <w:pPr>
              <w:spacing w:after="0"/>
              <w:rPr>
                <w:sz w:val="11"/>
                <w:szCs w:val="11"/>
                <w:color w:val="auto"/>
              </w:rPr>
            </w:pPr>
          </w:p>
        </w:tc>
        <w:tc>
          <w:tcPr>
            <w:tcW w:w="980" w:type="dxa"/>
            <w:vAlign w:val="bottom"/>
          </w:tcPr>
          <w:p>
            <w:pPr>
              <w:jc w:val="center"/>
              <w:ind w:right="391"/>
              <w:spacing w:after="0" w:line="137" w:lineRule="exact"/>
              <w:rPr>
                <w:sz w:val="20"/>
                <w:szCs w:val="20"/>
                <w:color w:val="auto"/>
              </w:rPr>
            </w:pPr>
            <w:r>
              <w:rPr>
                <w:rFonts w:ascii="Arial" w:cs="Arial" w:eastAsia="Arial" w:hAnsi="Arial"/>
                <w:sz w:val="12"/>
                <w:szCs w:val="12"/>
                <w:b w:val="1"/>
                <w:bCs w:val="1"/>
                <w:color w:val="auto"/>
              </w:rPr>
              <w:t>Option</w:t>
            </w:r>
          </w:p>
        </w:tc>
        <w:tc>
          <w:tcPr>
            <w:tcW w:w="1200" w:type="dxa"/>
            <w:vAlign w:val="bottom"/>
          </w:tcPr>
          <w:p>
            <w:pPr>
              <w:jc w:val="center"/>
              <w:ind w:right="232"/>
              <w:spacing w:after="0" w:line="137" w:lineRule="exact"/>
              <w:rPr>
                <w:sz w:val="20"/>
                <w:szCs w:val="20"/>
                <w:color w:val="auto"/>
              </w:rPr>
            </w:pPr>
            <w:r>
              <w:rPr>
                <w:rFonts w:ascii="Arial" w:cs="Arial" w:eastAsia="Arial" w:hAnsi="Arial"/>
                <w:sz w:val="12"/>
                <w:szCs w:val="12"/>
                <w:color w:val="auto"/>
                <w:w w:val="99"/>
              </w:rPr>
              <w:t>of</w:t>
            </w:r>
          </w:p>
        </w:tc>
        <w:tc>
          <w:tcPr>
            <w:tcW w:w="120" w:type="dxa"/>
            <w:vAlign w:val="bottom"/>
          </w:tcPr>
          <w:p>
            <w:pPr>
              <w:spacing w:after="0"/>
              <w:rPr>
                <w:sz w:val="11"/>
                <w:szCs w:val="11"/>
                <w:color w:val="auto"/>
              </w:rPr>
            </w:pPr>
          </w:p>
        </w:tc>
        <w:tc>
          <w:tcPr>
            <w:tcW w:w="940" w:type="dxa"/>
            <w:vAlign w:val="bottom"/>
          </w:tcPr>
          <w:p>
            <w:pPr>
              <w:jc w:val="center"/>
              <w:ind w:right="351"/>
              <w:spacing w:after="0" w:line="137" w:lineRule="exact"/>
              <w:rPr>
                <w:sz w:val="20"/>
                <w:szCs w:val="20"/>
                <w:color w:val="auto"/>
              </w:rPr>
            </w:pPr>
            <w:r>
              <w:rPr>
                <w:rFonts w:ascii="Arial" w:cs="Arial" w:eastAsia="Arial" w:hAnsi="Arial"/>
                <w:sz w:val="12"/>
                <w:szCs w:val="12"/>
                <w:color w:val="auto"/>
              </w:rPr>
              <w:t>Option</w:t>
            </w:r>
          </w:p>
        </w:tc>
        <w:tc>
          <w:tcPr>
            <w:tcW w:w="860" w:type="dxa"/>
            <w:vAlign w:val="bottom"/>
          </w:tcPr>
          <w:p>
            <w:pPr>
              <w:jc w:val="center"/>
              <w:spacing w:after="0" w:line="137" w:lineRule="exact"/>
              <w:rPr>
                <w:sz w:val="20"/>
                <w:szCs w:val="20"/>
                <w:color w:val="auto"/>
              </w:rPr>
            </w:pPr>
            <w:r>
              <w:rPr>
                <w:rFonts w:ascii="Arial" w:cs="Arial" w:eastAsia="Arial" w:hAnsi="Arial"/>
                <w:sz w:val="12"/>
                <w:szCs w:val="12"/>
                <w:color w:val="auto"/>
                <w:w w:val="99"/>
              </w:rPr>
              <w:t>of</w:t>
            </w:r>
          </w:p>
        </w:tc>
        <w:tc>
          <w:tcPr>
            <w:tcW w:w="740" w:type="dxa"/>
            <w:vAlign w:val="bottom"/>
          </w:tcPr>
          <w:p>
            <w:pPr>
              <w:jc w:val="right"/>
              <w:spacing w:after="0" w:line="137" w:lineRule="exact"/>
              <w:rPr>
                <w:sz w:val="20"/>
                <w:szCs w:val="20"/>
                <w:color w:val="auto"/>
              </w:rPr>
            </w:pPr>
            <w:r>
              <w:rPr>
                <w:rFonts w:ascii="Arial" w:cs="Arial" w:eastAsia="Arial" w:hAnsi="Arial"/>
                <w:sz w:val="12"/>
                <w:szCs w:val="12"/>
                <w:color w:val="auto"/>
              </w:rPr>
              <w:t>Opt</w:t>
            </w:r>
          </w:p>
        </w:tc>
      </w:tr>
      <w:tr>
        <w:trPr>
          <w:trHeight w:val="151"/>
        </w:trPr>
        <w:tc>
          <w:tcPr>
            <w:tcW w:w="48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9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371"/>
              <w:spacing w:after="0"/>
              <w:rPr>
                <w:sz w:val="20"/>
                <w:szCs w:val="20"/>
                <w:color w:val="auto"/>
              </w:rPr>
            </w:pPr>
            <w:r>
              <w:rPr>
                <w:rFonts w:ascii="Arial" w:cs="Arial" w:eastAsia="Arial" w:hAnsi="Arial"/>
                <w:sz w:val="12"/>
                <w:szCs w:val="12"/>
                <w:b w:val="1"/>
                <w:bCs w:val="1"/>
                <w:color w:val="auto"/>
              </w:rPr>
              <w:t>Price</w:t>
            </w:r>
          </w:p>
        </w:tc>
        <w:tc>
          <w:tcPr>
            <w:tcW w:w="1200" w:type="dxa"/>
            <w:vAlign w:val="bottom"/>
            <w:tcBorders>
              <w:bottom w:val="single" w:sz="8" w:color="auto"/>
            </w:tcBorders>
          </w:tcPr>
          <w:p>
            <w:pPr>
              <w:jc w:val="center"/>
              <w:ind w:right="252"/>
              <w:spacing w:after="0"/>
              <w:rPr>
                <w:sz w:val="20"/>
                <w:szCs w:val="20"/>
                <w:color w:val="auto"/>
              </w:rPr>
            </w:pPr>
            <w:r>
              <w:rPr>
                <w:rFonts w:ascii="Arial" w:cs="Arial" w:eastAsia="Arial" w:hAnsi="Arial"/>
                <w:sz w:val="12"/>
                <w:szCs w:val="12"/>
                <w:color w:val="auto"/>
              </w:rPr>
              <w:t>Shares</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51"/>
              <w:spacing w:after="0"/>
              <w:rPr>
                <w:sz w:val="20"/>
                <w:szCs w:val="20"/>
                <w:color w:val="auto"/>
              </w:rPr>
            </w:pPr>
            <w:r>
              <w:rPr>
                <w:rFonts w:ascii="Arial" w:cs="Arial" w:eastAsia="Arial" w:hAnsi="Arial"/>
                <w:sz w:val="12"/>
                <w:szCs w:val="12"/>
                <w:color w:val="auto"/>
              </w:rPr>
              <w:t>Price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Pri</w:t>
            </w:r>
          </w:p>
        </w:tc>
      </w:tr>
      <w:tr>
        <w:trPr>
          <w:trHeight w:val="150"/>
        </w:trPr>
        <w:tc>
          <w:tcPr>
            <w:tcW w:w="4800" w:type="dxa"/>
            <w:vAlign w:val="bottom"/>
          </w:tcPr>
          <w:p>
            <w:pPr>
              <w:spacing w:after="0" w:line="150" w:lineRule="exact"/>
              <w:rPr>
                <w:sz w:val="20"/>
                <w:szCs w:val="20"/>
                <w:color w:val="auto"/>
              </w:rPr>
            </w:pPr>
            <w:r>
              <w:rPr>
                <w:rFonts w:ascii="Arial" w:cs="Arial" w:eastAsia="Arial" w:hAnsi="Arial"/>
                <w:sz w:val="15"/>
                <w:szCs w:val="15"/>
                <w:color w:val="auto"/>
              </w:rPr>
              <w:t>Beginning of year</w:t>
            </w:r>
          </w:p>
        </w:tc>
        <w:tc>
          <w:tcPr>
            <w:tcW w:w="1180" w:type="dxa"/>
            <w:vAlign w:val="bottom"/>
          </w:tcPr>
          <w:p>
            <w:pPr>
              <w:jc w:val="right"/>
              <w:ind w:right="332"/>
              <w:spacing w:after="0" w:line="150" w:lineRule="exact"/>
              <w:rPr>
                <w:sz w:val="20"/>
                <w:szCs w:val="20"/>
                <w:color w:val="auto"/>
              </w:rPr>
            </w:pPr>
            <w:r>
              <w:rPr>
                <w:rFonts w:ascii="Arial" w:cs="Arial" w:eastAsia="Arial" w:hAnsi="Arial"/>
                <w:sz w:val="15"/>
                <w:szCs w:val="15"/>
                <w:b w:val="1"/>
                <w:bCs w:val="1"/>
                <w:color w:val="auto"/>
              </w:rPr>
              <w:t>129,044</w:t>
            </w:r>
          </w:p>
        </w:tc>
        <w:tc>
          <w:tcPr>
            <w:tcW w:w="1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w w:val="95"/>
              </w:rPr>
              <w:t>$</w:t>
            </w:r>
          </w:p>
        </w:tc>
        <w:tc>
          <w:tcPr>
            <w:tcW w:w="98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494.95</w:t>
            </w:r>
          </w:p>
        </w:tc>
        <w:tc>
          <w:tcPr>
            <w:tcW w:w="1200" w:type="dxa"/>
            <w:vAlign w:val="bottom"/>
          </w:tcPr>
          <w:p>
            <w:pPr>
              <w:jc w:val="right"/>
              <w:ind w:right="332"/>
              <w:spacing w:after="0" w:line="150" w:lineRule="exact"/>
              <w:rPr>
                <w:sz w:val="20"/>
                <w:szCs w:val="20"/>
                <w:color w:val="auto"/>
              </w:rPr>
            </w:pPr>
            <w:r>
              <w:rPr>
                <w:rFonts w:ascii="Arial" w:cs="Arial" w:eastAsia="Arial" w:hAnsi="Arial"/>
                <w:sz w:val="15"/>
                <w:szCs w:val="15"/>
                <w:color w:val="auto"/>
              </w:rPr>
              <w:t>87,919</w:t>
            </w:r>
          </w:p>
        </w:tc>
        <w:tc>
          <w:tcPr>
            <w:tcW w:w="120" w:type="dxa"/>
            <w:vAlign w:val="bottom"/>
          </w:tcPr>
          <w:p>
            <w:pPr>
              <w:jc w:val="right"/>
              <w:spacing w:after="0" w:line="150"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ind w:right="151"/>
              <w:spacing w:after="0" w:line="150" w:lineRule="exact"/>
              <w:rPr>
                <w:sz w:val="20"/>
                <w:szCs w:val="20"/>
                <w:color w:val="auto"/>
              </w:rPr>
            </w:pPr>
            <w:r>
              <w:rPr>
                <w:rFonts w:ascii="Arial" w:cs="Arial" w:eastAsia="Arial" w:hAnsi="Arial"/>
                <w:sz w:val="15"/>
                <w:szCs w:val="15"/>
                <w:color w:val="auto"/>
              </w:rPr>
              <w:t>495.05</w:t>
            </w:r>
          </w:p>
        </w:tc>
        <w:tc>
          <w:tcPr>
            <w:tcW w:w="860" w:type="dxa"/>
            <w:vAlign w:val="bottom"/>
          </w:tcPr>
          <w:p>
            <w:pPr>
              <w:jc w:val="right"/>
              <w:spacing w:after="0" w:line="150" w:lineRule="exact"/>
              <w:rPr>
                <w:sz w:val="20"/>
                <w:szCs w:val="20"/>
                <w:color w:val="auto"/>
              </w:rPr>
            </w:pPr>
            <w:r>
              <w:rPr>
                <w:rFonts w:ascii="Arial" w:cs="Arial" w:eastAsia="Arial" w:hAnsi="Arial"/>
                <w:sz w:val="15"/>
                <w:szCs w:val="15"/>
                <w:color w:val="auto"/>
              </w:rPr>
              <w:t>90,569</w:t>
            </w:r>
          </w:p>
        </w:tc>
        <w:tc>
          <w:tcPr>
            <w:tcW w:w="740" w:type="dxa"/>
            <w:vAlign w:val="bottom"/>
          </w:tcPr>
          <w:p>
            <w:pPr>
              <w:jc w:val="right"/>
              <w:ind w:right="254"/>
              <w:spacing w:after="0" w:line="150" w:lineRule="exact"/>
              <w:rPr>
                <w:sz w:val="20"/>
                <w:szCs w:val="20"/>
                <w:color w:val="auto"/>
              </w:rPr>
            </w:pPr>
            <w:r>
              <w:rPr>
                <w:rFonts w:ascii="Arial" w:cs="Arial" w:eastAsia="Arial" w:hAnsi="Arial"/>
                <w:sz w:val="15"/>
                <w:szCs w:val="15"/>
                <w:color w:val="auto"/>
              </w:rPr>
              <w:t>$</w:t>
            </w:r>
          </w:p>
        </w:tc>
      </w:tr>
      <w:tr>
        <w:trPr>
          <w:trHeight w:val="174"/>
        </w:trPr>
        <w:tc>
          <w:tcPr>
            <w:tcW w:w="4800" w:type="dxa"/>
            <w:vAlign w:val="bottom"/>
          </w:tcPr>
          <w:p>
            <w:pPr>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ind w:right="332"/>
              <w:spacing w:after="0"/>
              <w:rPr>
                <w:sz w:val="20"/>
                <w:szCs w:val="20"/>
                <w:color w:val="auto"/>
              </w:rPr>
            </w:pPr>
            <w:r>
              <w:rPr>
                <w:rFonts w:ascii="Arial" w:cs="Arial" w:eastAsia="Arial" w:hAnsi="Arial"/>
                <w:sz w:val="15"/>
                <w:szCs w:val="15"/>
                <w:b w:val="1"/>
                <w:bCs w:val="1"/>
                <w:color w:val="auto"/>
              </w:rPr>
              <w:t>7,500</w:t>
            </w:r>
          </w:p>
        </w:tc>
        <w:tc>
          <w:tcPr>
            <w:tcW w:w="120" w:type="dxa"/>
            <w:vAlign w:val="bottom"/>
          </w:tcPr>
          <w:p>
            <w:pPr>
              <w:spacing w:after="0"/>
              <w:rPr>
                <w:sz w:val="15"/>
                <w:szCs w:val="15"/>
                <w:color w:val="auto"/>
              </w:rPr>
            </w:pPr>
          </w:p>
        </w:tc>
        <w:tc>
          <w:tcPr>
            <w:tcW w:w="980" w:type="dxa"/>
            <w:vAlign w:val="bottom"/>
          </w:tcPr>
          <w:p>
            <w:pPr>
              <w:jc w:val="right"/>
              <w:ind w:right="171"/>
              <w:spacing w:after="0"/>
              <w:rPr>
                <w:sz w:val="20"/>
                <w:szCs w:val="20"/>
                <w:color w:val="auto"/>
              </w:rPr>
            </w:pPr>
            <w:r>
              <w:rPr>
                <w:rFonts w:ascii="Arial" w:cs="Arial" w:eastAsia="Arial" w:hAnsi="Arial"/>
                <w:sz w:val="15"/>
                <w:szCs w:val="15"/>
                <w:b w:val="1"/>
                <w:bCs w:val="1"/>
                <w:color w:val="auto"/>
              </w:rPr>
              <w:t>378.00</w:t>
            </w:r>
          </w:p>
        </w:tc>
        <w:tc>
          <w:tcPr>
            <w:tcW w:w="1200" w:type="dxa"/>
            <w:vAlign w:val="bottom"/>
          </w:tcPr>
          <w:p>
            <w:pPr>
              <w:jc w:val="right"/>
              <w:ind w:right="332"/>
              <w:spacing w:after="0"/>
              <w:rPr>
                <w:sz w:val="20"/>
                <w:szCs w:val="20"/>
                <w:color w:val="auto"/>
              </w:rPr>
            </w:pPr>
            <w:r>
              <w:rPr>
                <w:rFonts w:ascii="Arial" w:cs="Arial" w:eastAsia="Arial" w:hAnsi="Arial"/>
                <w:sz w:val="15"/>
                <w:szCs w:val="15"/>
                <w:color w:val="auto"/>
              </w:rPr>
              <w:t>51,000</w:t>
            </w:r>
          </w:p>
        </w:tc>
        <w:tc>
          <w:tcPr>
            <w:tcW w:w="120" w:type="dxa"/>
            <w:vAlign w:val="bottom"/>
          </w:tcPr>
          <w:p>
            <w:pPr>
              <w:spacing w:after="0"/>
              <w:rPr>
                <w:sz w:val="15"/>
                <w:szCs w:val="15"/>
                <w:color w:val="auto"/>
              </w:rPr>
            </w:pPr>
          </w:p>
        </w:tc>
        <w:tc>
          <w:tcPr>
            <w:tcW w:w="940" w:type="dxa"/>
            <w:vAlign w:val="bottom"/>
          </w:tcPr>
          <w:p>
            <w:pPr>
              <w:jc w:val="right"/>
              <w:ind w:right="151"/>
              <w:spacing w:after="0"/>
              <w:rPr>
                <w:sz w:val="20"/>
                <w:szCs w:val="20"/>
                <w:color w:val="auto"/>
              </w:rPr>
            </w:pPr>
            <w:r>
              <w:rPr>
                <w:rFonts w:ascii="Arial" w:cs="Arial" w:eastAsia="Arial" w:hAnsi="Arial"/>
                <w:sz w:val="15"/>
                <w:szCs w:val="15"/>
                <w:color w:val="auto"/>
              </w:rPr>
              <w:t>499.45</w:t>
            </w:r>
          </w:p>
        </w:tc>
        <w:tc>
          <w:tcPr>
            <w:tcW w:w="860" w:type="dxa"/>
            <w:vAlign w:val="bottom"/>
          </w:tcPr>
          <w:p>
            <w:pPr>
              <w:jc w:val="right"/>
              <w:spacing w:after="0"/>
              <w:rPr>
                <w:sz w:val="20"/>
                <w:szCs w:val="20"/>
                <w:color w:val="auto"/>
              </w:rPr>
            </w:pPr>
            <w:r>
              <w:rPr>
                <w:rFonts w:ascii="Arial" w:cs="Arial" w:eastAsia="Arial" w:hAnsi="Arial"/>
                <w:sz w:val="15"/>
                <w:szCs w:val="15"/>
                <w:color w:val="auto"/>
              </w:rPr>
              <w:t>22,500</w:t>
            </w:r>
          </w:p>
        </w:tc>
        <w:tc>
          <w:tcPr>
            <w:tcW w:w="740" w:type="dxa"/>
            <w:vAlign w:val="bottom"/>
          </w:tcPr>
          <w:p>
            <w:pPr>
              <w:spacing w:after="0"/>
              <w:rPr>
                <w:sz w:val="15"/>
                <w:szCs w:val="15"/>
                <w:color w:val="auto"/>
              </w:rPr>
            </w:pPr>
          </w:p>
        </w:tc>
      </w:tr>
      <w:tr>
        <w:trPr>
          <w:trHeight w:val="190"/>
        </w:trPr>
        <w:tc>
          <w:tcPr>
            <w:tcW w:w="4800" w:type="dxa"/>
            <w:vAlign w:val="bottom"/>
          </w:tcPr>
          <w:p>
            <w:pPr>
              <w:spacing w:after="0"/>
              <w:rPr>
                <w:sz w:val="20"/>
                <w:szCs w:val="20"/>
                <w:color w:val="auto"/>
              </w:rPr>
            </w:pPr>
            <w:r>
              <w:rPr>
                <w:rFonts w:ascii="Arial" w:cs="Arial" w:eastAsia="Arial" w:hAnsi="Arial"/>
                <w:sz w:val="15"/>
                <w:szCs w:val="15"/>
                <w:color w:val="auto"/>
              </w:rPr>
              <w:t>Expired or forfeited</w:t>
            </w: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5"/>
                <w:szCs w:val="15"/>
                <w:b w:val="1"/>
                <w:bCs w:val="1"/>
                <w:color w:val="auto"/>
              </w:rPr>
              <w:t>(10,850)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605.82</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5"/>
                <w:szCs w:val="15"/>
                <w:color w:val="auto"/>
              </w:rPr>
              <w:t>(9,875)</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1"/>
              <w:spacing w:after="0"/>
              <w:rPr>
                <w:sz w:val="20"/>
                <w:szCs w:val="20"/>
                <w:color w:val="auto"/>
              </w:rPr>
            </w:pPr>
            <w:r>
              <w:rPr>
                <w:rFonts w:ascii="Arial" w:cs="Arial" w:eastAsia="Arial" w:hAnsi="Arial"/>
                <w:sz w:val="15"/>
                <w:szCs w:val="15"/>
                <w:color w:val="auto"/>
              </w:rPr>
              <w:t>519.04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(25,150)</w:t>
            </w:r>
          </w:p>
        </w:tc>
        <w:tc>
          <w:tcPr>
            <w:tcW w:w="740" w:type="dxa"/>
            <w:vAlign w:val="bottom"/>
            <w:tcBorders>
              <w:bottom w:val="single" w:sz="8" w:color="auto"/>
            </w:tcBorders>
          </w:tcPr>
          <w:p>
            <w:pPr>
              <w:spacing w:after="0"/>
              <w:rPr>
                <w:sz w:val="16"/>
                <w:szCs w:val="16"/>
                <w:color w:val="auto"/>
              </w:rPr>
            </w:pPr>
          </w:p>
        </w:tc>
      </w:tr>
      <w:tr>
        <w:trPr>
          <w:trHeight w:val="166"/>
        </w:trPr>
        <w:tc>
          <w:tcPr>
            <w:tcW w:w="4800" w:type="dxa"/>
            <w:vAlign w:val="bottom"/>
          </w:tcPr>
          <w:p>
            <w:pPr>
              <w:spacing w:after="0" w:line="167" w:lineRule="exact"/>
              <w:rPr>
                <w:sz w:val="20"/>
                <w:szCs w:val="20"/>
                <w:color w:val="auto"/>
              </w:rPr>
            </w:pPr>
            <w:r>
              <w:rPr>
                <w:rFonts w:ascii="Arial" w:cs="Arial" w:eastAsia="Arial" w:hAnsi="Arial"/>
                <w:sz w:val="15"/>
                <w:szCs w:val="15"/>
                <w:b w:val="1"/>
                <w:bCs w:val="1"/>
                <w:color w:val="auto"/>
              </w:rPr>
              <w:t>End of Year</w:t>
            </w:r>
          </w:p>
        </w:tc>
        <w:tc>
          <w:tcPr>
            <w:tcW w:w="1180" w:type="dxa"/>
            <w:vAlign w:val="bottom"/>
            <w:tcBorders>
              <w:bottom w:val="single" w:sz="8" w:color="auto"/>
            </w:tcBorders>
          </w:tcPr>
          <w:p>
            <w:pPr>
              <w:jc w:val="right"/>
              <w:ind w:right="332"/>
              <w:spacing w:after="0" w:line="167" w:lineRule="exact"/>
              <w:rPr>
                <w:sz w:val="20"/>
                <w:szCs w:val="20"/>
                <w:color w:val="auto"/>
              </w:rPr>
            </w:pPr>
            <w:r>
              <w:rPr>
                <w:rFonts w:ascii="Arial" w:cs="Arial" w:eastAsia="Arial" w:hAnsi="Arial"/>
                <w:sz w:val="15"/>
                <w:szCs w:val="15"/>
                <w:b w:val="1"/>
                <w:bCs w:val="1"/>
                <w:color w:val="auto"/>
              </w:rPr>
              <w:t>125,694</w:t>
            </w: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478.32</w:t>
            </w:r>
          </w:p>
        </w:tc>
        <w:tc>
          <w:tcPr>
            <w:tcW w:w="1200" w:type="dxa"/>
            <w:vAlign w:val="bottom"/>
            <w:tcBorders>
              <w:bottom w:val="single" w:sz="8" w:color="auto"/>
            </w:tcBorders>
          </w:tcPr>
          <w:p>
            <w:pPr>
              <w:jc w:val="right"/>
              <w:ind w:right="332"/>
              <w:spacing w:after="0" w:line="167" w:lineRule="exact"/>
              <w:rPr>
                <w:sz w:val="20"/>
                <w:szCs w:val="20"/>
                <w:color w:val="auto"/>
              </w:rPr>
            </w:pPr>
            <w:r>
              <w:rPr>
                <w:rFonts w:ascii="Arial" w:cs="Arial" w:eastAsia="Arial" w:hAnsi="Arial"/>
                <w:sz w:val="15"/>
                <w:szCs w:val="15"/>
                <w:color w:val="auto"/>
              </w:rPr>
              <w:t>129,044</w:t>
            </w: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51"/>
              <w:spacing w:after="0" w:line="167" w:lineRule="exact"/>
              <w:rPr>
                <w:sz w:val="20"/>
                <w:szCs w:val="20"/>
                <w:color w:val="auto"/>
              </w:rPr>
            </w:pPr>
            <w:r>
              <w:rPr>
                <w:rFonts w:ascii="Arial" w:cs="Arial" w:eastAsia="Arial" w:hAnsi="Arial"/>
                <w:sz w:val="15"/>
                <w:szCs w:val="15"/>
                <w:color w:val="auto"/>
              </w:rPr>
              <w:t>494.95</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87,919</w:t>
            </w:r>
          </w:p>
        </w:tc>
        <w:tc>
          <w:tcPr>
            <w:tcW w:w="740" w:type="dxa"/>
            <w:vAlign w:val="bottom"/>
            <w:tcBorders>
              <w:bottom w:val="single" w:sz="8" w:color="auto"/>
            </w:tcBorders>
          </w:tcPr>
          <w:p>
            <w:pPr>
              <w:jc w:val="right"/>
              <w:ind w:right="254"/>
              <w:spacing w:after="0" w:line="167" w:lineRule="exact"/>
              <w:rPr>
                <w:sz w:val="20"/>
                <w:szCs w:val="20"/>
                <w:color w:val="auto"/>
              </w:rPr>
            </w:pPr>
            <w:r>
              <w:rPr>
                <w:rFonts w:ascii="Arial" w:cs="Arial" w:eastAsia="Arial" w:hAnsi="Arial"/>
                <w:sz w:val="15"/>
                <w:szCs w:val="15"/>
                <w:color w:val="auto"/>
              </w:rPr>
              <w:t>$</w:t>
            </w:r>
          </w:p>
        </w:tc>
      </w:tr>
      <w:tr>
        <w:trPr>
          <w:trHeight w:val="20"/>
        </w:trPr>
        <w:tc>
          <w:tcPr>
            <w:tcW w:w="48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Of the shares covered by options outstanding at the end of 2012, 64,021 are now exercisable; 25,423 will become exercisable in 2013; 19,750 will bec exercisable in 2014; 14,625 will become exercisable in 2015; and 1,875 will become exercisable in 2016. For 2012, 2011 and 2010, the Company rec expense of $2.9 million, $ 2.7 million and $1.4 million related to this plan, respectively. Information related to stock options outstanding and exercisable December 31, 2012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90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Options Outstanding</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Options Exercisable</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r>
        <w:trPr>
          <w:trHeight w:val="114"/>
        </w:trPr>
        <w:tc>
          <w:tcPr>
            <w:tcW w:w="39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60" w:type="dxa"/>
            <w:vAlign w:val="bottom"/>
          </w:tcPr>
          <w:p>
            <w:pPr>
              <w:jc w:val="center"/>
              <w:ind w:right="91"/>
              <w:spacing w:after="0" w:line="114" w:lineRule="exact"/>
              <w:rPr>
                <w:sz w:val="20"/>
                <w:szCs w:val="20"/>
                <w:color w:val="auto"/>
              </w:rPr>
            </w:pPr>
            <w:r>
              <w:rPr>
                <w:rFonts w:ascii="Arial" w:cs="Arial" w:eastAsia="Arial" w:hAnsi="Arial"/>
                <w:sz w:val="12"/>
                <w:szCs w:val="12"/>
                <w:b w:val="1"/>
                <w:bCs w:val="1"/>
                <w:color w:val="auto"/>
                <w:w w:val="99"/>
              </w:rPr>
              <w:t>Weighted</w:t>
            </w: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Weighted</w:t>
            </w: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37"/>
        </w:trPr>
        <w:tc>
          <w:tcPr>
            <w:tcW w:w="3900" w:type="dxa"/>
            <w:vAlign w:val="bottom"/>
          </w:tcPr>
          <w:p>
            <w:pPr>
              <w:spacing w:after="0"/>
              <w:rPr>
                <w:sz w:val="11"/>
                <w:szCs w:val="11"/>
                <w:color w:val="auto"/>
              </w:rPr>
            </w:pPr>
          </w:p>
        </w:tc>
        <w:tc>
          <w:tcPr>
            <w:tcW w:w="1260" w:type="dxa"/>
            <w:vAlign w:val="bottom"/>
          </w:tcPr>
          <w:p>
            <w:pPr>
              <w:jc w:val="center"/>
              <w:ind w:right="30"/>
              <w:spacing w:after="0" w:line="137" w:lineRule="exact"/>
              <w:rPr>
                <w:sz w:val="20"/>
                <w:szCs w:val="20"/>
                <w:color w:val="auto"/>
              </w:rPr>
            </w:pPr>
            <w:r>
              <w:rPr>
                <w:rFonts w:ascii="Arial" w:cs="Arial" w:eastAsia="Arial" w:hAnsi="Arial"/>
                <w:sz w:val="12"/>
                <w:szCs w:val="12"/>
                <w:b w:val="1"/>
                <w:bCs w:val="1"/>
                <w:color w:val="auto"/>
                <w:w w:val="99"/>
              </w:rPr>
              <w:t>Shares</w:t>
            </w:r>
          </w:p>
        </w:tc>
        <w:tc>
          <w:tcPr>
            <w:tcW w:w="1460" w:type="dxa"/>
            <w:vAlign w:val="bottom"/>
          </w:tcPr>
          <w:p>
            <w:pPr>
              <w:jc w:val="right"/>
              <w:ind w:right="491"/>
              <w:spacing w:after="0" w:line="137" w:lineRule="exact"/>
              <w:rPr>
                <w:sz w:val="20"/>
                <w:szCs w:val="20"/>
                <w:color w:val="auto"/>
              </w:rPr>
            </w:pPr>
            <w:r>
              <w:rPr>
                <w:rFonts w:ascii="Arial" w:cs="Arial" w:eastAsia="Arial" w:hAnsi="Arial"/>
                <w:sz w:val="12"/>
                <w:szCs w:val="12"/>
                <w:b w:val="1"/>
                <w:bCs w:val="1"/>
                <w:color w:val="auto"/>
              </w:rPr>
              <w:t>Average</w:t>
            </w:r>
          </w:p>
        </w:tc>
        <w:tc>
          <w:tcPr>
            <w:tcW w:w="200" w:type="dxa"/>
            <w:vAlign w:val="bottom"/>
          </w:tcPr>
          <w:p>
            <w:pPr>
              <w:spacing w:after="0"/>
              <w:rPr>
                <w:sz w:val="11"/>
                <w:szCs w:val="11"/>
                <w:color w:val="auto"/>
              </w:rPr>
            </w:pPr>
          </w:p>
        </w:tc>
        <w:tc>
          <w:tcPr>
            <w:tcW w:w="92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Weighted</w:t>
            </w:r>
          </w:p>
        </w:tc>
        <w:tc>
          <w:tcPr>
            <w:tcW w:w="1140" w:type="dxa"/>
            <w:vAlign w:val="bottom"/>
          </w:tcPr>
          <w:p>
            <w:pPr>
              <w:jc w:val="center"/>
              <w:ind w:left="50"/>
              <w:spacing w:after="0" w:line="137" w:lineRule="exact"/>
              <w:rPr>
                <w:sz w:val="20"/>
                <w:szCs w:val="20"/>
                <w:color w:val="auto"/>
              </w:rPr>
            </w:pPr>
            <w:r>
              <w:rPr>
                <w:rFonts w:ascii="Arial" w:cs="Arial" w:eastAsia="Arial" w:hAnsi="Arial"/>
                <w:sz w:val="12"/>
                <w:szCs w:val="12"/>
                <w:b w:val="1"/>
                <w:bCs w:val="1"/>
                <w:color w:val="auto"/>
              </w:rPr>
              <w:t>Shares</w:t>
            </w:r>
          </w:p>
        </w:tc>
        <w:tc>
          <w:tcPr>
            <w:tcW w:w="1420" w:type="dxa"/>
            <w:vAlign w:val="bottom"/>
          </w:tcPr>
          <w:p>
            <w:pPr>
              <w:jc w:val="right"/>
              <w:ind w:right="431"/>
              <w:spacing w:after="0" w:line="137" w:lineRule="exact"/>
              <w:rPr>
                <w:sz w:val="20"/>
                <w:szCs w:val="20"/>
                <w:color w:val="auto"/>
              </w:rPr>
            </w:pPr>
            <w:r>
              <w:rPr>
                <w:rFonts w:ascii="Arial" w:cs="Arial" w:eastAsia="Arial" w:hAnsi="Arial"/>
                <w:sz w:val="12"/>
                <w:szCs w:val="12"/>
                <w:b w:val="1"/>
                <w:bCs w:val="1"/>
                <w:color w:val="auto"/>
              </w:rPr>
              <w:t>Average</w:t>
            </w:r>
          </w:p>
        </w:tc>
        <w:tc>
          <w:tcPr>
            <w:tcW w:w="2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Weigh</w:t>
            </w:r>
          </w:p>
        </w:tc>
      </w:tr>
      <w:tr>
        <w:trPr>
          <w:trHeight w:val="137"/>
        </w:trPr>
        <w:tc>
          <w:tcPr>
            <w:tcW w:w="3900" w:type="dxa"/>
            <w:vAlign w:val="bottom"/>
          </w:tcPr>
          <w:p>
            <w:pPr>
              <w:jc w:val="center"/>
              <w:ind w:right="2809"/>
              <w:spacing w:after="0" w:line="137" w:lineRule="exact"/>
              <w:rPr>
                <w:sz w:val="20"/>
                <w:szCs w:val="20"/>
                <w:color w:val="auto"/>
              </w:rPr>
            </w:pPr>
            <w:r>
              <w:rPr>
                <w:rFonts w:ascii="Arial" w:cs="Arial" w:eastAsia="Arial" w:hAnsi="Arial"/>
                <w:sz w:val="12"/>
                <w:szCs w:val="12"/>
                <w:b w:val="1"/>
                <w:bCs w:val="1"/>
                <w:color w:val="auto"/>
              </w:rPr>
              <w:t>Range of</w:t>
            </w:r>
          </w:p>
        </w:tc>
        <w:tc>
          <w:tcPr>
            <w:tcW w:w="1260" w:type="dxa"/>
            <w:vAlign w:val="bottom"/>
          </w:tcPr>
          <w:p>
            <w:pPr>
              <w:jc w:val="center"/>
              <w:ind w:right="30"/>
              <w:spacing w:after="0" w:line="137" w:lineRule="exact"/>
              <w:rPr>
                <w:sz w:val="20"/>
                <w:szCs w:val="20"/>
                <w:color w:val="auto"/>
              </w:rPr>
            </w:pPr>
            <w:r>
              <w:rPr>
                <w:rFonts w:ascii="Arial" w:cs="Arial" w:eastAsia="Arial" w:hAnsi="Arial"/>
                <w:sz w:val="12"/>
                <w:szCs w:val="12"/>
                <w:b w:val="1"/>
                <w:bCs w:val="1"/>
                <w:color w:val="auto"/>
              </w:rPr>
              <w:t>Outstanding</w:t>
            </w:r>
          </w:p>
        </w:tc>
        <w:tc>
          <w:tcPr>
            <w:tcW w:w="1460" w:type="dxa"/>
            <w:vAlign w:val="bottom"/>
          </w:tcPr>
          <w:p>
            <w:pPr>
              <w:jc w:val="center"/>
              <w:ind w:right="91"/>
              <w:spacing w:after="0" w:line="137" w:lineRule="exact"/>
              <w:rPr>
                <w:sz w:val="20"/>
                <w:szCs w:val="20"/>
                <w:color w:val="auto"/>
              </w:rPr>
            </w:pPr>
            <w:r>
              <w:rPr>
                <w:rFonts w:ascii="Arial" w:cs="Arial" w:eastAsia="Arial" w:hAnsi="Arial"/>
                <w:sz w:val="12"/>
                <w:szCs w:val="12"/>
                <w:b w:val="1"/>
                <w:bCs w:val="1"/>
                <w:color w:val="auto"/>
              </w:rPr>
              <w:t>Remaining</w:t>
            </w:r>
          </w:p>
        </w:tc>
        <w:tc>
          <w:tcPr>
            <w:tcW w:w="200" w:type="dxa"/>
            <w:vAlign w:val="bottom"/>
          </w:tcPr>
          <w:p>
            <w:pPr>
              <w:spacing w:after="0"/>
              <w:rPr>
                <w:sz w:val="11"/>
                <w:szCs w:val="11"/>
                <w:color w:val="auto"/>
              </w:rPr>
            </w:pPr>
          </w:p>
        </w:tc>
        <w:tc>
          <w:tcPr>
            <w:tcW w:w="920" w:type="dxa"/>
            <w:vAlign w:val="bottom"/>
          </w:tcPr>
          <w:p>
            <w:pPr>
              <w:jc w:val="center"/>
              <w:ind w:right="210"/>
              <w:spacing w:after="0" w:line="137" w:lineRule="exact"/>
              <w:rPr>
                <w:sz w:val="20"/>
                <w:szCs w:val="20"/>
                <w:color w:val="auto"/>
              </w:rPr>
            </w:pPr>
            <w:r>
              <w:rPr>
                <w:rFonts w:ascii="Arial" w:cs="Arial" w:eastAsia="Arial" w:hAnsi="Arial"/>
                <w:sz w:val="12"/>
                <w:szCs w:val="12"/>
                <w:b w:val="1"/>
                <w:bCs w:val="1"/>
                <w:color w:val="auto"/>
              </w:rPr>
              <w:t>Average</w:t>
            </w:r>
          </w:p>
        </w:tc>
        <w:tc>
          <w:tcPr>
            <w:tcW w:w="1140" w:type="dxa"/>
            <w:vAlign w:val="bottom"/>
          </w:tcPr>
          <w:p>
            <w:pPr>
              <w:jc w:val="center"/>
              <w:ind w:left="50"/>
              <w:spacing w:after="0" w:line="137" w:lineRule="exact"/>
              <w:rPr>
                <w:sz w:val="20"/>
                <w:szCs w:val="20"/>
                <w:color w:val="auto"/>
              </w:rPr>
            </w:pPr>
            <w:r>
              <w:rPr>
                <w:rFonts w:ascii="Arial" w:cs="Arial" w:eastAsia="Arial" w:hAnsi="Arial"/>
                <w:sz w:val="12"/>
                <w:szCs w:val="12"/>
                <w:b w:val="1"/>
                <w:bCs w:val="1"/>
                <w:color w:val="auto"/>
              </w:rPr>
              <w:t>Exercisable</w:t>
            </w:r>
          </w:p>
        </w:tc>
        <w:tc>
          <w:tcPr>
            <w:tcW w:w="14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Remaining</w:t>
            </w:r>
          </w:p>
        </w:tc>
        <w:tc>
          <w:tcPr>
            <w:tcW w:w="2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Avera</w:t>
            </w:r>
          </w:p>
        </w:tc>
      </w:tr>
      <w:tr>
        <w:trPr>
          <w:trHeight w:val="137"/>
        </w:trPr>
        <w:tc>
          <w:tcPr>
            <w:tcW w:w="3900" w:type="dxa"/>
            <w:vAlign w:val="bottom"/>
          </w:tcPr>
          <w:p>
            <w:pPr>
              <w:jc w:val="center"/>
              <w:ind w:right="2809"/>
              <w:spacing w:after="0" w:line="137" w:lineRule="exact"/>
              <w:rPr>
                <w:sz w:val="20"/>
                <w:szCs w:val="20"/>
                <w:color w:val="auto"/>
              </w:rPr>
            </w:pPr>
            <w:r>
              <w:rPr>
                <w:rFonts w:ascii="Arial" w:cs="Arial" w:eastAsia="Arial" w:hAnsi="Arial"/>
                <w:sz w:val="12"/>
                <w:szCs w:val="12"/>
                <w:b w:val="1"/>
                <w:bCs w:val="1"/>
                <w:color w:val="auto"/>
              </w:rPr>
              <w:t>Exercise</w:t>
            </w:r>
          </w:p>
        </w:tc>
        <w:tc>
          <w:tcPr>
            <w:tcW w:w="1260" w:type="dxa"/>
            <w:vAlign w:val="bottom"/>
          </w:tcPr>
          <w:p>
            <w:pPr>
              <w:jc w:val="center"/>
              <w:ind w:right="30"/>
              <w:spacing w:after="0" w:line="137" w:lineRule="exact"/>
              <w:rPr>
                <w:sz w:val="20"/>
                <w:szCs w:val="20"/>
                <w:color w:val="auto"/>
              </w:rPr>
            </w:pPr>
            <w:r>
              <w:rPr>
                <w:rFonts w:ascii="Arial" w:cs="Arial" w:eastAsia="Arial" w:hAnsi="Arial"/>
                <w:sz w:val="12"/>
                <w:szCs w:val="12"/>
                <w:b w:val="1"/>
                <w:bCs w:val="1"/>
                <w:color w:val="auto"/>
              </w:rPr>
              <w:t>at</w:t>
            </w:r>
          </w:p>
        </w:tc>
        <w:tc>
          <w:tcPr>
            <w:tcW w:w="1460" w:type="dxa"/>
            <w:vAlign w:val="bottom"/>
          </w:tcPr>
          <w:p>
            <w:pPr>
              <w:jc w:val="center"/>
              <w:ind w:right="91"/>
              <w:spacing w:after="0" w:line="137" w:lineRule="exact"/>
              <w:rPr>
                <w:sz w:val="20"/>
                <w:szCs w:val="20"/>
                <w:color w:val="auto"/>
              </w:rPr>
            </w:pPr>
            <w:r>
              <w:rPr>
                <w:rFonts w:ascii="Arial" w:cs="Arial" w:eastAsia="Arial" w:hAnsi="Arial"/>
                <w:sz w:val="12"/>
                <w:szCs w:val="12"/>
                <w:b w:val="1"/>
                <w:bCs w:val="1"/>
                <w:color w:val="auto"/>
              </w:rPr>
              <w:t>Contractual</w:t>
            </w:r>
          </w:p>
        </w:tc>
        <w:tc>
          <w:tcPr>
            <w:tcW w:w="200" w:type="dxa"/>
            <w:vAlign w:val="bottom"/>
          </w:tcPr>
          <w:p>
            <w:pPr>
              <w:spacing w:after="0"/>
              <w:rPr>
                <w:sz w:val="11"/>
                <w:szCs w:val="11"/>
                <w:color w:val="auto"/>
              </w:rPr>
            </w:pPr>
          </w:p>
        </w:tc>
        <w:tc>
          <w:tcPr>
            <w:tcW w:w="920" w:type="dxa"/>
            <w:vAlign w:val="bottom"/>
          </w:tcPr>
          <w:p>
            <w:pPr>
              <w:jc w:val="center"/>
              <w:ind w:right="230"/>
              <w:spacing w:after="0" w:line="137" w:lineRule="exact"/>
              <w:rPr>
                <w:sz w:val="20"/>
                <w:szCs w:val="20"/>
                <w:color w:val="auto"/>
              </w:rPr>
            </w:pPr>
            <w:r>
              <w:rPr>
                <w:rFonts w:ascii="Arial" w:cs="Arial" w:eastAsia="Arial" w:hAnsi="Arial"/>
                <w:sz w:val="12"/>
                <w:szCs w:val="12"/>
                <w:b w:val="1"/>
                <w:bCs w:val="1"/>
                <w:color w:val="auto"/>
              </w:rPr>
              <w:t>Exercise</w:t>
            </w:r>
          </w:p>
        </w:tc>
        <w:tc>
          <w:tcPr>
            <w:tcW w:w="1140" w:type="dxa"/>
            <w:vAlign w:val="bottom"/>
          </w:tcPr>
          <w:p>
            <w:pPr>
              <w:jc w:val="center"/>
              <w:ind w:left="50"/>
              <w:spacing w:after="0" w:line="137" w:lineRule="exact"/>
              <w:rPr>
                <w:sz w:val="20"/>
                <w:szCs w:val="20"/>
                <w:color w:val="auto"/>
              </w:rPr>
            </w:pPr>
            <w:r>
              <w:rPr>
                <w:rFonts w:ascii="Arial" w:cs="Arial" w:eastAsia="Arial" w:hAnsi="Arial"/>
                <w:sz w:val="12"/>
                <w:szCs w:val="12"/>
                <w:b w:val="1"/>
                <w:bCs w:val="1"/>
                <w:color w:val="auto"/>
                <w:w w:val="93"/>
              </w:rPr>
              <w:t>at</w:t>
            </w:r>
          </w:p>
        </w:tc>
        <w:tc>
          <w:tcPr>
            <w:tcW w:w="142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Contractual</w:t>
            </w:r>
          </w:p>
        </w:tc>
        <w:tc>
          <w:tcPr>
            <w:tcW w:w="24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Exerc</w:t>
            </w:r>
          </w:p>
        </w:tc>
      </w:tr>
      <w:tr>
        <w:trPr>
          <w:trHeight w:val="151"/>
        </w:trPr>
        <w:tc>
          <w:tcPr>
            <w:tcW w:w="3900" w:type="dxa"/>
            <w:vAlign w:val="bottom"/>
            <w:tcBorders>
              <w:bottom w:val="single" w:sz="8" w:color="auto"/>
            </w:tcBorders>
          </w:tcPr>
          <w:p>
            <w:pPr>
              <w:jc w:val="center"/>
              <w:ind w:right="2809"/>
              <w:spacing w:after="0"/>
              <w:rPr>
                <w:sz w:val="20"/>
                <w:szCs w:val="20"/>
                <w:color w:val="auto"/>
              </w:rPr>
            </w:pPr>
            <w:r>
              <w:rPr>
                <w:rFonts w:ascii="Arial" w:cs="Arial" w:eastAsia="Arial" w:hAnsi="Arial"/>
                <w:sz w:val="12"/>
                <w:szCs w:val="12"/>
                <w:b w:val="1"/>
                <w:bCs w:val="1"/>
                <w:color w:val="auto"/>
              </w:rPr>
              <w:t>Prices</w:t>
            </w: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2"/>
                <w:szCs w:val="12"/>
                <w:b w:val="1"/>
                <w:bCs w:val="1"/>
                <w:color w:val="auto"/>
              </w:rPr>
              <w:t>12/31/2012</w:t>
            </w:r>
          </w:p>
        </w:tc>
        <w:tc>
          <w:tcPr>
            <w:tcW w:w="14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rPr>
              <w:t>Life (yrs.)</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Price</w:t>
            </w:r>
          </w:p>
        </w:tc>
        <w:tc>
          <w:tcPr>
            <w:tcW w:w="1140" w:type="dxa"/>
            <w:vAlign w:val="bottom"/>
            <w:tcBorders>
              <w:bottom w:val="single" w:sz="8" w:color="auto"/>
            </w:tcBorders>
          </w:tcPr>
          <w:p>
            <w:pPr>
              <w:jc w:val="center"/>
              <w:ind w:left="50"/>
              <w:spacing w:after="0"/>
              <w:rPr>
                <w:sz w:val="20"/>
                <w:szCs w:val="20"/>
                <w:color w:val="auto"/>
              </w:rPr>
            </w:pPr>
            <w:r>
              <w:rPr>
                <w:rFonts w:ascii="Arial" w:cs="Arial" w:eastAsia="Arial" w:hAnsi="Arial"/>
                <w:sz w:val="12"/>
                <w:szCs w:val="12"/>
                <w:b w:val="1"/>
                <w:bCs w:val="1"/>
                <w:color w:val="auto"/>
              </w:rPr>
              <w:t>12/31/2012</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Life (yrs.)</w:t>
            </w:r>
          </w:p>
        </w:tc>
        <w:tc>
          <w:tcPr>
            <w:tcW w:w="2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Pric</w:t>
            </w:r>
          </w:p>
        </w:tc>
      </w:tr>
      <w:tr>
        <w:trPr>
          <w:trHeight w:val="168"/>
        </w:trPr>
        <w:tc>
          <w:tcPr>
            <w:tcW w:w="3900" w:type="dxa"/>
            <w:vAlign w:val="bottom"/>
          </w:tcPr>
          <w:p>
            <w:pPr>
              <w:jc w:val="right"/>
              <w:ind w:right="2809"/>
              <w:spacing w:after="0" w:line="168" w:lineRule="exact"/>
              <w:rPr>
                <w:sz w:val="20"/>
                <w:szCs w:val="20"/>
                <w:color w:val="auto"/>
              </w:rPr>
            </w:pPr>
            <w:r>
              <w:rPr>
                <w:rFonts w:ascii="Arial" w:cs="Arial" w:eastAsia="Arial" w:hAnsi="Arial"/>
                <w:sz w:val="15"/>
                <w:szCs w:val="15"/>
                <w:color w:val="auto"/>
              </w:rPr>
              <w:t>$343–396</w:t>
            </w:r>
          </w:p>
        </w:tc>
        <w:tc>
          <w:tcPr>
            <w:tcW w:w="1260" w:type="dxa"/>
            <w:vAlign w:val="bottom"/>
          </w:tcPr>
          <w:p>
            <w:pPr>
              <w:jc w:val="right"/>
              <w:ind w:right="70"/>
              <w:spacing w:after="0" w:line="168" w:lineRule="exact"/>
              <w:rPr>
                <w:sz w:val="20"/>
                <w:szCs w:val="20"/>
                <w:color w:val="auto"/>
              </w:rPr>
            </w:pPr>
            <w:r>
              <w:rPr>
                <w:rFonts w:ascii="Arial" w:cs="Arial" w:eastAsia="Arial" w:hAnsi="Arial"/>
                <w:sz w:val="15"/>
                <w:szCs w:val="15"/>
                <w:color w:val="auto"/>
              </w:rPr>
              <w:t>41,000</w:t>
            </w:r>
          </w:p>
        </w:tc>
        <w:tc>
          <w:tcPr>
            <w:tcW w:w="1460" w:type="dxa"/>
            <w:vAlign w:val="bottom"/>
          </w:tcPr>
          <w:p>
            <w:pPr>
              <w:jc w:val="right"/>
              <w:ind w:right="491"/>
              <w:spacing w:after="0" w:line="168" w:lineRule="exact"/>
              <w:rPr>
                <w:sz w:val="20"/>
                <w:szCs w:val="20"/>
                <w:color w:val="auto"/>
              </w:rPr>
            </w:pPr>
            <w:r>
              <w:rPr>
                <w:rFonts w:ascii="Arial" w:cs="Arial" w:eastAsia="Arial" w:hAnsi="Arial"/>
                <w:sz w:val="15"/>
                <w:szCs w:val="15"/>
                <w:color w:val="auto"/>
              </w:rPr>
              <w:t>7.7</w:t>
            </w:r>
          </w:p>
        </w:tc>
        <w:tc>
          <w:tcPr>
            <w:tcW w:w="2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920" w:type="dxa"/>
            <w:vAlign w:val="bottom"/>
          </w:tcPr>
          <w:p>
            <w:pPr>
              <w:ind w:left="160"/>
              <w:spacing w:after="0" w:line="168" w:lineRule="exact"/>
              <w:rPr>
                <w:sz w:val="20"/>
                <w:szCs w:val="20"/>
                <w:color w:val="auto"/>
              </w:rPr>
            </w:pPr>
            <w:r>
              <w:rPr>
                <w:rFonts w:ascii="Arial" w:cs="Arial" w:eastAsia="Arial" w:hAnsi="Arial"/>
                <w:sz w:val="15"/>
                <w:szCs w:val="15"/>
                <w:color w:val="auto"/>
              </w:rPr>
              <w:t>383.78</w:t>
            </w:r>
          </w:p>
        </w:tc>
        <w:tc>
          <w:tcPr>
            <w:tcW w:w="1140" w:type="dxa"/>
            <w:vAlign w:val="bottom"/>
          </w:tcPr>
          <w:p>
            <w:pPr>
              <w:jc w:val="right"/>
              <w:ind w:right="30"/>
              <w:spacing w:after="0" w:line="168" w:lineRule="exact"/>
              <w:rPr>
                <w:sz w:val="20"/>
                <w:szCs w:val="20"/>
                <w:color w:val="auto"/>
              </w:rPr>
            </w:pPr>
            <w:r>
              <w:rPr>
                <w:rFonts w:ascii="Arial" w:cs="Arial" w:eastAsia="Arial" w:hAnsi="Arial"/>
                <w:sz w:val="15"/>
                <w:szCs w:val="15"/>
                <w:color w:val="auto"/>
              </w:rPr>
              <w:t>22,250</w:t>
            </w:r>
          </w:p>
        </w:tc>
        <w:tc>
          <w:tcPr>
            <w:tcW w:w="1420" w:type="dxa"/>
            <w:vAlign w:val="bottom"/>
          </w:tcPr>
          <w:p>
            <w:pPr>
              <w:jc w:val="right"/>
              <w:ind w:right="431"/>
              <w:spacing w:after="0" w:line="168" w:lineRule="exact"/>
              <w:rPr>
                <w:sz w:val="20"/>
                <w:szCs w:val="20"/>
                <w:color w:val="auto"/>
              </w:rPr>
            </w:pPr>
            <w:r>
              <w:rPr>
                <w:rFonts w:ascii="Arial" w:cs="Arial" w:eastAsia="Arial" w:hAnsi="Arial"/>
                <w:sz w:val="15"/>
                <w:szCs w:val="15"/>
                <w:color w:val="auto"/>
              </w:rPr>
              <w:t>6.9</w:t>
            </w:r>
          </w:p>
        </w:tc>
        <w:tc>
          <w:tcPr>
            <w:tcW w:w="2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68" w:lineRule="exact"/>
              <w:rPr>
                <w:sz w:val="20"/>
                <w:szCs w:val="20"/>
                <w:color w:val="auto"/>
              </w:rPr>
            </w:pPr>
            <w:r>
              <w:rPr>
                <w:rFonts w:ascii="Arial" w:cs="Arial" w:eastAsia="Arial" w:hAnsi="Arial"/>
                <w:sz w:val="15"/>
                <w:szCs w:val="15"/>
                <w:color w:val="auto"/>
              </w:rPr>
              <w:t>381</w:t>
            </w:r>
          </w:p>
        </w:tc>
      </w:tr>
      <w:tr>
        <w:trPr>
          <w:trHeight w:val="174"/>
        </w:trPr>
        <w:tc>
          <w:tcPr>
            <w:tcW w:w="3900" w:type="dxa"/>
            <w:vAlign w:val="bottom"/>
          </w:tcPr>
          <w:p>
            <w:pPr>
              <w:jc w:val="right"/>
              <w:ind w:right="2809"/>
              <w:spacing w:after="0"/>
              <w:rPr>
                <w:sz w:val="20"/>
                <w:szCs w:val="20"/>
                <w:color w:val="auto"/>
              </w:rPr>
            </w:pPr>
            <w:r>
              <w:rPr>
                <w:rFonts w:ascii="Arial" w:cs="Arial" w:eastAsia="Arial" w:hAnsi="Arial"/>
                <w:sz w:val="15"/>
                <w:szCs w:val="15"/>
                <w:color w:val="auto"/>
              </w:rPr>
              <w:t>419–439</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21,694</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6.5</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422.67</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16,271</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6.5</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422</w:t>
            </w:r>
          </w:p>
        </w:tc>
      </w:tr>
      <w:tr>
        <w:trPr>
          <w:trHeight w:val="174"/>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503</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50,000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8.2</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502.58</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12,500</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8.2</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502</w:t>
            </w:r>
          </w:p>
        </w:tc>
      </w:tr>
      <w:tr>
        <w:trPr>
          <w:trHeight w:val="174"/>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652</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2,000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5.4</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651.91</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2,000</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5.4</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651</w:t>
            </w:r>
          </w:p>
        </w:tc>
      </w:tr>
      <w:tr>
        <w:trPr>
          <w:trHeight w:val="174"/>
        </w:trPr>
        <w:tc>
          <w:tcPr>
            <w:tcW w:w="3900" w:type="dxa"/>
            <w:vAlign w:val="bottom"/>
          </w:tcPr>
          <w:p>
            <w:pPr>
              <w:jc w:val="right"/>
              <w:ind w:right="2809"/>
              <w:spacing w:after="0"/>
              <w:rPr>
                <w:sz w:val="20"/>
                <w:szCs w:val="20"/>
                <w:color w:val="auto"/>
              </w:rPr>
            </w:pPr>
            <w:r>
              <w:rPr>
                <w:rFonts w:ascii="Arial" w:cs="Arial" w:eastAsia="Arial" w:hAnsi="Arial"/>
                <w:sz w:val="15"/>
                <w:szCs w:val="15"/>
                <w:color w:val="auto"/>
              </w:rPr>
              <w:t>729–763</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7,000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3.9</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729.67</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7,000</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3.9</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729</w:t>
            </w:r>
          </w:p>
        </w:tc>
      </w:tr>
      <w:tr>
        <w:trPr>
          <w:trHeight w:val="174"/>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816</w:t>
            </w:r>
          </w:p>
        </w:tc>
        <w:tc>
          <w:tcPr>
            <w:tcW w:w="1260" w:type="dxa"/>
            <w:vAlign w:val="bottom"/>
          </w:tcPr>
          <w:p>
            <w:pPr>
              <w:jc w:val="right"/>
              <w:ind w:right="70"/>
              <w:spacing w:after="0"/>
              <w:rPr>
                <w:sz w:val="20"/>
                <w:szCs w:val="20"/>
                <w:color w:val="auto"/>
              </w:rPr>
            </w:pPr>
            <w:r>
              <w:rPr>
                <w:rFonts w:ascii="Arial" w:cs="Arial" w:eastAsia="Arial" w:hAnsi="Arial"/>
                <w:sz w:val="15"/>
                <w:szCs w:val="15"/>
                <w:color w:val="auto"/>
              </w:rPr>
              <w:t>1,000</w:t>
            </w:r>
          </w:p>
        </w:tc>
        <w:tc>
          <w:tcPr>
            <w:tcW w:w="1460" w:type="dxa"/>
            <w:vAlign w:val="bottom"/>
          </w:tcPr>
          <w:p>
            <w:pPr>
              <w:jc w:val="right"/>
              <w:ind w:right="491"/>
              <w:spacing w:after="0"/>
              <w:rPr>
                <w:sz w:val="20"/>
                <w:szCs w:val="20"/>
                <w:color w:val="auto"/>
              </w:rPr>
            </w:pPr>
            <w:r>
              <w:rPr>
                <w:rFonts w:ascii="Arial" w:cs="Arial" w:eastAsia="Arial" w:hAnsi="Arial"/>
                <w:sz w:val="15"/>
                <w:szCs w:val="15"/>
                <w:color w:val="auto"/>
              </w:rPr>
              <w:t>0.9</w:t>
            </w:r>
          </w:p>
        </w:tc>
        <w:tc>
          <w:tcPr>
            <w:tcW w:w="20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5"/>
                <w:szCs w:val="15"/>
                <w:color w:val="auto"/>
              </w:rPr>
              <w:t>816.05</w:t>
            </w:r>
          </w:p>
        </w:tc>
        <w:tc>
          <w:tcPr>
            <w:tcW w:w="1140" w:type="dxa"/>
            <w:vAlign w:val="bottom"/>
          </w:tcPr>
          <w:p>
            <w:pPr>
              <w:jc w:val="right"/>
              <w:ind w:right="30"/>
              <w:spacing w:after="0"/>
              <w:rPr>
                <w:sz w:val="20"/>
                <w:szCs w:val="20"/>
                <w:color w:val="auto"/>
              </w:rPr>
            </w:pPr>
            <w:r>
              <w:rPr>
                <w:rFonts w:ascii="Arial" w:cs="Arial" w:eastAsia="Arial" w:hAnsi="Arial"/>
                <w:sz w:val="15"/>
                <w:szCs w:val="15"/>
                <w:color w:val="auto"/>
              </w:rPr>
              <w:t>1,000</w:t>
            </w:r>
          </w:p>
        </w:tc>
        <w:tc>
          <w:tcPr>
            <w:tcW w:w="1420" w:type="dxa"/>
            <w:vAlign w:val="bottom"/>
          </w:tcPr>
          <w:p>
            <w:pPr>
              <w:jc w:val="right"/>
              <w:ind w:right="431"/>
              <w:spacing w:after="0"/>
              <w:rPr>
                <w:sz w:val="20"/>
                <w:szCs w:val="20"/>
                <w:color w:val="auto"/>
              </w:rPr>
            </w:pPr>
            <w:r>
              <w:rPr>
                <w:rFonts w:ascii="Arial" w:cs="Arial" w:eastAsia="Arial" w:hAnsi="Arial"/>
                <w:sz w:val="15"/>
                <w:szCs w:val="15"/>
                <w:color w:val="auto"/>
              </w:rPr>
              <w:t>0.9</w:t>
            </w: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5"/>
                <w:szCs w:val="15"/>
                <w:color w:val="auto"/>
              </w:rPr>
              <w:t>816</w:t>
            </w:r>
          </w:p>
        </w:tc>
      </w:tr>
      <w:tr>
        <w:trPr>
          <w:trHeight w:val="172"/>
        </w:trPr>
        <w:tc>
          <w:tcPr>
            <w:tcW w:w="3900" w:type="dxa"/>
            <w:vAlign w:val="bottom"/>
          </w:tcPr>
          <w:p>
            <w:pPr>
              <w:jc w:val="right"/>
              <w:ind w:right="2849"/>
              <w:spacing w:after="0"/>
              <w:rPr>
                <w:sz w:val="20"/>
                <w:szCs w:val="20"/>
                <w:color w:val="auto"/>
              </w:rPr>
            </w:pPr>
            <w:r>
              <w:rPr>
                <w:rFonts w:ascii="Arial" w:cs="Arial" w:eastAsia="Arial" w:hAnsi="Arial"/>
                <w:sz w:val="15"/>
                <w:szCs w:val="15"/>
                <w:color w:val="auto"/>
              </w:rPr>
              <w:t>954</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color w:val="auto"/>
              </w:rPr>
              <w:t>3,000</w:t>
            </w:r>
          </w:p>
        </w:tc>
        <w:tc>
          <w:tcPr>
            <w:tcW w:w="1460" w:type="dxa"/>
            <w:vAlign w:val="bottom"/>
            <w:tcBorders>
              <w:bottom w:val="single" w:sz="8" w:color="auto"/>
            </w:tcBorders>
          </w:tcPr>
          <w:p>
            <w:pPr>
              <w:jc w:val="right"/>
              <w:ind w:right="491"/>
              <w:spacing w:after="0"/>
              <w:rPr>
                <w:sz w:val="20"/>
                <w:szCs w:val="20"/>
                <w:color w:val="auto"/>
              </w:rPr>
            </w:pPr>
            <w:r>
              <w:rPr>
                <w:rFonts w:ascii="Arial" w:cs="Arial" w:eastAsia="Arial" w:hAnsi="Arial"/>
                <w:sz w:val="15"/>
                <w:szCs w:val="15"/>
                <w:color w:val="auto"/>
              </w:rPr>
              <w:t>2.0</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953.50</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5"/>
                <w:szCs w:val="15"/>
                <w:color w:val="auto"/>
              </w:rPr>
              <w:t>3,000</w:t>
            </w:r>
          </w:p>
        </w:tc>
        <w:tc>
          <w:tcPr>
            <w:tcW w:w="1420" w:type="dxa"/>
            <w:vAlign w:val="bottom"/>
            <w:tcBorders>
              <w:bottom w:val="single" w:sz="8" w:color="auto"/>
            </w:tcBorders>
          </w:tcPr>
          <w:p>
            <w:pPr>
              <w:jc w:val="right"/>
              <w:ind w:right="431"/>
              <w:spacing w:after="0"/>
              <w:rPr>
                <w:sz w:val="20"/>
                <w:szCs w:val="20"/>
                <w:color w:val="auto"/>
              </w:rPr>
            </w:pPr>
            <w:r>
              <w:rPr>
                <w:rFonts w:ascii="Arial" w:cs="Arial" w:eastAsia="Arial" w:hAnsi="Arial"/>
                <w:sz w:val="15"/>
                <w:szCs w:val="15"/>
                <w:color w:val="auto"/>
              </w:rPr>
              <w:t>2.0</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953</w:t>
            </w:r>
          </w:p>
        </w:tc>
      </w:tr>
      <w:tr>
        <w:trPr>
          <w:trHeight w:val="166"/>
        </w:trPr>
        <w:tc>
          <w:tcPr>
            <w:tcW w:w="3900" w:type="dxa"/>
            <w:vAlign w:val="bottom"/>
          </w:tcPr>
          <w:p>
            <w:pPr>
              <w:spacing w:after="0"/>
              <w:rPr>
                <w:sz w:val="14"/>
                <w:szCs w:val="14"/>
                <w:color w:val="auto"/>
              </w:rPr>
            </w:pPr>
          </w:p>
        </w:tc>
        <w:tc>
          <w:tcPr>
            <w:tcW w:w="1260" w:type="dxa"/>
            <w:vAlign w:val="bottom"/>
            <w:tcBorders>
              <w:bottom w:val="single" w:sz="8" w:color="auto"/>
            </w:tcBorders>
          </w:tcPr>
          <w:p>
            <w:pPr>
              <w:jc w:val="right"/>
              <w:ind w:right="70"/>
              <w:spacing w:after="0" w:line="167" w:lineRule="exact"/>
              <w:rPr>
                <w:sz w:val="20"/>
                <w:szCs w:val="20"/>
                <w:color w:val="auto"/>
              </w:rPr>
            </w:pPr>
            <w:r>
              <w:rPr>
                <w:rFonts w:ascii="Arial" w:cs="Arial" w:eastAsia="Arial" w:hAnsi="Arial"/>
                <w:sz w:val="15"/>
                <w:szCs w:val="15"/>
                <w:color w:val="auto"/>
              </w:rPr>
              <w:t>125,694</w:t>
            </w:r>
          </w:p>
        </w:tc>
        <w:tc>
          <w:tcPr>
            <w:tcW w:w="1460" w:type="dxa"/>
            <w:vAlign w:val="bottom"/>
            <w:tcBorders>
              <w:bottom w:val="single" w:sz="8" w:color="auto"/>
            </w:tcBorders>
          </w:tcPr>
          <w:p>
            <w:pPr>
              <w:jc w:val="right"/>
              <w:ind w:right="491"/>
              <w:spacing w:after="0" w:line="167" w:lineRule="exact"/>
              <w:rPr>
                <w:sz w:val="20"/>
                <w:szCs w:val="20"/>
                <w:color w:val="auto"/>
              </w:rPr>
            </w:pPr>
            <w:r>
              <w:rPr>
                <w:rFonts w:ascii="Arial" w:cs="Arial" w:eastAsia="Arial" w:hAnsi="Arial"/>
                <w:sz w:val="15"/>
                <w:szCs w:val="15"/>
                <w:color w:val="auto"/>
              </w:rPr>
              <w:t>7.2</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ind w:left="160"/>
              <w:spacing w:after="0" w:line="167" w:lineRule="exact"/>
              <w:rPr>
                <w:sz w:val="20"/>
                <w:szCs w:val="20"/>
                <w:color w:val="auto"/>
              </w:rPr>
            </w:pPr>
            <w:r>
              <w:rPr>
                <w:rFonts w:ascii="Arial" w:cs="Arial" w:eastAsia="Arial" w:hAnsi="Arial"/>
                <w:sz w:val="15"/>
                <w:szCs w:val="15"/>
                <w:color w:val="auto"/>
              </w:rPr>
              <w:t>478.32</w:t>
            </w:r>
          </w:p>
        </w:tc>
        <w:tc>
          <w:tcPr>
            <w:tcW w:w="1140" w:type="dxa"/>
            <w:vAlign w:val="bottom"/>
            <w:tcBorders>
              <w:bottom w:val="single" w:sz="8" w:color="auto"/>
            </w:tcBorders>
          </w:tcPr>
          <w:p>
            <w:pPr>
              <w:jc w:val="right"/>
              <w:ind w:right="30"/>
              <w:spacing w:after="0" w:line="167" w:lineRule="exact"/>
              <w:rPr>
                <w:sz w:val="20"/>
                <w:szCs w:val="20"/>
                <w:color w:val="auto"/>
              </w:rPr>
            </w:pPr>
            <w:r>
              <w:rPr>
                <w:rFonts w:ascii="Arial" w:cs="Arial" w:eastAsia="Arial" w:hAnsi="Arial"/>
                <w:sz w:val="15"/>
                <w:szCs w:val="15"/>
                <w:color w:val="auto"/>
              </w:rPr>
              <w:t>64,021</w:t>
            </w:r>
          </w:p>
        </w:tc>
        <w:tc>
          <w:tcPr>
            <w:tcW w:w="1420" w:type="dxa"/>
            <w:vAlign w:val="bottom"/>
            <w:tcBorders>
              <w:bottom w:val="single" w:sz="8" w:color="auto"/>
            </w:tcBorders>
          </w:tcPr>
          <w:p>
            <w:pPr>
              <w:jc w:val="right"/>
              <w:ind w:right="431"/>
              <w:spacing w:after="0" w:line="167" w:lineRule="exact"/>
              <w:rPr>
                <w:sz w:val="20"/>
                <w:szCs w:val="20"/>
                <w:color w:val="auto"/>
              </w:rPr>
            </w:pPr>
            <w:r>
              <w:rPr>
                <w:rFonts w:ascii="Arial" w:cs="Arial" w:eastAsia="Arial" w:hAnsi="Arial"/>
                <w:sz w:val="15"/>
                <w:szCs w:val="15"/>
                <w:color w:val="auto"/>
              </w:rPr>
              <w:t>6.3</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495</w:t>
            </w:r>
          </w:p>
        </w:tc>
      </w:tr>
      <w:tr>
        <w:trPr>
          <w:trHeight w:val="20"/>
        </w:trPr>
        <w:tc>
          <w:tcPr>
            <w:tcW w:w="3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At December 31, 2012, the intrinsic value for all options outstanding, exercisable and unvested was $0.1 million, $0.1 million and $0.1 million, respecti The intrinsic value of a stock option is the amount by which the market value of the underlying stock exceeds the exercise price of the option. The mar value of the Company’s stock was $365.21 at December 31, 2012. At December 31, 2012, there were 61,673 unvested options related to this plan wit average exercise price of $460.24 and a weighted average remaining contractual term of 8.2 years. At December 31, 2011, there were 83,459 unvest options with an average exercise price of $463.53.</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December 31, 2012, total unrecognized stock-based compensation expense related to this plan was $5.1 million, which is expected to be recogn on a straight-line basis over a weighted average period of approximately 2.3 years. There were no options exercised during 2012, 2011 and 2010.</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All options granted during 2012 and 2010 were at an exercise price equal to the fair market value of the Company’s common stock at the date of grant During 2011, the Company granted 50,000 options at an exercise price above the fair market value of its common stock at the date of grant. All other options granted during 2011 were at an exercise price equal to the fair market value of the Company’s common stock at the date of grant. The weighte average grant-date fair</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06" w:name="page107"/>
    <w:bookmarkEnd w:id="106"/>
    <w:p>
      <w:pPr>
        <w:spacing w:after="0" w:line="235" w:lineRule="auto"/>
        <w:rPr>
          <w:sz w:val="20"/>
          <w:szCs w:val="20"/>
          <w:color w:val="auto"/>
        </w:rPr>
      </w:pPr>
      <w:r>
        <w:rPr>
          <w:rFonts w:ascii="Arial" w:cs="Arial" w:eastAsia="Arial" w:hAnsi="Arial"/>
          <w:sz w:val="17"/>
          <w:szCs w:val="17"/>
          <w:color w:val="auto"/>
        </w:rPr>
        <w:t>value of options granted during 2012, 2011 and 2010 was $91.71, $110.67 and $106.70, respectively. Also, in early 2013, an additional 15,000 stock o were granted.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options at date of grant was estimated using the Black-Scholes method utilizing the following assumptions: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600" w:type="dxa"/>
            <w:vAlign w:val="bottom"/>
            <w:tcBorders>
              <w:bottom w:val="single" w:sz="8" w:color="auto"/>
            </w:tcBorders>
          </w:tcPr>
          <w:p>
            <w:pPr>
              <w:spacing w:after="0"/>
              <w:rPr>
                <w:sz w:val="13"/>
                <w:szCs w:val="13"/>
                <w:color w:val="auto"/>
              </w:rPr>
            </w:pPr>
          </w:p>
        </w:tc>
        <w:tc>
          <w:tcPr>
            <w:tcW w:w="4860" w:type="dxa"/>
            <w:vAlign w:val="bottom"/>
            <w:tcBorders>
              <w:bottom w:val="single" w:sz="8" w:color="auto"/>
            </w:tcBorders>
          </w:tcPr>
          <w:p>
            <w:pPr>
              <w:jc w:val="right"/>
              <w:ind w:right="868"/>
              <w:spacing w:after="0"/>
              <w:rPr>
                <w:sz w:val="20"/>
                <w:szCs w:val="20"/>
                <w:color w:val="auto"/>
              </w:rPr>
            </w:pPr>
            <w:r>
              <w:rPr>
                <w:rFonts w:ascii="Arial" w:cs="Arial" w:eastAsia="Arial" w:hAnsi="Arial"/>
                <w:sz w:val="12"/>
                <w:szCs w:val="12"/>
                <w:b w:val="1"/>
                <w:bCs w:val="1"/>
                <w:color w:val="auto"/>
              </w:rPr>
              <w:t>2012</w:t>
            </w:r>
          </w:p>
        </w:tc>
        <w:tc>
          <w:tcPr>
            <w:tcW w:w="1480" w:type="dxa"/>
            <w:vAlign w:val="bottom"/>
            <w:tcBorders>
              <w:bottom w:val="single" w:sz="8" w:color="auto"/>
            </w:tcBorders>
          </w:tcPr>
          <w:p>
            <w:pPr>
              <w:jc w:val="center"/>
              <w:ind w:left="508"/>
              <w:spacing w:after="0"/>
              <w:rPr>
                <w:sz w:val="20"/>
                <w:szCs w:val="20"/>
                <w:color w:val="auto"/>
              </w:rPr>
            </w:pPr>
            <w:r>
              <w:rPr>
                <w:rFonts w:ascii="Arial" w:cs="Arial" w:eastAsia="Arial" w:hAnsi="Arial"/>
                <w:sz w:val="12"/>
                <w:szCs w:val="12"/>
                <w:color w:val="auto"/>
                <w:w w:val="97"/>
              </w:rPr>
              <w:t>2011</w:t>
            </w:r>
          </w:p>
        </w:tc>
      </w:tr>
      <w:tr>
        <w:trPr>
          <w:trHeight w:val="150"/>
        </w:trPr>
        <w:tc>
          <w:tcPr>
            <w:tcW w:w="4600" w:type="dxa"/>
            <w:vAlign w:val="bottom"/>
          </w:tcPr>
          <w:p>
            <w:pPr>
              <w:spacing w:after="0" w:line="150" w:lineRule="exact"/>
              <w:rPr>
                <w:sz w:val="20"/>
                <w:szCs w:val="20"/>
                <w:color w:val="auto"/>
              </w:rPr>
            </w:pPr>
            <w:r>
              <w:rPr>
                <w:rFonts w:ascii="Arial" w:cs="Arial" w:eastAsia="Arial" w:hAnsi="Arial"/>
                <w:sz w:val="15"/>
                <w:szCs w:val="15"/>
                <w:color w:val="auto"/>
              </w:rPr>
              <w:t>Expected life (years)</w:t>
            </w:r>
          </w:p>
        </w:tc>
        <w:tc>
          <w:tcPr>
            <w:tcW w:w="4860" w:type="dxa"/>
            <w:vAlign w:val="bottom"/>
          </w:tcPr>
          <w:p>
            <w:pPr>
              <w:jc w:val="right"/>
              <w:ind w:right="968"/>
              <w:spacing w:after="0" w:line="150" w:lineRule="exact"/>
              <w:rPr>
                <w:sz w:val="20"/>
                <w:szCs w:val="20"/>
                <w:color w:val="auto"/>
              </w:rPr>
            </w:pPr>
            <w:r>
              <w:rPr>
                <w:rFonts w:ascii="Arial" w:cs="Arial" w:eastAsia="Arial" w:hAnsi="Arial"/>
                <w:sz w:val="15"/>
                <w:szCs w:val="15"/>
                <w:b w:val="1"/>
                <w:bCs w:val="1"/>
                <w:color w:val="auto"/>
              </w:rPr>
              <w:t>7</w:t>
            </w:r>
          </w:p>
        </w:tc>
        <w:tc>
          <w:tcPr>
            <w:tcW w:w="1480" w:type="dxa"/>
            <w:vAlign w:val="bottom"/>
          </w:tcPr>
          <w:p>
            <w:pPr>
              <w:jc w:val="center"/>
              <w:ind w:left="488"/>
              <w:spacing w:after="0" w:line="150" w:lineRule="exact"/>
              <w:rPr>
                <w:sz w:val="20"/>
                <w:szCs w:val="20"/>
                <w:color w:val="auto"/>
              </w:rPr>
            </w:pPr>
            <w:r>
              <w:rPr>
                <w:rFonts w:ascii="Arial" w:cs="Arial" w:eastAsia="Arial" w:hAnsi="Arial"/>
                <w:sz w:val="15"/>
                <w:szCs w:val="15"/>
                <w:color w:val="auto"/>
                <w:w w:val="95"/>
              </w:rPr>
              <w:t>7</w:t>
            </w:r>
          </w:p>
        </w:tc>
      </w:tr>
      <w:tr>
        <w:trPr>
          <w:trHeight w:val="174"/>
        </w:trPr>
        <w:tc>
          <w:tcPr>
            <w:tcW w:w="4600" w:type="dxa"/>
            <w:vAlign w:val="bottom"/>
          </w:tcPr>
          <w:p>
            <w:pPr>
              <w:spacing w:after="0"/>
              <w:rPr>
                <w:sz w:val="20"/>
                <w:szCs w:val="20"/>
                <w:color w:val="auto"/>
              </w:rPr>
            </w:pPr>
            <w:r>
              <w:rPr>
                <w:rFonts w:ascii="Arial" w:cs="Arial" w:eastAsia="Arial" w:hAnsi="Arial"/>
                <w:sz w:val="15"/>
                <w:szCs w:val="15"/>
                <w:color w:val="auto"/>
              </w:rPr>
              <w:t>Interest rate</w:t>
            </w:r>
          </w:p>
        </w:tc>
        <w:tc>
          <w:tcPr>
            <w:tcW w:w="4860" w:type="dxa"/>
            <w:vAlign w:val="bottom"/>
          </w:tcPr>
          <w:p>
            <w:pPr>
              <w:jc w:val="center"/>
              <w:ind w:left="2668"/>
              <w:spacing w:after="0"/>
              <w:rPr>
                <w:sz w:val="20"/>
                <w:szCs w:val="20"/>
                <w:color w:val="auto"/>
              </w:rPr>
            </w:pPr>
            <w:r>
              <w:rPr>
                <w:rFonts w:ascii="Arial" w:cs="Arial" w:eastAsia="Arial" w:hAnsi="Arial"/>
                <w:sz w:val="15"/>
                <w:szCs w:val="15"/>
                <w:b w:val="1"/>
                <w:bCs w:val="1"/>
                <w:color w:val="auto"/>
                <w:w w:val="98"/>
              </w:rPr>
              <w:t>1.04%–1.27%</w:t>
            </w:r>
          </w:p>
        </w:tc>
        <w:tc>
          <w:tcPr>
            <w:tcW w:w="1480" w:type="dxa"/>
            <w:vAlign w:val="bottom"/>
          </w:tcPr>
          <w:p>
            <w:pPr>
              <w:jc w:val="center"/>
              <w:ind w:left="508"/>
              <w:spacing w:after="0"/>
              <w:rPr>
                <w:sz w:val="20"/>
                <w:szCs w:val="20"/>
                <w:color w:val="auto"/>
              </w:rPr>
            </w:pPr>
            <w:r>
              <w:rPr>
                <w:rFonts w:ascii="Arial" w:cs="Arial" w:eastAsia="Arial" w:hAnsi="Arial"/>
                <w:sz w:val="15"/>
                <w:szCs w:val="15"/>
                <w:color w:val="auto"/>
                <w:w w:val="96"/>
              </w:rPr>
              <w:t>1.49%–2.85%</w:t>
            </w:r>
          </w:p>
        </w:tc>
      </w:tr>
      <w:tr>
        <w:trPr>
          <w:trHeight w:val="174"/>
        </w:trPr>
        <w:tc>
          <w:tcPr>
            <w:tcW w:w="4600" w:type="dxa"/>
            <w:vAlign w:val="bottom"/>
          </w:tcPr>
          <w:p>
            <w:pPr>
              <w:spacing w:after="0"/>
              <w:rPr>
                <w:sz w:val="20"/>
                <w:szCs w:val="20"/>
                <w:color w:val="auto"/>
              </w:rPr>
            </w:pPr>
            <w:r>
              <w:rPr>
                <w:rFonts w:ascii="Arial" w:cs="Arial" w:eastAsia="Arial" w:hAnsi="Arial"/>
                <w:sz w:val="15"/>
                <w:szCs w:val="15"/>
                <w:color w:val="auto"/>
              </w:rPr>
              <w:t>Volatility</w:t>
            </w:r>
          </w:p>
        </w:tc>
        <w:tc>
          <w:tcPr>
            <w:tcW w:w="4860" w:type="dxa"/>
            <w:vAlign w:val="bottom"/>
          </w:tcPr>
          <w:p>
            <w:pPr>
              <w:jc w:val="center"/>
              <w:ind w:left="2688"/>
              <w:spacing w:after="0"/>
              <w:rPr>
                <w:sz w:val="20"/>
                <w:szCs w:val="20"/>
                <w:color w:val="auto"/>
              </w:rPr>
            </w:pPr>
            <w:r>
              <w:rPr>
                <w:rFonts w:ascii="Arial" w:cs="Arial" w:eastAsia="Arial" w:hAnsi="Arial"/>
                <w:sz w:val="15"/>
                <w:szCs w:val="15"/>
                <w:b w:val="1"/>
                <w:bCs w:val="1"/>
                <w:color w:val="auto"/>
                <w:w w:val="99"/>
              </w:rPr>
              <w:t>31.71%–31.80%</w:t>
            </w:r>
          </w:p>
        </w:tc>
        <w:tc>
          <w:tcPr>
            <w:tcW w:w="1480" w:type="dxa"/>
            <w:vAlign w:val="bottom"/>
          </w:tcPr>
          <w:p>
            <w:pPr>
              <w:ind w:left="500"/>
              <w:spacing w:after="0"/>
              <w:rPr>
                <w:sz w:val="20"/>
                <w:szCs w:val="20"/>
                <w:color w:val="auto"/>
              </w:rPr>
            </w:pPr>
            <w:r>
              <w:rPr>
                <w:rFonts w:ascii="Arial" w:cs="Arial" w:eastAsia="Arial" w:hAnsi="Arial"/>
                <w:sz w:val="15"/>
                <w:szCs w:val="15"/>
                <w:color w:val="auto"/>
                <w:w w:val="99"/>
              </w:rPr>
              <w:t>30.35%–31.24</w:t>
            </w:r>
          </w:p>
        </w:tc>
      </w:tr>
      <w:tr>
        <w:trPr>
          <w:trHeight w:val="197"/>
        </w:trPr>
        <w:tc>
          <w:tcPr>
            <w:tcW w:w="4600" w:type="dxa"/>
            <w:vAlign w:val="bottom"/>
          </w:tcPr>
          <w:p>
            <w:pPr>
              <w:spacing w:after="0"/>
              <w:rPr>
                <w:sz w:val="20"/>
                <w:szCs w:val="20"/>
                <w:color w:val="auto"/>
              </w:rPr>
            </w:pPr>
            <w:r>
              <w:rPr>
                <w:rFonts w:ascii="Arial" w:cs="Arial" w:eastAsia="Arial" w:hAnsi="Arial"/>
                <w:sz w:val="15"/>
                <w:szCs w:val="15"/>
                <w:color w:val="auto"/>
              </w:rPr>
              <w:t>Dividend yield</w:t>
            </w:r>
          </w:p>
        </w:tc>
        <w:tc>
          <w:tcPr>
            <w:tcW w:w="4860" w:type="dxa"/>
            <w:vAlign w:val="bottom"/>
          </w:tcPr>
          <w:p>
            <w:pPr>
              <w:jc w:val="center"/>
              <w:ind w:left="2668"/>
              <w:spacing w:after="0"/>
              <w:rPr>
                <w:sz w:val="20"/>
                <w:szCs w:val="20"/>
                <w:color w:val="auto"/>
              </w:rPr>
            </w:pPr>
            <w:r>
              <w:rPr>
                <w:rFonts w:ascii="Arial" w:cs="Arial" w:eastAsia="Arial" w:hAnsi="Arial"/>
                <w:sz w:val="15"/>
                <w:szCs w:val="15"/>
                <w:b w:val="1"/>
                <w:bCs w:val="1"/>
                <w:color w:val="auto"/>
                <w:w w:val="98"/>
              </w:rPr>
              <w:t>2.54%–2.60%</w:t>
            </w:r>
          </w:p>
        </w:tc>
        <w:tc>
          <w:tcPr>
            <w:tcW w:w="1480" w:type="dxa"/>
            <w:vAlign w:val="bottom"/>
          </w:tcPr>
          <w:p>
            <w:pPr>
              <w:jc w:val="center"/>
              <w:ind w:left="508"/>
              <w:spacing w:after="0"/>
              <w:rPr>
                <w:sz w:val="20"/>
                <w:szCs w:val="20"/>
                <w:color w:val="auto"/>
              </w:rPr>
            </w:pPr>
            <w:r>
              <w:rPr>
                <w:rFonts w:ascii="Arial" w:cs="Arial" w:eastAsia="Arial" w:hAnsi="Arial"/>
                <w:sz w:val="15"/>
                <w:szCs w:val="15"/>
                <w:color w:val="auto"/>
                <w:w w:val="96"/>
              </w:rPr>
              <w:t>2.11%–2.74%</w:t>
            </w:r>
          </w:p>
        </w:tc>
      </w:tr>
    </w:tbl>
    <w:p>
      <w:pPr>
        <w:spacing w:after="0" w:line="179"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Company also maintains a stock option plan at Kaplan. Under the provisions of this plan, options were issued with an exercise price equal to the estimated fair value of Kaplan’s common stock, and options vested ratably over the number of years specified (generally four to five years) at the time grant. Upon exercise, an option holder may receive Kaplan shares or cash equal to the difference between the exercise price and the then fair value.</w:t>
      </w:r>
    </w:p>
    <w:p>
      <w:pPr>
        <w:spacing w:after="0" w:line="16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At December 31, 2012, a Kaplan senior manager holds 6,447 Kaplan restricted shares, as well as 759 Kaplan restricted shares issued in 2010 that ve over a three-year period. The fair value of Kaplan’s common stock is determined by the Company's compensation committee of the Board of Directors in January 2013, the committee set the fair value price at $973 per share. No options were awarded during 2012, 2011 or 2010; no options were exerc during 2012 or 2010 and there are no options outstanding at December 31, 2012. In December 2011, a Kaplan senior manager exercised 2,000 Kapla stock options at an option price of $652 per option.</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Kaplan recorded a stock compensation credit of $1.1 million, $1.3 million and $1.2 million in 2012, 2011 and 2010, respectively. At December 31, 2012 Company’s accrual balance related to Kaplan stock-based compensation totaled $7.0 million. There were no payouts in 2012, 2011 or 2010. The total intrinsic value of options exercised during 2011 was $1.0 million.</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The Company’s earnings per share from continuing operations (basic and diluted) for the years ended December 31, 2012 and</w:t>
      </w:r>
      <w:r>
        <w:rPr>
          <w:rFonts w:ascii="Arial" w:cs="Arial" w:eastAsia="Arial" w:hAnsi="Arial"/>
          <w:sz w:val="17"/>
          <w:szCs w:val="17"/>
          <w:b w:val="1"/>
          <w:bCs w:val="1"/>
          <w:color w:val="auto"/>
        </w:rPr>
        <w:t xml:space="preserve"> </w:t>
      </w:r>
      <w:r>
        <w:rPr>
          <w:rFonts w:ascii="Arial" w:cs="Arial" w:eastAsia="Arial" w:hAnsi="Arial"/>
          <w:sz w:val="17"/>
          <w:szCs w:val="17"/>
          <w:color w:val="auto"/>
        </w:rPr>
        <w:t>and January 2, 2011 are presented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47"/>
              <w:spacing w:after="0"/>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color w:val="auto"/>
              </w:rPr>
              <w:t>2011</w:t>
            </w:r>
          </w:p>
        </w:tc>
        <w:tc>
          <w:tcPr>
            <w:tcW w:w="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7440" w:type="dxa"/>
            <w:vAlign w:val="bottom"/>
          </w:tcPr>
          <w:p>
            <w:pPr>
              <w:spacing w:after="0" w:line="168" w:lineRule="exact"/>
              <w:rPr>
                <w:sz w:val="20"/>
                <w:szCs w:val="20"/>
                <w:color w:val="auto"/>
              </w:rPr>
            </w:pPr>
            <w:r>
              <w:rPr>
                <w:rFonts w:ascii="Arial" w:cs="Arial" w:eastAsia="Arial" w:hAnsi="Arial"/>
                <w:sz w:val="15"/>
                <w:szCs w:val="15"/>
                <w:color w:val="auto"/>
              </w:rPr>
              <w:t>Income from continuing operations attributable to</w:t>
            </w:r>
          </w:p>
        </w:tc>
        <w:tc>
          <w:tcPr>
            <w:tcW w:w="260" w:type="dxa"/>
            <w:vAlign w:val="bottom"/>
          </w:tcPr>
          <w:p>
            <w:pPr>
              <w:spacing w:after="0"/>
              <w:rPr>
                <w:sz w:val="14"/>
                <w:szCs w:val="14"/>
                <w:color w:val="auto"/>
              </w:rPr>
            </w:pP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48,041</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40" w:type="dxa"/>
            <w:vAlign w:val="bottom"/>
          </w:tcPr>
          <w:p>
            <w:pPr>
              <w:ind w:left="220"/>
              <w:spacing w:after="0" w:line="156" w:lineRule="exact"/>
              <w:rPr>
                <w:sz w:val="20"/>
                <w:szCs w:val="20"/>
                <w:color w:val="auto"/>
              </w:rPr>
            </w:pPr>
            <w:r>
              <w:rPr>
                <w:rFonts w:ascii="Arial" w:cs="Arial" w:eastAsia="Arial" w:hAnsi="Arial"/>
                <w:sz w:val="15"/>
                <w:szCs w:val="15"/>
                <w:color w:val="auto"/>
              </w:rPr>
              <w:t>The Washington Post Company common stockholders</w:t>
            </w:r>
          </w:p>
        </w:tc>
        <w:tc>
          <w:tcPr>
            <w:tcW w:w="260" w:type="dxa"/>
            <w:vAlign w:val="bottom"/>
          </w:tcPr>
          <w:p>
            <w:pPr>
              <w:jc w:val="right"/>
              <w:ind w:right="86"/>
              <w:spacing w:after="0" w:line="156" w:lineRule="exact"/>
              <w:rPr>
                <w:sz w:val="20"/>
                <w:szCs w:val="20"/>
                <w:color w:val="auto"/>
              </w:rPr>
            </w:pPr>
            <w:r>
              <w:rPr>
                <w:rFonts w:ascii="Arial" w:cs="Arial" w:eastAsia="Arial" w:hAnsi="Arial"/>
                <w:sz w:val="15"/>
                <w:szCs w:val="15"/>
                <w:color w:val="auto"/>
                <w:w w:val="95"/>
              </w:rPr>
              <w:t>$</w:t>
            </w:r>
          </w:p>
        </w:tc>
        <w:tc>
          <w:tcPr>
            <w:tcW w:w="1060" w:type="dxa"/>
            <w:vAlign w:val="bottom"/>
            <w:vMerge w:val="continue"/>
          </w:tcPr>
          <w:p>
            <w:pPr>
              <w:spacing w:after="0"/>
              <w:rPr>
                <w:sz w:val="13"/>
                <w:szCs w:val="13"/>
                <w:color w:val="auto"/>
              </w:rPr>
            </w:pPr>
          </w:p>
        </w:tc>
        <w:tc>
          <w:tcPr>
            <w:tcW w:w="42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67"/>
              <w:spacing w:after="0" w:line="156" w:lineRule="exact"/>
              <w:rPr>
                <w:sz w:val="20"/>
                <w:szCs w:val="20"/>
                <w:color w:val="auto"/>
              </w:rPr>
            </w:pPr>
            <w:r>
              <w:rPr>
                <w:rFonts w:ascii="Arial" w:cs="Arial" w:eastAsia="Arial" w:hAnsi="Arial"/>
                <w:sz w:val="15"/>
                <w:szCs w:val="15"/>
                <w:color w:val="auto"/>
              </w:rPr>
              <w:t>144,704</w:t>
            </w:r>
          </w:p>
        </w:tc>
        <w:tc>
          <w:tcPr>
            <w:tcW w:w="38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400" w:type="dxa"/>
            <w:vAlign w:val="bottom"/>
          </w:tcPr>
          <w:p>
            <w:pPr>
              <w:jc w:val="right"/>
              <w:spacing w:after="0" w:line="156"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Arial" w:cs="Arial" w:eastAsia="Arial" w:hAnsi="Arial"/>
                <w:sz w:val="15"/>
                <w:szCs w:val="15"/>
                <w:color w:val="auto"/>
              </w:rPr>
              <w:t>Less: Amount attributable to participating securities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(3,257)</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(1,459)</w:t>
            </w: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440" w:type="dxa"/>
            <w:vAlign w:val="bottom"/>
          </w:tcPr>
          <w:p>
            <w:pPr>
              <w:spacing w:after="0" w:line="162" w:lineRule="exact"/>
              <w:rPr>
                <w:sz w:val="20"/>
                <w:szCs w:val="20"/>
                <w:color w:val="auto"/>
              </w:rPr>
            </w:pPr>
            <w:r>
              <w:rPr>
                <w:rFonts w:ascii="Arial" w:cs="Arial" w:eastAsia="Arial" w:hAnsi="Arial"/>
                <w:sz w:val="15"/>
                <w:szCs w:val="15"/>
                <w:b w:val="1"/>
                <w:bCs w:val="1"/>
                <w:color w:val="auto"/>
              </w:rPr>
              <w:t>Basic Income from Continuing Operations Attributable to</w:t>
            </w:r>
          </w:p>
        </w:tc>
        <w:tc>
          <w:tcPr>
            <w:tcW w:w="260" w:type="dxa"/>
            <w:vAlign w:val="bottom"/>
          </w:tcPr>
          <w:p>
            <w:pPr>
              <w:spacing w:after="0"/>
              <w:rPr>
                <w:sz w:val="14"/>
                <w:szCs w:val="14"/>
                <w:color w:val="auto"/>
              </w:rPr>
            </w:pP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44,784</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440" w:type="dxa"/>
            <w:vAlign w:val="bottom"/>
          </w:tcPr>
          <w:p>
            <w:pPr>
              <w:ind w:left="220"/>
              <w:spacing w:after="0"/>
              <w:rPr>
                <w:sz w:val="20"/>
                <w:szCs w:val="20"/>
                <w:color w:val="auto"/>
              </w:rPr>
            </w:pPr>
            <w:r>
              <w:rPr>
                <w:rFonts w:ascii="Arial" w:cs="Arial" w:eastAsia="Arial" w:hAnsi="Arial"/>
                <w:sz w:val="15"/>
                <w:szCs w:val="15"/>
                <w:b w:val="1"/>
                <w:bCs w:val="1"/>
                <w:color w:val="auto"/>
              </w:rPr>
              <w:t>The Washington Post Company Common Stockholders</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143,245</w:t>
            </w:r>
          </w:p>
        </w:tc>
        <w:tc>
          <w:tcPr>
            <w:tcW w:w="3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color w:val="auto"/>
              </w:rPr>
              <w:t>Plus: Amount attributable to participating securities</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44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5"/>
                <w:szCs w:val="15"/>
                <w:b w:val="1"/>
                <w:bCs w:val="1"/>
                <w:color w:val="auto"/>
              </w:rPr>
              <w:t>3,257</w:t>
            </w: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67"/>
              <w:spacing w:after="0" w:line="151" w:lineRule="exact"/>
              <w:rPr>
                <w:sz w:val="20"/>
                <w:szCs w:val="20"/>
                <w:color w:val="auto"/>
              </w:rPr>
            </w:pPr>
            <w:r>
              <w:rPr>
                <w:rFonts w:ascii="Arial" w:cs="Arial" w:eastAsia="Arial" w:hAnsi="Arial"/>
                <w:sz w:val="15"/>
                <w:szCs w:val="15"/>
                <w:color w:val="auto"/>
              </w:rPr>
              <w:t>1,459</w:t>
            </w:r>
          </w:p>
        </w:tc>
        <w:tc>
          <w:tcPr>
            <w:tcW w:w="3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40" w:type="dxa"/>
            <w:vAlign w:val="bottom"/>
          </w:tcPr>
          <w:p>
            <w:pPr>
              <w:spacing w:after="0" w:line="162" w:lineRule="exact"/>
              <w:rPr>
                <w:sz w:val="20"/>
                <w:szCs w:val="20"/>
                <w:color w:val="auto"/>
              </w:rPr>
            </w:pPr>
            <w:r>
              <w:rPr>
                <w:rFonts w:ascii="Arial" w:cs="Arial" w:eastAsia="Arial" w:hAnsi="Arial"/>
                <w:sz w:val="15"/>
                <w:szCs w:val="15"/>
                <w:b w:val="1"/>
                <w:bCs w:val="1"/>
                <w:color w:val="auto"/>
              </w:rPr>
              <w:t>Diluted Income from Continuing Operations Attributable to</w:t>
            </w:r>
          </w:p>
        </w:tc>
        <w:tc>
          <w:tcPr>
            <w:tcW w:w="260" w:type="dxa"/>
            <w:vAlign w:val="bottom"/>
          </w:tcPr>
          <w:p>
            <w:pPr>
              <w:spacing w:after="0"/>
              <w:rPr>
                <w:sz w:val="14"/>
                <w:szCs w:val="14"/>
                <w:color w:val="auto"/>
              </w:rPr>
            </w:pP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48,041</w:t>
            </w: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440" w:type="dxa"/>
            <w:vAlign w:val="bottom"/>
          </w:tcPr>
          <w:p>
            <w:pPr>
              <w:ind w:left="220"/>
              <w:spacing w:after="0"/>
              <w:rPr>
                <w:sz w:val="20"/>
                <w:szCs w:val="20"/>
                <w:color w:val="auto"/>
              </w:rPr>
            </w:pPr>
            <w:r>
              <w:rPr>
                <w:rFonts w:ascii="Arial" w:cs="Arial" w:eastAsia="Arial" w:hAnsi="Arial"/>
                <w:sz w:val="15"/>
                <w:szCs w:val="15"/>
                <w:b w:val="1"/>
                <w:bCs w:val="1"/>
                <w:color w:val="auto"/>
              </w:rPr>
              <w:t>The Washington Post Company Common Stockholders</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144,704</w:t>
            </w:r>
          </w:p>
        </w:tc>
        <w:tc>
          <w:tcPr>
            <w:tcW w:w="3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color w:val="auto"/>
              </w:rPr>
              <w:t>Basic 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127"/>
              <w:spacing w:after="0" w:line="135" w:lineRule="exact"/>
              <w:rPr>
                <w:sz w:val="20"/>
                <w:szCs w:val="20"/>
                <w:color w:val="auto"/>
              </w:rPr>
            </w:pPr>
            <w:r>
              <w:rPr>
                <w:rFonts w:ascii="Arial" w:cs="Arial" w:eastAsia="Arial" w:hAnsi="Arial"/>
                <w:sz w:val="15"/>
                <w:szCs w:val="15"/>
                <w:b w:val="1"/>
                <w:bCs w:val="1"/>
                <w:color w:val="auto"/>
              </w:rPr>
              <w:t>7,360</w:t>
            </w:r>
          </w:p>
        </w:tc>
        <w:tc>
          <w:tcPr>
            <w:tcW w:w="420" w:type="dxa"/>
            <w:vAlign w:val="bottom"/>
          </w:tcPr>
          <w:p>
            <w:pPr>
              <w:spacing w:after="0"/>
              <w:rPr>
                <w:sz w:val="11"/>
                <w:szCs w:val="11"/>
                <w:color w:val="auto"/>
              </w:rPr>
            </w:pPr>
          </w:p>
        </w:tc>
        <w:tc>
          <w:tcPr>
            <w:tcW w:w="980" w:type="dxa"/>
            <w:vAlign w:val="bottom"/>
          </w:tcPr>
          <w:p>
            <w:pPr>
              <w:jc w:val="right"/>
              <w:ind w:right="67"/>
              <w:spacing w:after="0" w:line="135" w:lineRule="exact"/>
              <w:rPr>
                <w:sz w:val="20"/>
                <w:szCs w:val="20"/>
                <w:color w:val="auto"/>
              </w:rPr>
            </w:pPr>
            <w:r>
              <w:rPr>
                <w:rFonts w:ascii="Arial" w:cs="Arial" w:eastAsia="Arial" w:hAnsi="Arial"/>
                <w:sz w:val="15"/>
                <w:szCs w:val="15"/>
                <w:color w:val="auto"/>
              </w:rPr>
              <w:t>7,826</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20"/>
                <w:szCs w:val="20"/>
                <w:color w:val="auto"/>
              </w:rPr>
            </w:pPr>
            <w:r>
              <w:rPr>
                <w:rFonts w:ascii="Arial" w:cs="Arial" w:eastAsia="Arial" w:hAnsi="Arial"/>
                <w:sz w:val="15"/>
                <w:szCs w:val="15"/>
                <w:color w:val="auto"/>
              </w:rPr>
              <w:t>Plus: Effect of dilutive shares related to stock options and restricted stock</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44</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79</w:t>
            </w: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440" w:type="dxa"/>
            <w:vAlign w:val="bottom"/>
          </w:tcPr>
          <w:p>
            <w:pPr>
              <w:spacing w:after="0" w:line="167" w:lineRule="exact"/>
              <w:rPr>
                <w:sz w:val="20"/>
                <w:szCs w:val="20"/>
                <w:color w:val="auto"/>
              </w:rPr>
            </w:pPr>
            <w:r>
              <w:rPr>
                <w:rFonts w:ascii="Arial" w:cs="Arial" w:eastAsia="Arial" w:hAnsi="Arial"/>
                <w:sz w:val="15"/>
                <w:szCs w:val="15"/>
                <w:b w:val="1"/>
                <w:bCs w:val="1"/>
                <w:color w:val="auto"/>
              </w:rPr>
              <w:t>Diluted Weighted Average Shares Outstanding</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7,404</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7,905</w:t>
            </w: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5"/>
                <w:szCs w:val="15"/>
                <w:b w:val="1"/>
                <w:bCs w:val="1"/>
                <w:color w:val="auto"/>
              </w:rPr>
              <w:t>Income Per Share from Continuing Operations Attributable to</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4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440" w:type="dxa"/>
            <w:vAlign w:val="bottom"/>
          </w:tcPr>
          <w:p>
            <w:pPr>
              <w:ind w:left="220"/>
              <w:spacing w:after="0"/>
              <w:rPr>
                <w:sz w:val="20"/>
                <w:szCs w:val="20"/>
                <w:color w:val="auto"/>
              </w:rPr>
            </w:pPr>
            <w:r>
              <w:rPr>
                <w:rFonts w:ascii="Arial" w:cs="Arial" w:eastAsia="Arial" w:hAnsi="Arial"/>
                <w:sz w:val="15"/>
                <w:szCs w:val="15"/>
                <w:b w:val="1"/>
                <w:bCs w:val="1"/>
                <w:color w:val="auto"/>
              </w:rPr>
              <w:t>The Washington Post Company Common Stockholders:</w:t>
            </w:r>
          </w:p>
        </w:tc>
        <w:tc>
          <w:tcPr>
            <w:tcW w:w="260" w:type="dxa"/>
            <w:vAlign w:val="bottom"/>
          </w:tcPr>
          <w:p>
            <w:pPr>
              <w:spacing w:after="0"/>
              <w:rPr>
                <w:sz w:val="16"/>
                <w:szCs w:val="16"/>
                <w:color w:val="auto"/>
              </w:rPr>
            </w:pPr>
          </w:p>
        </w:tc>
        <w:tc>
          <w:tcPr>
            <w:tcW w:w="106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6.09</w:t>
            </w: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440" w:type="dxa"/>
            <w:vAlign w:val="bottom"/>
          </w:tcPr>
          <w:p>
            <w:pPr>
              <w:ind w:left="460"/>
              <w:spacing w:after="0"/>
              <w:rPr>
                <w:sz w:val="20"/>
                <w:szCs w:val="20"/>
                <w:color w:val="auto"/>
              </w:rPr>
            </w:pPr>
            <w:r>
              <w:rPr>
                <w:rFonts w:ascii="Arial" w:cs="Arial" w:eastAsia="Arial" w:hAnsi="Arial"/>
                <w:sz w:val="15"/>
                <w:szCs w:val="15"/>
                <w:b w:val="1"/>
                <w:bCs w:val="1"/>
                <w:color w:val="auto"/>
              </w:rPr>
              <w:t>Basic</w:t>
            </w:r>
          </w:p>
        </w:tc>
        <w:tc>
          <w:tcPr>
            <w:tcW w:w="2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18.30</w:t>
            </w:r>
          </w:p>
        </w:tc>
        <w:tc>
          <w:tcPr>
            <w:tcW w:w="3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460"/>
              <w:spacing w:after="0"/>
              <w:rPr>
                <w:sz w:val="20"/>
                <w:szCs w:val="20"/>
                <w:color w:val="auto"/>
              </w:rPr>
            </w:pPr>
            <w:r>
              <w:rPr>
                <w:rFonts w:ascii="Arial" w:cs="Arial" w:eastAsia="Arial" w:hAnsi="Arial"/>
                <w:sz w:val="15"/>
                <w:szCs w:val="15"/>
                <w:b w:val="1"/>
                <w:bCs w:val="1"/>
                <w:color w:val="auto"/>
              </w:rPr>
              <w:t>Diluted</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440" w:type="dxa"/>
            <w:vAlign w:val="bottom"/>
            <w:vMerge w:val="continue"/>
          </w:tcPr>
          <w:p>
            <w:pPr>
              <w:spacing w:after="0"/>
              <w:rPr>
                <w:sz w:val="13"/>
                <w:szCs w:val="13"/>
                <w:color w:val="auto"/>
              </w:rPr>
            </w:pPr>
          </w:p>
        </w:tc>
        <w:tc>
          <w:tcPr>
            <w:tcW w:w="260" w:type="dxa"/>
            <w:vAlign w:val="bottom"/>
            <w:tcBorders>
              <w:bottom w:val="single" w:sz="8" w:color="auto"/>
            </w:tcBorders>
          </w:tcPr>
          <w:p>
            <w:pPr>
              <w:jc w:val="right"/>
              <w:ind w:right="86"/>
              <w:spacing w:after="0" w:line="151" w:lineRule="exact"/>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127"/>
              <w:spacing w:after="0" w:line="151" w:lineRule="exact"/>
              <w:rPr>
                <w:sz w:val="20"/>
                <w:szCs w:val="20"/>
                <w:color w:val="auto"/>
              </w:rPr>
            </w:pPr>
            <w:r>
              <w:rPr>
                <w:rFonts w:ascii="Arial" w:cs="Arial" w:eastAsia="Arial" w:hAnsi="Arial"/>
                <w:sz w:val="15"/>
                <w:szCs w:val="15"/>
                <w:b w:val="1"/>
                <w:bCs w:val="1"/>
                <w:color w:val="auto"/>
              </w:rPr>
              <w:t>6.09</w:t>
            </w:r>
          </w:p>
        </w:tc>
        <w:tc>
          <w:tcPr>
            <w:tcW w:w="420" w:type="dxa"/>
            <w:vAlign w:val="bottom"/>
            <w:tcBorders>
              <w:bottom w:val="single" w:sz="8" w:color="auto"/>
            </w:tcBorders>
          </w:tcPr>
          <w:p>
            <w:pPr>
              <w:jc w:val="right"/>
              <w:ind w:right="86"/>
              <w:spacing w:after="0" w:line="151"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ind w:right="67"/>
              <w:spacing w:after="0" w:line="151" w:lineRule="exact"/>
              <w:rPr>
                <w:sz w:val="20"/>
                <w:szCs w:val="20"/>
                <w:color w:val="auto"/>
              </w:rPr>
            </w:pPr>
            <w:r>
              <w:rPr>
                <w:rFonts w:ascii="Arial" w:cs="Arial" w:eastAsia="Arial" w:hAnsi="Arial"/>
                <w:sz w:val="15"/>
                <w:szCs w:val="15"/>
                <w:color w:val="auto"/>
              </w:rPr>
              <w:t>18.30</w:t>
            </w:r>
          </w:p>
        </w:tc>
        <w:tc>
          <w:tcPr>
            <w:tcW w:w="380" w:type="dxa"/>
            <w:vAlign w:val="bottom"/>
            <w:tcBorders>
              <w:bottom w:val="single" w:sz="8" w:color="auto"/>
            </w:tcBorders>
          </w:tcPr>
          <w:p>
            <w:pPr>
              <w:jc w:val="right"/>
              <w:ind w:right="86"/>
              <w:spacing w:after="0" w:line="151" w:lineRule="exact"/>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For the year ended December 31, 2012, the basic earnings per share computed under the two-class method is lower than the diluted earnings per sha computed under the if-converted method for participating securities, resulting in the presentation of the lower amount in diluted earnings per share. Th 2012, 2011 and 2010 diluted earnings per share amounts exclude the effects of 124,694, 115,294 and 30,225 stock options outstanding, respectively, their inclusion would have been antidilutive. The 2012 diluted earnings per share amounts also exclude the effects of 52,200 restricted stock awards, a their inclusion would have been antidilutive.</w:t>
      </w:r>
    </w:p>
    <w:p>
      <w:pPr>
        <w:spacing w:after="0" w:line="38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07" w:name="page108"/>
    <w:bookmarkEnd w:id="107"/>
    <w:p>
      <w:pPr>
        <w:jc w:val="both"/>
        <w:ind w:left="9"/>
        <w:spacing w:after="0" w:line="233" w:lineRule="auto"/>
        <w:rPr>
          <w:sz w:val="20"/>
          <w:szCs w:val="20"/>
          <w:color w:val="auto"/>
        </w:rPr>
      </w:pPr>
      <w:r>
        <w:rPr>
          <w:rFonts w:ascii="Arial" w:cs="Arial" w:eastAsia="Arial" w:hAnsi="Arial"/>
          <w:sz w:val="17"/>
          <w:szCs w:val="17"/>
          <w:color w:val="auto"/>
        </w:rPr>
        <w:t>In 2012, 2011 and 2010, the Company declared regular dividends totaling $ 9.80, $ 9.40 and $9.00 per share, respectively. In December 2012, the Com declared and paid an accelerated cash dividend totaling $9.80 per share, in lieu of regular quarterly dividends that the Company otherwise would have declared and paid in calendar year 2013.</w:t>
      </w:r>
    </w:p>
    <w:p>
      <w:pPr>
        <w:spacing w:after="0" w:line="155" w:lineRule="exact"/>
        <w:rPr>
          <w:sz w:val="20"/>
          <w:szCs w:val="20"/>
          <w:color w:val="auto"/>
        </w:rPr>
      </w:pPr>
    </w:p>
    <w:p>
      <w:pPr>
        <w:ind w:left="409" w:hanging="409"/>
        <w:spacing w:after="0"/>
        <w:tabs>
          <w:tab w:leader="none" w:pos="409"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PENSIONS AND OTHER POSTRETIREMENT PLANS</w:t>
      </w:r>
    </w:p>
    <w:p>
      <w:pPr>
        <w:spacing w:after="0" w:line="197" w:lineRule="exact"/>
        <w:rPr>
          <w:sz w:val="20"/>
          <w:szCs w:val="20"/>
          <w:color w:val="auto"/>
        </w:rPr>
      </w:pPr>
    </w:p>
    <w:p>
      <w:pPr>
        <w:ind w:left="9" w:right="160"/>
        <w:spacing w:after="0" w:line="235" w:lineRule="auto"/>
        <w:rPr>
          <w:sz w:val="20"/>
          <w:szCs w:val="20"/>
          <w:color w:val="auto"/>
        </w:rPr>
      </w:pPr>
      <w:r>
        <w:rPr>
          <w:rFonts w:ascii="Arial" w:cs="Arial" w:eastAsia="Arial" w:hAnsi="Arial"/>
          <w:sz w:val="17"/>
          <w:szCs w:val="17"/>
          <w:color w:val="auto"/>
        </w:rPr>
        <w:t>The Company maintains various pension and incentive savings plans and contributes to multiemployer plans on behalf of certain union-represented employee groups. Most of the Company’s employees are covered by these plans.</w:t>
      </w:r>
    </w:p>
    <w:p>
      <w:pPr>
        <w:spacing w:after="0" w:line="176" w:lineRule="exact"/>
        <w:rPr>
          <w:sz w:val="20"/>
          <w:szCs w:val="20"/>
          <w:color w:val="auto"/>
        </w:rPr>
      </w:pPr>
    </w:p>
    <w:p>
      <w:pPr>
        <w:ind w:left="9" w:right="140"/>
        <w:spacing w:after="0" w:line="235" w:lineRule="auto"/>
        <w:rPr>
          <w:sz w:val="20"/>
          <w:szCs w:val="20"/>
          <w:color w:val="auto"/>
        </w:rPr>
      </w:pPr>
      <w:r>
        <w:rPr>
          <w:rFonts w:ascii="Arial" w:cs="Arial" w:eastAsia="Arial" w:hAnsi="Arial"/>
          <w:sz w:val="17"/>
          <w:szCs w:val="17"/>
          <w:color w:val="auto"/>
        </w:rPr>
        <w:t>The Company also provides health care and life insurance benefits to certain retired employees. These employees become eligible for benefits after meeting age and service requirements.</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Company uses a measurement date of December 31 for its pension and other postretirement benefit plans.</w:t>
      </w:r>
    </w:p>
    <w:p>
      <w:pPr>
        <w:spacing w:after="0" w:line="157" w:lineRule="exact"/>
        <w:rPr>
          <w:sz w:val="20"/>
          <w:szCs w:val="20"/>
          <w:color w:val="auto"/>
        </w:rPr>
      </w:pPr>
    </w:p>
    <w:p>
      <w:pPr>
        <w:ind w:left="9" w:right="40"/>
        <w:spacing w:after="0" w:line="255" w:lineRule="auto"/>
        <w:rPr>
          <w:sz w:val="20"/>
          <w:szCs w:val="20"/>
          <w:color w:val="auto"/>
        </w:rPr>
      </w:pPr>
      <w:r>
        <w:rPr>
          <w:rFonts w:ascii="Arial" w:cs="Arial" w:eastAsia="Arial" w:hAnsi="Arial"/>
          <w:sz w:val="17"/>
          <w:szCs w:val="17"/>
          <w:b w:val="1"/>
          <w:bCs w:val="1"/>
          <w:color w:val="auto"/>
        </w:rPr>
        <w:t xml:space="preserve">Defined Benefit Plans. </w:t>
      </w:r>
      <w:r>
        <w:rPr>
          <w:rFonts w:ascii="Arial" w:cs="Arial" w:eastAsia="Arial" w:hAnsi="Arial"/>
          <w:sz w:val="17"/>
          <w:szCs w:val="17"/>
          <w:color w:val="auto"/>
        </w:rPr>
        <w:t>The Company’s defined benefit pension plans consist of various pension plans and a Supplemental Executive Retirement Pl</w:t>
      </w:r>
      <w:r>
        <w:rPr>
          <w:rFonts w:ascii="Arial" w:cs="Arial" w:eastAsia="Arial" w:hAnsi="Arial"/>
          <w:sz w:val="17"/>
          <w:szCs w:val="17"/>
          <w:b w:val="1"/>
          <w:bCs w:val="1"/>
          <w:color w:val="auto"/>
        </w:rPr>
        <w:t xml:space="preserve"> </w:t>
      </w:r>
      <w:r>
        <w:rPr>
          <w:rFonts w:ascii="Arial" w:cs="Arial" w:eastAsia="Arial" w:hAnsi="Arial"/>
          <w:sz w:val="17"/>
          <w:szCs w:val="17"/>
          <w:color w:val="auto"/>
        </w:rPr>
        <w:t>(SERP) offered to certain executives of the Company.</w:t>
      </w:r>
    </w:p>
    <w:p>
      <w:pPr>
        <w:spacing w:after="0" w:line="163"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Effective August 1, 2012, the Company’s defined benefit pension plan was amended to provide most of the current participants with a new cash balan benefit. The new cash balance benefit will be funded by the assets of the Company’s pension plans. As a result of this new benefit, the Company’s ma contribution for its 401(k) Savings Plans was reduced.</w:t>
      </w:r>
    </w:p>
    <w:p>
      <w:pPr>
        <w:spacing w:after="0" w:line="175" w:lineRule="exact"/>
        <w:rPr>
          <w:sz w:val="20"/>
          <w:szCs w:val="20"/>
          <w:color w:val="auto"/>
        </w:rPr>
      </w:pPr>
    </w:p>
    <w:p>
      <w:pPr>
        <w:jc w:val="both"/>
        <w:ind w:left="9"/>
        <w:spacing w:after="0" w:line="232" w:lineRule="auto"/>
        <w:rPr>
          <w:sz w:val="20"/>
          <w:szCs w:val="20"/>
          <w:color w:val="auto"/>
        </w:rPr>
      </w:pPr>
      <w:r>
        <w:rPr>
          <w:rFonts w:ascii="Arial" w:cs="Arial" w:eastAsia="Arial" w:hAnsi="Arial"/>
          <w:sz w:val="17"/>
          <w:szCs w:val="17"/>
          <w:color w:val="auto"/>
        </w:rPr>
        <w:t>In 2012, the Company offered a Voluntary Retirement Incentive Program to certain employees of The Washington Post newspaper and recorded early retirement expense of $7.5 million. In addition, the Company offered a Voluntary Retirement Incentive Program to certain employees of Post–Newswe Media and recorded early retirement expense of $1.0 million. The early retirement program expense for these programs is funded from the assets of t Company’s pension plans.</w:t>
      </w:r>
    </w:p>
    <w:p>
      <w:pPr>
        <w:spacing w:after="0" w:line="175"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2011, the Company offered a Voluntary Retirement Incentive Program to certain employees of Robinson Terminal Warehouse Corporation and the and recorded early retirement expense of $0.6 million. The early retirement program expense for these programs is funded mostly from the assets of t Company’s pension plans.</w:t>
      </w:r>
    </w:p>
    <w:p>
      <w:pPr>
        <w:spacing w:after="0" w:line="175" w:lineRule="exact"/>
        <w:rPr>
          <w:sz w:val="20"/>
          <w:szCs w:val="20"/>
          <w:color w:val="auto"/>
        </w:rPr>
      </w:pPr>
    </w:p>
    <w:p>
      <w:pPr>
        <w:jc w:val="both"/>
        <w:ind w:left="9"/>
        <w:spacing w:after="0" w:line="235" w:lineRule="auto"/>
        <w:rPr>
          <w:sz w:val="20"/>
          <w:szCs w:val="20"/>
          <w:color w:val="auto"/>
        </w:rPr>
      </w:pPr>
      <w:r>
        <w:rPr>
          <w:rFonts w:ascii="Arial" w:cs="Arial" w:eastAsia="Arial" w:hAnsi="Arial"/>
          <w:sz w:val="17"/>
          <w:szCs w:val="17"/>
          <w:color w:val="auto"/>
        </w:rPr>
        <w:t>In connection with the Newsweek sale in 2010, the Company recorded $5.3 million in special termination benefits expense and $2.4 million in prior ser cost expense; these amounts are included in discontinued operations.</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The following table sets forth obligation, asset and funding information for the Company’s defined benefit pension plans at December 31, 2012 and 20</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2"/>
                <w:szCs w:val="12"/>
                <w:b w:val="1"/>
                <w:bCs w:val="1"/>
                <w:color w:val="auto"/>
              </w:rPr>
              <w:t>Pension Plans</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6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7"/>
              <w:spacing w:after="0" w:line="129" w:lineRule="exact"/>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Benefit Obligation</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1,279,315</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Benefit obligation at beginning of year</w:t>
            </w:r>
          </w:p>
        </w:tc>
        <w:tc>
          <w:tcPr>
            <w:tcW w:w="3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6" w:lineRule="exact"/>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Service cost</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40,344</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Interest cost</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59,124</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Amendments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8,508</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Actuarial loss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144,286</w:t>
            </w:r>
          </w:p>
        </w:tc>
        <w:tc>
          <w:tcPr>
            <w:tcW w:w="3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 and other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(65,255)</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Benefit Obligation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1,466,322</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Plan Assets</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1,816,577</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Fair value of assets at beginning of year</w:t>
            </w:r>
          </w:p>
        </w:tc>
        <w:tc>
          <w:tcPr>
            <w:tcW w:w="3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jc w:val="right"/>
              <w:spacing w:after="0" w:line="156"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Actual return on plan assets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319,823</w:t>
            </w:r>
          </w:p>
        </w:tc>
        <w:tc>
          <w:tcPr>
            <w:tcW w:w="3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 and other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(65,255)</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Fair Value of Assets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2,071,145</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Funded Status</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604,823</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8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7"/>
              <w:spacing w:after="0" w:line="129" w:lineRule="exact"/>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Benefit Obligation</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247"/>
              <w:spacing w:after="0"/>
              <w:rPr>
                <w:sz w:val="20"/>
                <w:szCs w:val="20"/>
                <w:color w:val="auto"/>
              </w:rPr>
            </w:pPr>
            <w:r>
              <w:rPr>
                <w:rFonts w:ascii="Arial" w:cs="Arial" w:eastAsia="Arial" w:hAnsi="Arial"/>
                <w:sz w:val="15"/>
                <w:szCs w:val="15"/>
                <w:b w:val="1"/>
                <w:bCs w:val="1"/>
                <w:color w:val="auto"/>
              </w:rPr>
              <w:t>92,863</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Benefit obligation at beginning of year</w:t>
            </w:r>
          </w:p>
        </w:tc>
        <w:tc>
          <w:tcPr>
            <w:tcW w:w="3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Service cost</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1,467</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8680" w:type="dxa"/>
            <w:vAlign w:val="bottom"/>
          </w:tcPr>
          <w:p>
            <w:pPr>
              <w:spacing w:after="0"/>
              <w:rPr>
                <w:sz w:val="20"/>
                <w:szCs w:val="20"/>
                <w:color w:val="auto"/>
              </w:rPr>
            </w:pPr>
            <w:r>
              <w:rPr>
                <w:rFonts w:ascii="Arial" w:cs="Arial" w:eastAsia="Arial" w:hAnsi="Arial"/>
                <w:sz w:val="15"/>
                <w:szCs w:val="15"/>
                <w:color w:val="auto"/>
              </w:rPr>
              <w:t>Interest cost</w:t>
            </w:r>
          </w:p>
        </w:tc>
        <w:tc>
          <w:tcPr>
            <w:tcW w:w="320" w:type="dxa"/>
            <w:vAlign w:val="bottom"/>
          </w:tcPr>
          <w:p>
            <w:pPr>
              <w:spacing w:after="0"/>
              <w:rPr>
                <w:sz w:val="16"/>
                <w:szCs w:val="16"/>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4,241</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Amendments</w:t>
            </w:r>
          </w:p>
        </w:tc>
        <w:tc>
          <w:tcPr>
            <w:tcW w:w="320" w:type="dxa"/>
            <w:vAlign w:val="bottom"/>
          </w:tcPr>
          <w:p>
            <w:pPr>
              <w:spacing w:after="0"/>
              <w:rPr>
                <w:sz w:val="13"/>
                <w:szCs w:val="13"/>
                <w:color w:val="auto"/>
              </w:rPr>
            </w:pPr>
          </w:p>
        </w:tc>
        <w:tc>
          <w:tcPr>
            <w:tcW w:w="1240" w:type="dxa"/>
            <w:vAlign w:val="bottom"/>
          </w:tcPr>
          <w:p>
            <w:pPr>
              <w:jc w:val="right"/>
              <w:ind w:right="247"/>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Actuarial loss</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8,428</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 and other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(2,937)</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Benefit Obligation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104,062</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8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Plan Assets</w:t>
            </w:r>
          </w:p>
        </w:tc>
        <w:tc>
          <w:tcPr>
            <w:tcW w:w="3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680" w:type="dxa"/>
            <w:vAlign w:val="bottom"/>
          </w:tcPr>
          <w:p>
            <w:pPr>
              <w:spacing w:after="0" w:line="156" w:lineRule="exact"/>
              <w:rPr>
                <w:sz w:val="20"/>
                <w:szCs w:val="20"/>
                <w:color w:val="auto"/>
              </w:rPr>
            </w:pPr>
            <w:r>
              <w:rPr>
                <w:rFonts w:ascii="Arial" w:cs="Arial" w:eastAsia="Arial" w:hAnsi="Arial"/>
                <w:sz w:val="15"/>
                <w:szCs w:val="15"/>
                <w:color w:val="auto"/>
              </w:rPr>
              <w:t>Fair value of assets at beginning of year</w:t>
            </w:r>
          </w:p>
        </w:tc>
        <w:tc>
          <w:tcPr>
            <w:tcW w:w="320" w:type="dxa"/>
            <w:vAlign w:val="bottom"/>
            <w:vMerge w:val="continue"/>
          </w:tcPr>
          <w:p>
            <w:pPr>
              <w:spacing w:after="0"/>
              <w:rPr>
                <w:sz w:val="13"/>
                <w:szCs w:val="13"/>
                <w:color w:val="auto"/>
              </w:rPr>
            </w:pPr>
          </w:p>
        </w:tc>
        <w:tc>
          <w:tcPr>
            <w:tcW w:w="1240" w:type="dxa"/>
            <w:vAlign w:val="bottom"/>
          </w:tcPr>
          <w:p>
            <w:pPr>
              <w:jc w:val="right"/>
              <w:ind w:right="247"/>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Employer contributions and other</w:t>
            </w:r>
          </w:p>
        </w:tc>
        <w:tc>
          <w:tcPr>
            <w:tcW w:w="320" w:type="dxa"/>
            <w:vAlign w:val="bottom"/>
          </w:tcPr>
          <w:p>
            <w:pPr>
              <w:spacing w:after="0"/>
              <w:rPr>
                <w:sz w:val="15"/>
                <w:szCs w:val="15"/>
                <w:color w:val="auto"/>
              </w:rPr>
            </w:pPr>
          </w:p>
        </w:tc>
        <w:tc>
          <w:tcPr>
            <w:tcW w:w="1240" w:type="dxa"/>
            <w:vAlign w:val="bottom"/>
          </w:tcPr>
          <w:p>
            <w:pPr>
              <w:jc w:val="right"/>
              <w:ind w:right="247"/>
              <w:spacing w:after="0"/>
              <w:rPr>
                <w:sz w:val="20"/>
                <w:szCs w:val="20"/>
                <w:color w:val="auto"/>
              </w:rPr>
            </w:pPr>
            <w:r>
              <w:rPr>
                <w:rFonts w:ascii="Arial" w:cs="Arial" w:eastAsia="Arial" w:hAnsi="Arial"/>
                <w:sz w:val="15"/>
                <w:szCs w:val="15"/>
                <w:b w:val="1"/>
                <w:bCs w:val="1"/>
                <w:color w:val="auto"/>
              </w:rPr>
              <w:t>3,681</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Benefits paid</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b w:val="1"/>
                <w:bCs w:val="1"/>
                <w:color w:val="auto"/>
              </w:rPr>
              <w:t>(3,681)</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Fair Value of Assets at End of Year</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80" w:type="dxa"/>
            <w:vAlign w:val="bottom"/>
          </w:tcPr>
          <w:p>
            <w:pPr>
              <w:spacing w:after="0" w:line="167" w:lineRule="exact"/>
              <w:rPr>
                <w:sz w:val="20"/>
                <w:szCs w:val="20"/>
                <w:color w:val="auto"/>
              </w:rPr>
            </w:pPr>
            <w:r>
              <w:rPr>
                <w:rFonts w:ascii="Arial" w:cs="Arial" w:eastAsia="Arial" w:hAnsi="Arial"/>
                <w:sz w:val="15"/>
                <w:szCs w:val="15"/>
                <w:b w:val="1"/>
                <w:bCs w:val="1"/>
                <w:color w:val="auto"/>
              </w:rPr>
              <w:t>Funded Status</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247"/>
              <w:spacing w:after="0" w:line="167" w:lineRule="exact"/>
              <w:rPr>
                <w:sz w:val="20"/>
                <w:szCs w:val="20"/>
                <w:color w:val="auto"/>
              </w:rPr>
            </w:pPr>
            <w:r>
              <w:rPr>
                <w:rFonts w:ascii="Arial" w:cs="Arial" w:eastAsia="Arial" w:hAnsi="Arial"/>
                <w:sz w:val="15"/>
                <w:szCs w:val="15"/>
                <w:b w:val="1"/>
                <w:bCs w:val="1"/>
                <w:color w:val="auto"/>
              </w:rPr>
              <w:t>(104,062)</w:t>
            </w: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accumulated benefit obligation for the Company’s pension plans at December 31, 2012 and 2011, was $1,349.2 million and $1,191.9 million, respectively. The accumulated benefit obligation for the Company’s SERP at December 31, 2012 and 2011, was $97.6 million and $86.6 million, respectively. The amounts recognized in the Company’s Consolidated Balance Sheets for its defined benefit pension plans at December 31, 2012 and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80" w:type="dxa"/>
            <w:vAlign w:val="bottom"/>
            <w:vMerge w:val="restart"/>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Pension Plans</w:t>
            </w: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2"/>
                <w:szCs w:val="12"/>
                <w:b w:val="1"/>
                <w:bCs w:val="1"/>
                <w:color w:val="auto"/>
              </w:rPr>
              <w:t>SERP</w:t>
            </w: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18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30"/>
              <w:spacing w:after="0" w:line="129" w:lineRule="exact"/>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592"/>
              <w:spacing w:after="0" w:line="129" w:lineRule="exact"/>
              <w:rPr>
                <w:sz w:val="20"/>
                <w:szCs w:val="20"/>
                <w:color w:val="auto"/>
              </w:rPr>
            </w:pPr>
            <w:r>
              <w:rPr>
                <w:rFonts w:ascii="Arial" w:cs="Arial" w:eastAsia="Arial" w:hAnsi="Arial"/>
                <w:sz w:val="12"/>
                <w:szCs w:val="12"/>
                <w:color w:val="auto"/>
              </w:rPr>
              <w:t>2011</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10"/>
              <w:spacing w:after="0" w:line="129" w:lineRule="exact"/>
              <w:rPr>
                <w:sz w:val="20"/>
                <w:szCs w:val="20"/>
                <w:color w:val="auto"/>
              </w:rPr>
            </w:pPr>
            <w:r>
              <w:rPr>
                <w:rFonts w:ascii="Arial" w:cs="Arial" w:eastAsia="Arial" w:hAnsi="Arial"/>
                <w:sz w:val="12"/>
                <w:szCs w:val="12"/>
                <w:b w:val="1"/>
                <w:bCs w:val="1"/>
                <w:color w:val="auto"/>
              </w:rPr>
              <w:t>2012</w:t>
            </w:r>
          </w:p>
        </w:tc>
        <w:tc>
          <w:tcPr>
            <w:tcW w:w="5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50"/>
        </w:trPr>
        <w:tc>
          <w:tcPr>
            <w:tcW w:w="6180" w:type="dxa"/>
            <w:vAlign w:val="bottom"/>
          </w:tcPr>
          <w:p>
            <w:pPr>
              <w:spacing w:after="0" w:line="150" w:lineRule="exact"/>
              <w:rPr>
                <w:sz w:val="20"/>
                <w:szCs w:val="20"/>
                <w:color w:val="auto"/>
              </w:rPr>
            </w:pPr>
            <w:r>
              <w:rPr>
                <w:rFonts w:ascii="Arial" w:cs="Arial" w:eastAsia="Arial" w:hAnsi="Arial"/>
                <w:sz w:val="15"/>
                <w:szCs w:val="15"/>
                <w:color w:val="auto"/>
              </w:rPr>
              <w:t>Noncurrent asset</w:t>
            </w:r>
          </w:p>
        </w:tc>
        <w:tc>
          <w:tcPr>
            <w:tcW w:w="2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10"/>
              <w:spacing w:after="0" w:line="150" w:lineRule="exact"/>
              <w:rPr>
                <w:sz w:val="20"/>
                <w:szCs w:val="20"/>
                <w:color w:val="auto"/>
              </w:rPr>
            </w:pPr>
            <w:r>
              <w:rPr>
                <w:rFonts w:ascii="Arial" w:cs="Arial" w:eastAsia="Arial" w:hAnsi="Arial"/>
                <w:sz w:val="15"/>
                <w:szCs w:val="15"/>
                <w:b w:val="1"/>
                <w:bCs w:val="1"/>
                <w:color w:val="auto"/>
              </w:rPr>
              <w:t>604,823</w:t>
            </w:r>
          </w:p>
        </w:tc>
        <w:tc>
          <w:tcPr>
            <w:tcW w:w="46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172"/>
              <w:spacing w:after="0" w:line="150" w:lineRule="exact"/>
              <w:rPr>
                <w:sz w:val="20"/>
                <w:szCs w:val="20"/>
                <w:color w:val="auto"/>
              </w:rPr>
            </w:pPr>
            <w:r>
              <w:rPr>
                <w:rFonts w:ascii="Arial" w:cs="Arial" w:eastAsia="Arial" w:hAnsi="Arial"/>
                <w:sz w:val="15"/>
                <w:szCs w:val="15"/>
                <w:color w:val="auto"/>
              </w:rPr>
              <w:t>537,262</w:t>
            </w:r>
          </w:p>
        </w:tc>
        <w:tc>
          <w:tcPr>
            <w:tcW w:w="2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150"/>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180" w:type="dxa"/>
            <w:vAlign w:val="bottom"/>
          </w:tcPr>
          <w:p>
            <w:pPr>
              <w:spacing w:after="0"/>
              <w:rPr>
                <w:sz w:val="20"/>
                <w:szCs w:val="20"/>
                <w:color w:val="auto"/>
              </w:rPr>
            </w:pPr>
            <w:r>
              <w:rPr>
                <w:rFonts w:ascii="Arial" w:cs="Arial" w:eastAsia="Arial" w:hAnsi="Arial"/>
                <w:sz w:val="15"/>
                <w:szCs w:val="15"/>
                <w:color w:val="auto"/>
              </w:rPr>
              <w:t>Current liability</w:t>
            </w:r>
          </w:p>
        </w:tc>
        <w:tc>
          <w:tcPr>
            <w:tcW w:w="28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jc w:val="right"/>
              <w:ind w:right="172"/>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5"/>
                <w:szCs w:val="15"/>
                <w:color w:val="auto"/>
              </w:rPr>
            </w:pPr>
          </w:p>
        </w:tc>
        <w:tc>
          <w:tcPr>
            <w:tcW w:w="980" w:type="dxa"/>
            <w:vAlign w:val="bottom"/>
          </w:tcPr>
          <w:p>
            <w:pPr>
              <w:jc w:val="right"/>
              <w:ind w:right="10"/>
              <w:spacing w:after="0"/>
              <w:rPr>
                <w:sz w:val="20"/>
                <w:szCs w:val="20"/>
                <w:color w:val="auto"/>
              </w:rPr>
            </w:pPr>
            <w:r>
              <w:rPr>
                <w:rFonts w:ascii="Arial" w:cs="Arial" w:eastAsia="Arial" w:hAnsi="Arial"/>
                <w:sz w:val="15"/>
                <w:szCs w:val="15"/>
                <w:b w:val="1"/>
                <w:bCs w:val="1"/>
                <w:color w:val="auto"/>
              </w:rPr>
              <w:t>(4,368)</w:t>
            </w:r>
          </w:p>
        </w:tc>
        <w:tc>
          <w:tcPr>
            <w:tcW w:w="5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6180" w:type="dxa"/>
            <w:vAlign w:val="bottom"/>
          </w:tcPr>
          <w:p>
            <w:pPr>
              <w:spacing w:after="0"/>
              <w:rPr>
                <w:sz w:val="20"/>
                <w:szCs w:val="20"/>
                <w:color w:val="auto"/>
              </w:rPr>
            </w:pPr>
            <w:r>
              <w:rPr>
                <w:rFonts w:ascii="Arial" w:cs="Arial" w:eastAsia="Arial" w:hAnsi="Arial"/>
                <w:sz w:val="15"/>
                <w:szCs w:val="15"/>
                <w:color w:val="auto"/>
              </w:rPr>
              <w:t>Noncurrent liability</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(99,694)</w:t>
            </w: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66"/>
        </w:trPr>
        <w:tc>
          <w:tcPr>
            <w:tcW w:w="6180" w:type="dxa"/>
            <w:vAlign w:val="bottom"/>
          </w:tcPr>
          <w:p>
            <w:pPr>
              <w:spacing w:after="0" w:line="167" w:lineRule="exact"/>
              <w:rPr>
                <w:sz w:val="20"/>
                <w:szCs w:val="20"/>
                <w:color w:val="auto"/>
              </w:rPr>
            </w:pPr>
            <w:r>
              <w:rPr>
                <w:rFonts w:ascii="Arial" w:cs="Arial" w:eastAsia="Arial" w:hAnsi="Arial"/>
                <w:sz w:val="15"/>
                <w:szCs w:val="15"/>
                <w:b w:val="1"/>
                <w:bCs w:val="1"/>
                <w:color w:val="auto"/>
              </w:rPr>
              <w:t>Recognized Asset (Liability)</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10"/>
              <w:spacing w:after="0" w:line="167" w:lineRule="exact"/>
              <w:rPr>
                <w:sz w:val="20"/>
                <w:szCs w:val="20"/>
                <w:color w:val="auto"/>
              </w:rPr>
            </w:pPr>
            <w:r>
              <w:rPr>
                <w:rFonts w:ascii="Arial" w:cs="Arial" w:eastAsia="Arial" w:hAnsi="Arial"/>
                <w:sz w:val="15"/>
                <w:szCs w:val="15"/>
                <w:b w:val="1"/>
                <w:bCs w:val="1"/>
                <w:color w:val="auto"/>
              </w:rPr>
              <w:t>604,823</w:t>
            </w:r>
          </w:p>
        </w:tc>
        <w:tc>
          <w:tcPr>
            <w:tcW w:w="4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gridSpan w:val="2"/>
          </w:tcPr>
          <w:p>
            <w:pPr>
              <w:jc w:val="right"/>
              <w:ind w:right="172"/>
              <w:spacing w:after="0" w:line="167" w:lineRule="exact"/>
              <w:rPr>
                <w:sz w:val="20"/>
                <w:szCs w:val="20"/>
                <w:color w:val="auto"/>
              </w:rPr>
            </w:pPr>
            <w:r>
              <w:rPr>
                <w:rFonts w:ascii="Arial" w:cs="Arial" w:eastAsia="Arial" w:hAnsi="Arial"/>
                <w:sz w:val="15"/>
                <w:szCs w:val="15"/>
                <w:color w:val="auto"/>
              </w:rPr>
              <w:t>537,262</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(104,062)</w:t>
            </w:r>
          </w:p>
        </w:tc>
        <w:tc>
          <w:tcPr>
            <w:tcW w:w="560" w:type="dxa"/>
            <w:vAlign w:val="bottom"/>
            <w:tcBorders>
              <w:bottom w:val="single" w:sz="8" w:color="auto"/>
            </w:tcBorders>
          </w:tcPr>
          <w:p>
            <w:pPr>
              <w:jc w:val="right"/>
              <w:ind w:right="150"/>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060" w:type="dxa"/>
            <w:vAlign w:val="bottom"/>
            <w:tcBorders>
              <w:bottom w:val="single" w:sz="8" w:color="auto"/>
            </w:tcBorders>
            <w:gridSpan w:val="4"/>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920" w:type="dxa"/>
            <w:vAlign w:val="bottom"/>
            <w:gridSpan w:val="6"/>
          </w:tcPr>
          <w:p>
            <w:pPr>
              <w:spacing w:after="0"/>
              <w:rPr>
                <w:sz w:val="20"/>
                <w:szCs w:val="20"/>
                <w:color w:val="auto"/>
              </w:rPr>
            </w:pPr>
            <w:r>
              <w:rPr>
                <w:rFonts w:ascii="Arial" w:cs="Arial" w:eastAsia="Arial" w:hAnsi="Arial"/>
                <w:sz w:val="17"/>
                <w:szCs w:val="17"/>
                <w:color w:val="auto"/>
              </w:rPr>
              <w:t>Key assumptions utilized for determining the benefit obligation at December 31, 2012 and 2011, are as follows: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2"/>
                <w:szCs w:val="12"/>
                <w:b w:val="1"/>
                <w:bCs w:val="1"/>
                <w:color w:val="auto"/>
              </w:rPr>
              <w:t>Pension Plans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SERP</w:t>
            </w:r>
          </w:p>
        </w:tc>
        <w:tc>
          <w:tcPr>
            <w:tcW w:w="0" w:type="dxa"/>
            <w:vAlign w:val="bottom"/>
          </w:tcPr>
          <w:p>
            <w:pPr>
              <w:spacing w:after="0"/>
              <w:rPr>
                <w:sz w:val="1"/>
                <w:szCs w:val="1"/>
                <w:color w:val="auto"/>
              </w:rPr>
            </w:pPr>
          </w:p>
        </w:tc>
      </w:tr>
      <w:tr>
        <w:trPr>
          <w:trHeight w:val="129"/>
        </w:trPr>
        <w:tc>
          <w:tcPr>
            <w:tcW w:w="6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2"/>
              <w:spacing w:after="0" w:line="129" w:lineRule="exact"/>
              <w:rPr>
                <w:sz w:val="20"/>
                <w:szCs w:val="20"/>
                <w:color w:val="auto"/>
              </w:rPr>
            </w:pPr>
            <w:r>
              <w:rPr>
                <w:rFonts w:ascii="Arial" w:cs="Arial" w:eastAsia="Arial" w:hAnsi="Arial"/>
                <w:sz w:val="12"/>
                <w:szCs w:val="12"/>
                <w:b w:val="1"/>
                <w:bCs w:val="1"/>
                <w:color w:val="auto"/>
              </w:rPr>
              <w:t>2012</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90"/>
              <w:spacing w:after="0" w:line="129" w:lineRule="exact"/>
              <w:rPr>
                <w:sz w:val="20"/>
                <w:szCs w:val="20"/>
                <w:color w:val="auto"/>
              </w:rPr>
            </w:pPr>
            <w:r>
              <w:rPr>
                <w:rFonts w:ascii="Arial" w:cs="Arial" w:eastAsia="Arial" w:hAnsi="Arial"/>
                <w:sz w:val="12"/>
                <w:szCs w:val="12"/>
                <w:color w:val="auto"/>
              </w:rPr>
              <w:t>2011</w:t>
            </w:r>
          </w:p>
        </w:tc>
        <w:tc>
          <w:tcPr>
            <w:tcW w:w="560" w:type="dxa"/>
            <w:vAlign w:val="bottom"/>
            <w:tcBorders>
              <w:bottom w:val="single" w:sz="8" w:color="auto"/>
            </w:tcBorders>
          </w:tcPr>
          <w:p>
            <w:pPr>
              <w:jc w:val="right"/>
              <w:ind w:right="130"/>
              <w:spacing w:after="0" w:line="129" w:lineRule="exact"/>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6180" w:type="dxa"/>
            <w:vAlign w:val="bottom"/>
          </w:tcPr>
          <w:p>
            <w:pPr>
              <w:spacing w:after="0" w:line="150" w:lineRule="exact"/>
              <w:rPr>
                <w:sz w:val="20"/>
                <w:szCs w:val="20"/>
                <w:color w:val="auto"/>
              </w:rPr>
            </w:pPr>
            <w:r>
              <w:rPr>
                <w:rFonts w:ascii="Arial" w:cs="Arial" w:eastAsia="Arial" w:hAnsi="Arial"/>
                <w:sz w:val="15"/>
                <w:szCs w:val="15"/>
                <w:color w:val="auto"/>
              </w:rPr>
              <w:t>Discount rate</w:t>
            </w: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gridSpan w:val="2"/>
          </w:tcPr>
          <w:p>
            <w:pPr>
              <w:jc w:val="right"/>
              <w:ind w:right="32"/>
              <w:spacing w:after="0" w:line="150" w:lineRule="exact"/>
              <w:rPr>
                <w:sz w:val="20"/>
                <w:szCs w:val="20"/>
                <w:color w:val="auto"/>
              </w:rPr>
            </w:pPr>
            <w:r>
              <w:rPr>
                <w:rFonts w:ascii="Arial" w:cs="Arial" w:eastAsia="Arial" w:hAnsi="Arial"/>
                <w:sz w:val="15"/>
                <w:szCs w:val="15"/>
                <w:b w:val="1"/>
                <w:bCs w:val="1"/>
                <w:color w:val="auto"/>
              </w:rPr>
              <w:t>4.0%</w:t>
            </w:r>
          </w:p>
        </w:tc>
        <w:tc>
          <w:tcPr>
            <w:tcW w:w="200" w:type="dxa"/>
            <w:vAlign w:val="bottom"/>
          </w:tcPr>
          <w:p>
            <w:pPr>
              <w:spacing w:after="0"/>
              <w:rPr>
                <w:sz w:val="13"/>
                <w:szCs w:val="13"/>
                <w:color w:val="auto"/>
              </w:rPr>
            </w:pPr>
          </w:p>
        </w:tc>
        <w:tc>
          <w:tcPr>
            <w:tcW w:w="980" w:type="dxa"/>
            <w:vAlign w:val="bottom"/>
          </w:tcPr>
          <w:p>
            <w:pPr>
              <w:jc w:val="right"/>
              <w:ind w:right="430"/>
              <w:spacing w:after="0" w:line="150" w:lineRule="exact"/>
              <w:rPr>
                <w:sz w:val="20"/>
                <w:szCs w:val="20"/>
                <w:color w:val="auto"/>
              </w:rPr>
            </w:pPr>
            <w:r>
              <w:rPr>
                <w:rFonts w:ascii="Arial" w:cs="Arial" w:eastAsia="Arial" w:hAnsi="Arial"/>
                <w:sz w:val="15"/>
                <w:szCs w:val="15"/>
                <w:color w:val="auto"/>
              </w:rPr>
              <w:t>4.7%</w:t>
            </w:r>
          </w:p>
        </w:tc>
        <w:tc>
          <w:tcPr>
            <w:tcW w:w="5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4.0%</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6180" w:type="dxa"/>
            <w:vAlign w:val="bottom"/>
          </w:tcPr>
          <w:p>
            <w:pPr>
              <w:spacing w:after="0"/>
              <w:rPr>
                <w:sz w:val="20"/>
                <w:szCs w:val="20"/>
                <w:color w:val="auto"/>
              </w:rPr>
            </w:pPr>
            <w:r>
              <w:rPr>
                <w:rFonts w:ascii="Arial" w:cs="Arial" w:eastAsia="Arial" w:hAnsi="Arial"/>
                <w:sz w:val="15"/>
                <w:szCs w:val="15"/>
                <w:color w:val="auto"/>
              </w:rPr>
              <w:t>Rate of compensation increase</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5"/>
                <w:szCs w:val="15"/>
                <w:b w:val="1"/>
                <w:bCs w:val="1"/>
                <w:color w:val="auto"/>
              </w:rPr>
              <w:t>4.0%</w:t>
            </w:r>
          </w:p>
        </w:tc>
        <w:tc>
          <w:tcPr>
            <w:tcW w:w="200" w:type="dxa"/>
            <w:vAlign w:val="bottom"/>
          </w:tcPr>
          <w:p>
            <w:pPr>
              <w:spacing w:after="0"/>
              <w:rPr>
                <w:sz w:val="17"/>
                <w:szCs w:val="17"/>
                <w:color w:val="auto"/>
              </w:rPr>
            </w:pPr>
          </w:p>
        </w:tc>
        <w:tc>
          <w:tcPr>
            <w:tcW w:w="980" w:type="dxa"/>
            <w:vAlign w:val="bottom"/>
          </w:tcPr>
          <w:p>
            <w:pPr>
              <w:jc w:val="right"/>
              <w:ind w:right="430"/>
              <w:spacing w:after="0"/>
              <w:rPr>
                <w:sz w:val="20"/>
                <w:szCs w:val="20"/>
                <w:color w:val="auto"/>
              </w:rPr>
            </w:pPr>
            <w:r>
              <w:rPr>
                <w:rFonts w:ascii="Arial" w:cs="Arial" w:eastAsia="Arial" w:hAnsi="Arial"/>
                <w:sz w:val="15"/>
                <w:szCs w:val="15"/>
                <w:color w:val="auto"/>
              </w:rPr>
              <w:t>4.0%</w:t>
            </w:r>
          </w:p>
        </w:tc>
        <w:tc>
          <w:tcPr>
            <w:tcW w:w="56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The Company made no contributions to its pension plans in 2012, 2011 and 2010, and the Company does not expect to make any contributions in 20 The Company made contributions to its SERP of $3.7 million and $3.1 million for the years ended December 31, 2012 and 2011, respectively. As the unfunded, the Company makes contributions to the SERP based on actual benefit payments.</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24" w:right="1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At December 31, 2012, future estimated benefit payments, excluding charges for early retirement programs,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5320" w:type="dxa"/>
            <w:vAlign w:val="bottom"/>
            <w:tcBorders>
              <w:bottom w:val="single" w:sz="8" w:color="auto"/>
            </w:tcBorders>
            <w:gridSpan w:val="2"/>
          </w:tcPr>
          <w:p>
            <w:pPr>
              <w:ind w:left="4100"/>
              <w:spacing w:after="0"/>
              <w:rPr>
                <w:sz w:val="20"/>
                <w:szCs w:val="20"/>
                <w:color w:val="auto"/>
              </w:rPr>
            </w:pPr>
            <w:r>
              <w:rPr>
                <w:rFonts w:ascii="Arial" w:cs="Arial" w:eastAsia="Arial" w:hAnsi="Arial"/>
                <w:sz w:val="12"/>
                <w:szCs w:val="12"/>
                <w:b w:val="1"/>
                <w:bCs w:val="1"/>
                <w:color w:val="auto"/>
              </w:rPr>
              <w:t>Pension Plans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w:t>
            </w:r>
          </w:p>
        </w:tc>
      </w:tr>
      <w:tr>
        <w:trPr>
          <w:trHeight w:val="168"/>
        </w:trPr>
        <w:tc>
          <w:tcPr>
            <w:tcW w:w="4860" w:type="dxa"/>
            <w:vAlign w:val="bottom"/>
          </w:tcPr>
          <w:p>
            <w:pPr>
              <w:spacing w:after="0" w:line="168" w:lineRule="exact"/>
              <w:rPr>
                <w:sz w:val="20"/>
                <w:szCs w:val="20"/>
                <w:color w:val="auto"/>
              </w:rPr>
            </w:pPr>
            <w:r>
              <w:rPr>
                <w:rFonts w:ascii="Arial" w:cs="Arial" w:eastAsia="Arial" w:hAnsi="Arial"/>
                <w:sz w:val="15"/>
                <w:szCs w:val="15"/>
                <w:color w:val="auto"/>
              </w:rPr>
              <w:t>2013</w:t>
            </w:r>
          </w:p>
        </w:tc>
        <w:tc>
          <w:tcPr>
            <w:tcW w:w="4340" w:type="dxa"/>
            <w:vAlign w:val="bottom"/>
          </w:tcPr>
          <w:p>
            <w:pPr>
              <w:ind w:left="4100"/>
              <w:spacing w:after="0" w:line="168" w:lineRule="exact"/>
              <w:rPr>
                <w:sz w:val="20"/>
                <w:szCs w:val="20"/>
                <w:color w:val="auto"/>
              </w:rPr>
            </w:pPr>
            <w:r>
              <w:rPr>
                <w:rFonts w:ascii="Arial" w:cs="Arial" w:eastAsia="Arial" w:hAnsi="Arial"/>
                <w:sz w:val="15"/>
                <w:szCs w:val="15"/>
                <w:color w:val="auto"/>
              </w:rPr>
              <w:t>$</w:t>
            </w:r>
          </w:p>
        </w:tc>
        <w:tc>
          <w:tcPr>
            <w:tcW w:w="980" w:type="dxa"/>
            <w:vAlign w:val="bottom"/>
          </w:tcPr>
          <w:p>
            <w:pPr>
              <w:jc w:val="right"/>
              <w:ind w:right="186"/>
              <w:spacing w:after="0" w:line="168" w:lineRule="exact"/>
              <w:rPr>
                <w:sz w:val="20"/>
                <w:szCs w:val="20"/>
                <w:color w:val="auto"/>
              </w:rPr>
            </w:pPr>
            <w:r>
              <w:rPr>
                <w:rFonts w:ascii="Arial" w:cs="Arial" w:eastAsia="Arial" w:hAnsi="Arial"/>
                <w:sz w:val="15"/>
                <w:szCs w:val="15"/>
                <w:color w:val="auto"/>
              </w:rPr>
              <w:t>75,081</w:t>
            </w:r>
          </w:p>
        </w:tc>
        <w:tc>
          <w:tcPr>
            <w:tcW w:w="760" w:type="dxa"/>
            <w:vAlign w:val="bottom"/>
          </w:tcPr>
          <w:p>
            <w:pPr>
              <w:jc w:val="right"/>
              <w:ind w:right="347"/>
              <w:spacing w:after="0" w:line="168" w:lineRule="exact"/>
              <w:rPr>
                <w:sz w:val="20"/>
                <w:szCs w:val="20"/>
                <w:color w:val="auto"/>
              </w:rPr>
            </w:pPr>
            <w:r>
              <w:rPr>
                <w:rFonts w:ascii="Arial" w:cs="Arial" w:eastAsia="Arial" w:hAnsi="Arial"/>
                <w:sz w:val="15"/>
                <w:szCs w:val="15"/>
                <w:color w:val="auto"/>
              </w:rPr>
              <w:t>$</w:t>
            </w:r>
          </w:p>
        </w:tc>
      </w:tr>
      <w:tr>
        <w:trPr>
          <w:trHeight w:val="174"/>
        </w:trPr>
        <w:tc>
          <w:tcPr>
            <w:tcW w:w="4860" w:type="dxa"/>
            <w:vAlign w:val="bottom"/>
          </w:tcPr>
          <w:p>
            <w:pPr>
              <w:spacing w:after="0"/>
              <w:rPr>
                <w:sz w:val="20"/>
                <w:szCs w:val="20"/>
                <w:color w:val="auto"/>
              </w:rPr>
            </w:pPr>
            <w:r>
              <w:rPr>
                <w:rFonts w:ascii="Arial" w:cs="Arial" w:eastAsia="Arial" w:hAnsi="Arial"/>
                <w:sz w:val="15"/>
                <w:szCs w:val="15"/>
                <w:color w:val="auto"/>
              </w:rPr>
              <w:t>2014</w:t>
            </w:r>
          </w:p>
        </w:tc>
        <w:tc>
          <w:tcPr>
            <w:tcW w:w="4340" w:type="dxa"/>
            <w:vAlign w:val="bottom"/>
          </w:tcPr>
          <w:p>
            <w:pPr>
              <w:ind w:left="4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74,887</w:t>
            </w:r>
          </w:p>
        </w:tc>
        <w:tc>
          <w:tcPr>
            <w:tcW w:w="760" w:type="dxa"/>
            <w:vAlign w:val="bottom"/>
          </w:tcPr>
          <w:p>
            <w:pPr>
              <w:jc w:val="right"/>
              <w:ind w:right="347"/>
              <w:spacing w:after="0"/>
              <w:rPr>
                <w:sz w:val="20"/>
                <w:szCs w:val="20"/>
                <w:color w:val="auto"/>
              </w:rPr>
            </w:pPr>
            <w:r>
              <w:rPr>
                <w:rFonts w:ascii="Arial" w:cs="Arial" w:eastAsia="Arial" w:hAnsi="Arial"/>
                <w:sz w:val="15"/>
                <w:szCs w:val="15"/>
                <w:color w:val="auto"/>
              </w:rPr>
              <w:t>$</w:t>
            </w:r>
          </w:p>
        </w:tc>
      </w:tr>
      <w:tr>
        <w:trPr>
          <w:trHeight w:val="174"/>
        </w:trPr>
        <w:tc>
          <w:tcPr>
            <w:tcW w:w="4860" w:type="dxa"/>
            <w:vAlign w:val="bottom"/>
          </w:tcPr>
          <w:p>
            <w:pPr>
              <w:spacing w:after="0"/>
              <w:rPr>
                <w:sz w:val="20"/>
                <w:szCs w:val="20"/>
                <w:color w:val="auto"/>
              </w:rPr>
            </w:pPr>
            <w:r>
              <w:rPr>
                <w:rFonts w:ascii="Arial" w:cs="Arial" w:eastAsia="Arial" w:hAnsi="Arial"/>
                <w:sz w:val="15"/>
                <w:szCs w:val="15"/>
                <w:color w:val="auto"/>
              </w:rPr>
              <w:t>2015</w:t>
            </w:r>
          </w:p>
        </w:tc>
        <w:tc>
          <w:tcPr>
            <w:tcW w:w="4340" w:type="dxa"/>
            <w:vAlign w:val="bottom"/>
          </w:tcPr>
          <w:p>
            <w:pPr>
              <w:ind w:left="4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75,207</w:t>
            </w:r>
          </w:p>
        </w:tc>
        <w:tc>
          <w:tcPr>
            <w:tcW w:w="760" w:type="dxa"/>
            <w:vAlign w:val="bottom"/>
          </w:tcPr>
          <w:p>
            <w:pPr>
              <w:jc w:val="right"/>
              <w:ind w:right="347"/>
              <w:spacing w:after="0"/>
              <w:rPr>
                <w:sz w:val="20"/>
                <w:szCs w:val="20"/>
                <w:color w:val="auto"/>
              </w:rPr>
            </w:pPr>
            <w:r>
              <w:rPr>
                <w:rFonts w:ascii="Arial" w:cs="Arial" w:eastAsia="Arial" w:hAnsi="Arial"/>
                <w:sz w:val="15"/>
                <w:szCs w:val="15"/>
                <w:color w:val="auto"/>
              </w:rPr>
              <w:t>$</w:t>
            </w:r>
          </w:p>
        </w:tc>
      </w:tr>
      <w:tr>
        <w:trPr>
          <w:trHeight w:val="174"/>
        </w:trPr>
        <w:tc>
          <w:tcPr>
            <w:tcW w:w="4860" w:type="dxa"/>
            <w:vAlign w:val="bottom"/>
          </w:tcPr>
          <w:p>
            <w:pPr>
              <w:spacing w:after="0"/>
              <w:rPr>
                <w:sz w:val="20"/>
                <w:szCs w:val="20"/>
                <w:color w:val="auto"/>
              </w:rPr>
            </w:pPr>
            <w:r>
              <w:rPr>
                <w:rFonts w:ascii="Arial" w:cs="Arial" w:eastAsia="Arial" w:hAnsi="Arial"/>
                <w:sz w:val="15"/>
                <w:szCs w:val="15"/>
                <w:color w:val="auto"/>
              </w:rPr>
              <w:t>2016</w:t>
            </w:r>
          </w:p>
        </w:tc>
        <w:tc>
          <w:tcPr>
            <w:tcW w:w="4340" w:type="dxa"/>
            <w:vAlign w:val="bottom"/>
          </w:tcPr>
          <w:p>
            <w:pPr>
              <w:ind w:left="4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76,285</w:t>
            </w:r>
          </w:p>
        </w:tc>
        <w:tc>
          <w:tcPr>
            <w:tcW w:w="760" w:type="dxa"/>
            <w:vAlign w:val="bottom"/>
          </w:tcPr>
          <w:p>
            <w:pPr>
              <w:jc w:val="right"/>
              <w:ind w:right="347"/>
              <w:spacing w:after="0"/>
              <w:rPr>
                <w:sz w:val="20"/>
                <w:szCs w:val="20"/>
                <w:color w:val="auto"/>
              </w:rPr>
            </w:pPr>
            <w:r>
              <w:rPr>
                <w:rFonts w:ascii="Arial" w:cs="Arial" w:eastAsia="Arial" w:hAnsi="Arial"/>
                <w:sz w:val="15"/>
                <w:szCs w:val="15"/>
                <w:color w:val="auto"/>
              </w:rPr>
              <w:t>$</w:t>
            </w:r>
          </w:p>
        </w:tc>
      </w:tr>
      <w:tr>
        <w:trPr>
          <w:trHeight w:val="174"/>
        </w:trPr>
        <w:tc>
          <w:tcPr>
            <w:tcW w:w="4860" w:type="dxa"/>
            <w:vAlign w:val="bottom"/>
          </w:tcPr>
          <w:p>
            <w:pPr>
              <w:spacing w:after="0"/>
              <w:rPr>
                <w:sz w:val="20"/>
                <w:szCs w:val="20"/>
                <w:color w:val="auto"/>
              </w:rPr>
            </w:pPr>
            <w:r>
              <w:rPr>
                <w:rFonts w:ascii="Arial" w:cs="Arial" w:eastAsia="Arial" w:hAnsi="Arial"/>
                <w:sz w:val="15"/>
                <w:szCs w:val="15"/>
                <w:color w:val="auto"/>
              </w:rPr>
              <w:t>2017</w:t>
            </w:r>
          </w:p>
        </w:tc>
        <w:tc>
          <w:tcPr>
            <w:tcW w:w="4340" w:type="dxa"/>
            <w:vAlign w:val="bottom"/>
          </w:tcPr>
          <w:p>
            <w:pPr>
              <w:ind w:left="4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78,657</w:t>
            </w:r>
          </w:p>
        </w:tc>
        <w:tc>
          <w:tcPr>
            <w:tcW w:w="760" w:type="dxa"/>
            <w:vAlign w:val="bottom"/>
          </w:tcPr>
          <w:p>
            <w:pPr>
              <w:jc w:val="right"/>
              <w:ind w:right="347"/>
              <w:spacing w:after="0"/>
              <w:rPr>
                <w:sz w:val="20"/>
                <w:szCs w:val="20"/>
                <w:color w:val="auto"/>
              </w:rPr>
            </w:pPr>
            <w:r>
              <w:rPr>
                <w:rFonts w:ascii="Arial" w:cs="Arial" w:eastAsia="Arial" w:hAnsi="Arial"/>
                <w:sz w:val="15"/>
                <w:szCs w:val="15"/>
                <w:color w:val="auto"/>
              </w:rPr>
              <w:t>$</w:t>
            </w:r>
          </w:p>
        </w:tc>
      </w:tr>
      <w:tr>
        <w:trPr>
          <w:trHeight w:val="179"/>
        </w:trPr>
        <w:tc>
          <w:tcPr>
            <w:tcW w:w="4860" w:type="dxa"/>
            <w:vAlign w:val="bottom"/>
          </w:tcPr>
          <w:p>
            <w:pPr>
              <w:spacing w:after="0"/>
              <w:rPr>
                <w:sz w:val="20"/>
                <w:szCs w:val="20"/>
                <w:color w:val="auto"/>
              </w:rPr>
            </w:pPr>
            <w:r>
              <w:rPr>
                <w:rFonts w:ascii="Arial" w:cs="Arial" w:eastAsia="Arial" w:hAnsi="Arial"/>
                <w:sz w:val="15"/>
                <w:szCs w:val="15"/>
                <w:color w:val="auto"/>
              </w:rPr>
              <w:t>2018–2022</w:t>
            </w:r>
          </w:p>
        </w:tc>
        <w:tc>
          <w:tcPr>
            <w:tcW w:w="4340" w:type="dxa"/>
            <w:vAlign w:val="bottom"/>
          </w:tcPr>
          <w:p>
            <w:pPr>
              <w:ind w:left="410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186"/>
              <w:spacing w:after="0"/>
              <w:rPr>
                <w:sz w:val="20"/>
                <w:szCs w:val="20"/>
                <w:color w:val="auto"/>
              </w:rPr>
            </w:pPr>
            <w:r>
              <w:rPr>
                <w:rFonts w:ascii="Arial" w:cs="Arial" w:eastAsia="Arial" w:hAnsi="Arial"/>
                <w:sz w:val="15"/>
                <w:szCs w:val="15"/>
                <w:color w:val="auto"/>
              </w:rPr>
              <w:t>429,337</w:t>
            </w:r>
          </w:p>
        </w:tc>
        <w:tc>
          <w:tcPr>
            <w:tcW w:w="760" w:type="dxa"/>
            <w:vAlign w:val="bottom"/>
          </w:tcPr>
          <w:p>
            <w:pPr>
              <w:jc w:val="right"/>
              <w:ind w:right="347"/>
              <w:spacing w:after="0"/>
              <w:rPr>
                <w:sz w:val="20"/>
                <w:szCs w:val="20"/>
                <w:color w:val="auto"/>
              </w:rPr>
            </w:pPr>
            <w:r>
              <w:rPr>
                <w:rFonts w:ascii="Arial" w:cs="Arial" w:eastAsia="Arial" w:hAnsi="Arial"/>
                <w:sz w:val="15"/>
                <w:szCs w:val="15"/>
                <w:color w:val="auto"/>
              </w:rPr>
              <w:t>$</w:t>
            </w:r>
          </w:p>
        </w:tc>
      </w:tr>
    </w:tbl>
    <w:p>
      <w:pPr>
        <w:spacing w:after="0" w:line="179"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The total cost (benefit) arising from the Company’s defined benefit pension plans for the years ended December 31, 2012 and 2011, and January 2, 2 including a portion included in discontinued operations, consists of the following components: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32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Pension Plans</w:t>
            </w:r>
          </w:p>
        </w:tc>
        <w:tc>
          <w:tcPr>
            <w:tcW w:w="700" w:type="dxa"/>
            <w:vAlign w:val="bottom"/>
            <w:tcBorders>
              <w:bottom w:val="single" w:sz="8" w:color="auto"/>
            </w:tcBorders>
          </w:tcPr>
          <w:p>
            <w:pPr>
              <w:spacing w:after="0"/>
              <w:rPr>
                <w:sz w:val="13"/>
                <w:szCs w:val="13"/>
                <w:color w:val="auto"/>
              </w:rPr>
            </w:pPr>
          </w:p>
        </w:tc>
      </w:tr>
      <w:tr>
        <w:trPr>
          <w:trHeight w:val="143"/>
        </w:trPr>
        <w:tc>
          <w:tcPr>
            <w:tcW w:w="7320" w:type="dxa"/>
            <w:vAlign w:val="bottom"/>
          </w:tcPr>
          <w:p>
            <w:pPr>
              <w:spacing w:after="0"/>
              <w:rPr>
                <w:sz w:val="20"/>
                <w:szCs w:val="20"/>
                <w:color w:val="auto"/>
              </w:rPr>
            </w:pPr>
            <w:r>
              <w:rPr>
                <w:rFonts w:ascii="Arial" w:cs="Arial" w:eastAsia="Arial" w:hAnsi="Arial"/>
                <w:sz w:val="12"/>
                <w:szCs w:val="12"/>
                <w:color w:val="auto"/>
              </w:rPr>
              <w:t>(in thousands)</w:t>
            </w:r>
          </w:p>
        </w:tc>
        <w:tc>
          <w:tcPr>
            <w:tcW w:w="1160" w:type="dxa"/>
            <w:vAlign w:val="bottom"/>
          </w:tcPr>
          <w:p>
            <w:pPr>
              <w:jc w:val="right"/>
              <w:ind w:right="398"/>
              <w:spacing w:after="0"/>
              <w:rPr>
                <w:sz w:val="20"/>
                <w:szCs w:val="20"/>
                <w:color w:val="auto"/>
              </w:rPr>
            </w:pPr>
            <w:r>
              <w:rPr>
                <w:rFonts w:ascii="Arial" w:cs="Arial" w:eastAsia="Arial" w:hAnsi="Arial"/>
                <w:sz w:val="12"/>
                <w:szCs w:val="12"/>
                <w:b w:val="1"/>
                <w:bCs w:val="1"/>
                <w:color w:val="auto"/>
              </w:rPr>
              <w:t>2012</w:t>
            </w:r>
          </w:p>
        </w:tc>
        <w:tc>
          <w:tcPr>
            <w:tcW w:w="1760" w:type="dxa"/>
            <w:vAlign w:val="bottom"/>
          </w:tcPr>
          <w:p>
            <w:pPr>
              <w:jc w:val="right"/>
              <w:ind w:right="658"/>
              <w:spacing w:after="0"/>
              <w:rPr>
                <w:sz w:val="20"/>
                <w:szCs w:val="20"/>
                <w:color w:val="auto"/>
              </w:rPr>
            </w:pPr>
            <w:r>
              <w:rPr>
                <w:rFonts w:ascii="Arial" w:cs="Arial" w:eastAsia="Arial" w:hAnsi="Arial"/>
                <w:sz w:val="12"/>
                <w:szCs w:val="12"/>
                <w:color w:val="auto"/>
              </w:rPr>
              <w:t>2011</w:t>
            </w:r>
          </w:p>
        </w:tc>
        <w:tc>
          <w:tcPr>
            <w:tcW w:w="700" w:type="dxa"/>
            <w:vAlign w:val="bottom"/>
          </w:tcPr>
          <w:p>
            <w:pPr>
              <w:jc w:val="right"/>
              <w:spacing w:after="0"/>
              <w:rPr>
                <w:sz w:val="20"/>
                <w:szCs w:val="20"/>
                <w:color w:val="auto"/>
              </w:rPr>
            </w:pPr>
            <w:r>
              <w:rPr>
                <w:rFonts w:ascii="Arial" w:cs="Arial" w:eastAsia="Arial" w:hAnsi="Arial"/>
                <w:sz w:val="12"/>
                <w:szCs w:val="12"/>
                <w:color w:val="auto"/>
              </w:rPr>
              <w:t>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-8255</wp:posOffset>
            </wp:positionV>
            <wp:extent cx="695325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p>
      <w:pPr>
        <w:spacing w:after="0"/>
        <w:rPr>
          <w:sz w:val="20"/>
          <w:szCs w:val="20"/>
          <w:color w:val="auto"/>
        </w:rPr>
      </w:pPr>
      <w:r>
        <w:rPr>
          <w:rFonts w:ascii="Arial" w:cs="Arial" w:eastAsia="Arial" w:hAnsi="Arial"/>
          <w:sz w:val="15"/>
          <w:szCs w:val="15"/>
          <w:color w:val="auto"/>
        </w:rPr>
        <w:t>Service cost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Interest cost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Expected return on assets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transition asset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prior service cost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Recognized actuarial loss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Periodic Cost (Benefit) for the Year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Early retirement programs expense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Special termination benefits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Recognition of prior service cost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Cost (Benefit) for the Year</w:t>
      </w:r>
    </w:p>
    <w:p>
      <w:pPr>
        <w:spacing w:after="0" w:line="14" w:lineRule="exact"/>
        <w:rPr>
          <w:sz w:val="20"/>
          <w:szCs w:val="20"/>
          <w:color w:val="auto"/>
        </w:rPr>
      </w:pPr>
    </w:p>
    <w:p>
      <w:pPr>
        <w:jc w:val="center"/>
        <w:ind w:right="2760"/>
        <w:spacing w:after="0"/>
        <w:rPr>
          <w:sz w:val="20"/>
          <w:szCs w:val="20"/>
          <w:color w:val="auto"/>
        </w:rPr>
      </w:pPr>
      <w:r>
        <w:rPr>
          <w:rFonts w:ascii="Arial" w:cs="Arial" w:eastAsia="Arial" w:hAnsi="Arial"/>
          <w:sz w:val="14"/>
          <w:szCs w:val="14"/>
          <w:b w:val="1"/>
          <w:bCs w:val="1"/>
          <w:color w:val="auto"/>
        </w:rPr>
        <w:t>Other Changes in Plan Assets and Benefit Obligations</w:t>
      </w:r>
    </w:p>
    <w:p>
      <w:pPr>
        <w:spacing w:after="0" w:line="20" w:lineRule="exact"/>
        <w:rPr>
          <w:sz w:val="20"/>
          <w:szCs w:val="20"/>
          <w:color w:val="auto"/>
        </w:rPr>
      </w:pPr>
    </w:p>
    <w:p>
      <w:pPr>
        <w:jc w:val="center"/>
        <w:ind w:right="2740"/>
        <w:spacing w:after="0"/>
        <w:rPr>
          <w:sz w:val="20"/>
          <w:szCs w:val="20"/>
          <w:color w:val="auto"/>
        </w:rPr>
      </w:pPr>
      <w:r>
        <w:rPr>
          <w:rFonts w:ascii="Arial" w:cs="Arial" w:eastAsia="Arial" w:hAnsi="Arial"/>
          <w:sz w:val="15"/>
          <w:szCs w:val="15"/>
          <w:b w:val="1"/>
          <w:bCs w:val="1"/>
          <w:color w:val="auto"/>
        </w:rPr>
        <w:t>Recognized in Other Comprehensive Income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Current year actuarial (gain) loss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transition asset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Amortization of prior service cost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Recognized net actuarial loss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Recognized in Other Comprehensive Income (Before Tax Effects)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Total Recognized in Total Cost (Benefit) and Other</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Comprehensive Income (Before Tax Effects)</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300" w:type="dxa"/>
            <w:vAlign w:val="bottom"/>
          </w:tcPr>
          <w:p>
            <w:pPr>
              <w:jc w:val="right"/>
              <w:ind w:right="66"/>
              <w:spacing w:after="0" w:line="156" w:lineRule="exact"/>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146"/>
              <w:spacing w:after="0" w:line="156" w:lineRule="exact"/>
              <w:rPr>
                <w:sz w:val="20"/>
                <w:szCs w:val="20"/>
                <w:color w:val="auto"/>
              </w:rPr>
            </w:pPr>
            <w:r>
              <w:rPr>
                <w:rFonts w:ascii="Arial" w:cs="Arial" w:eastAsia="Arial" w:hAnsi="Arial"/>
                <w:sz w:val="15"/>
                <w:szCs w:val="15"/>
                <w:b w:val="1"/>
                <w:bCs w:val="1"/>
                <w:color w:val="auto"/>
              </w:rPr>
              <w:t>40,344</w:t>
            </w:r>
          </w:p>
        </w:tc>
        <w:tc>
          <w:tcPr>
            <w:tcW w:w="440" w:type="dxa"/>
            <w:vAlign w:val="bottom"/>
          </w:tcPr>
          <w:p>
            <w:pPr>
              <w:jc w:val="right"/>
              <w:ind w:right="46"/>
              <w:spacing w:after="0" w:line="156" w:lineRule="exact"/>
              <w:rPr>
                <w:sz w:val="20"/>
                <w:szCs w:val="20"/>
                <w:color w:val="auto"/>
              </w:rPr>
            </w:pPr>
            <w:r>
              <w:rPr>
                <w:rFonts w:ascii="Arial" w:cs="Arial" w:eastAsia="Arial" w:hAnsi="Arial"/>
                <w:sz w:val="15"/>
                <w:szCs w:val="15"/>
                <w:color w:val="auto"/>
              </w:rPr>
              <w:t>$</w:t>
            </w:r>
          </w:p>
        </w:tc>
        <w:tc>
          <w:tcPr>
            <w:tcW w:w="1040" w:type="dxa"/>
            <w:vAlign w:val="bottom"/>
          </w:tcPr>
          <w:p>
            <w:pPr>
              <w:jc w:val="right"/>
              <w:ind w:right="147"/>
              <w:spacing w:after="0" w:line="156" w:lineRule="exact"/>
              <w:rPr>
                <w:sz w:val="20"/>
                <w:szCs w:val="20"/>
                <w:color w:val="auto"/>
              </w:rPr>
            </w:pPr>
            <w:r>
              <w:rPr>
                <w:rFonts w:ascii="Arial" w:cs="Arial" w:eastAsia="Arial" w:hAnsi="Arial"/>
                <w:sz w:val="15"/>
                <w:szCs w:val="15"/>
                <w:color w:val="auto"/>
              </w:rPr>
              <w:t>27,619</w:t>
            </w: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360" w:type="dxa"/>
            <w:vAlign w:val="bottom"/>
          </w:tcPr>
          <w:p>
            <w:pPr>
              <w:spacing w:after="0"/>
              <w:rPr>
                <w:sz w:val="13"/>
                <w:szCs w:val="13"/>
                <w:color w:val="auto"/>
              </w:rPr>
            </w:pP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59,124</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60,033</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(96,132)</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(95,983)</w:t>
            </w: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3,695</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3,605</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0"/>
        </w:trPr>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9,013</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50"/>
        </w:trPr>
        <w:tc>
          <w:tcPr>
            <w:tcW w:w="300" w:type="dxa"/>
            <w:vAlign w:val="bottom"/>
          </w:tcPr>
          <w:p>
            <w:pPr>
              <w:spacing w:after="0"/>
              <w:rPr>
                <w:sz w:val="13"/>
                <w:szCs w:val="13"/>
                <w:color w:val="auto"/>
              </w:rPr>
            </w:pPr>
          </w:p>
        </w:tc>
        <w:tc>
          <w:tcPr>
            <w:tcW w:w="1040" w:type="dxa"/>
            <w:vAlign w:val="bottom"/>
          </w:tcPr>
          <w:p>
            <w:pPr>
              <w:jc w:val="right"/>
              <w:ind w:right="146"/>
              <w:spacing w:after="0" w:line="150" w:lineRule="exact"/>
              <w:rPr>
                <w:sz w:val="20"/>
                <w:szCs w:val="20"/>
                <w:color w:val="auto"/>
              </w:rPr>
            </w:pPr>
            <w:r>
              <w:rPr>
                <w:rFonts w:ascii="Arial" w:cs="Arial" w:eastAsia="Arial" w:hAnsi="Arial"/>
                <w:sz w:val="15"/>
                <w:szCs w:val="15"/>
                <w:b w:val="1"/>
                <w:bCs w:val="1"/>
                <w:color w:val="auto"/>
              </w:rPr>
              <w:t>16,044</w:t>
            </w:r>
          </w:p>
        </w:tc>
        <w:tc>
          <w:tcPr>
            <w:tcW w:w="440" w:type="dxa"/>
            <w:vAlign w:val="bottom"/>
          </w:tcPr>
          <w:p>
            <w:pPr>
              <w:spacing w:after="0"/>
              <w:rPr>
                <w:sz w:val="13"/>
                <w:szCs w:val="13"/>
                <w:color w:val="auto"/>
              </w:rPr>
            </w:pPr>
          </w:p>
        </w:tc>
        <w:tc>
          <w:tcPr>
            <w:tcW w:w="1040" w:type="dxa"/>
            <w:vAlign w:val="bottom"/>
          </w:tcPr>
          <w:p>
            <w:pPr>
              <w:jc w:val="right"/>
              <w:ind w:right="147"/>
              <w:spacing w:after="0" w:line="150" w:lineRule="exact"/>
              <w:rPr>
                <w:sz w:val="20"/>
                <w:szCs w:val="20"/>
                <w:color w:val="auto"/>
              </w:rPr>
            </w:pPr>
            <w:r>
              <w:rPr>
                <w:rFonts w:ascii="Arial" w:cs="Arial" w:eastAsia="Arial" w:hAnsi="Arial"/>
                <w:sz w:val="15"/>
                <w:szCs w:val="15"/>
                <w:color w:val="auto"/>
              </w:rPr>
              <w:t>(4,726)</w:t>
            </w:r>
          </w:p>
        </w:tc>
        <w:tc>
          <w:tcPr>
            <w:tcW w:w="440" w:type="dxa"/>
            <w:vAlign w:val="bottom"/>
          </w:tcPr>
          <w:p>
            <w:pPr>
              <w:spacing w:after="0"/>
              <w:rPr>
                <w:sz w:val="13"/>
                <w:szCs w:val="13"/>
                <w:color w:val="auto"/>
              </w:rPr>
            </w:pPr>
          </w:p>
        </w:tc>
        <w:tc>
          <w:tcPr>
            <w:tcW w:w="36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8,508</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634</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0"/>
        </w:trPr>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66"/>
        </w:trPr>
        <w:tc>
          <w:tcPr>
            <w:tcW w:w="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24,552</w:t>
            </w:r>
          </w:p>
        </w:tc>
        <w:tc>
          <w:tcPr>
            <w:tcW w:w="4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color w:val="auto"/>
              </w:rPr>
              <w:t>(4,092)</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14"/>
                <w:szCs w:val="14"/>
                <w:color w:val="auto"/>
              </w:rPr>
            </w:pPr>
          </w:p>
        </w:tc>
      </w:tr>
      <w:tr>
        <w:trPr>
          <w:trHeight w:val="497"/>
        </w:trPr>
        <w:tc>
          <w:tcPr>
            <w:tcW w:w="30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(79,405)</w:t>
            </w:r>
          </w:p>
        </w:tc>
        <w:tc>
          <w:tcPr>
            <w:tcW w:w="4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7,046</w:t>
            </w:r>
          </w:p>
        </w:tc>
        <w:tc>
          <w:tcPr>
            <w:tcW w:w="4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4"/>
        </w:trPr>
        <w:tc>
          <w:tcPr>
            <w:tcW w:w="300" w:type="dxa"/>
            <w:vAlign w:val="bottom"/>
          </w:tcPr>
          <w:p>
            <w:pPr>
              <w:spacing w:after="0"/>
              <w:rPr>
                <w:sz w:val="15"/>
                <w:szCs w:val="15"/>
                <w:color w:val="auto"/>
              </w:rPr>
            </w:pPr>
          </w:p>
        </w:tc>
        <w:tc>
          <w:tcPr>
            <w:tcW w:w="1040" w:type="dxa"/>
            <w:vAlign w:val="bottom"/>
          </w:tcPr>
          <w:p>
            <w:pPr>
              <w:jc w:val="right"/>
              <w:ind w:right="146"/>
              <w:spacing w:after="0"/>
              <w:rPr>
                <w:sz w:val="20"/>
                <w:szCs w:val="20"/>
                <w:color w:val="auto"/>
              </w:rPr>
            </w:pPr>
            <w:r>
              <w:rPr>
                <w:rFonts w:ascii="Arial" w:cs="Arial" w:eastAsia="Arial" w:hAnsi="Arial"/>
                <w:sz w:val="15"/>
                <w:szCs w:val="15"/>
                <w:b w:val="1"/>
                <w:bCs w:val="1"/>
                <w:color w:val="auto"/>
              </w:rPr>
              <w:t>(3,695)</w:t>
            </w:r>
          </w:p>
        </w:tc>
        <w:tc>
          <w:tcPr>
            <w:tcW w:w="440" w:type="dxa"/>
            <w:vAlign w:val="bottom"/>
          </w:tcPr>
          <w:p>
            <w:pPr>
              <w:spacing w:after="0"/>
              <w:rPr>
                <w:sz w:val="15"/>
                <w:szCs w:val="15"/>
                <w:color w:val="auto"/>
              </w:rPr>
            </w:pPr>
          </w:p>
        </w:tc>
        <w:tc>
          <w:tcPr>
            <w:tcW w:w="1040" w:type="dxa"/>
            <w:vAlign w:val="bottom"/>
          </w:tcPr>
          <w:p>
            <w:pPr>
              <w:jc w:val="right"/>
              <w:ind w:right="147"/>
              <w:spacing w:after="0"/>
              <w:rPr>
                <w:sz w:val="20"/>
                <w:szCs w:val="20"/>
                <w:color w:val="auto"/>
              </w:rPr>
            </w:pPr>
            <w:r>
              <w:rPr>
                <w:rFonts w:ascii="Arial" w:cs="Arial" w:eastAsia="Arial" w:hAnsi="Arial"/>
                <w:sz w:val="15"/>
                <w:szCs w:val="15"/>
                <w:color w:val="auto"/>
              </w:rPr>
              <w:t>(1,463)</w:t>
            </w:r>
          </w:p>
        </w:tc>
        <w:tc>
          <w:tcPr>
            <w:tcW w:w="4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0"/>
        </w:trPr>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(9,013)</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66"/>
        </w:trPr>
        <w:tc>
          <w:tcPr>
            <w:tcW w:w="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(92,113)</w:t>
            </w:r>
          </w:p>
        </w:tc>
        <w:tc>
          <w:tcPr>
            <w:tcW w:w="4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color w:val="auto"/>
              </w:rPr>
              <w:t>5,583</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(13</w:t>
            </w:r>
          </w:p>
        </w:tc>
      </w:tr>
      <w:tr>
        <w:trPr>
          <w:trHeight w:val="340"/>
        </w:trPr>
        <w:tc>
          <w:tcPr>
            <w:tcW w:w="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(67,561)</w:t>
            </w:r>
          </w:p>
        </w:tc>
        <w:tc>
          <w:tcPr>
            <w:tcW w:w="4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1,491</w:t>
            </w:r>
          </w:p>
        </w:tc>
        <w:tc>
          <w:tcPr>
            <w:tcW w:w="4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424"/>
        </w:trPr>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SERP</w:t>
            </w: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129"/>
        </w:trPr>
        <w:tc>
          <w:tcPr>
            <w:tcW w:w="300" w:type="dxa"/>
            <w:vAlign w:val="bottom"/>
          </w:tcPr>
          <w:p>
            <w:pPr>
              <w:spacing w:after="0"/>
              <w:rPr>
                <w:sz w:val="11"/>
                <w:szCs w:val="11"/>
                <w:color w:val="auto"/>
              </w:rPr>
            </w:pPr>
          </w:p>
        </w:tc>
        <w:tc>
          <w:tcPr>
            <w:tcW w:w="1040" w:type="dxa"/>
            <w:vAlign w:val="bottom"/>
          </w:tcPr>
          <w:p>
            <w:pPr>
              <w:jc w:val="right"/>
              <w:ind w:right="566"/>
              <w:spacing w:after="0" w:line="129" w:lineRule="exact"/>
              <w:rPr>
                <w:sz w:val="20"/>
                <w:szCs w:val="20"/>
                <w:color w:val="auto"/>
              </w:rPr>
            </w:pPr>
            <w:r>
              <w:rPr>
                <w:rFonts w:ascii="Arial" w:cs="Arial" w:eastAsia="Arial" w:hAnsi="Arial"/>
                <w:sz w:val="12"/>
                <w:szCs w:val="12"/>
                <w:b w:val="1"/>
                <w:bCs w:val="1"/>
                <w:color w:val="auto"/>
              </w:rPr>
              <w:t>2012</w:t>
            </w:r>
          </w:p>
        </w:tc>
        <w:tc>
          <w:tcPr>
            <w:tcW w:w="440" w:type="dxa"/>
            <w:vAlign w:val="bottom"/>
          </w:tcPr>
          <w:p>
            <w:pPr>
              <w:spacing w:after="0"/>
              <w:rPr>
                <w:sz w:val="11"/>
                <w:szCs w:val="11"/>
                <w:color w:val="auto"/>
              </w:rPr>
            </w:pPr>
          </w:p>
        </w:tc>
        <w:tc>
          <w:tcPr>
            <w:tcW w:w="1040" w:type="dxa"/>
            <w:vAlign w:val="bottom"/>
          </w:tcPr>
          <w:p>
            <w:pPr>
              <w:jc w:val="right"/>
              <w:ind w:right="547"/>
              <w:spacing w:after="0" w:line="129" w:lineRule="exact"/>
              <w:rPr>
                <w:sz w:val="20"/>
                <w:szCs w:val="20"/>
                <w:color w:val="auto"/>
              </w:rPr>
            </w:pPr>
            <w:r>
              <w:rPr>
                <w:rFonts w:ascii="Arial" w:cs="Arial" w:eastAsia="Arial" w:hAnsi="Arial"/>
                <w:sz w:val="12"/>
                <w:szCs w:val="12"/>
                <w:color w:val="auto"/>
              </w:rPr>
              <w:t>2011</w:t>
            </w:r>
          </w:p>
        </w:tc>
        <w:tc>
          <w:tcPr>
            <w:tcW w:w="44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color w:val="auto"/>
              </w:rPr>
              <w:t>201</w:t>
            </w:r>
          </w:p>
        </w:tc>
      </w:tr>
    </w:tbl>
    <w:p>
      <w:pPr>
        <w:spacing w:after="0" w:line="1" w:lineRule="exact"/>
        <w:rPr>
          <w:sz w:val="20"/>
          <w:szCs w:val="20"/>
          <w:color w:val="auto"/>
        </w:rPr>
      </w:pPr>
    </w:p>
    <w:p>
      <w:pPr>
        <w:sectPr>
          <w:pgSz w:w="11900" w:h="16838" w:orient="portrait"/>
          <w:cols w:equalWidth="0" w:num="2">
            <w:col w:w="6600" w:space="720"/>
            <w:col w:w="3620"/>
          </w:cols>
          <w:pgMar w:left="820" w:top="548" w:right="1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7320" w:type="dxa"/>
            <w:vAlign w:val="bottom"/>
            <w:tcBorders>
              <w:top w:val="single" w:sz="8" w:color="auto"/>
            </w:tcBorders>
          </w:tcPr>
          <w:p>
            <w:pPr>
              <w:spacing w:after="0" w:line="150" w:lineRule="exact"/>
              <w:rPr>
                <w:sz w:val="20"/>
                <w:szCs w:val="20"/>
                <w:color w:val="auto"/>
              </w:rPr>
            </w:pPr>
            <w:r>
              <w:rPr>
                <w:rFonts w:ascii="Arial" w:cs="Arial" w:eastAsia="Arial" w:hAnsi="Arial"/>
                <w:sz w:val="15"/>
                <w:szCs w:val="15"/>
                <w:color w:val="auto"/>
              </w:rPr>
              <w:t>Service cost</w:t>
            </w:r>
          </w:p>
        </w:tc>
        <w:tc>
          <w:tcPr>
            <w:tcW w:w="400" w:type="dxa"/>
            <w:vAlign w:val="bottom"/>
            <w:tcBorders>
              <w:top w:val="single" w:sz="8" w:color="auto"/>
            </w:tcBorders>
          </w:tcPr>
          <w:p>
            <w:pPr>
              <w:jc w:val="right"/>
              <w:ind w:right="166"/>
              <w:spacing w:after="0" w:line="150" w:lineRule="exact"/>
              <w:rPr>
                <w:sz w:val="20"/>
                <w:szCs w:val="20"/>
                <w:color w:val="auto"/>
              </w:rPr>
            </w:pPr>
            <w:r>
              <w:rPr>
                <w:rFonts w:ascii="Arial" w:cs="Arial" w:eastAsia="Arial" w:hAnsi="Arial"/>
                <w:sz w:val="15"/>
                <w:szCs w:val="15"/>
                <w:b w:val="1"/>
                <w:bCs w:val="1"/>
                <w:color w:val="auto"/>
              </w:rPr>
              <w:t>$</w:t>
            </w:r>
          </w:p>
        </w:tc>
        <w:tc>
          <w:tcPr>
            <w:tcW w:w="940" w:type="dxa"/>
            <w:vAlign w:val="bottom"/>
            <w:tcBorders>
              <w:top w:val="single" w:sz="8" w:color="auto"/>
            </w:tcBorders>
          </w:tcPr>
          <w:p>
            <w:pPr>
              <w:jc w:val="right"/>
              <w:ind w:right="146"/>
              <w:spacing w:after="0" w:line="150" w:lineRule="exact"/>
              <w:rPr>
                <w:sz w:val="20"/>
                <w:szCs w:val="20"/>
                <w:color w:val="auto"/>
              </w:rPr>
            </w:pPr>
            <w:r>
              <w:rPr>
                <w:rFonts w:ascii="Arial" w:cs="Arial" w:eastAsia="Arial" w:hAnsi="Arial"/>
                <w:sz w:val="15"/>
                <w:szCs w:val="15"/>
                <w:b w:val="1"/>
                <w:bCs w:val="1"/>
                <w:color w:val="auto"/>
              </w:rPr>
              <w:t>1,467</w:t>
            </w:r>
          </w:p>
        </w:tc>
        <w:tc>
          <w:tcPr>
            <w:tcW w:w="560" w:type="dxa"/>
            <w:vAlign w:val="bottom"/>
            <w:tcBorders>
              <w:top w:val="single" w:sz="8" w:color="auto"/>
            </w:tcBorders>
          </w:tcPr>
          <w:p>
            <w:pPr>
              <w:jc w:val="right"/>
              <w:ind w:right="166"/>
              <w:spacing w:after="0" w:line="150" w:lineRule="exact"/>
              <w:rPr>
                <w:sz w:val="20"/>
                <w:szCs w:val="20"/>
                <w:color w:val="auto"/>
              </w:rPr>
            </w:pPr>
            <w:r>
              <w:rPr>
                <w:rFonts w:ascii="Arial" w:cs="Arial" w:eastAsia="Arial" w:hAnsi="Arial"/>
                <w:sz w:val="15"/>
                <w:szCs w:val="15"/>
                <w:color w:val="auto"/>
              </w:rPr>
              <w:t>$</w:t>
            </w:r>
          </w:p>
        </w:tc>
        <w:tc>
          <w:tcPr>
            <w:tcW w:w="920" w:type="dxa"/>
            <w:vAlign w:val="bottom"/>
            <w:tcBorders>
              <w:top w:val="single" w:sz="8" w:color="auto"/>
            </w:tcBorders>
          </w:tcPr>
          <w:p>
            <w:pPr>
              <w:jc w:val="right"/>
              <w:ind w:right="146"/>
              <w:spacing w:after="0" w:line="150" w:lineRule="exact"/>
              <w:rPr>
                <w:sz w:val="20"/>
                <w:szCs w:val="20"/>
                <w:color w:val="auto"/>
              </w:rPr>
            </w:pPr>
            <w:r>
              <w:rPr>
                <w:rFonts w:ascii="Arial" w:cs="Arial" w:eastAsia="Arial" w:hAnsi="Arial"/>
                <w:sz w:val="15"/>
                <w:szCs w:val="15"/>
                <w:color w:val="auto"/>
              </w:rPr>
              <w:t>1,655</w:t>
            </w:r>
          </w:p>
        </w:tc>
        <w:tc>
          <w:tcPr>
            <w:tcW w:w="800" w:type="dxa"/>
            <w:vAlign w:val="bottom"/>
            <w:tcBorders>
              <w:top w:val="single" w:sz="8" w:color="auto"/>
            </w:tcBorders>
          </w:tcPr>
          <w:p>
            <w:pPr>
              <w:jc w:val="right"/>
              <w:ind w:right="426"/>
              <w:spacing w:after="0" w:line="15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Interest cost</w:t>
            </w:r>
          </w:p>
        </w:tc>
        <w:tc>
          <w:tcPr>
            <w:tcW w:w="400" w:type="dxa"/>
            <w:vAlign w:val="bottom"/>
          </w:tcPr>
          <w:p>
            <w:pPr>
              <w:spacing w:after="0"/>
              <w:rPr>
                <w:sz w:val="15"/>
                <w:szCs w:val="15"/>
                <w:color w:val="auto"/>
              </w:rPr>
            </w:pPr>
          </w:p>
        </w:tc>
        <w:tc>
          <w:tcPr>
            <w:tcW w:w="940" w:type="dxa"/>
            <w:vAlign w:val="bottom"/>
          </w:tcPr>
          <w:p>
            <w:pPr>
              <w:jc w:val="right"/>
              <w:ind w:right="146"/>
              <w:spacing w:after="0"/>
              <w:rPr>
                <w:sz w:val="20"/>
                <w:szCs w:val="20"/>
                <w:color w:val="auto"/>
              </w:rPr>
            </w:pPr>
            <w:r>
              <w:rPr>
                <w:rFonts w:ascii="Arial" w:cs="Arial" w:eastAsia="Arial" w:hAnsi="Arial"/>
                <w:sz w:val="15"/>
                <w:szCs w:val="15"/>
                <w:b w:val="1"/>
                <w:bCs w:val="1"/>
                <w:color w:val="auto"/>
              </w:rPr>
              <w:t>4,241</w:t>
            </w:r>
          </w:p>
        </w:tc>
        <w:tc>
          <w:tcPr>
            <w:tcW w:w="560" w:type="dxa"/>
            <w:vAlign w:val="bottom"/>
          </w:tcPr>
          <w:p>
            <w:pPr>
              <w:spacing w:after="0"/>
              <w:rPr>
                <w:sz w:val="15"/>
                <w:szCs w:val="15"/>
                <w:color w:val="auto"/>
              </w:rPr>
            </w:pP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4,342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Plan amendment</w:t>
            </w:r>
          </w:p>
        </w:tc>
        <w:tc>
          <w:tcPr>
            <w:tcW w:w="400" w:type="dxa"/>
            <w:vAlign w:val="bottom"/>
          </w:tcPr>
          <w:p>
            <w:pPr>
              <w:spacing w:after="0"/>
              <w:rPr>
                <w:sz w:val="15"/>
                <w:szCs w:val="15"/>
                <w:color w:val="auto"/>
              </w:rPr>
            </w:pPr>
          </w:p>
        </w:tc>
        <w:tc>
          <w:tcPr>
            <w:tcW w:w="94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spacing w:after="0"/>
              <w:rPr>
                <w:sz w:val="15"/>
                <w:szCs w:val="15"/>
                <w:color w:val="auto"/>
              </w:rPr>
            </w:pP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369</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400" w:type="dxa"/>
            <w:vAlign w:val="bottom"/>
          </w:tcPr>
          <w:p>
            <w:pPr>
              <w:spacing w:after="0"/>
              <w:rPr>
                <w:sz w:val="15"/>
                <w:szCs w:val="15"/>
                <w:color w:val="auto"/>
              </w:rPr>
            </w:pPr>
          </w:p>
        </w:tc>
        <w:tc>
          <w:tcPr>
            <w:tcW w:w="940" w:type="dxa"/>
            <w:vAlign w:val="bottom"/>
          </w:tcPr>
          <w:p>
            <w:pPr>
              <w:jc w:val="right"/>
              <w:ind w:right="146"/>
              <w:spacing w:after="0"/>
              <w:rPr>
                <w:sz w:val="20"/>
                <w:szCs w:val="20"/>
                <w:color w:val="auto"/>
              </w:rPr>
            </w:pPr>
            <w:r>
              <w:rPr>
                <w:rFonts w:ascii="Arial" w:cs="Arial" w:eastAsia="Arial" w:hAnsi="Arial"/>
                <w:sz w:val="15"/>
                <w:szCs w:val="15"/>
                <w:b w:val="1"/>
                <w:bCs w:val="1"/>
                <w:color w:val="auto"/>
              </w:rPr>
              <w:t>54</w:t>
            </w:r>
          </w:p>
        </w:tc>
        <w:tc>
          <w:tcPr>
            <w:tcW w:w="560" w:type="dxa"/>
            <w:vAlign w:val="bottom"/>
          </w:tcPr>
          <w:p>
            <w:pPr>
              <w:spacing w:after="0"/>
              <w:rPr>
                <w:sz w:val="15"/>
                <w:szCs w:val="15"/>
                <w:color w:val="auto"/>
              </w:rPr>
            </w:pP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260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1,833</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1,411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32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 for the Year</w:t>
            </w:r>
          </w:p>
        </w:tc>
        <w:tc>
          <w:tcPr>
            <w:tcW w:w="40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7,595</w:t>
            </w:r>
          </w:p>
        </w:tc>
        <w:tc>
          <w:tcPr>
            <w:tcW w:w="56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8,037</w:t>
            </w:r>
          </w:p>
        </w:tc>
        <w:tc>
          <w:tcPr>
            <w:tcW w:w="800" w:type="dxa"/>
            <w:vAlign w:val="bottom"/>
            <w:tcBorders>
              <w:bottom w:val="single" w:sz="8" w:color="auto"/>
            </w:tcBorders>
          </w:tcPr>
          <w:p>
            <w:pPr>
              <w:jc w:val="right"/>
              <w:ind w:right="426"/>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7320" w:type="dxa"/>
            <w:vAlign w:val="bottom"/>
          </w:tcPr>
          <w:p>
            <w:pPr>
              <w:spacing w:after="0" w:line="150" w:lineRule="exact"/>
              <w:rPr>
                <w:sz w:val="20"/>
                <w:szCs w:val="20"/>
                <w:color w:val="auto"/>
              </w:rPr>
            </w:pPr>
            <w:r>
              <w:rPr>
                <w:rFonts w:ascii="Arial" w:cs="Arial" w:eastAsia="Arial" w:hAnsi="Arial"/>
                <w:sz w:val="15"/>
                <w:szCs w:val="15"/>
                <w:b w:val="1"/>
                <w:bCs w:val="1"/>
                <w:color w:val="auto"/>
              </w:rPr>
              <w:t>Other Changes in Benefit Obligations Recognized in</w:t>
            </w:r>
          </w:p>
        </w:tc>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20" w:type="dxa"/>
            <w:vAlign w:val="bottom"/>
          </w:tcPr>
          <w:p>
            <w:pPr>
              <w:ind w:left="340"/>
              <w:spacing w:after="0"/>
              <w:rPr>
                <w:sz w:val="20"/>
                <w:szCs w:val="20"/>
                <w:color w:val="auto"/>
              </w:rPr>
            </w:pPr>
            <w:r>
              <w:rPr>
                <w:rFonts w:ascii="Arial" w:cs="Arial" w:eastAsia="Arial" w:hAnsi="Arial"/>
                <w:sz w:val="15"/>
                <w:szCs w:val="15"/>
                <w:b w:val="1"/>
                <w:bCs w:val="1"/>
                <w:color w:val="auto"/>
              </w:rPr>
              <w:t>Other Comprehensive Income</w:t>
            </w:r>
          </w:p>
        </w:tc>
        <w:tc>
          <w:tcPr>
            <w:tcW w:w="400" w:type="dxa"/>
            <w:vAlign w:val="bottom"/>
            <w:vMerge w:val="restart"/>
          </w:tcPr>
          <w:p>
            <w:pPr>
              <w:jc w:val="right"/>
              <w:ind w:right="16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8,428</w:t>
            </w: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320" w:type="dxa"/>
            <w:vAlign w:val="bottom"/>
          </w:tcPr>
          <w:p>
            <w:pPr>
              <w:spacing w:after="0" w:line="156" w:lineRule="exact"/>
              <w:rPr>
                <w:sz w:val="20"/>
                <w:szCs w:val="20"/>
                <w:color w:val="auto"/>
              </w:rPr>
            </w:pPr>
            <w:r>
              <w:rPr>
                <w:rFonts w:ascii="Arial" w:cs="Arial" w:eastAsia="Arial" w:hAnsi="Arial"/>
                <w:sz w:val="15"/>
                <w:szCs w:val="15"/>
                <w:color w:val="auto"/>
              </w:rPr>
              <w:t>Current year actuarial loss</w:t>
            </w:r>
          </w:p>
        </w:tc>
        <w:tc>
          <w:tcPr>
            <w:tcW w:w="4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560" w:type="dxa"/>
            <w:vAlign w:val="bottom"/>
          </w:tcPr>
          <w:p>
            <w:pPr>
              <w:jc w:val="right"/>
              <w:ind w:right="166"/>
              <w:spacing w:after="0" w:line="156"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9,059</w:t>
            </w:r>
          </w:p>
        </w:tc>
        <w:tc>
          <w:tcPr>
            <w:tcW w:w="800" w:type="dxa"/>
            <w:vAlign w:val="bottom"/>
          </w:tcPr>
          <w:p>
            <w:pPr>
              <w:jc w:val="right"/>
              <w:ind w:right="426"/>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400" w:type="dxa"/>
            <w:vAlign w:val="bottom"/>
          </w:tcPr>
          <w:p>
            <w:pPr>
              <w:spacing w:after="0"/>
              <w:rPr>
                <w:sz w:val="15"/>
                <w:szCs w:val="15"/>
                <w:color w:val="auto"/>
              </w:rPr>
            </w:pPr>
          </w:p>
        </w:tc>
        <w:tc>
          <w:tcPr>
            <w:tcW w:w="940" w:type="dxa"/>
            <w:vAlign w:val="bottom"/>
          </w:tcPr>
          <w:p>
            <w:pPr>
              <w:jc w:val="right"/>
              <w:ind w:right="146"/>
              <w:spacing w:after="0"/>
              <w:rPr>
                <w:sz w:val="20"/>
                <w:szCs w:val="20"/>
                <w:color w:val="auto"/>
              </w:rPr>
            </w:pPr>
            <w:r>
              <w:rPr>
                <w:rFonts w:ascii="Arial" w:cs="Arial" w:eastAsia="Arial" w:hAnsi="Arial"/>
                <w:sz w:val="15"/>
                <w:szCs w:val="15"/>
                <w:b w:val="1"/>
                <w:bCs w:val="1"/>
                <w:color w:val="auto"/>
              </w:rPr>
              <w:t>(54)</w:t>
            </w:r>
          </w:p>
        </w:tc>
        <w:tc>
          <w:tcPr>
            <w:tcW w:w="560" w:type="dxa"/>
            <w:vAlign w:val="bottom"/>
          </w:tcPr>
          <w:p>
            <w:pPr>
              <w:spacing w:after="0"/>
              <w:rPr>
                <w:sz w:val="15"/>
                <w:szCs w:val="15"/>
                <w:color w:val="auto"/>
              </w:rPr>
            </w:pP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(260)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20" w:type="dxa"/>
            <w:vAlign w:val="bottom"/>
          </w:tcPr>
          <w:p>
            <w:pPr>
              <w:spacing w:after="0"/>
              <w:rPr>
                <w:sz w:val="20"/>
                <w:szCs w:val="20"/>
                <w:color w:val="auto"/>
              </w:rPr>
            </w:pPr>
            <w:r>
              <w:rPr>
                <w:rFonts w:ascii="Arial" w:cs="Arial" w:eastAsia="Arial" w:hAnsi="Arial"/>
                <w:sz w:val="15"/>
                <w:szCs w:val="15"/>
                <w:color w:val="auto"/>
              </w:rPr>
              <w:t>Recognized net actuarial loss</w:t>
            </w:r>
          </w:p>
        </w:tc>
        <w:tc>
          <w:tcPr>
            <w:tcW w:w="400" w:type="dxa"/>
            <w:vAlign w:val="bottom"/>
          </w:tcPr>
          <w:p>
            <w:pPr>
              <w:spacing w:after="0"/>
              <w:rPr>
                <w:sz w:val="15"/>
                <w:szCs w:val="15"/>
                <w:color w:val="auto"/>
              </w:rPr>
            </w:pPr>
          </w:p>
        </w:tc>
        <w:tc>
          <w:tcPr>
            <w:tcW w:w="940" w:type="dxa"/>
            <w:vAlign w:val="bottom"/>
          </w:tcPr>
          <w:p>
            <w:pPr>
              <w:jc w:val="right"/>
              <w:ind w:right="146"/>
              <w:spacing w:after="0"/>
              <w:rPr>
                <w:sz w:val="20"/>
                <w:szCs w:val="20"/>
                <w:color w:val="auto"/>
              </w:rPr>
            </w:pPr>
            <w:r>
              <w:rPr>
                <w:rFonts w:ascii="Arial" w:cs="Arial" w:eastAsia="Arial" w:hAnsi="Arial"/>
                <w:sz w:val="15"/>
                <w:szCs w:val="15"/>
                <w:b w:val="1"/>
                <w:bCs w:val="1"/>
                <w:color w:val="auto"/>
              </w:rPr>
              <w:t>(1,833)</w:t>
            </w:r>
          </w:p>
        </w:tc>
        <w:tc>
          <w:tcPr>
            <w:tcW w:w="560" w:type="dxa"/>
            <w:vAlign w:val="bottom"/>
          </w:tcPr>
          <w:p>
            <w:pPr>
              <w:spacing w:after="0"/>
              <w:rPr>
                <w:sz w:val="15"/>
                <w:szCs w:val="15"/>
                <w:color w:val="auto"/>
              </w:rPr>
            </w:pPr>
          </w:p>
        </w:tc>
        <w:tc>
          <w:tcPr>
            <w:tcW w:w="920" w:type="dxa"/>
            <w:vAlign w:val="bottom"/>
          </w:tcPr>
          <w:p>
            <w:pPr>
              <w:jc w:val="right"/>
              <w:ind w:right="146"/>
              <w:spacing w:after="0"/>
              <w:rPr>
                <w:sz w:val="20"/>
                <w:szCs w:val="20"/>
                <w:color w:val="auto"/>
              </w:rPr>
            </w:pPr>
            <w:r>
              <w:rPr>
                <w:rFonts w:ascii="Arial" w:cs="Arial" w:eastAsia="Arial" w:hAnsi="Arial"/>
                <w:sz w:val="15"/>
                <w:szCs w:val="15"/>
                <w:color w:val="auto"/>
              </w:rPr>
              <w:t>(1,411)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rPr>
                <w:sz w:val="20"/>
                <w:szCs w:val="20"/>
                <w:color w:val="auto"/>
              </w:rPr>
            </w:pPr>
            <w:r>
              <w:rPr>
                <w:rFonts w:ascii="Arial" w:cs="Arial" w:eastAsia="Arial" w:hAnsi="Arial"/>
                <w:sz w:val="15"/>
                <w:szCs w:val="15"/>
                <w:color w:val="auto"/>
              </w:rPr>
              <w:t>Other adjustments</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745</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320" w:type="dxa"/>
            <w:vAlign w:val="bottom"/>
          </w:tcPr>
          <w:p>
            <w:pPr>
              <w:spacing w:after="0" w:line="167" w:lineRule="exact"/>
              <w:rPr>
                <w:sz w:val="20"/>
                <w:szCs w:val="20"/>
                <w:color w:val="auto"/>
              </w:rPr>
            </w:pPr>
            <w:r>
              <w:rPr>
                <w:rFonts w:ascii="Arial" w:cs="Arial" w:eastAsia="Arial" w:hAnsi="Arial"/>
                <w:sz w:val="15"/>
                <w:szCs w:val="15"/>
                <w:b w:val="1"/>
                <w:bCs w:val="1"/>
                <w:color w:val="auto"/>
              </w:rPr>
              <w:t>Total Recognized in Other Comprehensive Income (Before Tax Effects)</w:t>
            </w:r>
          </w:p>
        </w:tc>
        <w:tc>
          <w:tcPr>
            <w:tcW w:w="40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7,286</w:t>
            </w:r>
          </w:p>
        </w:tc>
        <w:tc>
          <w:tcPr>
            <w:tcW w:w="560" w:type="dxa"/>
            <w:vAlign w:val="bottom"/>
            <w:tcBorders>
              <w:bottom w:val="single" w:sz="8" w:color="auto"/>
            </w:tcBorders>
          </w:tcPr>
          <w:p>
            <w:pPr>
              <w:jc w:val="right"/>
              <w:ind w:right="16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7,388</w:t>
            </w:r>
          </w:p>
        </w:tc>
        <w:tc>
          <w:tcPr>
            <w:tcW w:w="800" w:type="dxa"/>
            <w:vAlign w:val="bottom"/>
            <w:tcBorders>
              <w:bottom w:val="single" w:sz="8" w:color="auto"/>
            </w:tcBorders>
          </w:tcPr>
          <w:p>
            <w:pPr>
              <w:jc w:val="right"/>
              <w:ind w:right="426"/>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7320" w:type="dxa"/>
            <w:vAlign w:val="bottom"/>
          </w:tcPr>
          <w:p>
            <w:pPr>
              <w:spacing w:after="0" w:line="162" w:lineRule="exact"/>
              <w:rPr>
                <w:sz w:val="20"/>
                <w:szCs w:val="20"/>
                <w:color w:val="auto"/>
              </w:rPr>
            </w:pPr>
            <w:r>
              <w:rPr>
                <w:rFonts w:ascii="Arial" w:cs="Arial" w:eastAsia="Arial" w:hAnsi="Arial"/>
                <w:sz w:val="15"/>
                <w:szCs w:val="15"/>
                <w:b w:val="1"/>
                <w:bCs w:val="1"/>
                <w:color w:val="auto"/>
              </w:rPr>
              <w:t>Total Recognized in Total Cost and Other Comprehensive</w:t>
            </w:r>
          </w:p>
        </w:tc>
        <w:tc>
          <w:tcPr>
            <w:tcW w:w="400" w:type="dxa"/>
            <w:vAlign w:val="bottom"/>
            <w:vMerge w:val="restart"/>
          </w:tcPr>
          <w:p>
            <w:pPr>
              <w:jc w:val="right"/>
              <w:ind w:right="166"/>
              <w:spacing w:after="0"/>
              <w:rPr>
                <w:sz w:val="20"/>
                <w:szCs w:val="20"/>
                <w:color w:val="auto"/>
              </w:rPr>
            </w:pPr>
            <w:r>
              <w:rPr>
                <w:rFonts w:ascii="Arial" w:cs="Arial" w:eastAsia="Arial" w:hAnsi="Arial"/>
                <w:sz w:val="15"/>
                <w:szCs w:val="15"/>
                <w:b w:val="1"/>
                <w:bCs w:val="1"/>
                <w:color w:val="auto"/>
              </w:rPr>
              <w:t>$</w:t>
            </w:r>
          </w:p>
        </w:tc>
        <w:tc>
          <w:tcPr>
            <w:tcW w:w="940" w:type="dxa"/>
            <w:vAlign w:val="bottom"/>
            <w:vMerge w:val="restart"/>
          </w:tcPr>
          <w:p>
            <w:pPr>
              <w:jc w:val="right"/>
              <w:ind w:right="146"/>
              <w:spacing w:after="0"/>
              <w:rPr>
                <w:sz w:val="20"/>
                <w:szCs w:val="20"/>
                <w:color w:val="auto"/>
              </w:rPr>
            </w:pPr>
            <w:r>
              <w:rPr>
                <w:rFonts w:ascii="Arial" w:cs="Arial" w:eastAsia="Arial" w:hAnsi="Arial"/>
                <w:sz w:val="15"/>
                <w:szCs w:val="15"/>
                <w:b w:val="1"/>
                <w:bCs w:val="1"/>
                <w:color w:val="auto"/>
              </w:rPr>
              <w:t>14,881</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320" w:type="dxa"/>
            <w:vAlign w:val="bottom"/>
          </w:tcPr>
          <w:p>
            <w:pPr>
              <w:ind w:left="340"/>
              <w:spacing w:after="0"/>
              <w:rPr>
                <w:sz w:val="20"/>
                <w:szCs w:val="20"/>
                <w:color w:val="auto"/>
              </w:rPr>
            </w:pPr>
            <w:r>
              <w:rPr>
                <w:rFonts w:ascii="Arial" w:cs="Arial" w:eastAsia="Arial" w:hAnsi="Arial"/>
                <w:sz w:val="15"/>
                <w:szCs w:val="15"/>
                <w:b w:val="1"/>
                <w:bCs w:val="1"/>
                <w:color w:val="auto"/>
              </w:rPr>
              <w:t>Income (Before Tax Effects)</w:t>
            </w:r>
          </w:p>
        </w:tc>
        <w:tc>
          <w:tcPr>
            <w:tcW w:w="4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15,425</w:t>
            </w:r>
          </w:p>
        </w:tc>
        <w:tc>
          <w:tcPr>
            <w:tcW w:w="800" w:type="dxa"/>
            <w:vAlign w:val="bottom"/>
            <w:tcBorders>
              <w:bottom w:val="single" w:sz="8" w:color="auto"/>
            </w:tcBorders>
          </w:tcPr>
          <w:p>
            <w:pPr>
              <w:jc w:val="right"/>
              <w:ind w:right="42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type w:val="continuous"/>
        </w:sectPr>
      </w:pPr>
    </w:p>
    <w:bookmarkStart w:id="110" w:name="page111"/>
    <w:bookmarkEnd w:id="110"/>
    <w:p>
      <w:pPr>
        <w:ind w:right="40"/>
        <w:spacing w:after="0" w:line="235" w:lineRule="auto"/>
        <w:rPr>
          <w:sz w:val="20"/>
          <w:szCs w:val="20"/>
          <w:color w:val="auto"/>
        </w:rPr>
      </w:pPr>
      <w:r>
        <w:rPr>
          <w:rFonts w:ascii="Arial" w:cs="Arial" w:eastAsia="Arial" w:hAnsi="Arial"/>
          <w:sz w:val="17"/>
          <w:szCs w:val="17"/>
          <w:color w:val="auto"/>
        </w:rPr>
        <w:t>The costs for the Company’s defined benefit pension plans are actuarially determined. Below are the key assumptions utilized to determine periodic c the years ended December 31, 2012 and 2011, and January 2,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rPr>
              <w:t>Pension Plans</w:t>
            </w:r>
          </w:p>
        </w:tc>
        <w:tc>
          <w:tcPr>
            <w:tcW w:w="9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SERP</w:t>
            </w:r>
          </w:p>
        </w:tc>
        <w:tc>
          <w:tcPr>
            <w:tcW w:w="240" w:type="dxa"/>
            <w:vAlign w:val="bottom"/>
            <w:tcBorders>
              <w:bottom w:val="single" w:sz="8" w:color="auto"/>
            </w:tcBorders>
          </w:tcPr>
          <w:p>
            <w:pPr>
              <w:spacing w:after="0"/>
              <w:rPr>
                <w:sz w:val="13"/>
                <w:szCs w:val="13"/>
                <w:color w:val="auto"/>
              </w:rPr>
            </w:pPr>
          </w:p>
        </w:tc>
      </w:tr>
      <w:tr>
        <w:trPr>
          <w:trHeight w:val="129"/>
        </w:trPr>
        <w:tc>
          <w:tcPr>
            <w:tcW w:w="60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69"/>
              <w:spacing w:after="0" w:line="129" w:lineRule="exact"/>
              <w:rPr>
                <w:sz w:val="20"/>
                <w:szCs w:val="20"/>
                <w:color w:val="auto"/>
              </w:rPr>
            </w:pPr>
            <w:r>
              <w:rPr>
                <w:rFonts w:ascii="Arial" w:cs="Arial" w:eastAsia="Arial" w:hAnsi="Arial"/>
                <w:sz w:val="12"/>
                <w:szCs w:val="12"/>
                <w:b w:val="1"/>
                <w:bCs w:val="1"/>
                <w:color w:val="auto"/>
              </w:rPr>
              <w:t>2012</w:t>
            </w:r>
          </w:p>
        </w:tc>
        <w:tc>
          <w:tcPr>
            <w:tcW w:w="1060" w:type="dxa"/>
            <w:vAlign w:val="bottom"/>
            <w:tcBorders>
              <w:bottom w:val="single" w:sz="8" w:color="auto"/>
            </w:tcBorders>
          </w:tcPr>
          <w:p>
            <w:pPr>
              <w:jc w:val="right"/>
              <w:ind w:right="391"/>
              <w:spacing w:after="0" w:line="129" w:lineRule="exact"/>
              <w:rPr>
                <w:sz w:val="20"/>
                <w:szCs w:val="20"/>
                <w:color w:val="auto"/>
              </w:rPr>
            </w:pPr>
            <w:r>
              <w:rPr>
                <w:rFonts w:ascii="Arial" w:cs="Arial" w:eastAsia="Arial" w:hAnsi="Arial"/>
                <w:sz w:val="12"/>
                <w:szCs w:val="12"/>
                <w:color w:val="auto"/>
              </w:rPr>
              <w:t>2011</w:t>
            </w:r>
          </w:p>
        </w:tc>
        <w:tc>
          <w:tcPr>
            <w:tcW w:w="900" w:type="dxa"/>
            <w:vAlign w:val="bottom"/>
            <w:tcBorders>
              <w:bottom w:val="single" w:sz="8" w:color="auto"/>
            </w:tcBorders>
          </w:tcPr>
          <w:p>
            <w:pPr>
              <w:jc w:val="right"/>
              <w:ind w:right="389"/>
              <w:spacing w:after="0" w:line="129" w:lineRule="exact"/>
              <w:rPr>
                <w:sz w:val="20"/>
                <w:szCs w:val="20"/>
                <w:color w:val="auto"/>
              </w:rPr>
            </w:pPr>
            <w:r>
              <w:rPr>
                <w:rFonts w:ascii="Arial" w:cs="Arial" w:eastAsia="Arial" w:hAnsi="Arial"/>
                <w:sz w:val="12"/>
                <w:szCs w:val="12"/>
                <w:color w:val="auto"/>
              </w:rPr>
              <w:t>2010</w:t>
            </w:r>
          </w:p>
        </w:tc>
        <w:tc>
          <w:tcPr>
            <w:tcW w:w="900" w:type="dxa"/>
            <w:vAlign w:val="bottom"/>
            <w:tcBorders>
              <w:bottom w:val="single" w:sz="8" w:color="auto"/>
            </w:tcBorders>
          </w:tcPr>
          <w:p>
            <w:pPr>
              <w:jc w:val="right"/>
              <w:ind w:right="369"/>
              <w:spacing w:after="0" w:line="129" w:lineRule="exact"/>
              <w:rPr>
                <w:sz w:val="20"/>
                <w:szCs w:val="20"/>
                <w:color w:val="auto"/>
              </w:rPr>
            </w:pPr>
            <w:r>
              <w:rPr>
                <w:rFonts w:ascii="Arial" w:cs="Arial" w:eastAsia="Arial" w:hAnsi="Arial"/>
                <w:sz w:val="12"/>
                <w:szCs w:val="12"/>
                <w:b w:val="1"/>
                <w:bCs w:val="1"/>
                <w:color w:val="auto"/>
              </w:rPr>
              <w:t>2012</w:t>
            </w:r>
          </w:p>
        </w:tc>
        <w:tc>
          <w:tcPr>
            <w:tcW w:w="920" w:type="dxa"/>
            <w:vAlign w:val="bottom"/>
            <w:tcBorders>
              <w:bottom w:val="single" w:sz="8" w:color="auto"/>
            </w:tcBorders>
          </w:tcPr>
          <w:p>
            <w:pPr>
              <w:jc w:val="right"/>
              <w:ind w:right="391"/>
              <w:spacing w:after="0" w:line="129" w:lineRule="exact"/>
              <w:rPr>
                <w:sz w:val="20"/>
                <w:szCs w:val="20"/>
                <w:color w:val="auto"/>
              </w:rPr>
            </w:pPr>
            <w:r>
              <w:rPr>
                <w:rFonts w:ascii="Arial" w:cs="Arial" w:eastAsia="Arial" w:hAnsi="Arial"/>
                <w:sz w:val="12"/>
                <w:szCs w:val="12"/>
                <w:color w:val="auto"/>
              </w:rPr>
              <w:t>2011</w:t>
            </w:r>
          </w:p>
        </w:tc>
        <w:tc>
          <w:tcPr>
            <w:tcW w:w="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w:t>
            </w:r>
          </w:p>
        </w:tc>
      </w:tr>
      <w:tr>
        <w:trPr>
          <w:trHeight w:val="150"/>
        </w:trPr>
        <w:tc>
          <w:tcPr>
            <w:tcW w:w="6060" w:type="dxa"/>
            <w:vAlign w:val="bottom"/>
          </w:tcPr>
          <w:p>
            <w:pPr>
              <w:spacing w:after="0" w:line="150" w:lineRule="exact"/>
              <w:rPr>
                <w:sz w:val="20"/>
                <w:szCs w:val="20"/>
                <w:color w:val="auto"/>
              </w:rPr>
            </w:pPr>
            <w:r>
              <w:rPr>
                <w:rFonts w:ascii="Arial" w:cs="Arial" w:eastAsia="Arial" w:hAnsi="Arial"/>
                <w:sz w:val="15"/>
                <w:szCs w:val="15"/>
                <w:color w:val="auto"/>
              </w:rPr>
              <w:t>Discount rate</w:t>
            </w:r>
          </w:p>
        </w:tc>
        <w:tc>
          <w:tcPr>
            <w:tcW w:w="8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4.7%</w:t>
            </w:r>
          </w:p>
        </w:tc>
        <w:tc>
          <w:tcPr>
            <w:tcW w:w="1060" w:type="dxa"/>
            <w:vAlign w:val="bottom"/>
          </w:tcPr>
          <w:p>
            <w:pPr>
              <w:jc w:val="right"/>
              <w:ind w:right="111"/>
              <w:spacing w:after="0" w:line="150" w:lineRule="exact"/>
              <w:rPr>
                <w:sz w:val="20"/>
                <w:szCs w:val="20"/>
                <w:color w:val="auto"/>
              </w:rPr>
            </w:pPr>
            <w:r>
              <w:rPr>
                <w:rFonts w:ascii="Arial" w:cs="Arial" w:eastAsia="Arial" w:hAnsi="Arial"/>
                <w:sz w:val="15"/>
                <w:szCs w:val="15"/>
                <w:color w:val="auto"/>
              </w:rPr>
              <w:t>5.6%</w:t>
            </w:r>
          </w:p>
        </w:tc>
        <w:tc>
          <w:tcPr>
            <w:tcW w:w="900" w:type="dxa"/>
            <w:vAlign w:val="bottom"/>
          </w:tcPr>
          <w:p>
            <w:pPr>
              <w:jc w:val="right"/>
              <w:ind w:right="109"/>
              <w:spacing w:after="0" w:line="150" w:lineRule="exact"/>
              <w:rPr>
                <w:sz w:val="20"/>
                <w:szCs w:val="20"/>
                <w:color w:val="auto"/>
              </w:rPr>
            </w:pPr>
            <w:r>
              <w:rPr>
                <w:rFonts w:ascii="Arial" w:cs="Arial" w:eastAsia="Arial" w:hAnsi="Arial"/>
                <w:sz w:val="15"/>
                <w:szCs w:val="15"/>
                <w:color w:val="auto"/>
              </w:rPr>
              <w:t>6.0%</w:t>
            </w:r>
          </w:p>
        </w:tc>
        <w:tc>
          <w:tcPr>
            <w:tcW w:w="900" w:type="dxa"/>
            <w:vAlign w:val="bottom"/>
          </w:tcPr>
          <w:p>
            <w:pPr>
              <w:jc w:val="right"/>
              <w:ind w:right="109"/>
              <w:spacing w:after="0" w:line="150" w:lineRule="exact"/>
              <w:rPr>
                <w:sz w:val="20"/>
                <w:szCs w:val="20"/>
                <w:color w:val="auto"/>
              </w:rPr>
            </w:pPr>
            <w:r>
              <w:rPr>
                <w:rFonts w:ascii="Arial" w:cs="Arial" w:eastAsia="Arial" w:hAnsi="Arial"/>
                <w:sz w:val="15"/>
                <w:szCs w:val="15"/>
                <w:b w:val="1"/>
                <w:bCs w:val="1"/>
                <w:color w:val="auto"/>
              </w:rPr>
              <w:t>4.7%</w:t>
            </w:r>
          </w:p>
        </w:tc>
        <w:tc>
          <w:tcPr>
            <w:tcW w:w="920" w:type="dxa"/>
            <w:vAlign w:val="bottom"/>
          </w:tcPr>
          <w:p>
            <w:pPr>
              <w:jc w:val="right"/>
              <w:ind w:right="111"/>
              <w:spacing w:after="0" w:line="150" w:lineRule="exact"/>
              <w:rPr>
                <w:sz w:val="20"/>
                <w:szCs w:val="20"/>
                <w:color w:val="auto"/>
              </w:rPr>
            </w:pPr>
            <w:r>
              <w:rPr>
                <w:rFonts w:ascii="Arial" w:cs="Arial" w:eastAsia="Arial" w:hAnsi="Arial"/>
                <w:sz w:val="15"/>
                <w:szCs w:val="15"/>
                <w:color w:val="auto"/>
              </w:rPr>
              <w:t>5.6%</w:t>
            </w:r>
          </w:p>
        </w:tc>
        <w:tc>
          <w:tcPr>
            <w:tcW w:w="240" w:type="dxa"/>
            <w:vAlign w:val="bottom"/>
          </w:tcPr>
          <w:p>
            <w:pPr>
              <w:spacing w:after="0"/>
              <w:rPr>
                <w:sz w:val="13"/>
                <w:szCs w:val="13"/>
                <w:color w:val="auto"/>
              </w:rPr>
            </w:pPr>
          </w:p>
        </w:tc>
      </w:tr>
      <w:tr>
        <w:trPr>
          <w:trHeight w:val="174"/>
        </w:trPr>
        <w:tc>
          <w:tcPr>
            <w:tcW w:w="6060" w:type="dxa"/>
            <w:vAlign w:val="bottom"/>
          </w:tcPr>
          <w:p>
            <w:pPr>
              <w:spacing w:after="0"/>
              <w:rPr>
                <w:sz w:val="20"/>
                <w:szCs w:val="20"/>
                <w:color w:val="auto"/>
              </w:rPr>
            </w:pPr>
            <w:r>
              <w:rPr>
                <w:rFonts w:ascii="Arial" w:cs="Arial" w:eastAsia="Arial" w:hAnsi="Arial"/>
                <w:sz w:val="15"/>
                <w:szCs w:val="15"/>
                <w:color w:val="auto"/>
              </w:rPr>
              <w:t>Expected return on plan assets</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6.5%</w:t>
            </w:r>
          </w:p>
        </w:tc>
        <w:tc>
          <w:tcPr>
            <w:tcW w:w="1060" w:type="dxa"/>
            <w:vAlign w:val="bottom"/>
          </w:tcPr>
          <w:p>
            <w:pPr>
              <w:jc w:val="right"/>
              <w:ind w:right="111"/>
              <w:spacing w:after="0"/>
              <w:rPr>
                <w:sz w:val="20"/>
                <w:szCs w:val="20"/>
                <w:color w:val="auto"/>
              </w:rPr>
            </w:pPr>
            <w:r>
              <w:rPr>
                <w:rFonts w:ascii="Arial" w:cs="Arial" w:eastAsia="Arial" w:hAnsi="Arial"/>
                <w:sz w:val="15"/>
                <w:szCs w:val="15"/>
                <w:color w:val="auto"/>
              </w:rPr>
              <w:t>6.5%</w:t>
            </w:r>
          </w:p>
        </w:tc>
        <w:tc>
          <w:tcPr>
            <w:tcW w:w="900" w:type="dxa"/>
            <w:vAlign w:val="bottom"/>
          </w:tcPr>
          <w:p>
            <w:pPr>
              <w:jc w:val="right"/>
              <w:ind w:right="109"/>
              <w:spacing w:after="0"/>
              <w:rPr>
                <w:sz w:val="20"/>
                <w:szCs w:val="20"/>
                <w:color w:val="auto"/>
              </w:rPr>
            </w:pPr>
            <w:r>
              <w:rPr>
                <w:rFonts w:ascii="Arial" w:cs="Arial" w:eastAsia="Arial" w:hAnsi="Arial"/>
                <w:sz w:val="15"/>
                <w:szCs w:val="15"/>
                <w:color w:val="auto"/>
              </w:rPr>
              <w:t>6.5%</w:t>
            </w:r>
          </w:p>
        </w:tc>
        <w:tc>
          <w:tcPr>
            <w:tcW w:w="900" w:type="dxa"/>
            <w:vAlign w:val="bottom"/>
          </w:tcPr>
          <w:p>
            <w:pPr>
              <w:jc w:val="right"/>
              <w:ind w:right="149"/>
              <w:spacing w:after="0"/>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151"/>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r>
      <w:tr>
        <w:trPr>
          <w:trHeight w:val="197"/>
        </w:trPr>
        <w:tc>
          <w:tcPr>
            <w:tcW w:w="6060" w:type="dxa"/>
            <w:vAlign w:val="bottom"/>
          </w:tcPr>
          <w:p>
            <w:pPr>
              <w:spacing w:after="0"/>
              <w:rPr>
                <w:sz w:val="20"/>
                <w:szCs w:val="20"/>
                <w:color w:val="auto"/>
              </w:rPr>
            </w:pPr>
            <w:r>
              <w:rPr>
                <w:rFonts w:ascii="Arial" w:cs="Arial" w:eastAsia="Arial" w:hAnsi="Arial"/>
                <w:sz w:val="15"/>
                <w:szCs w:val="15"/>
                <w:color w:val="auto"/>
              </w:rPr>
              <w:t>Rate of compensation increase</w:t>
            </w:r>
          </w:p>
        </w:tc>
        <w:tc>
          <w:tcPr>
            <w:tcW w:w="860" w:type="dxa"/>
            <w:vAlign w:val="bottom"/>
          </w:tcPr>
          <w:p>
            <w:pPr>
              <w:jc w:val="right"/>
              <w:spacing w:after="0"/>
              <w:rPr>
                <w:sz w:val="20"/>
                <w:szCs w:val="20"/>
                <w:color w:val="auto"/>
              </w:rPr>
            </w:pPr>
            <w:r>
              <w:rPr>
                <w:rFonts w:ascii="Arial" w:cs="Arial" w:eastAsia="Arial" w:hAnsi="Arial"/>
                <w:sz w:val="15"/>
                <w:szCs w:val="15"/>
                <w:b w:val="1"/>
                <w:bCs w:val="1"/>
                <w:color w:val="auto"/>
              </w:rPr>
              <w:t>4.0%</w:t>
            </w:r>
          </w:p>
        </w:tc>
        <w:tc>
          <w:tcPr>
            <w:tcW w:w="1060" w:type="dxa"/>
            <w:vAlign w:val="bottom"/>
          </w:tcPr>
          <w:p>
            <w:pPr>
              <w:jc w:val="right"/>
              <w:ind w:right="111"/>
              <w:spacing w:after="0"/>
              <w:rPr>
                <w:sz w:val="20"/>
                <w:szCs w:val="20"/>
                <w:color w:val="auto"/>
              </w:rPr>
            </w:pPr>
            <w:r>
              <w:rPr>
                <w:rFonts w:ascii="Arial" w:cs="Arial" w:eastAsia="Arial" w:hAnsi="Arial"/>
                <w:sz w:val="15"/>
                <w:szCs w:val="15"/>
                <w:color w:val="auto"/>
              </w:rPr>
              <w:t>4.0%</w:t>
            </w:r>
          </w:p>
        </w:tc>
        <w:tc>
          <w:tcPr>
            <w:tcW w:w="900" w:type="dxa"/>
            <w:vAlign w:val="bottom"/>
          </w:tcPr>
          <w:p>
            <w:pPr>
              <w:jc w:val="right"/>
              <w:ind w:right="109"/>
              <w:spacing w:after="0"/>
              <w:rPr>
                <w:sz w:val="20"/>
                <w:szCs w:val="20"/>
                <w:color w:val="auto"/>
              </w:rPr>
            </w:pPr>
            <w:r>
              <w:rPr>
                <w:rFonts w:ascii="Arial" w:cs="Arial" w:eastAsia="Arial" w:hAnsi="Arial"/>
                <w:sz w:val="15"/>
                <w:szCs w:val="15"/>
                <w:color w:val="auto"/>
              </w:rPr>
              <w:t>4.0%</w:t>
            </w:r>
          </w:p>
        </w:tc>
        <w:tc>
          <w:tcPr>
            <w:tcW w:w="900" w:type="dxa"/>
            <w:vAlign w:val="bottom"/>
          </w:tcPr>
          <w:p>
            <w:pPr>
              <w:jc w:val="right"/>
              <w:ind w:right="109"/>
              <w:spacing w:after="0"/>
              <w:rPr>
                <w:sz w:val="20"/>
                <w:szCs w:val="20"/>
                <w:color w:val="auto"/>
              </w:rPr>
            </w:pPr>
            <w:r>
              <w:rPr>
                <w:rFonts w:ascii="Arial" w:cs="Arial" w:eastAsia="Arial" w:hAnsi="Arial"/>
                <w:sz w:val="15"/>
                <w:szCs w:val="15"/>
                <w:b w:val="1"/>
                <w:bCs w:val="1"/>
                <w:color w:val="auto"/>
              </w:rPr>
              <w:t>4.0%</w:t>
            </w:r>
          </w:p>
        </w:tc>
        <w:tc>
          <w:tcPr>
            <w:tcW w:w="920" w:type="dxa"/>
            <w:vAlign w:val="bottom"/>
          </w:tcPr>
          <w:p>
            <w:pPr>
              <w:jc w:val="right"/>
              <w:ind w:right="111"/>
              <w:spacing w:after="0"/>
              <w:rPr>
                <w:sz w:val="20"/>
                <w:szCs w:val="20"/>
                <w:color w:val="auto"/>
              </w:rPr>
            </w:pPr>
            <w:r>
              <w:rPr>
                <w:rFonts w:ascii="Arial" w:cs="Arial" w:eastAsia="Arial" w:hAnsi="Arial"/>
                <w:sz w:val="15"/>
                <w:szCs w:val="15"/>
                <w:color w:val="auto"/>
              </w:rPr>
              <w:t>4.0%</w:t>
            </w:r>
          </w:p>
        </w:tc>
        <w:tc>
          <w:tcPr>
            <w:tcW w:w="240" w:type="dxa"/>
            <w:vAlign w:val="bottom"/>
          </w:tcPr>
          <w:p>
            <w:pPr>
              <w:spacing w:after="0"/>
              <w:rPr>
                <w:sz w:val="17"/>
                <w:szCs w:val="17"/>
                <w:color w:val="auto"/>
              </w:rPr>
            </w:pPr>
          </w:p>
        </w:tc>
      </w:tr>
    </w:tbl>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At December 31, 2012 and 2011, accumulated other comprehensive income (AOCI) includes the following components of unrecognized net periodic c the defined benefit plans: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1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Pension Plans</w:t>
            </w:r>
          </w:p>
        </w:tc>
        <w:tc>
          <w:tcPr>
            <w:tcW w:w="9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580" w:type="dxa"/>
            <w:vAlign w:val="bottom"/>
            <w:tcBorders>
              <w:bottom w:val="single" w:sz="8" w:color="auto"/>
            </w:tcBorders>
          </w:tcPr>
          <w:p>
            <w:pPr>
              <w:spacing w:after="0"/>
              <w:rPr>
                <w:sz w:val="13"/>
                <w:szCs w:val="13"/>
                <w:color w:val="auto"/>
              </w:rPr>
            </w:pPr>
          </w:p>
        </w:tc>
      </w:tr>
      <w:tr>
        <w:trPr>
          <w:trHeight w:val="129"/>
        </w:trPr>
        <w:tc>
          <w:tcPr>
            <w:tcW w:w="61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29"/>
              <w:spacing w:after="0" w:line="129" w:lineRule="exact"/>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508"/>
              <w:spacing w:after="0" w:line="129" w:lineRule="exact"/>
              <w:rPr>
                <w:sz w:val="20"/>
                <w:szCs w:val="20"/>
                <w:color w:val="auto"/>
              </w:rPr>
            </w:pPr>
            <w:r>
              <w:rPr>
                <w:rFonts w:ascii="Arial" w:cs="Arial" w:eastAsia="Arial" w:hAnsi="Arial"/>
                <w:sz w:val="12"/>
                <w:szCs w:val="12"/>
                <w:color w:val="auto"/>
              </w:rPr>
              <w:t>2011</w:t>
            </w:r>
          </w:p>
        </w:tc>
        <w:tc>
          <w:tcPr>
            <w:tcW w:w="3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69"/>
              <w:spacing w:after="0" w:line="129" w:lineRule="exact"/>
              <w:rPr>
                <w:sz w:val="20"/>
                <w:szCs w:val="20"/>
                <w:color w:val="auto"/>
              </w:rPr>
            </w:pPr>
            <w:r>
              <w:rPr>
                <w:rFonts w:ascii="Arial" w:cs="Arial" w:eastAsia="Arial" w:hAnsi="Arial"/>
                <w:sz w:val="12"/>
                <w:szCs w:val="12"/>
                <w:b w:val="1"/>
                <w:bCs w:val="1"/>
                <w:color w:val="auto"/>
              </w:rPr>
              <w:t>2012</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6180" w:type="dxa"/>
            <w:vAlign w:val="bottom"/>
          </w:tcPr>
          <w:p>
            <w:pPr>
              <w:spacing w:after="0" w:line="150" w:lineRule="exact"/>
              <w:rPr>
                <w:sz w:val="20"/>
                <w:szCs w:val="20"/>
                <w:color w:val="auto"/>
              </w:rPr>
            </w:pPr>
            <w:r>
              <w:rPr>
                <w:rFonts w:ascii="Arial" w:cs="Arial" w:eastAsia="Arial" w:hAnsi="Arial"/>
                <w:sz w:val="15"/>
                <w:szCs w:val="15"/>
                <w:color w:val="auto"/>
              </w:rPr>
              <w:t>Unrecognized actuarial (gain) loss</w:t>
            </w:r>
          </w:p>
        </w:tc>
        <w:tc>
          <w:tcPr>
            <w:tcW w:w="2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09"/>
              <w:spacing w:after="0" w:line="150" w:lineRule="exact"/>
              <w:rPr>
                <w:sz w:val="20"/>
                <w:szCs w:val="20"/>
                <w:color w:val="auto"/>
              </w:rPr>
            </w:pPr>
            <w:r>
              <w:rPr>
                <w:rFonts w:ascii="Arial" w:cs="Arial" w:eastAsia="Arial" w:hAnsi="Arial"/>
                <w:sz w:val="15"/>
                <w:szCs w:val="15"/>
                <w:b w:val="1"/>
                <w:bCs w:val="1"/>
                <w:color w:val="auto"/>
              </w:rPr>
              <w:t>(193,469)</w:t>
            </w:r>
          </w:p>
        </w:tc>
        <w:tc>
          <w:tcPr>
            <w:tcW w:w="460" w:type="dxa"/>
            <w:vAlign w:val="bottom"/>
          </w:tcPr>
          <w:p>
            <w:pPr>
              <w:jc w:val="right"/>
              <w:ind w:right="126"/>
              <w:spacing w:after="0" w:line="150" w:lineRule="exact"/>
              <w:rPr>
                <w:sz w:val="20"/>
                <w:szCs w:val="20"/>
                <w:color w:val="auto"/>
              </w:rPr>
            </w:pPr>
            <w:r>
              <w:rPr>
                <w:rFonts w:ascii="Arial" w:cs="Arial" w:eastAsia="Arial" w:hAnsi="Arial"/>
                <w:sz w:val="15"/>
                <w:szCs w:val="15"/>
                <w:color w:val="auto"/>
              </w:rPr>
              <w:t>$</w:t>
            </w:r>
          </w:p>
        </w:tc>
        <w:tc>
          <w:tcPr>
            <w:tcW w:w="9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(105,051)</w:t>
            </w:r>
          </w:p>
        </w:tc>
        <w:tc>
          <w:tcPr>
            <w:tcW w:w="3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269"/>
              <w:spacing w:after="0" w:line="150" w:lineRule="exact"/>
              <w:rPr>
                <w:sz w:val="20"/>
                <w:szCs w:val="20"/>
                <w:color w:val="auto"/>
              </w:rPr>
            </w:pPr>
            <w:r>
              <w:rPr>
                <w:rFonts w:ascii="Arial" w:cs="Arial" w:eastAsia="Arial" w:hAnsi="Arial"/>
                <w:sz w:val="15"/>
                <w:szCs w:val="15"/>
                <w:b w:val="1"/>
                <w:bCs w:val="1"/>
                <w:color w:val="auto"/>
              </w:rPr>
              <w:t>33,725</w:t>
            </w:r>
          </w:p>
        </w:tc>
        <w:tc>
          <w:tcPr>
            <w:tcW w:w="580" w:type="dxa"/>
            <w:vAlign w:val="bottom"/>
          </w:tcPr>
          <w:p>
            <w:pPr>
              <w:jc w:val="right"/>
              <w:ind w:right="429"/>
              <w:spacing w:after="0" w:line="150" w:lineRule="exact"/>
              <w:rPr>
                <w:sz w:val="20"/>
                <w:szCs w:val="20"/>
                <w:color w:val="auto"/>
              </w:rPr>
            </w:pPr>
            <w:r>
              <w:rPr>
                <w:rFonts w:ascii="Arial" w:cs="Arial" w:eastAsia="Arial" w:hAnsi="Arial"/>
                <w:sz w:val="15"/>
                <w:szCs w:val="15"/>
                <w:color w:val="auto"/>
                <w:w w:val="71"/>
              </w:rPr>
              <w:t>$</w:t>
            </w:r>
          </w:p>
        </w:tc>
      </w:tr>
      <w:tr>
        <w:trPr>
          <w:trHeight w:val="190"/>
        </w:trPr>
        <w:tc>
          <w:tcPr>
            <w:tcW w:w="6180" w:type="dxa"/>
            <w:vAlign w:val="bottom"/>
          </w:tcPr>
          <w:p>
            <w:pPr>
              <w:spacing w:after="0"/>
              <w:rPr>
                <w:sz w:val="20"/>
                <w:szCs w:val="20"/>
                <w:color w:val="auto"/>
              </w:rPr>
            </w:pPr>
            <w:r>
              <w:rPr>
                <w:rFonts w:ascii="Arial" w:cs="Arial" w:eastAsia="Arial" w:hAnsi="Arial"/>
                <w:sz w:val="15"/>
                <w:szCs w:val="15"/>
                <w:color w:val="auto"/>
              </w:rPr>
              <w:t>Unrecognized prior service cost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rPr>
              <w:t>15,931</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19,626</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b w:val="1"/>
                <w:bCs w:val="1"/>
                <w:color w:val="auto"/>
              </w:rPr>
              <w:t>191</w:t>
            </w:r>
          </w:p>
        </w:tc>
        <w:tc>
          <w:tcPr>
            <w:tcW w:w="580" w:type="dxa"/>
            <w:vAlign w:val="bottom"/>
            <w:tcBorders>
              <w:bottom w:val="single" w:sz="8" w:color="auto"/>
            </w:tcBorders>
          </w:tcPr>
          <w:p>
            <w:pPr>
              <w:spacing w:after="0"/>
              <w:rPr>
                <w:sz w:val="16"/>
                <w:szCs w:val="16"/>
                <w:color w:val="auto"/>
              </w:rPr>
            </w:pPr>
          </w:p>
        </w:tc>
      </w:tr>
      <w:tr>
        <w:trPr>
          <w:trHeight w:val="150"/>
        </w:trPr>
        <w:tc>
          <w:tcPr>
            <w:tcW w:w="6180" w:type="dxa"/>
            <w:vAlign w:val="bottom"/>
          </w:tcPr>
          <w:p>
            <w:pPr>
              <w:spacing w:after="0" w:line="150" w:lineRule="exact"/>
              <w:rPr>
                <w:sz w:val="20"/>
                <w:szCs w:val="20"/>
                <w:color w:val="auto"/>
              </w:rPr>
            </w:pPr>
            <w:r>
              <w:rPr>
                <w:rFonts w:ascii="Arial" w:cs="Arial" w:eastAsia="Arial" w:hAnsi="Arial"/>
                <w:sz w:val="15"/>
                <w:szCs w:val="15"/>
                <w:b w:val="1"/>
                <w:bCs w:val="1"/>
                <w:color w:val="auto"/>
              </w:rPr>
              <w:t>Gross Amount</w:t>
            </w:r>
          </w:p>
        </w:tc>
        <w:tc>
          <w:tcPr>
            <w:tcW w:w="280" w:type="dxa"/>
            <w:vAlign w:val="bottom"/>
          </w:tcPr>
          <w:p>
            <w:pPr>
              <w:spacing w:after="0"/>
              <w:rPr>
                <w:sz w:val="13"/>
                <w:szCs w:val="13"/>
                <w:color w:val="auto"/>
              </w:rPr>
            </w:pPr>
          </w:p>
        </w:tc>
        <w:tc>
          <w:tcPr>
            <w:tcW w:w="1000" w:type="dxa"/>
            <w:vAlign w:val="bottom"/>
          </w:tcPr>
          <w:p>
            <w:pPr>
              <w:jc w:val="right"/>
              <w:ind w:right="109"/>
              <w:spacing w:after="0" w:line="150" w:lineRule="exact"/>
              <w:rPr>
                <w:sz w:val="20"/>
                <w:szCs w:val="20"/>
                <w:color w:val="auto"/>
              </w:rPr>
            </w:pPr>
            <w:r>
              <w:rPr>
                <w:rFonts w:ascii="Arial" w:cs="Arial" w:eastAsia="Arial" w:hAnsi="Arial"/>
                <w:sz w:val="15"/>
                <w:szCs w:val="15"/>
                <w:b w:val="1"/>
                <w:bCs w:val="1"/>
                <w:color w:val="auto"/>
              </w:rPr>
              <w:t>(177,538)</w:t>
            </w:r>
          </w:p>
        </w:tc>
        <w:tc>
          <w:tcPr>
            <w:tcW w:w="460" w:type="dxa"/>
            <w:vAlign w:val="bottom"/>
          </w:tcPr>
          <w:p>
            <w:pPr>
              <w:spacing w:after="0"/>
              <w:rPr>
                <w:sz w:val="13"/>
                <w:szCs w:val="13"/>
                <w:color w:val="auto"/>
              </w:rPr>
            </w:pPr>
          </w:p>
        </w:tc>
        <w:tc>
          <w:tcPr>
            <w:tcW w:w="920" w:type="dxa"/>
            <w:vAlign w:val="bottom"/>
          </w:tcPr>
          <w:p>
            <w:pPr>
              <w:jc w:val="right"/>
              <w:ind w:right="88"/>
              <w:spacing w:after="0" w:line="150" w:lineRule="exact"/>
              <w:rPr>
                <w:sz w:val="20"/>
                <w:szCs w:val="20"/>
                <w:color w:val="auto"/>
              </w:rPr>
            </w:pPr>
            <w:r>
              <w:rPr>
                <w:rFonts w:ascii="Arial" w:cs="Arial" w:eastAsia="Arial" w:hAnsi="Arial"/>
                <w:sz w:val="15"/>
                <w:szCs w:val="15"/>
                <w:color w:val="auto"/>
              </w:rPr>
              <w:t>(85,425)</w:t>
            </w:r>
          </w:p>
        </w:tc>
        <w:tc>
          <w:tcPr>
            <w:tcW w:w="380" w:type="dxa"/>
            <w:vAlign w:val="bottom"/>
          </w:tcPr>
          <w:p>
            <w:pPr>
              <w:spacing w:after="0"/>
              <w:rPr>
                <w:sz w:val="13"/>
                <w:szCs w:val="13"/>
                <w:color w:val="auto"/>
              </w:rPr>
            </w:pPr>
          </w:p>
        </w:tc>
        <w:tc>
          <w:tcPr>
            <w:tcW w:w="1140" w:type="dxa"/>
            <w:vAlign w:val="bottom"/>
          </w:tcPr>
          <w:p>
            <w:pPr>
              <w:jc w:val="right"/>
              <w:ind w:right="269"/>
              <w:spacing w:after="0" w:line="150" w:lineRule="exact"/>
              <w:rPr>
                <w:sz w:val="20"/>
                <w:szCs w:val="20"/>
                <w:color w:val="auto"/>
              </w:rPr>
            </w:pPr>
            <w:r>
              <w:rPr>
                <w:rFonts w:ascii="Arial" w:cs="Arial" w:eastAsia="Arial" w:hAnsi="Arial"/>
                <w:sz w:val="15"/>
                <w:szCs w:val="15"/>
                <w:b w:val="1"/>
                <w:bCs w:val="1"/>
                <w:color w:val="auto"/>
              </w:rPr>
              <w:t>33,916</w:t>
            </w:r>
          </w:p>
        </w:tc>
        <w:tc>
          <w:tcPr>
            <w:tcW w:w="580" w:type="dxa"/>
            <w:vAlign w:val="bottom"/>
          </w:tcPr>
          <w:p>
            <w:pPr>
              <w:spacing w:after="0"/>
              <w:rPr>
                <w:sz w:val="13"/>
                <w:szCs w:val="13"/>
                <w:color w:val="auto"/>
              </w:rPr>
            </w:pPr>
          </w:p>
        </w:tc>
      </w:tr>
      <w:tr>
        <w:trPr>
          <w:trHeight w:val="190"/>
        </w:trPr>
        <w:tc>
          <w:tcPr>
            <w:tcW w:w="6180" w:type="dxa"/>
            <w:vAlign w:val="bottom"/>
          </w:tcPr>
          <w:p>
            <w:pPr>
              <w:spacing w:after="0"/>
              <w:rPr>
                <w:sz w:val="20"/>
                <w:szCs w:val="20"/>
                <w:color w:val="auto"/>
              </w:rPr>
            </w:pPr>
            <w:r>
              <w:rPr>
                <w:rFonts w:ascii="Arial" w:cs="Arial" w:eastAsia="Arial" w:hAnsi="Arial"/>
                <w:sz w:val="15"/>
                <w:szCs w:val="15"/>
                <w:color w:val="auto"/>
              </w:rPr>
              <w:t>Deferred tax liability (asset)</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5"/>
                <w:szCs w:val="15"/>
                <w:b w:val="1"/>
                <w:bCs w:val="1"/>
                <w:color w:val="auto"/>
              </w:rPr>
              <w:t>71,015</w:t>
            </w: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34,170</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69"/>
              <w:spacing w:after="0"/>
              <w:rPr>
                <w:sz w:val="20"/>
                <w:szCs w:val="20"/>
                <w:color w:val="auto"/>
              </w:rPr>
            </w:pPr>
            <w:r>
              <w:rPr>
                <w:rFonts w:ascii="Arial" w:cs="Arial" w:eastAsia="Arial" w:hAnsi="Arial"/>
                <w:sz w:val="15"/>
                <w:szCs w:val="15"/>
                <w:b w:val="1"/>
                <w:bCs w:val="1"/>
                <w:color w:val="auto"/>
              </w:rPr>
              <w:t>(13,566)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6180" w:type="dxa"/>
            <w:vAlign w:val="bottom"/>
          </w:tcPr>
          <w:p>
            <w:pPr>
              <w:spacing w:after="0" w:line="167" w:lineRule="exact"/>
              <w:rPr>
                <w:sz w:val="20"/>
                <w:szCs w:val="20"/>
                <w:color w:val="auto"/>
              </w:rPr>
            </w:pPr>
            <w:r>
              <w:rPr>
                <w:rFonts w:ascii="Arial" w:cs="Arial" w:eastAsia="Arial" w:hAnsi="Arial"/>
                <w:sz w:val="15"/>
                <w:szCs w:val="15"/>
                <w:b w:val="1"/>
                <w:bCs w:val="1"/>
                <w:color w:val="auto"/>
              </w:rPr>
              <w:t>Net Amount</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09"/>
              <w:spacing w:after="0" w:line="167" w:lineRule="exact"/>
              <w:rPr>
                <w:sz w:val="20"/>
                <w:szCs w:val="20"/>
                <w:color w:val="auto"/>
              </w:rPr>
            </w:pPr>
            <w:r>
              <w:rPr>
                <w:rFonts w:ascii="Arial" w:cs="Arial" w:eastAsia="Arial" w:hAnsi="Arial"/>
                <w:sz w:val="15"/>
                <w:szCs w:val="15"/>
                <w:b w:val="1"/>
                <w:bCs w:val="1"/>
                <w:color w:val="auto"/>
              </w:rPr>
              <w:t>(106,523)</w:t>
            </w:r>
          </w:p>
        </w:tc>
        <w:tc>
          <w:tcPr>
            <w:tcW w:w="46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color w:val="auto"/>
              </w:rPr>
              <w:t>(51,255)</w:t>
            </w:r>
          </w:p>
        </w:tc>
        <w:tc>
          <w:tcPr>
            <w:tcW w:w="3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269"/>
              <w:spacing w:after="0" w:line="167" w:lineRule="exact"/>
              <w:rPr>
                <w:sz w:val="20"/>
                <w:szCs w:val="20"/>
                <w:color w:val="auto"/>
              </w:rPr>
            </w:pPr>
            <w:r>
              <w:rPr>
                <w:rFonts w:ascii="Arial" w:cs="Arial" w:eastAsia="Arial" w:hAnsi="Arial"/>
                <w:sz w:val="15"/>
                <w:szCs w:val="15"/>
                <w:b w:val="1"/>
                <w:bCs w:val="1"/>
                <w:color w:val="auto"/>
              </w:rPr>
              <w:t>20,350</w:t>
            </w:r>
          </w:p>
        </w:tc>
        <w:tc>
          <w:tcPr>
            <w:tcW w:w="580" w:type="dxa"/>
            <w:vAlign w:val="bottom"/>
            <w:tcBorders>
              <w:bottom w:val="single" w:sz="8" w:color="auto"/>
            </w:tcBorders>
          </w:tcPr>
          <w:p>
            <w:pPr>
              <w:jc w:val="right"/>
              <w:ind w:right="429"/>
              <w:spacing w:after="0" w:line="167" w:lineRule="exact"/>
              <w:rPr>
                <w:sz w:val="20"/>
                <w:szCs w:val="20"/>
                <w:color w:val="auto"/>
              </w:rPr>
            </w:pPr>
            <w:r>
              <w:rPr>
                <w:rFonts w:ascii="Arial" w:cs="Arial" w:eastAsia="Arial" w:hAnsi="Arial"/>
                <w:sz w:val="15"/>
                <w:szCs w:val="15"/>
                <w:color w:val="auto"/>
                <w:w w:val="71"/>
              </w:rPr>
              <w:t>$</w:t>
            </w:r>
          </w:p>
        </w:tc>
      </w:tr>
      <w:tr>
        <w:trPr>
          <w:trHeight w:val="20"/>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During 2013, the Company expects to recognize the following amortization components of net periodic cost for the defined benefit plans: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9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color w:val="auto"/>
              </w:rPr>
              <w:t>2013</w:t>
            </w:r>
          </w:p>
        </w:tc>
      </w:tr>
      <w:tr>
        <w:trPr>
          <w:trHeight w:val="129"/>
        </w:trPr>
        <w:tc>
          <w:tcPr>
            <w:tcW w:w="89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1160" w:type="dxa"/>
            <w:vAlign w:val="bottom"/>
            <w:tcBorders>
              <w:bottom w:val="single" w:sz="8" w:color="auto"/>
            </w:tcBorders>
            <w:gridSpan w:val="2"/>
          </w:tcPr>
          <w:p>
            <w:pPr>
              <w:jc w:val="right"/>
              <w:ind w:right="6"/>
              <w:spacing w:after="0" w:line="129" w:lineRule="exact"/>
              <w:rPr>
                <w:sz w:val="20"/>
                <w:szCs w:val="20"/>
                <w:color w:val="auto"/>
              </w:rPr>
            </w:pPr>
            <w:r>
              <w:rPr>
                <w:rFonts w:ascii="Arial" w:cs="Arial" w:eastAsia="Arial" w:hAnsi="Arial"/>
                <w:sz w:val="12"/>
                <w:szCs w:val="12"/>
                <w:color w:val="auto"/>
              </w:rPr>
              <w:t>Pension Plans</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SE</w:t>
            </w:r>
          </w:p>
        </w:tc>
      </w:tr>
      <w:tr>
        <w:trPr>
          <w:trHeight w:val="168"/>
        </w:trPr>
        <w:tc>
          <w:tcPr>
            <w:tcW w:w="8920" w:type="dxa"/>
            <w:vAlign w:val="bottom"/>
          </w:tcPr>
          <w:p>
            <w:pPr>
              <w:spacing w:after="0" w:line="168" w:lineRule="exact"/>
              <w:rPr>
                <w:sz w:val="20"/>
                <w:szCs w:val="20"/>
                <w:color w:val="auto"/>
              </w:rPr>
            </w:pPr>
            <w:r>
              <w:rPr>
                <w:rFonts w:ascii="Arial" w:cs="Arial" w:eastAsia="Arial" w:hAnsi="Arial"/>
                <w:sz w:val="15"/>
                <w:szCs w:val="15"/>
                <w:color w:val="auto"/>
              </w:rPr>
              <w:t>Actuarial loss recognition</w:t>
            </w:r>
          </w:p>
        </w:tc>
        <w:tc>
          <w:tcPr>
            <w:tcW w:w="600" w:type="dxa"/>
            <w:vAlign w:val="bottom"/>
          </w:tcPr>
          <w:p>
            <w:pPr>
              <w:jc w:val="right"/>
              <w:ind w:right="70"/>
              <w:spacing w:after="0" w:line="168"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8" w:lineRule="exact"/>
              <w:rPr>
                <w:sz w:val="20"/>
                <w:szCs w:val="20"/>
                <w:color w:val="auto"/>
              </w:rPr>
            </w:pPr>
            <w:r>
              <w:rPr>
                <w:rFonts w:ascii="Arial" w:cs="Arial" w:eastAsia="Arial" w:hAnsi="Arial"/>
                <w:sz w:val="15"/>
                <w:szCs w:val="15"/>
                <w:color w:val="auto"/>
              </w:rPr>
              <w:t>8,588</w:t>
            </w:r>
          </w:p>
        </w:tc>
        <w:tc>
          <w:tcPr>
            <w:tcW w:w="860" w:type="dxa"/>
            <w:vAlign w:val="bottom"/>
          </w:tcPr>
          <w:p>
            <w:pPr>
              <w:jc w:val="right"/>
              <w:ind w:right="132"/>
              <w:spacing w:after="0" w:line="168" w:lineRule="exact"/>
              <w:rPr>
                <w:sz w:val="20"/>
                <w:szCs w:val="20"/>
                <w:color w:val="auto"/>
              </w:rPr>
            </w:pPr>
            <w:r>
              <w:rPr>
                <w:rFonts w:ascii="Arial" w:cs="Arial" w:eastAsia="Arial" w:hAnsi="Arial"/>
                <w:sz w:val="15"/>
                <w:szCs w:val="15"/>
                <w:color w:val="auto"/>
              </w:rPr>
              <w:t>$</w:t>
            </w:r>
          </w:p>
        </w:tc>
      </w:tr>
      <w:tr>
        <w:trPr>
          <w:trHeight w:val="179"/>
        </w:trPr>
        <w:tc>
          <w:tcPr>
            <w:tcW w:w="8920" w:type="dxa"/>
            <w:vAlign w:val="bottom"/>
          </w:tcPr>
          <w:p>
            <w:pPr>
              <w:spacing w:after="0"/>
              <w:rPr>
                <w:sz w:val="20"/>
                <w:szCs w:val="20"/>
                <w:color w:val="auto"/>
              </w:rPr>
            </w:pPr>
            <w:r>
              <w:rPr>
                <w:rFonts w:ascii="Arial" w:cs="Arial" w:eastAsia="Arial" w:hAnsi="Arial"/>
                <w:sz w:val="15"/>
                <w:szCs w:val="15"/>
                <w:color w:val="auto"/>
              </w:rPr>
              <w:t>Prior service cost recognition</w:t>
            </w:r>
          </w:p>
        </w:tc>
        <w:tc>
          <w:tcPr>
            <w:tcW w:w="600" w:type="dxa"/>
            <w:vAlign w:val="bottom"/>
          </w:tcPr>
          <w:p>
            <w:pPr>
              <w:jc w:val="right"/>
              <w:ind w:right="7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3,635</w:t>
            </w:r>
          </w:p>
        </w:tc>
        <w:tc>
          <w:tcPr>
            <w:tcW w:w="860" w:type="dxa"/>
            <w:vAlign w:val="bottom"/>
          </w:tcPr>
          <w:p>
            <w:pPr>
              <w:jc w:val="right"/>
              <w:ind w:right="132"/>
              <w:spacing w:after="0"/>
              <w:rPr>
                <w:sz w:val="20"/>
                <w:szCs w:val="20"/>
                <w:color w:val="auto"/>
              </w:rPr>
            </w:pPr>
            <w:r>
              <w:rPr>
                <w:rFonts w:ascii="Arial" w:cs="Arial" w:eastAsia="Arial" w:hAnsi="Arial"/>
                <w:sz w:val="15"/>
                <w:szCs w:val="15"/>
                <w:color w:val="auto"/>
              </w:rPr>
              <w:t>$</w:t>
            </w:r>
          </w:p>
        </w:tc>
      </w:tr>
    </w:tbl>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Defined Benefit Plan Assets. </w:t>
      </w:r>
      <w:r>
        <w:rPr>
          <w:rFonts w:ascii="Arial" w:cs="Arial" w:eastAsia="Arial" w:hAnsi="Arial"/>
          <w:sz w:val="17"/>
          <w:szCs w:val="17"/>
          <w:color w:val="auto"/>
        </w:rPr>
        <w:t>The Company’s defined benefit pension obligations are funded by a portfolio made up of a relatively small number of s</w:t>
      </w:r>
      <w:r>
        <w:rPr>
          <w:rFonts w:ascii="Arial" w:cs="Arial" w:eastAsia="Arial" w:hAnsi="Arial"/>
          <w:sz w:val="17"/>
          <w:szCs w:val="17"/>
          <w:b w:val="1"/>
          <w:bCs w:val="1"/>
          <w:color w:val="auto"/>
        </w:rPr>
        <w:t xml:space="preserve"> </w:t>
      </w:r>
      <w:r>
        <w:rPr>
          <w:rFonts w:ascii="Arial" w:cs="Arial" w:eastAsia="Arial" w:hAnsi="Arial"/>
          <w:sz w:val="17"/>
          <w:szCs w:val="17"/>
          <w:color w:val="auto"/>
        </w:rPr>
        <w:t>and high-quality fixed-income securities that are held by a third-party trustee. As of December 31, 2012 and 2011, the assets of the Company’s pensio plans were allocated as follows:</w:t>
      </w:r>
    </w:p>
    <w:p>
      <w:pPr>
        <w:sectPr>
          <w:pgSz w:w="11900" w:h="16838" w:orient="portrait"/>
          <w:cols w:equalWidth="0" w:num="1">
            <w:col w:w="10940"/>
          </w:cols>
          <w:pgMar w:left="820" w:top="424" w:right="1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color w:val="auto"/>
        </w:rPr>
        <w:t>U.S. equities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U.S. fixed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International equities</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9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2"/>
                <w:szCs w:val="12"/>
                <w:b w:val="1"/>
                <w:bCs w:val="1"/>
                <w:color w:val="auto"/>
              </w:rPr>
              <w:t>December 31,</w:t>
            </w:r>
          </w:p>
        </w:tc>
      </w:tr>
      <w:tr>
        <w:trPr>
          <w:trHeight w:val="125"/>
        </w:trPr>
        <w:tc>
          <w:tcPr>
            <w:tcW w:w="960" w:type="dxa"/>
            <w:vAlign w:val="bottom"/>
          </w:tcPr>
          <w:p>
            <w:pPr>
              <w:jc w:val="right"/>
              <w:ind w:right="188"/>
              <w:spacing w:after="0" w:line="125" w:lineRule="exact"/>
              <w:rPr>
                <w:sz w:val="20"/>
                <w:szCs w:val="20"/>
                <w:color w:val="auto"/>
              </w:rPr>
            </w:pPr>
            <w:r>
              <w:rPr>
                <w:rFonts w:ascii="Arial" w:cs="Arial" w:eastAsia="Arial" w:hAnsi="Arial"/>
                <w:sz w:val="12"/>
                <w:szCs w:val="12"/>
                <w:b w:val="1"/>
                <w:bCs w:val="1"/>
                <w:color w:val="auto"/>
              </w:rPr>
              <w:t>2012</w:t>
            </w:r>
          </w:p>
        </w:tc>
        <w:tc>
          <w:tcPr>
            <w:tcW w:w="1300" w:type="dxa"/>
            <w:vAlign w:val="bottom"/>
          </w:tcPr>
          <w:p>
            <w:pPr>
              <w:jc w:val="right"/>
              <w:spacing w:after="0" w:line="125" w:lineRule="exact"/>
              <w:rPr>
                <w:sz w:val="20"/>
                <w:szCs w:val="20"/>
                <w:color w:val="auto"/>
              </w:rPr>
            </w:pPr>
            <w:r>
              <w:rPr>
                <w:rFonts w:ascii="Arial" w:cs="Arial" w:eastAsia="Arial" w:hAnsi="Arial"/>
                <w:sz w:val="12"/>
                <w:szCs w:val="12"/>
                <w:color w:val="auto"/>
              </w:rPr>
              <w:t>2011</w:t>
            </w:r>
          </w:p>
        </w:tc>
      </w:tr>
      <w:tr>
        <w:trPr>
          <w:trHeight w:val="174"/>
        </w:trPr>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64 %</w:t>
            </w:r>
          </w:p>
        </w:tc>
        <w:tc>
          <w:tcPr>
            <w:tcW w:w="130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74"/>
        </w:trPr>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13 %</w:t>
            </w:r>
          </w:p>
        </w:tc>
        <w:tc>
          <w:tcPr>
            <w:tcW w:w="1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90"/>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23 %</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66"/>
        </w:trPr>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100 %</w:t>
            </w:r>
          </w:p>
        </w:tc>
        <w:tc>
          <w:tcPr>
            <w:tcW w:w="1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-480060</wp:posOffset>
            </wp:positionV>
            <wp:extent cx="69532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7960" w:space="720"/>
            <w:col w:w="2260"/>
          </w:cols>
          <w:pgMar w:left="820" w:top="424" w:right="139" w:bottom="1440" w:gutter="0" w:footer="0" w:header="0"/>
          <w:type w:val="continuous"/>
        </w:sectPr>
      </w:pPr>
    </w:p>
    <w:p>
      <w:pPr>
        <w:spacing w:after="0" w:line="245" w:lineRule="auto"/>
        <w:rPr>
          <w:sz w:val="20"/>
          <w:szCs w:val="20"/>
          <w:color w:val="auto"/>
        </w:rPr>
      </w:pPr>
      <w:r>
        <w:rPr>
          <w:rFonts w:ascii="Arial" w:cs="Arial" w:eastAsia="Arial" w:hAnsi="Arial"/>
          <w:sz w:val="16"/>
          <w:szCs w:val="16"/>
          <w:color w:val="auto"/>
        </w:rPr>
        <w:t>Essentially all of the assets are actively managed by two investment companies. The goal of the investment managers is to produce moderate long-te growth in the value of these assets, while protecting them against large decreases in value. Both of these managers may invest in a combination of eq and fixed-income securities and cash. The managers are not permitted to invest in securities of the Company or in alternative investments. The invest managers cannot invest more than 20% of the assets at the time of purchase in the stock of Berkshire Hathaway or more than 10% of the assets in th securities of any other single issuer, except for obligations of the U.S. Government, without receiving prior approval by the Plan administrator. As of December 31, 2012, the managers can invest no more than 24% of the assets in international stocks at the time the investment is made, and no less t 10% of the assets could be invested in fixed-income securities. None of the assets is managed internally by the Company.</w:t>
      </w:r>
    </w:p>
    <w:p>
      <w:pPr>
        <w:spacing w:after="0" w:line="17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 plan assets and individual asset classes and economic and other indicators of future performance. In addition, the Company may consult with and con the input of financial and other professionals in developing appropriate return benchmarks.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assets) of credit risk as of December 31, 2012. Types of concentrations that were evaluated include, but are not limited to, investment concentrations i single entity, type of industry, foreign country and individual fund. At December 31, 2012 and 2011, the pension plan held common stock in one invest that exceeded</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24" w:right="139" w:bottom="1440" w:gutter="0" w:footer="0" w:header="0"/>
          <w:type w:val="continuous"/>
        </w:sectPr>
      </w:pPr>
    </w:p>
    <w:bookmarkStart w:id="111" w:name="page112"/>
    <w:bookmarkEnd w:id="111"/>
    <w:p>
      <w:pPr>
        <w:ind w:left="9"/>
        <w:spacing w:after="0" w:line="231" w:lineRule="auto"/>
        <w:rPr>
          <w:sz w:val="20"/>
          <w:szCs w:val="20"/>
          <w:color w:val="auto"/>
        </w:rPr>
      </w:pPr>
      <w:r>
        <w:rPr>
          <w:rFonts w:ascii="Arial" w:cs="Arial" w:eastAsia="Arial" w:hAnsi="Arial"/>
          <w:sz w:val="17"/>
          <w:szCs w:val="17"/>
          <w:color w:val="auto"/>
        </w:rPr>
        <w:t>10% of total plan assets. This investment was valued at $223.1 million and $222.4 million at December 31, 2012 and 2011, respectively, or approxima 11% and 12%, respectively, of total plan assets. Assets also included $179.9 million and $154.0 million of Berkshire Hathaway Class A and Class B common stock at December 31, 2012 and 2011, respectively. At December 31, 2012 and 2011, the pension plan held investments in one foreign coun that exceeded 10% of total plan assets. These investments were valued at $240.4 million and $241.4 million at December 31, 2012 and 2011, respect or approximately 12% and 13%, respectively, of total plan assets.</w:t>
      </w:r>
    </w:p>
    <w:p>
      <w:pPr>
        <w:spacing w:after="0" w:line="176" w:lineRule="exact"/>
        <w:rPr>
          <w:sz w:val="20"/>
          <w:szCs w:val="20"/>
          <w:color w:val="auto"/>
        </w:rPr>
      </w:pPr>
    </w:p>
    <w:p>
      <w:pPr>
        <w:ind w:left="9"/>
        <w:spacing w:after="0" w:line="242" w:lineRule="auto"/>
        <w:rPr>
          <w:sz w:val="20"/>
          <w:szCs w:val="20"/>
          <w:color w:val="auto"/>
        </w:rPr>
      </w:pPr>
      <w:r>
        <w:rPr>
          <w:rFonts w:ascii="Arial" w:cs="Arial" w:eastAsia="Arial" w:hAnsi="Arial"/>
          <w:sz w:val="16"/>
          <w:szCs w:val="16"/>
          <w:color w:val="auto"/>
        </w:rPr>
        <w:t>Fair value measurements are determined based on the assumption that a market participant would use in pricing an asset or liability based on a three hierarchy that draws a distinction between market participant assumptions based on (i) observable inputs, such as quoted prices in active markets (Le</w:t>
      </w:r>
    </w:p>
    <w:p>
      <w:pPr>
        <w:spacing w:after="0" w:line="1" w:lineRule="exact"/>
        <w:rPr>
          <w:sz w:val="20"/>
          <w:szCs w:val="20"/>
          <w:color w:val="auto"/>
        </w:rPr>
      </w:pPr>
    </w:p>
    <w:p>
      <w:pPr>
        <w:ind w:left="9" w:hanging="9"/>
        <w:spacing w:after="0" w:line="231" w:lineRule="auto"/>
        <w:tabs>
          <w:tab w:leader="none" w:pos="239"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inputs other than quoted prices in active markets that are observable either directly or indirectly (Level 2); and (iii) unobservable inputs that require Company to use present value and other valuation techniques in the determination of fair value (Level 3). Financial assets and liabilities are classified their entirety based on the lowest level of input that is significant to the fair value measure. The Company’s assessment of the significance of a particu input to the fair value measurements requires judgment and may affect the valuation of the assets and liabilities being measured and their placement the fair value hierarchy.</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The Company’s pension plan assets measured at fair value on a recurring basis were as follows:</w:t>
      </w:r>
    </w:p>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1</w:t>
            </w:r>
          </w:p>
        </w:tc>
        <w:tc>
          <w:tcPr>
            <w:tcW w:w="4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b w:val="1"/>
                <w:bCs w:val="1"/>
                <w:color w:val="auto"/>
              </w:rPr>
              <w:t>Level 2</w:t>
            </w: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7220" w:type="dxa"/>
            <w:vAlign w:val="bottom"/>
          </w:tcPr>
          <w:p>
            <w:pPr>
              <w:spacing w:after="0" w:line="150" w:lineRule="exact"/>
              <w:rPr>
                <w:sz w:val="20"/>
                <w:szCs w:val="20"/>
                <w:color w:val="auto"/>
              </w:rPr>
            </w:pPr>
            <w:r>
              <w:rPr>
                <w:rFonts w:ascii="Arial" w:cs="Arial" w:eastAsia="Arial" w:hAnsi="Arial"/>
                <w:sz w:val="15"/>
                <w:szCs w:val="15"/>
                <w:b w:val="1"/>
                <w:bCs w:val="1"/>
                <w:color w:val="auto"/>
              </w:rPr>
              <w:t>At December 31, 2012</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b w:val="1"/>
                <w:bCs w:val="1"/>
                <w:color w:val="auto"/>
              </w:rPr>
              <w:t>Cash equivalents and other short-term investments</w:t>
            </w:r>
          </w:p>
        </w:tc>
        <w:tc>
          <w:tcPr>
            <w:tcW w:w="28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195,389</w:t>
            </w:r>
          </w:p>
        </w:tc>
        <w:tc>
          <w:tcPr>
            <w:tcW w:w="40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62,922</w:t>
            </w:r>
          </w:p>
        </w:tc>
        <w:tc>
          <w:tcPr>
            <w:tcW w:w="32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b w:val="1"/>
                <w:bCs w:val="1"/>
                <w:color w:val="auto"/>
              </w:rPr>
              <w:t>Equity securities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U.S. equities</w:t>
            </w:r>
          </w:p>
        </w:tc>
        <w:tc>
          <w:tcPr>
            <w:tcW w:w="2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1,315,378</w:t>
            </w:r>
          </w:p>
        </w:tc>
        <w:tc>
          <w:tcPr>
            <w:tcW w:w="40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1,3</w:t>
            </w:r>
          </w:p>
        </w:tc>
        <w:tc>
          <w:tcPr>
            <w:tcW w:w="0" w:type="dxa"/>
            <w:vAlign w:val="bottom"/>
          </w:tcPr>
          <w:p>
            <w:pPr>
              <w:spacing w:after="0"/>
              <w:rPr>
                <w:sz w:val="1"/>
                <w:szCs w:val="1"/>
                <w:color w:val="auto"/>
              </w:rPr>
            </w:pPr>
          </w:p>
        </w:tc>
      </w:tr>
      <w:tr>
        <w:trPr>
          <w:trHeight w:val="174"/>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International equities</w:t>
            </w:r>
          </w:p>
        </w:tc>
        <w:tc>
          <w:tcPr>
            <w:tcW w:w="2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482,431</w:t>
            </w:r>
          </w:p>
        </w:tc>
        <w:tc>
          <w:tcPr>
            <w:tcW w:w="40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b w:val="1"/>
                <w:bCs w:val="1"/>
                <w:color w:val="auto"/>
              </w:rPr>
              <w:t>Fixed-income securities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Corporate debt securities</w:t>
            </w:r>
          </w:p>
        </w:tc>
        <w:tc>
          <w:tcPr>
            <w:tcW w:w="280" w:type="dxa"/>
            <w:vAlign w:val="bottom"/>
          </w:tcPr>
          <w:p>
            <w:pPr>
              <w:spacing w:after="0"/>
              <w:rPr>
                <w:sz w:val="15"/>
                <w:szCs w:val="15"/>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6,054</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220" w:type="dxa"/>
            <w:vAlign w:val="bottom"/>
          </w:tcPr>
          <w:p>
            <w:pPr>
              <w:ind w:left="220"/>
              <w:spacing w:after="0"/>
              <w:rPr>
                <w:sz w:val="20"/>
                <w:szCs w:val="20"/>
                <w:color w:val="auto"/>
              </w:rPr>
            </w:pPr>
            <w:r>
              <w:rPr>
                <w:rFonts w:ascii="Arial" w:cs="Arial" w:eastAsia="Arial" w:hAnsi="Arial"/>
                <w:sz w:val="15"/>
                <w:szCs w:val="15"/>
                <w:b w:val="1"/>
                <w:bCs w:val="1"/>
                <w:color w:val="auto"/>
              </w:rPr>
              <w:t>Other fixed income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2,501</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313</w:t>
            </w:r>
          </w:p>
        </w:tc>
        <w:tc>
          <w:tcPr>
            <w:tcW w:w="3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Total Investments</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b w:val="1"/>
                <w:bCs w:val="1"/>
                <w:color w:val="auto"/>
              </w:rPr>
              <w:t>1,995,699</w:t>
            </w:r>
          </w:p>
        </w:tc>
        <w:tc>
          <w:tcPr>
            <w:tcW w:w="4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rPr>
              <w:t>69,289</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2,0</w:t>
            </w: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Receivables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b w:val="1"/>
                <w:bCs w:val="1"/>
                <w:color w:val="auto"/>
              </w:rPr>
              <w:t>Total</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2,0</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5"/>
                <w:szCs w:val="15"/>
                <w:color w:val="auto"/>
              </w:rPr>
              <w:t>At December 31, 2011</w:t>
            </w: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2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Cash equivalents and other short-term investments</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120,101</w:t>
            </w:r>
          </w:p>
        </w:tc>
        <w:tc>
          <w:tcPr>
            <w:tcW w:w="40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86"/>
              <w:spacing w:after="0"/>
              <w:rPr>
                <w:sz w:val="20"/>
                <w:szCs w:val="20"/>
                <w:color w:val="auto"/>
              </w:rPr>
            </w:pPr>
            <w:r>
              <w:rPr>
                <w:rFonts w:ascii="Arial" w:cs="Arial" w:eastAsia="Arial" w:hAnsi="Arial"/>
                <w:sz w:val="15"/>
                <w:szCs w:val="15"/>
                <w:color w:val="auto"/>
              </w:rPr>
              <w:t>43,166</w:t>
            </w:r>
          </w:p>
        </w:tc>
        <w:tc>
          <w:tcPr>
            <w:tcW w:w="32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4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Equity securities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220" w:type="dxa"/>
            <w:vAlign w:val="bottom"/>
          </w:tcPr>
          <w:p>
            <w:pPr>
              <w:ind w:left="220"/>
              <w:spacing w:after="0" w:line="156" w:lineRule="exact"/>
              <w:rPr>
                <w:sz w:val="20"/>
                <w:szCs w:val="20"/>
                <w:color w:val="auto"/>
              </w:rPr>
            </w:pPr>
            <w:r>
              <w:rPr>
                <w:rFonts w:ascii="Arial" w:cs="Arial" w:eastAsia="Arial" w:hAnsi="Arial"/>
                <w:sz w:val="15"/>
                <w:szCs w:val="15"/>
                <w:color w:val="auto"/>
              </w:rPr>
              <w:t>U.S. equities</w:t>
            </w:r>
          </w:p>
        </w:tc>
        <w:tc>
          <w:tcPr>
            <w:tcW w:w="280" w:type="dxa"/>
            <w:vAlign w:val="bottom"/>
          </w:tcPr>
          <w:p>
            <w:pPr>
              <w:spacing w:after="0"/>
              <w:rPr>
                <w:sz w:val="13"/>
                <w:szCs w:val="13"/>
                <w:color w:val="auto"/>
              </w:rPr>
            </w:pPr>
          </w:p>
        </w:tc>
        <w:tc>
          <w:tcPr>
            <w:tcW w:w="114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1,249,079</w:t>
            </w:r>
          </w:p>
        </w:tc>
        <w:tc>
          <w:tcPr>
            <w:tcW w:w="4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2"/>
        </w:trPr>
        <w:tc>
          <w:tcPr>
            <w:tcW w:w="7220" w:type="dxa"/>
            <w:vAlign w:val="bottom"/>
          </w:tcPr>
          <w:p>
            <w:pPr>
              <w:ind w:left="220"/>
              <w:spacing w:after="0"/>
              <w:rPr>
                <w:sz w:val="20"/>
                <w:szCs w:val="20"/>
                <w:color w:val="auto"/>
              </w:rPr>
            </w:pPr>
            <w:r>
              <w:rPr>
                <w:rFonts w:ascii="Arial" w:cs="Arial" w:eastAsia="Arial" w:hAnsi="Arial"/>
                <w:sz w:val="15"/>
                <w:szCs w:val="15"/>
                <w:color w:val="auto"/>
              </w:rPr>
              <w:t>International equities</w:t>
            </w: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color w:val="auto"/>
              </w:rPr>
              <w:t>381,924</w:t>
            </w:r>
          </w:p>
        </w:tc>
        <w:tc>
          <w:tcPr>
            <w:tcW w:w="400" w:type="dxa"/>
            <w:vAlign w:val="bottom"/>
          </w:tcPr>
          <w:p>
            <w:pPr>
              <w:spacing w:after="0"/>
              <w:rPr>
                <w:sz w:val="16"/>
                <w:szCs w:val="16"/>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7220" w:type="dxa"/>
            <w:vAlign w:val="bottom"/>
          </w:tcPr>
          <w:p>
            <w:pPr>
              <w:spacing w:after="0"/>
              <w:rPr>
                <w:sz w:val="20"/>
                <w:szCs w:val="20"/>
                <w:color w:val="auto"/>
              </w:rPr>
            </w:pPr>
            <w:r>
              <w:rPr>
                <w:rFonts w:ascii="Arial" w:cs="Arial" w:eastAsia="Arial" w:hAnsi="Arial"/>
                <w:sz w:val="15"/>
                <w:szCs w:val="15"/>
                <w:color w:val="auto"/>
              </w:rPr>
              <w:t>Fixed-income securities</w:t>
            </w:r>
          </w:p>
        </w:tc>
        <w:tc>
          <w:tcPr>
            <w:tcW w:w="280" w:type="dxa"/>
            <w:vAlign w:val="bottom"/>
          </w:tcPr>
          <w:p>
            <w:pPr>
              <w:spacing w:after="0"/>
              <w:rPr>
                <w:sz w:val="15"/>
                <w:szCs w:val="15"/>
                <w:color w:val="auto"/>
              </w:rPr>
            </w:pPr>
          </w:p>
        </w:tc>
        <w:tc>
          <w:tcPr>
            <w:tcW w:w="11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220" w:type="dxa"/>
            <w:vAlign w:val="bottom"/>
          </w:tcPr>
          <w:p>
            <w:pPr>
              <w:ind w:left="220"/>
              <w:spacing w:after="0" w:line="156" w:lineRule="exact"/>
              <w:rPr>
                <w:sz w:val="20"/>
                <w:szCs w:val="20"/>
                <w:color w:val="auto"/>
              </w:rPr>
            </w:pPr>
            <w:r>
              <w:rPr>
                <w:rFonts w:ascii="Arial" w:cs="Arial" w:eastAsia="Arial" w:hAnsi="Arial"/>
                <w:sz w:val="15"/>
                <w:szCs w:val="15"/>
                <w:color w:val="auto"/>
              </w:rPr>
              <w:t>U.S. Federal agency mortgage-backed securities</w:t>
            </w:r>
          </w:p>
        </w:tc>
        <w:tc>
          <w:tcPr>
            <w:tcW w:w="2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jc w:val="right"/>
              <w:ind w:right="186"/>
              <w:spacing w:after="0" w:line="156" w:lineRule="exact"/>
              <w:rPr>
                <w:sz w:val="20"/>
                <w:szCs w:val="20"/>
                <w:color w:val="auto"/>
              </w:rPr>
            </w:pPr>
            <w:r>
              <w:rPr>
                <w:rFonts w:ascii="Arial" w:cs="Arial" w:eastAsia="Arial" w:hAnsi="Arial"/>
                <w:sz w:val="15"/>
                <w:szCs w:val="15"/>
                <w:color w:val="auto"/>
              </w:rPr>
              <w:t>1,071</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220" w:type="dxa"/>
            <w:vAlign w:val="bottom"/>
          </w:tcPr>
          <w:p>
            <w:pPr>
              <w:ind w:left="220"/>
              <w:spacing w:after="0"/>
              <w:rPr>
                <w:sz w:val="20"/>
                <w:szCs w:val="20"/>
                <w:color w:val="auto"/>
              </w:rPr>
            </w:pPr>
            <w:r>
              <w:rPr>
                <w:rFonts w:ascii="Arial" w:cs="Arial" w:eastAsia="Arial" w:hAnsi="Arial"/>
                <w:sz w:val="15"/>
                <w:szCs w:val="15"/>
                <w:color w:val="auto"/>
              </w:rPr>
              <w:t>Corporate debt securities</w:t>
            </w:r>
          </w:p>
        </w:tc>
        <w:tc>
          <w:tcPr>
            <w:tcW w:w="280" w:type="dxa"/>
            <w:vAlign w:val="bottom"/>
          </w:tcPr>
          <w:p>
            <w:pPr>
              <w:spacing w:after="0"/>
              <w:rPr>
                <w:sz w:val="16"/>
                <w:szCs w:val="16"/>
                <w:color w:val="auto"/>
              </w:rPr>
            </w:pPr>
          </w:p>
        </w:tc>
        <w:tc>
          <w:tcPr>
            <w:tcW w:w="11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6"/>
                <w:szCs w:val="16"/>
                <w:color w:val="auto"/>
              </w:rPr>
            </w:pPr>
          </w:p>
        </w:tc>
        <w:tc>
          <w:tcPr>
            <w:tcW w:w="1140" w:type="dxa"/>
            <w:vAlign w:val="bottom"/>
          </w:tcPr>
          <w:p>
            <w:pPr>
              <w:jc w:val="right"/>
              <w:ind w:right="186"/>
              <w:spacing w:after="0"/>
              <w:rPr>
                <w:sz w:val="20"/>
                <w:szCs w:val="20"/>
                <w:color w:val="auto"/>
              </w:rPr>
            </w:pPr>
            <w:r>
              <w:rPr>
                <w:rFonts w:ascii="Arial" w:cs="Arial" w:eastAsia="Arial" w:hAnsi="Arial"/>
                <w:sz w:val="15"/>
                <w:szCs w:val="15"/>
                <w:color w:val="auto"/>
              </w:rPr>
              <w:t>9,203</w:t>
            </w: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7220" w:type="dxa"/>
            <w:vAlign w:val="bottom"/>
          </w:tcPr>
          <w:p>
            <w:pPr>
              <w:ind w:left="220"/>
              <w:spacing w:after="0"/>
              <w:rPr>
                <w:sz w:val="20"/>
                <w:szCs w:val="20"/>
                <w:color w:val="auto"/>
              </w:rPr>
            </w:pPr>
            <w:r>
              <w:rPr>
                <w:rFonts w:ascii="Arial" w:cs="Arial" w:eastAsia="Arial" w:hAnsi="Arial"/>
                <w:sz w:val="15"/>
                <w:szCs w:val="15"/>
                <w:color w:val="auto"/>
              </w:rPr>
              <w:t>Other fixed income</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2,531</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8,121</w:t>
            </w: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color w:val="auto"/>
              </w:rPr>
              <w:t>Total investments</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1,753,635</w:t>
            </w:r>
          </w:p>
        </w:tc>
        <w:tc>
          <w:tcPr>
            <w:tcW w:w="40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61,561</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color w:val="auto"/>
              </w:rPr>
              <w:t>Receivables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220" w:type="dxa"/>
            <w:vAlign w:val="bottom"/>
          </w:tcPr>
          <w:p>
            <w:pPr>
              <w:spacing w:after="0" w:line="167" w:lineRule="exact"/>
              <w:rPr>
                <w:sz w:val="20"/>
                <w:szCs w:val="20"/>
                <w:color w:val="auto"/>
              </w:rPr>
            </w:pPr>
            <w:r>
              <w:rPr>
                <w:rFonts w:ascii="Arial" w:cs="Arial" w:eastAsia="Arial" w:hAnsi="Arial"/>
                <w:sz w:val="15"/>
                <w:szCs w:val="15"/>
                <w:color w:val="auto"/>
              </w:rPr>
              <w:t>Total</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9"/>
        <w:spacing w:after="0"/>
        <w:rPr>
          <w:sz w:val="20"/>
          <w:szCs w:val="20"/>
          <w:color w:val="auto"/>
        </w:rPr>
      </w:pPr>
      <w:r>
        <w:rPr>
          <w:rFonts w:ascii="Arial" w:cs="Arial" w:eastAsia="Arial" w:hAnsi="Arial"/>
          <w:sz w:val="17"/>
          <w:szCs w:val="17"/>
          <w:i w:val="1"/>
          <w:iCs w:val="1"/>
          <w:color w:val="auto"/>
        </w:rPr>
        <w:t xml:space="preserve">Cash equivalents and other short-term investments. </w:t>
      </w:r>
      <w:r>
        <w:rPr>
          <w:rFonts w:ascii="Arial" w:cs="Arial" w:eastAsia="Arial" w:hAnsi="Arial"/>
          <w:sz w:val="17"/>
          <w:szCs w:val="17"/>
          <w:color w:val="auto"/>
        </w:rPr>
        <w:t>These investments are primarily held in U.S. Treasury securities and registered money market fu</w:t>
      </w:r>
      <w:r>
        <w:rPr>
          <w:rFonts w:ascii="Arial" w:cs="Arial" w:eastAsia="Arial" w:hAnsi="Arial"/>
          <w:sz w:val="17"/>
          <w:szCs w:val="17"/>
          <w:i w:val="1"/>
          <w:iCs w:val="1"/>
          <w:color w:val="auto"/>
        </w:rPr>
        <w:t xml:space="preserve"> </w:t>
      </w:r>
      <w:r>
        <w:rPr>
          <w:rFonts w:ascii="Arial" w:cs="Arial" w:eastAsia="Arial" w:hAnsi="Arial"/>
          <w:sz w:val="17"/>
          <w:szCs w:val="17"/>
          <w:color w:val="auto"/>
        </w:rPr>
        <w:t>These investments are valued using a market approach based on the quoted market prices of the security, or inputs that include quoted market prices similar instruments, and are classified as either Level 1 or Level 2 in the valuation hierarchy.</w:t>
      </w:r>
    </w:p>
    <w:p>
      <w:pPr>
        <w:spacing w:after="0" w:line="158" w:lineRule="exact"/>
        <w:rPr>
          <w:sz w:val="20"/>
          <w:szCs w:val="20"/>
          <w:color w:val="auto"/>
        </w:rPr>
      </w:pPr>
    </w:p>
    <w:p>
      <w:pPr>
        <w:jc w:val="both"/>
        <w:ind w:left="9" w:right="20"/>
        <w:spacing w:after="0"/>
        <w:rPr>
          <w:sz w:val="20"/>
          <w:szCs w:val="20"/>
          <w:color w:val="auto"/>
        </w:rPr>
      </w:pPr>
      <w:r>
        <w:rPr>
          <w:rFonts w:ascii="Arial" w:cs="Arial" w:eastAsia="Arial" w:hAnsi="Arial"/>
          <w:sz w:val="17"/>
          <w:szCs w:val="17"/>
          <w:i w:val="1"/>
          <w:iCs w:val="1"/>
          <w:color w:val="auto"/>
        </w:rPr>
        <w:t xml:space="preserve">U.S. equities. </w:t>
      </w:r>
      <w:r>
        <w:rPr>
          <w:rFonts w:ascii="Arial" w:cs="Arial" w:eastAsia="Arial" w:hAnsi="Arial"/>
          <w:sz w:val="17"/>
          <w:szCs w:val="17"/>
          <w:color w:val="auto"/>
        </w:rPr>
        <w:t>These investments are held in common and preferred stock of U.S. corporations and American Depositary Receipts (ADRs) traded on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exchanges. Common and preferred shares and ADRs are traded actively on exchanges, and price quotes for these shares are readily available. Thes investments are classified as Level 1 in the valuation hierarchy.</w:t>
      </w:r>
    </w:p>
    <w:p>
      <w:pPr>
        <w:spacing w:after="0" w:line="158" w:lineRule="exact"/>
        <w:rPr>
          <w:sz w:val="20"/>
          <w:szCs w:val="20"/>
          <w:color w:val="auto"/>
        </w:rPr>
      </w:pPr>
    </w:p>
    <w:p>
      <w:pPr>
        <w:jc w:val="both"/>
        <w:ind w:left="9"/>
        <w:spacing w:after="0" w:line="284" w:lineRule="auto"/>
        <w:rPr>
          <w:sz w:val="20"/>
          <w:szCs w:val="20"/>
          <w:color w:val="auto"/>
        </w:rPr>
      </w:pPr>
      <w:r>
        <w:rPr>
          <w:rFonts w:ascii="Arial" w:cs="Arial" w:eastAsia="Arial" w:hAnsi="Arial"/>
          <w:sz w:val="16"/>
          <w:szCs w:val="16"/>
          <w:i w:val="1"/>
          <w:iCs w:val="1"/>
          <w:color w:val="auto"/>
        </w:rPr>
        <w:t xml:space="preserve">International equities. </w:t>
      </w:r>
      <w:r>
        <w:rPr>
          <w:rFonts w:ascii="Arial" w:cs="Arial" w:eastAsia="Arial" w:hAnsi="Arial"/>
          <w:sz w:val="16"/>
          <w:szCs w:val="16"/>
          <w:color w:val="auto"/>
        </w:rPr>
        <w:t>These investments are held in common and preferred stock issued by non-U.S. corporations. Common and preferred shares ar</w:t>
      </w:r>
      <w:r>
        <w:rPr>
          <w:rFonts w:ascii="Arial" w:cs="Arial" w:eastAsia="Arial" w:hAnsi="Arial"/>
          <w:sz w:val="16"/>
          <w:szCs w:val="16"/>
          <w:i w:val="1"/>
          <w:iCs w:val="1"/>
          <w:color w:val="auto"/>
        </w:rPr>
        <w:t xml:space="preserve"> </w:t>
      </w:r>
      <w:r>
        <w:rPr>
          <w:rFonts w:ascii="Arial" w:cs="Arial" w:eastAsia="Arial" w:hAnsi="Arial"/>
          <w:sz w:val="16"/>
          <w:szCs w:val="16"/>
          <w:color w:val="auto"/>
        </w:rPr>
        <w:t>traded actively on exchanges, and price quotes for these shares are readily available. These investments are classified as Level 1 in the valuation hie</w:t>
      </w:r>
    </w:p>
    <w:p>
      <w:pPr>
        <w:spacing w:after="0" w:line="35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112" w:name="page113"/>
    <w:bookmarkEnd w:id="112"/>
    <w:p>
      <w:pPr>
        <w:jc w:val="both"/>
        <w:spacing w:after="0" w:line="284" w:lineRule="auto"/>
        <w:rPr>
          <w:sz w:val="20"/>
          <w:szCs w:val="20"/>
          <w:color w:val="auto"/>
        </w:rPr>
      </w:pPr>
      <w:r>
        <w:rPr>
          <w:rFonts w:ascii="Arial" w:cs="Arial" w:eastAsia="Arial" w:hAnsi="Arial"/>
          <w:sz w:val="16"/>
          <w:szCs w:val="16"/>
          <w:i w:val="1"/>
          <w:iCs w:val="1"/>
          <w:color w:val="auto"/>
        </w:rPr>
        <w:t xml:space="preserve">U.S. Federal agency mortgage-backed securities. </w:t>
      </w:r>
      <w:r>
        <w:rPr>
          <w:rFonts w:ascii="Arial" w:cs="Arial" w:eastAsia="Arial" w:hAnsi="Arial"/>
          <w:sz w:val="16"/>
          <w:szCs w:val="16"/>
          <w:color w:val="auto"/>
        </w:rPr>
        <w:t>These investments consist of fixed-income securities issued by Federal Agencies and are valued u</w:t>
      </w:r>
      <w:r>
        <w:rPr>
          <w:rFonts w:ascii="Arial" w:cs="Arial" w:eastAsia="Arial" w:hAnsi="Arial"/>
          <w:sz w:val="16"/>
          <w:szCs w:val="16"/>
          <w:i w:val="1"/>
          <w:iCs w:val="1"/>
          <w:color w:val="auto"/>
        </w:rPr>
        <w:t xml:space="preserve"> </w:t>
      </w:r>
      <w:r>
        <w:rPr>
          <w:rFonts w:ascii="Arial" w:cs="Arial" w:eastAsia="Arial" w:hAnsi="Arial"/>
          <w:sz w:val="16"/>
          <w:szCs w:val="16"/>
          <w:color w:val="auto"/>
        </w:rPr>
        <w:t>bid evaluation process, with bid data provided by independent pricing sources. These investments are classified as Level 2 in the valuation hierarchy.</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i w:val="1"/>
          <w:iCs w:val="1"/>
          <w:color w:val="auto"/>
        </w:rPr>
        <w:t xml:space="preserve">Corporate debt securities. </w:t>
      </w:r>
      <w:r>
        <w:rPr>
          <w:rFonts w:ascii="Arial" w:cs="Arial" w:eastAsia="Arial" w:hAnsi="Arial"/>
          <w:sz w:val="17"/>
          <w:szCs w:val="17"/>
          <w:color w:val="auto"/>
        </w:rPr>
        <w:t>These investments consist of fixed-income securities issued by U.S. corporations and are valued using a bid evaluation pro</w:t>
      </w:r>
      <w:r>
        <w:rPr>
          <w:rFonts w:ascii="Arial" w:cs="Arial" w:eastAsia="Arial" w:hAnsi="Arial"/>
          <w:sz w:val="17"/>
          <w:szCs w:val="17"/>
          <w:i w:val="1"/>
          <w:iCs w:val="1"/>
          <w:color w:val="auto"/>
        </w:rPr>
        <w:t xml:space="preserve"> </w:t>
      </w:r>
      <w:r>
        <w:rPr>
          <w:rFonts w:ascii="Arial" w:cs="Arial" w:eastAsia="Arial" w:hAnsi="Arial"/>
          <w:sz w:val="17"/>
          <w:szCs w:val="17"/>
          <w:color w:val="auto"/>
        </w:rPr>
        <w:t>with bid data provided by independent pricing sources. These investments are classified as Level 2 in the valuation hierarchy.</w:t>
      </w:r>
    </w:p>
    <w:p>
      <w:pPr>
        <w:spacing w:after="0" w:line="146"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 xml:space="preserve">Other fixed income. </w:t>
      </w:r>
      <w:r>
        <w:rPr>
          <w:rFonts w:ascii="Arial" w:cs="Arial" w:eastAsia="Arial" w:hAnsi="Arial"/>
          <w:sz w:val="17"/>
          <w:szCs w:val="17"/>
          <w:color w:val="auto"/>
        </w:rPr>
        <w:t>These investments consist of fixed-income securities issued by the U.S. Treasury and in private placements and are valued using</w:t>
      </w:r>
      <w:r>
        <w:rPr>
          <w:rFonts w:ascii="Arial" w:cs="Arial" w:eastAsia="Arial" w:hAnsi="Arial"/>
          <w:sz w:val="17"/>
          <w:szCs w:val="17"/>
          <w:i w:val="1"/>
          <w:iCs w:val="1"/>
          <w:color w:val="auto"/>
        </w:rPr>
        <w:t xml:space="preserve"> </w:t>
      </w:r>
      <w:r>
        <w:rPr>
          <w:rFonts w:ascii="Arial" w:cs="Arial" w:eastAsia="Arial" w:hAnsi="Arial"/>
          <w:sz w:val="17"/>
          <w:szCs w:val="17"/>
          <w:color w:val="auto"/>
        </w:rPr>
        <w:t>quoted market price or bid evaluation process, with bid data provided by independent pricing sources. These investments are classified as Level 1 or 2 in the valuation hierarchy.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Postretirement Plans. </w:t>
      </w:r>
      <w:r>
        <w:rPr>
          <w:rFonts w:ascii="Arial" w:cs="Arial" w:eastAsia="Arial" w:hAnsi="Arial"/>
          <w:sz w:val="16"/>
          <w:szCs w:val="16"/>
          <w:color w:val="auto"/>
        </w:rPr>
        <w:t>The following table sets forth obligation, asset and funding information for the Company’s other postretirement plans at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2012 and 2011: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Postretirement Plans</w:t>
            </w:r>
          </w:p>
        </w:tc>
        <w:tc>
          <w:tcPr>
            <w:tcW w:w="0" w:type="dxa"/>
            <w:vAlign w:val="bottom"/>
          </w:tcPr>
          <w:p>
            <w:pPr>
              <w:spacing w:after="0"/>
              <w:rPr>
                <w:sz w:val="1"/>
                <w:szCs w:val="1"/>
                <w:color w:val="auto"/>
              </w:rPr>
            </w:pPr>
          </w:p>
        </w:tc>
      </w:tr>
      <w:tr>
        <w:trPr>
          <w:trHeight w:val="129"/>
        </w:trPr>
        <w:tc>
          <w:tcPr>
            <w:tcW w:w="91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7"/>
              <w:spacing w:after="0" w:line="129" w:lineRule="exact"/>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68"/>
        </w:trPr>
        <w:tc>
          <w:tcPr>
            <w:tcW w:w="914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Benefit Obligation</w:t>
            </w:r>
          </w:p>
        </w:tc>
        <w:tc>
          <w:tcPr>
            <w:tcW w:w="2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72,412</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140" w:type="dxa"/>
            <w:vAlign w:val="bottom"/>
          </w:tcPr>
          <w:p>
            <w:pPr>
              <w:spacing w:after="0" w:line="156" w:lineRule="exact"/>
              <w:rPr>
                <w:sz w:val="20"/>
                <w:szCs w:val="20"/>
                <w:color w:val="auto"/>
              </w:rPr>
            </w:pPr>
            <w:r>
              <w:rPr>
                <w:rFonts w:ascii="Arial" w:cs="Arial" w:eastAsia="Arial" w:hAnsi="Arial"/>
                <w:sz w:val="15"/>
                <w:szCs w:val="15"/>
                <w:color w:val="auto"/>
              </w:rPr>
              <w:t>Benefit obligation at beginning of year</w:t>
            </w:r>
          </w:p>
        </w:tc>
        <w:tc>
          <w:tcPr>
            <w:tcW w:w="2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Service cost</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3,113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Interest cost</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2,735</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Actuarial gain</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(11,493)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Curtailment loss</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438</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Benefits paid, net of Medicare subsidy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(3,337)</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Benefit Obligation at End of Year</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63,868</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140" w:type="dxa"/>
            <w:vAlign w:val="bottom"/>
          </w:tcPr>
          <w:p>
            <w:pPr>
              <w:spacing w:after="0" w:line="168" w:lineRule="exact"/>
              <w:rPr>
                <w:sz w:val="20"/>
                <w:szCs w:val="20"/>
                <w:color w:val="auto"/>
              </w:rPr>
            </w:pPr>
            <w:r>
              <w:rPr>
                <w:rFonts w:ascii="Arial" w:cs="Arial" w:eastAsia="Arial" w:hAnsi="Arial"/>
                <w:sz w:val="15"/>
                <w:szCs w:val="15"/>
                <w:b w:val="1"/>
                <w:bCs w:val="1"/>
                <w:color w:val="auto"/>
              </w:rPr>
              <w:t>Change in Plan Assets</w:t>
            </w:r>
          </w:p>
        </w:tc>
        <w:tc>
          <w:tcPr>
            <w:tcW w:w="260" w:type="dxa"/>
            <w:vAlign w:val="bottom"/>
            <w:vMerge w:val="restart"/>
          </w:tcPr>
          <w:p>
            <w:pPr>
              <w:jc w:val="right"/>
              <w:ind w:right="26"/>
              <w:spacing w:after="0"/>
              <w:rPr>
                <w:sz w:val="20"/>
                <w:szCs w:val="20"/>
                <w:color w:val="auto"/>
              </w:rPr>
            </w:pPr>
            <w:r>
              <w:rPr>
                <w:rFonts w:ascii="Arial" w:cs="Arial" w:eastAsia="Arial" w:hAnsi="Arial"/>
                <w:sz w:val="15"/>
                <w:szCs w:val="15"/>
                <w:b w:val="1"/>
                <w:bCs w:val="1"/>
                <w:color w:val="auto"/>
              </w:rPr>
              <w:t>$</w:t>
            </w:r>
          </w:p>
        </w:tc>
        <w:tc>
          <w:tcPr>
            <w:tcW w:w="90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140" w:type="dxa"/>
            <w:vAlign w:val="bottom"/>
          </w:tcPr>
          <w:p>
            <w:pPr>
              <w:spacing w:after="0" w:line="156" w:lineRule="exact"/>
              <w:rPr>
                <w:sz w:val="20"/>
                <w:szCs w:val="20"/>
                <w:color w:val="auto"/>
              </w:rPr>
            </w:pPr>
            <w:r>
              <w:rPr>
                <w:rFonts w:ascii="Arial" w:cs="Arial" w:eastAsia="Arial" w:hAnsi="Arial"/>
                <w:sz w:val="15"/>
                <w:szCs w:val="15"/>
                <w:color w:val="auto"/>
              </w:rPr>
              <w:t>Fair value of assets at beginning of year</w:t>
            </w:r>
          </w:p>
        </w:tc>
        <w:tc>
          <w:tcPr>
            <w:tcW w:w="26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3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140" w:type="dxa"/>
            <w:vAlign w:val="bottom"/>
          </w:tcPr>
          <w:p>
            <w:pPr>
              <w:spacing w:after="0"/>
              <w:rPr>
                <w:sz w:val="20"/>
                <w:szCs w:val="20"/>
                <w:color w:val="auto"/>
              </w:rPr>
            </w:pPr>
            <w:r>
              <w:rPr>
                <w:rFonts w:ascii="Arial" w:cs="Arial" w:eastAsia="Arial" w:hAnsi="Arial"/>
                <w:sz w:val="15"/>
                <w:szCs w:val="15"/>
                <w:color w:val="auto"/>
              </w:rPr>
              <w:t>Employer contributions</w:t>
            </w:r>
          </w:p>
        </w:tc>
        <w:tc>
          <w:tcPr>
            <w:tcW w:w="260" w:type="dxa"/>
            <w:vAlign w:val="bottom"/>
          </w:tcPr>
          <w:p>
            <w:pPr>
              <w:spacing w:after="0"/>
              <w:rPr>
                <w:sz w:val="15"/>
                <w:szCs w:val="15"/>
                <w:color w:val="auto"/>
              </w:rPr>
            </w:pPr>
          </w:p>
        </w:tc>
        <w:tc>
          <w:tcPr>
            <w:tcW w:w="900" w:type="dxa"/>
            <w:vAlign w:val="bottom"/>
          </w:tcPr>
          <w:p>
            <w:pPr>
              <w:jc w:val="right"/>
              <w:ind w:right="87"/>
              <w:spacing w:after="0"/>
              <w:rPr>
                <w:sz w:val="20"/>
                <w:szCs w:val="20"/>
                <w:color w:val="auto"/>
              </w:rPr>
            </w:pPr>
            <w:r>
              <w:rPr>
                <w:rFonts w:ascii="Arial" w:cs="Arial" w:eastAsia="Arial" w:hAnsi="Arial"/>
                <w:sz w:val="15"/>
                <w:szCs w:val="15"/>
                <w:b w:val="1"/>
                <w:bCs w:val="1"/>
                <w:color w:val="auto"/>
              </w:rPr>
              <w:t>3,337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Benefits paid, net of Medicare subsidy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(3,337)</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Fair Value of Assets at End of Year</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Funded Status</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(63,868)</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amounts recognized in the Company’s Consolidated Balance Sheets for its other postretirement plans at December 31, 2012 and 2011, are as fol</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Postretirement Plans</w:t>
            </w:r>
          </w:p>
        </w:tc>
      </w:tr>
      <w:tr>
        <w:trPr>
          <w:trHeight w:val="129"/>
        </w:trPr>
        <w:tc>
          <w:tcPr>
            <w:tcW w:w="914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51"/>
              <w:spacing w:after="0" w:line="129" w:lineRule="exact"/>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Current liability</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91"/>
              <w:spacing w:after="0" w:line="150" w:lineRule="exact"/>
              <w:rPr>
                <w:sz w:val="20"/>
                <w:szCs w:val="20"/>
                <w:color w:val="auto"/>
              </w:rPr>
            </w:pPr>
            <w:r>
              <w:rPr>
                <w:rFonts w:ascii="Arial" w:cs="Arial" w:eastAsia="Arial" w:hAnsi="Arial"/>
                <w:sz w:val="15"/>
                <w:szCs w:val="15"/>
                <w:b w:val="1"/>
                <w:bCs w:val="1"/>
                <w:color w:val="auto"/>
              </w:rPr>
              <w:t>(3,919)</w:t>
            </w:r>
          </w:p>
        </w:tc>
        <w:tc>
          <w:tcPr>
            <w:tcW w:w="3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Noncurrent liability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1"/>
              <w:spacing w:after="0"/>
              <w:rPr>
                <w:sz w:val="20"/>
                <w:szCs w:val="20"/>
                <w:color w:val="auto"/>
              </w:rPr>
            </w:pPr>
            <w:r>
              <w:rPr>
                <w:rFonts w:ascii="Arial" w:cs="Arial" w:eastAsia="Arial" w:hAnsi="Arial"/>
                <w:sz w:val="15"/>
                <w:szCs w:val="15"/>
                <w:b w:val="1"/>
                <w:bCs w:val="1"/>
                <w:color w:val="auto"/>
              </w:rPr>
              <w:t>(59,949)</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Recognized Liability</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91"/>
              <w:spacing w:after="0" w:line="167" w:lineRule="exact"/>
              <w:rPr>
                <w:sz w:val="20"/>
                <w:szCs w:val="20"/>
                <w:color w:val="auto"/>
              </w:rPr>
            </w:pPr>
            <w:r>
              <w:rPr>
                <w:rFonts w:ascii="Arial" w:cs="Arial" w:eastAsia="Arial" w:hAnsi="Arial"/>
                <w:sz w:val="15"/>
                <w:szCs w:val="15"/>
                <w:b w:val="1"/>
                <w:bCs w:val="1"/>
                <w:color w:val="auto"/>
              </w:rPr>
              <w:t>(63,868)</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2012, the Company offered a Voluntary Retirement Incentive Program to certain employees of The Washington Post newspaper and recorded early retirement expense of $0.4 million.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a curtailment gain of $8.5 million in 2010 due to the sale of Newsweek; the gain is included in discontinued operations.</w:t>
      </w:r>
    </w:p>
    <w:p>
      <w:pPr>
        <w:spacing w:after="0" w:line="17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discount rates utilized for determining the benefit obligation at December 31, 2012 and 2011, for the postretirement plans were 3.30% and 3.90%, respectively. The assumed health care cost trend rate used in measuring the postretirement benefit obligation at December 31, 2012, was 8.0% for pr age 65, decreasing to 5.0% in the year 2025 and thereafter. The assumed health care cost trend rate used in measuring the postretirement benefit obligation at December 31, 2012, was 21.8% for the post-age 65 Medicare Advantage Prescription Drug (MA-PD) plan, decreasing to 5.0% in the yea and thereafter, and was 7.0% for the post-age 65 non MA-PD plan, decreasing to 5.0% in the year 2021 and thereafter.</w:t>
      </w:r>
    </w:p>
    <w:p>
      <w:pPr>
        <w:spacing w:after="0" w:line="17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Assumed health care cost trend rates have a significant effect on the amounts reported for the health care plans. A change of one percentage point in assumed health care cost trend rates would have the following effects: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80" w:type="dxa"/>
            <w:vAlign w:val="bottom"/>
          </w:tcPr>
          <w:p>
            <w:pPr>
              <w:jc w:val="right"/>
              <w:ind w:right="470"/>
              <w:spacing w:after="0"/>
              <w:rPr>
                <w:sz w:val="20"/>
                <w:szCs w:val="20"/>
                <w:color w:val="auto"/>
              </w:rPr>
            </w:pPr>
            <w:r>
              <w:rPr>
                <w:rFonts w:ascii="Arial" w:cs="Arial" w:eastAsia="Arial" w:hAnsi="Arial"/>
                <w:sz w:val="12"/>
                <w:szCs w:val="12"/>
                <w:b w:val="1"/>
                <w:bCs w:val="1"/>
                <w:color w:val="auto"/>
              </w:rPr>
              <w:t>1%</w:t>
            </w:r>
          </w:p>
        </w:tc>
        <w:tc>
          <w:tcPr>
            <w:tcW w:w="3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rPr>
              <w:t>1</w:t>
            </w:r>
          </w:p>
        </w:tc>
      </w:tr>
      <w:tr>
        <w:trPr>
          <w:trHeight w:val="151"/>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60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2"/>
                <w:szCs w:val="12"/>
                <w:b w:val="1"/>
                <w:bCs w:val="1"/>
                <w:color w:val="auto"/>
              </w:rPr>
              <w:t>Increase</w:t>
            </w:r>
          </w:p>
        </w:tc>
        <w:tc>
          <w:tcPr>
            <w:tcW w:w="3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Decr</w:t>
            </w:r>
          </w:p>
        </w:tc>
      </w:tr>
      <w:tr>
        <w:trPr>
          <w:trHeight w:val="168"/>
        </w:trPr>
        <w:tc>
          <w:tcPr>
            <w:tcW w:w="5740" w:type="dxa"/>
            <w:vAlign w:val="bottom"/>
          </w:tcPr>
          <w:p>
            <w:pPr>
              <w:spacing w:after="0" w:line="168" w:lineRule="exact"/>
              <w:rPr>
                <w:sz w:val="20"/>
                <w:szCs w:val="20"/>
                <w:color w:val="auto"/>
              </w:rPr>
            </w:pPr>
            <w:r>
              <w:rPr>
                <w:rFonts w:ascii="Arial" w:cs="Arial" w:eastAsia="Arial" w:hAnsi="Arial"/>
                <w:sz w:val="15"/>
                <w:szCs w:val="15"/>
                <w:color w:val="auto"/>
              </w:rPr>
              <w:t>Benefit obligation at end of year</w:t>
            </w:r>
          </w:p>
        </w:tc>
        <w:tc>
          <w:tcPr>
            <w:tcW w:w="382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780" w:type="dxa"/>
            <w:vAlign w:val="bottom"/>
          </w:tcPr>
          <w:p>
            <w:pPr>
              <w:jc w:val="right"/>
              <w:ind w:right="130"/>
              <w:spacing w:after="0" w:line="168" w:lineRule="exact"/>
              <w:rPr>
                <w:sz w:val="20"/>
                <w:szCs w:val="20"/>
                <w:color w:val="auto"/>
              </w:rPr>
            </w:pPr>
            <w:r>
              <w:rPr>
                <w:rFonts w:ascii="Arial" w:cs="Arial" w:eastAsia="Arial" w:hAnsi="Arial"/>
                <w:sz w:val="15"/>
                <w:szCs w:val="15"/>
                <w:color w:val="auto"/>
              </w:rPr>
              <w:t>5,354</w:t>
            </w:r>
          </w:p>
        </w:tc>
        <w:tc>
          <w:tcPr>
            <w:tcW w:w="3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30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r>
      <w:tr>
        <w:trPr>
          <w:trHeight w:val="179"/>
        </w:trPr>
        <w:tc>
          <w:tcPr>
            <w:tcW w:w="5740" w:type="dxa"/>
            <w:vAlign w:val="bottom"/>
          </w:tcPr>
          <w:p>
            <w:pPr>
              <w:spacing w:after="0"/>
              <w:rPr>
                <w:sz w:val="20"/>
                <w:szCs w:val="20"/>
                <w:color w:val="auto"/>
              </w:rPr>
            </w:pPr>
            <w:r>
              <w:rPr>
                <w:rFonts w:ascii="Arial" w:cs="Arial" w:eastAsia="Arial" w:hAnsi="Arial"/>
                <w:sz w:val="15"/>
                <w:szCs w:val="15"/>
                <w:color w:val="auto"/>
              </w:rPr>
              <w:t>Service cost plus interest cost</w:t>
            </w:r>
          </w:p>
        </w:tc>
        <w:tc>
          <w:tcPr>
            <w:tcW w:w="38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130"/>
              <w:spacing w:after="0"/>
              <w:rPr>
                <w:sz w:val="20"/>
                <w:szCs w:val="20"/>
                <w:color w:val="auto"/>
              </w:rPr>
            </w:pPr>
            <w:r>
              <w:rPr>
                <w:rFonts w:ascii="Arial" w:cs="Arial" w:eastAsia="Arial" w:hAnsi="Arial"/>
                <w:sz w:val="15"/>
                <w:szCs w:val="15"/>
                <w:color w:val="auto"/>
              </w:rPr>
              <w:t>657</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r>
    </w:tbl>
    <w:p>
      <w:pPr>
        <w:spacing w:after="0" w:line="20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44" w:right="139" w:bottom="1440" w:gutter="0" w:footer="0" w:header="0"/>
        </w:sectPr>
      </w:pPr>
    </w:p>
    <w:bookmarkStart w:id="113" w:name="page114"/>
    <w:bookmarkEnd w:id="113"/>
    <w:p>
      <w:pPr>
        <w:ind w:left="580"/>
        <w:spacing w:after="0" w:line="235" w:lineRule="auto"/>
        <w:rPr>
          <w:sz w:val="20"/>
          <w:szCs w:val="20"/>
          <w:color w:val="auto"/>
        </w:rPr>
      </w:pPr>
      <w:r>
        <w:rPr>
          <w:rFonts w:ascii="Arial" w:cs="Arial" w:eastAsia="Arial" w:hAnsi="Arial"/>
          <w:sz w:val="17"/>
          <w:szCs w:val="17"/>
          <w:color w:val="auto"/>
        </w:rPr>
        <w:t>The Company made contributions to its postretirement benefit plans of $3.3 million and $2.3 million for the years ended December 31, 2012 and 2011 respectively. As the plans are unfunded, the Company makes contributions to its postretirement plans based on actual benefit payments.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December 31, 2012, future estimated benefit payments are as follows:</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138"/>
        </w:trPr>
        <w:tc>
          <w:tcPr>
            <w:tcW w:w="5480" w:type="dxa"/>
            <w:vAlign w:val="bottom"/>
          </w:tcPr>
          <w:p>
            <w:pPr>
              <w:spacing w:after="0"/>
              <w:rPr>
                <w:sz w:val="12"/>
                <w:szCs w:val="12"/>
                <w:color w:val="auto"/>
              </w:rPr>
            </w:pPr>
          </w:p>
        </w:tc>
        <w:tc>
          <w:tcPr>
            <w:tcW w:w="5460" w:type="dxa"/>
            <w:vAlign w:val="bottom"/>
            <w:gridSpan w:val="2"/>
          </w:tcPr>
          <w:p>
            <w:pPr>
              <w:ind w:left="4700"/>
              <w:spacing w:after="0"/>
              <w:rPr>
                <w:sz w:val="20"/>
                <w:szCs w:val="20"/>
                <w:color w:val="auto"/>
              </w:rPr>
            </w:pPr>
            <w:r>
              <w:rPr>
                <w:rFonts w:ascii="Arial" w:cs="Arial" w:eastAsia="Arial" w:hAnsi="Arial"/>
                <w:sz w:val="12"/>
                <w:szCs w:val="12"/>
                <w:b w:val="1"/>
                <w:bCs w:val="1"/>
                <w:color w:val="auto"/>
              </w:rPr>
              <w:t>Postretireme</w:t>
            </w:r>
          </w:p>
        </w:tc>
      </w:tr>
      <w:tr>
        <w:trPr>
          <w:trHeight w:val="151"/>
        </w:trPr>
        <w:tc>
          <w:tcPr>
            <w:tcW w:w="5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Plans</w:t>
            </w:r>
          </w:p>
        </w:tc>
      </w:tr>
      <w:tr>
        <w:trPr>
          <w:trHeight w:val="168"/>
        </w:trPr>
        <w:tc>
          <w:tcPr>
            <w:tcW w:w="5480" w:type="dxa"/>
            <w:vAlign w:val="bottom"/>
          </w:tcPr>
          <w:p>
            <w:pPr>
              <w:spacing w:after="0" w:line="168" w:lineRule="exact"/>
              <w:rPr>
                <w:sz w:val="20"/>
                <w:szCs w:val="20"/>
                <w:color w:val="auto"/>
              </w:rPr>
            </w:pPr>
            <w:r>
              <w:rPr>
                <w:rFonts w:ascii="Arial" w:cs="Arial" w:eastAsia="Arial" w:hAnsi="Arial"/>
                <w:sz w:val="15"/>
                <w:szCs w:val="15"/>
                <w:color w:val="auto"/>
              </w:rPr>
              <w:t>2013</w:t>
            </w:r>
          </w:p>
        </w:tc>
        <w:tc>
          <w:tcPr>
            <w:tcW w:w="4900" w:type="dxa"/>
            <w:vAlign w:val="bottom"/>
          </w:tcPr>
          <w:p>
            <w:pPr>
              <w:ind w:left="4720"/>
              <w:spacing w:after="0" w:line="168"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8" w:lineRule="exact"/>
              <w:rPr>
                <w:sz w:val="20"/>
                <w:szCs w:val="20"/>
                <w:color w:val="auto"/>
              </w:rPr>
            </w:pPr>
            <w:r>
              <w:rPr>
                <w:rFonts w:ascii="Arial" w:cs="Arial" w:eastAsia="Arial" w:hAnsi="Arial"/>
                <w:sz w:val="15"/>
                <w:szCs w:val="15"/>
                <w:color w:val="auto"/>
              </w:rPr>
              <w:t>3,</w:t>
            </w:r>
          </w:p>
        </w:tc>
      </w:tr>
      <w:tr>
        <w:trPr>
          <w:trHeight w:val="174"/>
        </w:trPr>
        <w:tc>
          <w:tcPr>
            <w:tcW w:w="5480" w:type="dxa"/>
            <w:vAlign w:val="bottom"/>
          </w:tcPr>
          <w:p>
            <w:pPr>
              <w:spacing w:after="0"/>
              <w:rPr>
                <w:sz w:val="20"/>
                <w:szCs w:val="20"/>
                <w:color w:val="auto"/>
              </w:rPr>
            </w:pPr>
            <w:r>
              <w:rPr>
                <w:rFonts w:ascii="Arial" w:cs="Arial" w:eastAsia="Arial" w:hAnsi="Arial"/>
                <w:sz w:val="15"/>
                <w:szCs w:val="15"/>
                <w:color w:val="auto"/>
              </w:rPr>
              <w:t>2014</w:t>
            </w:r>
          </w:p>
        </w:tc>
        <w:tc>
          <w:tcPr>
            <w:tcW w:w="4900" w:type="dxa"/>
            <w:vAlign w:val="bottom"/>
          </w:tcPr>
          <w:p>
            <w:pPr>
              <w:ind w:left="47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4"/>
        </w:trPr>
        <w:tc>
          <w:tcPr>
            <w:tcW w:w="5480" w:type="dxa"/>
            <w:vAlign w:val="bottom"/>
          </w:tcPr>
          <w:p>
            <w:pPr>
              <w:spacing w:after="0"/>
              <w:rPr>
                <w:sz w:val="20"/>
                <w:szCs w:val="20"/>
                <w:color w:val="auto"/>
              </w:rPr>
            </w:pPr>
            <w:r>
              <w:rPr>
                <w:rFonts w:ascii="Arial" w:cs="Arial" w:eastAsia="Arial" w:hAnsi="Arial"/>
                <w:sz w:val="15"/>
                <w:szCs w:val="15"/>
                <w:color w:val="auto"/>
              </w:rPr>
              <w:t>2015</w:t>
            </w:r>
          </w:p>
        </w:tc>
        <w:tc>
          <w:tcPr>
            <w:tcW w:w="4900" w:type="dxa"/>
            <w:vAlign w:val="bottom"/>
          </w:tcPr>
          <w:p>
            <w:pPr>
              <w:ind w:left="47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4"/>
        </w:trPr>
        <w:tc>
          <w:tcPr>
            <w:tcW w:w="5480" w:type="dxa"/>
            <w:vAlign w:val="bottom"/>
          </w:tcPr>
          <w:p>
            <w:pPr>
              <w:spacing w:after="0"/>
              <w:rPr>
                <w:sz w:val="20"/>
                <w:szCs w:val="20"/>
                <w:color w:val="auto"/>
              </w:rPr>
            </w:pPr>
            <w:r>
              <w:rPr>
                <w:rFonts w:ascii="Arial" w:cs="Arial" w:eastAsia="Arial" w:hAnsi="Arial"/>
                <w:sz w:val="15"/>
                <w:szCs w:val="15"/>
                <w:color w:val="auto"/>
              </w:rPr>
              <w:t>2016</w:t>
            </w:r>
          </w:p>
        </w:tc>
        <w:tc>
          <w:tcPr>
            <w:tcW w:w="4900" w:type="dxa"/>
            <w:vAlign w:val="bottom"/>
          </w:tcPr>
          <w:p>
            <w:pPr>
              <w:ind w:left="47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4"/>
        </w:trPr>
        <w:tc>
          <w:tcPr>
            <w:tcW w:w="5480" w:type="dxa"/>
            <w:vAlign w:val="bottom"/>
          </w:tcPr>
          <w:p>
            <w:pPr>
              <w:spacing w:after="0"/>
              <w:rPr>
                <w:sz w:val="20"/>
                <w:szCs w:val="20"/>
                <w:color w:val="auto"/>
              </w:rPr>
            </w:pPr>
            <w:r>
              <w:rPr>
                <w:rFonts w:ascii="Arial" w:cs="Arial" w:eastAsia="Arial" w:hAnsi="Arial"/>
                <w:sz w:val="15"/>
                <w:szCs w:val="15"/>
                <w:color w:val="auto"/>
              </w:rPr>
              <w:t>2017</w:t>
            </w:r>
          </w:p>
        </w:tc>
        <w:tc>
          <w:tcPr>
            <w:tcW w:w="4900" w:type="dxa"/>
            <w:vAlign w:val="bottom"/>
          </w:tcPr>
          <w:p>
            <w:pPr>
              <w:ind w:left="47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79"/>
        </w:trPr>
        <w:tc>
          <w:tcPr>
            <w:tcW w:w="5480" w:type="dxa"/>
            <w:vAlign w:val="bottom"/>
          </w:tcPr>
          <w:p>
            <w:pPr>
              <w:spacing w:after="0"/>
              <w:rPr>
                <w:sz w:val="20"/>
                <w:szCs w:val="20"/>
                <w:color w:val="auto"/>
              </w:rPr>
            </w:pPr>
            <w:r>
              <w:rPr>
                <w:rFonts w:ascii="Arial" w:cs="Arial" w:eastAsia="Arial" w:hAnsi="Arial"/>
                <w:sz w:val="15"/>
                <w:szCs w:val="15"/>
                <w:color w:val="auto"/>
              </w:rPr>
              <w:t>2018–2022</w:t>
            </w:r>
          </w:p>
        </w:tc>
        <w:tc>
          <w:tcPr>
            <w:tcW w:w="4900" w:type="dxa"/>
            <w:vAlign w:val="bottom"/>
          </w:tcPr>
          <w:p>
            <w:pPr>
              <w:ind w:left="47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25,</w:t>
            </w:r>
          </w:p>
        </w:tc>
      </w:tr>
    </w:tbl>
    <w:p>
      <w:pPr>
        <w:spacing w:after="0" w:line="179" w:lineRule="exact"/>
        <w:rPr>
          <w:sz w:val="20"/>
          <w:szCs w:val="20"/>
          <w:color w:val="auto"/>
        </w:rPr>
      </w:pPr>
    </w:p>
    <w:p>
      <w:pPr>
        <w:jc w:val="both"/>
        <w:ind w:left="580"/>
        <w:spacing w:after="0" w:line="235" w:lineRule="auto"/>
        <w:rPr>
          <w:sz w:val="20"/>
          <w:szCs w:val="20"/>
          <w:color w:val="auto"/>
        </w:rPr>
      </w:pPr>
      <w:r>
        <w:rPr>
          <w:rFonts w:ascii="Arial" w:cs="Arial" w:eastAsia="Arial" w:hAnsi="Arial"/>
          <w:sz w:val="17"/>
          <w:szCs w:val="17"/>
          <w:color w:val="auto"/>
        </w:rPr>
        <w:t>The total (benefit) cost arising from the Company’s other postretirement plans for the years ended December 31, 2012 and 2011, and January 2, 2011 including a portion included in discontinued operations, consists of the following components:</w:t>
      </w:r>
    </w:p>
    <w:p>
      <w:pPr>
        <w:spacing w:after="0" w:line="286" w:lineRule="exact"/>
        <w:rPr>
          <w:sz w:val="20"/>
          <w:szCs w:val="20"/>
          <w:color w:val="auto"/>
        </w:rPr>
      </w:pPr>
    </w:p>
    <w:tbl>
      <w:tblPr>
        <w:tblLayout w:type="fixed"/>
        <w:tblInd w:w="580" w:type="dxa"/>
        <w:tblCellMar>
          <w:top w:w="0" w:type="dxa"/>
          <w:left w:w="0" w:type="dxa"/>
          <w:bottom w:w="0" w:type="dxa"/>
          <w:right w:w="0" w:type="dxa"/>
        </w:tblCellMar>
      </w:tblPr>
      <w:tr>
        <w:trPr>
          <w:trHeight w:val="151"/>
        </w:trPr>
        <w:tc>
          <w:tcPr>
            <w:tcW w:w="80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Postretirement Plans</w:t>
            </w: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800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346"/>
              <w:spacing w:after="0" w:line="129" w:lineRule="exact"/>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86"/>
              <w:spacing w:after="0" w:line="129" w:lineRule="exact"/>
              <w:rPr>
                <w:sz w:val="20"/>
                <w:szCs w:val="20"/>
                <w:color w:val="auto"/>
              </w:rPr>
            </w:pPr>
            <w:r>
              <w:rPr>
                <w:rFonts w:ascii="Arial" w:cs="Arial" w:eastAsia="Arial" w:hAnsi="Arial"/>
                <w:sz w:val="12"/>
                <w:szCs w:val="12"/>
                <w:color w:val="auto"/>
              </w:rPr>
              <w:t>2011</w:t>
            </w:r>
          </w:p>
        </w:tc>
        <w:tc>
          <w:tcPr>
            <w:tcW w:w="2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50"/>
        </w:trPr>
        <w:tc>
          <w:tcPr>
            <w:tcW w:w="800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280" w:type="dxa"/>
            <w:vAlign w:val="bottom"/>
          </w:tcPr>
          <w:p>
            <w:pPr>
              <w:jc w:val="right"/>
              <w:ind w:right="46"/>
              <w:spacing w:after="0" w:line="150" w:lineRule="exact"/>
              <w:rPr>
                <w:sz w:val="20"/>
                <w:szCs w:val="20"/>
                <w:color w:val="auto"/>
              </w:rPr>
            </w:pPr>
            <w:r>
              <w:rPr>
                <w:rFonts w:ascii="Arial" w:cs="Arial" w:eastAsia="Arial" w:hAnsi="Arial"/>
                <w:sz w:val="15"/>
                <w:szCs w:val="15"/>
                <w:b w:val="1"/>
                <w:bCs w:val="1"/>
                <w:color w:val="auto"/>
              </w:rPr>
              <w:t>$</w:t>
            </w:r>
          </w:p>
        </w:tc>
        <w:tc>
          <w:tcPr>
            <w:tcW w:w="7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3,113</w:t>
            </w:r>
          </w:p>
        </w:tc>
        <w:tc>
          <w:tcPr>
            <w:tcW w:w="440" w:type="dxa"/>
            <w:vAlign w:val="bottom"/>
          </w:tcPr>
          <w:p>
            <w:pPr>
              <w:jc w:val="right"/>
              <w:ind w:right="8"/>
              <w:spacing w:after="0" w:line="150"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186"/>
              <w:spacing w:after="0" w:line="150" w:lineRule="exact"/>
              <w:rPr>
                <w:sz w:val="20"/>
                <w:szCs w:val="20"/>
                <w:color w:val="auto"/>
              </w:rPr>
            </w:pPr>
            <w:r>
              <w:rPr>
                <w:rFonts w:ascii="Arial" w:cs="Arial" w:eastAsia="Arial" w:hAnsi="Arial"/>
                <w:sz w:val="15"/>
                <w:szCs w:val="15"/>
                <w:color w:val="auto"/>
              </w:rPr>
              <w:t>2,872</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00" w:type="dxa"/>
            <w:vAlign w:val="bottom"/>
          </w:tcPr>
          <w:p>
            <w:pPr>
              <w:spacing w:after="0"/>
              <w:rPr>
                <w:sz w:val="20"/>
                <w:szCs w:val="20"/>
                <w:color w:val="auto"/>
              </w:rPr>
            </w:pPr>
            <w:r>
              <w:rPr>
                <w:rFonts w:ascii="Arial" w:cs="Arial" w:eastAsia="Arial" w:hAnsi="Arial"/>
                <w:sz w:val="15"/>
                <w:szCs w:val="15"/>
                <w:color w:val="auto"/>
              </w:rPr>
              <w:t>Interest cost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2,735</w:t>
            </w:r>
          </w:p>
        </w:tc>
        <w:tc>
          <w:tcPr>
            <w:tcW w:w="440" w:type="dxa"/>
            <w:vAlign w:val="bottom"/>
          </w:tcPr>
          <w:p>
            <w:pPr>
              <w:spacing w:after="0"/>
              <w:rPr>
                <w:sz w:val="15"/>
                <w:szCs w:val="15"/>
                <w:color w:val="auto"/>
              </w:rPr>
            </w:pPr>
          </w:p>
        </w:tc>
        <w:tc>
          <w:tcPr>
            <w:tcW w:w="900" w:type="dxa"/>
            <w:vAlign w:val="bottom"/>
          </w:tcPr>
          <w:p>
            <w:pPr>
              <w:jc w:val="right"/>
              <w:ind w:right="186"/>
              <w:spacing w:after="0"/>
              <w:rPr>
                <w:sz w:val="20"/>
                <w:szCs w:val="20"/>
                <w:color w:val="auto"/>
              </w:rPr>
            </w:pPr>
            <w:r>
              <w:rPr>
                <w:rFonts w:ascii="Arial" w:cs="Arial" w:eastAsia="Arial" w:hAnsi="Arial"/>
                <w:sz w:val="15"/>
                <w:szCs w:val="15"/>
                <w:color w:val="auto"/>
              </w:rPr>
              <w:t>3,063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(5,608)</w:t>
            </w:r>
          </w:p>
        </w:tc>
        <w:tc>
          <w:tcPr>
            <w:tcW w:w="440" w:type="dxa"/>
            <w:vAlign w:val="bottom"/>
          </w:tcPr>
          <w:p>
            <w:pPr>
              <w:spacing w:after="0"/>
              <w:rPr>
                <w:sz w:val="15"/>
                <w:szCs w:val="15"/>
                <w:color w:val="auto"/>
              </w:rPr>
            </w:pPr>
          </w:p>
        </w:tc>
        <w:tc>
          <w:tcPr>
            <w:tcW w:w="900" w:type="dxa"/>
            <w:vAlign w:val="bottom"/>
          </w:tcPr>
          <w:p>
            <w:pPr>
              <w:jc w:val="right"/>
              <w:ind w:right="186"/>
              <w:spacing w:after="0"/>
              <w:rPr>
                <w:sz w:val="20"/>
                <w:szCs w:val="20"/>
                <w:color w:val="auto"/>
              </w:rPr>
            </w:pPr>
            <w:r>
              <w:rPr>
                <w:rFonts w:ascii="Arial" w:cs="Arial" w:eastAsia="Arial" w:hAnsi="Arial"/>
                <w:sz w:val="15"/>
                <w:szCs w:val="15"/>
                <w:color w:val="auto"/>
              </w:rPr>
              <w:t>(5,650)</w:t>
            </w:r>
          </w:p>
        </w:tc>
        <w:tc>
          <w:tcPr>
            <w:tcW w:w="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8000" w:type="dxa"/>
            <w:vAlign w:val="bottom"/>
          </w:tcPr>
          <w:p>
            <w:pPr>
              <w:spacing w:after="0"/>
              <w:rPr>
                <w:sz w:val="20"/>
                <w:szCs w:val="20"/>
                <w:color w:val="auto"/>
              </w:rPr>
            </w:pPr>
            <w:r>
              <w:rPr>
                <w:rFonts w:ascii="Arial" w:cs="Arial" w:eastAsia="Arial" w:hAnsi="Arial"/>
                <w:sz w:val="15"/>
                <w:szCs w:val="15"/>
                <w:color w:val="auto"/>
              </w:rPr>
              <w:t>Recognized actuarial gain</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(1,478)</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(1,921)</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800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(Benefit) Cost</w:t>
            </w:r>
          </w:p>
        </w:tc>
        <w:tc>
          <w:tcPr>
            <w:tcW w:w="280" w:type="dxa"/>
            <w:vAlign w:val="bottom"/>
          </w:tcPr>
          <w:p>
            <w:pPr>
              <w:spacing w:after="0"/>
              <w:rPr>
                <w:sz w:val="13"/>
                <w:szCs w:val="13"/>
                <w:color w:val="auto"/>
              </w:rPr>
            </w:pPr>
          </w:p>
        </w:tc>
        <w:tc>
          <w:tcPr>
            <w:tcW w:w="7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(1,238)</w:t>
            </w:r>
          </w:p>
        </w:tc>
        <w:tc>
          <w:tcPr>
            <w:tcW w:w="440" w:type="dxa"/>
            <w:vAlign w:val="bottom"/>
          </w:tcPr>
          <w:p>
            <w:pPr>
              <w:spacing w:after="0"/>
              <w:rPr>
                <w:sz w:val="13"/>
                <w:szCs w:val="13"/>
                <w:color w:val="auto"/>
              </w:rPr>
            </w:pPr>
          </w:p>
        </w:tc>
        <w:tc>
          <w:tcPr>
            <w:tcW w:w="900" w:type="dxa"/>
            <w:vAlign w:val="bottom"/>
          </w:tcPr>
          <w:p>
            <w:pPr>
              <w:jc w:val="right"/>
              <w:ind w:right="186"/>
              <w:spacing w:after="0" w:line="150" w:lineRule="exact"/>
              <w:rPr>
                <w:sz w:val="20"/>
                <w:szCs w:val="20"/>
                <w:color w:val="auto"/>
              </w:rPr>
            </w:pPr>
            <w:r>
              <w:rPr>
                <w:rFonts w:ascii="Arial" w:cs="Arial" w:eastAsia="Arial" w:hAnsi="Arial"/>
                <w:sz w:val="15"/>
                <w:szCs w:val="15"/>
                <w:color w:val="auto"/>
              </w:rPr>
              <w:t>(1,636)</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00" w:type="dxa"/>
            <w:vAlign w:val="bottom"/>
          </w:tcPr>
          <w:p>
            <w:pPr>
              <w:spacing w:after="0"/>
              <w:rPr>
                <w:sz w:val="20"/>
                <w:szCs w:val="20"/>
                <w:color w:val="auto"/>
              </w:rPr>
            </w:pPr>
            <w:r>
              <w:rPr>
                <w:rFonts w:ascii="Arial" w:cs="Arial" w:eastAsia="Arial" w:hAnsi="Arial"/>
                <w:sz w:val="15"/>
                <w:szCs w:val="15"/>
                <w:color w:val="auto"/>
              </w:rPr>
              <w:t>Curtailment loss (gain)</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438</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8000" w:type="dxa"/>
            <w:vAlign w:val="bottom"/>
          </w:tcPr>
          <w:p>
            <w:pPr>
              <w:spacing w:after="0" w:line="167" w:lineRule="exact"/>
              <w:rPr>
                <w:sz w:val="20"/>
                <w:szCs w:val="20"/>
                <w:color w:val="auto"/>
              </w:rPr>
            </w:pPr>
            <w:r>
              <w:rPr>
                <w:rFonts w:ascii="Arial" w:cs="Arial" w:eastAsia="Arial" w:hAnsi="Arial"/>
                <w:sz w:val="15"/>
                <w:szCs w:val="15"/>
                <w:b w:val="1"/>
                <w:bCs w:val="1"/>
                <w:color w:val="auto"/>
              </w:rPr>
              <w:t>Total Benefit for the Year</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(800)</w:t>
            </w:r>
          </w:p>
        </w:tc>
        <w:tc>
          <w:tcPr>
            <w:tcW w:w="44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(1,636)</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8"/>
        </w:trPr>
        <w:tc>
          <w:tcPr>
            <w:tcW w:w="8000" w:type="dxa"/>
            <w:vAlign w:val="bottom"/>
          </w:tcPr>
          <w:p>
            <w:pPr>
              <w:spacing w:after="0" w:line="168" w:lineRule="exact"/>
              <w:rPr>
                <w:sz w:val="20"/>
                <w:szCs w:val="20"/>
                <w:color w:val="auto"/>
              </w:rPr>
            </w:pPr>
            <w:r>
              <w:rPr>
                <w:rFonts w:ascii="Arial" w:cs="Arial" w:eastAsia="Arial" w:hAnsi="Arial"/>
                <w:sz w:val="15"/>
                <w:szCs w:val="15"/>
                <w:b w:val="1"/>
                <w:bCs w:val="1"/>
                <w:color w:val="auto"/>
              </w:rPr>
              <w:t>Other Changes in Benefit Obligations Recognized in Other Comprehensive Income</w:t>
            </w:r>
          </w:p>
        </w:tc>
        <w:tc>
          <w:tcPr>
            <w:tcW w:w="2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(11,493)</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0" w:type="dxa"/>
            <w:vAlign w:val="bottom"/>
          </w:tcPr>
          <w:p>
            <w:pPr>
              <w:spacing w:after="0" w:line="156" w:lineRule="exact"/>
              <w:rPr>
                <w:sz w:val="20"/>
                <w:szCs w:val="20"/>
                <w:color w:val="auto"/>
              </w:rPr>
            </w:pPr>
            <w:r>
              <w:rPr>
                <w:rFonts w:ascii="Arial" w:cs="Arial" w:eastAsia="Arial" w:hAnsi="Arial"/>
                <w:sz w:val="15"/>
                <w:szCs w:val="15"/>
                <w:color w:val="auto"/>
              </w:rPr>
              <w:t>Current year actuarial gain</w:t>
            </w:r>
          </w:p>
        </w:tc>
        <w:tc>
          <w:tcPr>
            <w:tcW w:w="2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440" w:type="dxa"/>
            <w:vAlign w:val="bottom"/>
          </w:tcPr>
          <w:p>
            <w:pPr>
              <w:jc w:val="right"/>
              <w:ind w:right="8"/>
              <w:spacing w:after="0" w:line="156" w:lineRule="exact"/>
              <w:rPr>
                <w:sz w:val="20"/>
                <w:szCs w:val="20"/>
                <w:color w:val="auto"/>
              </w:rPr>
            </w:pPr>
            <w:r>
              <w:rPr>
                <w:rFonts w:ascii="Arial" w:cs="Arial" w:eastAsia="Arial" w:hAnsi="Arial"/>
                <w:sz w:val="15"/>
                <w:szCs w:val="15"/>
                <w:color w:val="auto"/>
              </w:rPr>
              <w:t>$</w:t>
            </w:r>
          </w:p>
        </w:tc>
        <w:tc>
          <w:tcPr>
            <w:tcW w:w="900" w:type="dxa"/>
            <w:vAlign w:val="bottom"/>
          </w:tcPr>
          <w:p>
            <w:pPr>
              <w:jc w:val="right"/>
              <w:ind w:right="186"/>
              <w:spacing w:after="0" w:line="156" w:lineRule="exact"/>
              <w:rPr>
                <w:sz w:val="20"/>
                <w:szCs w:val="20"/>
                <w:color w:val="auto"/>
              </w:rPr>
            </w:pPr>
            <w:r>
              <w:rPr>
                <w:rFonts w:ascii="Arial" w:cs="Arial" w:eastAsia="Arial" w:hAnsi="Arial"/>
                <w:sz w:val="15"/>
                <w:szCs w:val="15"/>
                <w:color w:val="auto"/>
              </w:rPr>
              <w:t>(55)</w:t>
            </w:r>
          </w:p>
        </w:tc>
        <w:tc>
          <w:tcPr>
            <w:tcW w:w="260" w:type="dxa"/>
            <w:vAlign w:val="bottom"/>
          </w:tcPr>
          <w:p>
            <w:pPr>
              <w:jc w:val="right"/>
              <w:ind w:right="26"/>
              <w:spacing w:after="0" w:line="156"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8000" w:type="dxa"/>
            <w:vAlign w:val="bottom"/>
          </w:tcPr>
          <w:p>
            <w:pPr>
              <w:spacing w:after="0"/>
              <w:rPr>
                <w:sz w:val="20"/>
                <w:szCs w:val="20"/>
                <w:color w:val="auto"/>
              </w:rPr>
            </w:pPr>
            <w:r>
              <w:rPr>
                <w:rFonts w:ascii="Arial" w:cs="Arial" w:eastAsia="Arial" w:hAnsi="Arial"/>
                <w:sz w:val="15"/>
                <w:szCs w:val="15"/>
                <w:color w:val="auto"/>
              </w:rPr>
              <w:t>Current year prior service credit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5"/>
                <w:szCs w:val="15"/>
                <w:color w:val="auto"/>
              </w:rPr>
            </w:pPr>
          </w:p>
        </w:tc>
        <w:tc>
          <w:tcPr>
            <w:tcW w:w="900" w:type="dxa"/>
            <w:vAlign w:val="bottom"/>
          </w:tcPr>
          <w:p>
            <w:pPr>
              <w:jc w:val="right"/>
              <w:ind w:right="18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800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5,608</w:t>
            </w:r>
          </w:p>
        </w:tc>
        <w:tc>
          <w:tcPr>
            <w:tcW w:w="440" w:type="dxa"/>
            <w:vAlign w:val="bottom"/>
          </w:tcPr>
          <w:p>
            <w:pPr>
              <w:spacing w:after="0"/>
              <w:rPr>
                <w:sz w:val="15"/>
                <w:szCs w:val="15"/>
                <w:color w:val="auto"/>
              </w:rPr>
            </w:pPr>
          </w:p>
        </w:tc>
        <w:tc>
          <w:tcPr>
            <w:tcW w:w="900" w:type="dxa"/>
            <w:vAlign w:val="bottom"/>
          </w:tcPr>
          <w:p>
            <w:pPr>
              <w:jc w:val="right"/>
              <w:ind w:right="186"/>
              <w:spacing w:after="0"/>
              <w:rPr>
                <w:sz w:val="20"/>
                <w:szCs w:val="20"/>
                <w:color w:val="auto"/>
              </w:rPr>
            </w:pPr>
            <w:r>
              <w:rPr>
                <w:rFonts w:ascii="Arial" w:cs="Arial" w:eastAsia="Arial" w:hAnsi="Arial"/>
                <w:sz w:val="15"/>
                <w:szCs w:val="15"/>
                <w:color w:val="auto"/>
              </w:rPr>
              <w:t>5,650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00" w:type="dxa"/>
            <w:vAlign w:val="bottom"/>
          </w:tcPr>
          <w:p>
            <w:pPr>
              <w:spacing w:after="0"/>
              <w:rPr>
                <w:sz w:val="20"/>
                <w:szCs w:val="20"/>
                <w:color w:val="auto"/>
              </w:rPr>
            </w:pPr>
            <w:r>
              <w:rPr>
                <w:rFonts w:ascii="Arial" w:cs="Arial" w:eastAsia="Arial" w:hAnsi="Arial"/>
                <w:sz w:val="15"/>
                <w:szCs w:val="15"/>
                <w:color w:val="auto"/>
              </w:rPr>
              <w:t>Recognized actuarial gain</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1,478</w:t>
            </w:r>
          </w:p>
        </w:tc>
        <w:tc>
          <w:tcPr>
            <w:tcW w:w="440" w:type="dxa"/>
            <w:vAlign w:val="bottom"/>
          </w:tcPr>
          <w:p>
            <w:pPr>
              <w:spacing w:after="0"/>
              <w:rPr>
                <w:sz w:val="15"/>
                <w:szCs w:val="15"/>
                <w:color w:val="auto"/>
              </w:rPr>
            </w:pPr>
          </w:p>
        </w:tc>
        <w:tc>
          <w:tcPr>
            <w:tcW w:w="900" w:type="dxa"/>
            <w:vAlign w:val="bottom"/>
          </w:tcPr>
          <w:p>
            <w:pPr>
              <w:jc w:val="right"/>
              <w:ind w:right="186"/>
              <w:spacing w:after="0"/>
              <w:rPr>
                <w:sz w:val="20"/>
                <w:szCs w:val="20"/>
                <w:color w:val="auto"/>
              </w:rPr>
            </w:pPr>
            <w:r>
              <w:rPr>
                <w:rFonts w:ascii="Arial" w:cs="Arial" w:eastAsia="Arial" w:hAnsi="Arial"/>
                <w:sz w:val="15"/>
                <w:szCs w:val="15"/>
                <w:color w:val="auto"/>
              </w:rPr>
              <w:t>1,921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0" w:type="dxa"/>
            <w:vAlign w:val="bottom"/>
          </w:tcPr>
          <w:p>
            <w:pPr>
              <w:spacing w:after="0"/>
              <w:rPr>
                <w:sz w:val="20"/>
                <w:szCs w:val="20"/>
                <w:color w:val="auto"/>
              </w:rPr>
            </w:pPr>
            <w:r>
              <w:rPr>
                <w:rFonts w:ascii="Arial" w:cs="Arial" w:eastAsia="Arial" w:hAnsi="Arial"/>
                <w:sz w:val="15"/>
                <w:szCs w:val="15"/>
                <w:color w:val="auto"/>
              </w:rPr>
              <w:t>Curtailment loss</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00" w:type="dxa"/>
            <w:vAlign w:val="bottom"/>
          </w:tcPr>
          <w:p>
            <w:pPr>
              <w:spacing w:after="0" w:line="167" w:lineRule="exact"/>
              <w:rPr>
                <w:sz w:val="20"/>
                <w:szCs w:val="20"/>
                <w:color w:val="auto"/>
              </w:rPr>
            </w:pPr>
            <w:r>
              <w:rPr>
                <w:rFonts w:ascii="Arial" w:cs="Arial" w:eastAsia="Arial" w:hAnsi="Arial"/>
                <w:sz w:val="15"/>
                <w:szCs w:val="15"/>
                <w:b w:val="1"/>
                <w:bCs w:val="1"/>
                <w:color w:val="auto"/>
              </w:rPr>
              <w:t>Total Recognized in Other Comprehensive Income (Before Tax Effects)</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7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(4,407)</w:t>
            </w:r>
          </w:p>
        </w:tc>
        <w:tc>
          <w:tcPr>
            <w:tcW w:w="44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7,516</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00" w:type="dxa"/>
            <w:vAlign w:val="bottom"/>
          </w:tcPr>
          <w:p>
            <w:pPr>
              <w:spacing w:after="0" w:line="162" w:lineRule="exact"/>
              <w:rPr>
                <w:sz w:val="20"/>
                <w:szCs w:val="20"/>
                <w:color w:val="auto"/>
              </w:rPr>
            </w:pPr>
            <w:r>
              <w:rPr>
                <w:rFonts w:ascii="Arial" w:cs="Arial" w:eastAsia="Arial" w:hAnsi="Arial"/>
                <w:sz w:val="15"/>
                <w:szCs w:val="15"/>
                <w:b w:val="1"/>
                <w:bCs w:val="1"/>
                <w:color w:val="auto"/>
              </w:rPr>
              <w:t>Total Recognized in (Benefit) Cost and Other</w:t>
            </w:r>
          </w:p>
        </w:tc>
        <w:tc>
          <w:tcPr>
            <w:tcW w:w="2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(5,207)</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000" w:type="dxa"/>
            <w:vAlign w:val="bottom"/>
          </w:tcPr>
          <w:p>
            <w:pPr>
              <w:ind w:left="220"/>
              <w:spacing w:after="0"/>
              <w:rPr>
                <w:sz w:val="20"/>
                <w:szCs w:val="20"/>
                <w:color w:val="auto"/>
              </w:rPr>
            </w:pPr>
            <w:r>
              <w:rPr>
                <w:rFonts w:ascii="Arial" w:cs="Arial" w:eastAsia="Arial" w:hAnsi="Arial"/>
                <w:sz w:val="15"/>
                <w:szCs w:val="15"/>
                <w:b w:val="1"/>
                <w:bCs w:val="1"/>
                <w:color w:val="auto"/>
              </w:rPr>
              <w:t>Comprehensive Income (Before Tax Effect)</w:t>
            </w:r>
          </w:p>
        </w:tc>
        <w:tc>
          <w:tcPr>
            <w:tcW w:w="2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5,880</w:t>
            </w:r>
          </w:p>
        </w:tc>
        <w:tc>
          <w:tcPr>
            <w:tcW w:w="2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580" w:right="20"/>
        <w:spacing w:after="0" w:line="235" w:lineRule="auto"/>
        <w:rPr>
          <w:sz w:val="20"/>
          <w:szCs w:val="20"/>
          <w:color w:val="auto"/>
        </w:rPr>
      </w:pPr>
      <w:r>
        <w:rPr>
          <w:rFonts w:ascii="Arial" w:cs="Arial" w:eastAsia="Arial" w:hAnsi="Arial"/>
          <w:sz w:val="17"/>
          <w:szCs w:val="17"/>
          <w:color w:val="auto"/>
        </w:rPr>
        <w:t>The costs for the Company’s postretirement plans are actuarially determined. The discount rates utilized to determine periodic cost for the years ende December 31, 2012 and 2011, and January 2, 2011 were 3.90%, 4.60% and 5.25%, respectively.</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At December 31, 2012 and 2011, AOCI included the following components of unrecognized net periodic benefit for the postretirement plans: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51"/>
        </w:trPr>
        <w:tc>
          <w:tcPr>
            <w:tcW w:w="9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color w:val="auto"/>
              </w:rPr>
              <w:t>Unrecognized actuarial gain</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(25,525)</w:t>
            </w:r>
          </w:p>
        </w:tc>
        <w:tc>
          <w:tcPr>
            <w:tcW w:w="3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(1</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Unrecognized prior service credit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(26,128)</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150"/>
        </w:trPr>
        <w:tc>
          <w:tcPr>
            <w:tcW w:w="9140" w:type="dxa"/>
            <w:vAlign w:val="bottom"/>
          </w:tcPr>
          <w:p>
            <w:pPr>
              <w:spacing w:after="0" w:line="150" w:lineRule="exact"/>
              <w:rPr>
                <w:sz w:val="20"/>
                <w:szCs w:val="20"/>
                <w:color w:val="auto"/>
              </w:rPr>
            </w:pPr>
            <w:r>
              <w:rPr>
                <w:rFonts w:ascii="Arial" w:cs="Arial" w:eastAsia="Arial" w:hAnsi="Arial"/>
                <w:sz w:val="15"/>
                <w:szCs w:val="15"/>
                <w:b w:val="1"/>
                <w:bCs w:val="1"/>
                <w:color w:val="auto"/>
              </w:rPr>
              <w:t>Gross Amount</w:t>
            </w:r>
          </w:p>
        </w:tc>
        <w:tc>
          <w:tcPr>
            <w:tcW w:w="260" w:type="dxa"/>
            <w:vAlign w:val="bottom"/>
          </w:tcPr>
          <w:p>
            <w:pPr>
              <w:spacing w:after="0"/>
              <w:rPr>
                <w:sz w:val="13"/>
                <w:szCs w:val="13"/>
                <w:color w:val="auto"/>
              </w:rPr>
            </w:pPr>
          </w:p>
        </w:tc>
        <w:tc>
          <w:tcPr>
            <w:tcW w:w="90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(51,653)</w:t>
            </w:r>
          </w:p>
        </w:tc>
        <w:tc>
          <w:tcPr>
            <w:tcW w:w="360" w:type="dxa"/>
            <w:vAlign w:val="bottom"/>
          </w:tcPr>
          <w:p>
            <w:pPr>
              <w:spacing w:after="0"/>
              <w:rPr>
                <w:sz w:val="13"/>
                <w:szCs w:val="13"/>
                <w:color w:val="auto"/>
              </w:rPr>
            </w:pP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(4</w:t>
            </w:r>
          </w:p>
        </w:tc>
      </w:tr>
      <w:tr>
        <w:trPr>
          <w:trHeight w:val="190"/>
        </w:trPr>
        <w:tc>
          <w:tcPr>
            <w:tcW w:w="9140" w:type="dxa"/>
            <w:vAlign w:val="bottom"/>
          </w:tcPr>
          <w:p>
            <w:pPr>
              <w:spacing w:after="0"/>
              <w:rPr>
                <w:sz w:val="20"/>
                <w:szCs w:val="20"/>
                <w:color w:val="auto"/>
              </w:rPr>
            </w:pPr>
            <w:r>
              <w:rPr>
                <w:rFonts w:ascii="Arial" w:cs="Arial" w:eastAsia="Arial" w:hAnsi="Arial"/>
                <w:sz w:val="15"/>
                <w:szCs w:val="15"/>
                <w:color w:val="auto"/>
              </w:rPr>
              <w:t>Deferred tax liability</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20,661</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r>
      <w:tr>
        <w:trPr>
          <w:trHeight w:val="166"/>
        </w:trPr>
        <w:tc>
          <w:tcPr>
            <w:tcW w:w="9140" w:type="dxa"/>
            <w:vAlign w:val="bottom"/>
          </w:tcPr>
          <w:p>
            <w:pPr>
              <w:spacing w:after="0" w:line="167" w:lineRule="exact"/>
              <w:rPr>
                <w:sz w:val="20"/>
                <w:szCs w:val="20"/>
                <w:color w:val="auto"/>
              </w:rPr>
            </w:pPr>
            <w:r>
              <w:rPr>
                <w:rFonts w:ascii="Arial" w:cs="Arial" w:eastAsia="Arial" w:hAnsi="Arial"/>
                <w:sz w:val="15"/>
                <w:szCs w:val="15"/>
                <w:b w:val="1"/>
                <w:bCs w:val="1"/>
                <w:color w:val="auto"/>
              </w:rPr>
              <w:t>Net Amount</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(30,992)</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During 2013, the Company expects to recognize the following amortization components of net periodic cost for the other postretirement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69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201</w:t>
            </w:r>
          </w:p>
        </w:tc>
      </w:tr>
      <w:tr>
        <w:trPr>
          <w:trHeight w:val="168"/>
        </w:trPr>
        <w:tc>
          <w:tcPr>
            <w:tcW w:w="580" w:type="dxa"/>
            <w:vAlign w:val="bottom"/>
          </w:tcPr>
          <w:p>
            <w:pPr>
              <w:spacing w:after="0"/>
              <w:rPr>
                <w:sz w:val="14"/>
                <w:szCs w:val="14"/>
                <w:color w:val="auto"/>
              </w:rPr>
            </w:pPr>
          </w:p>
        </w:tc>
        <w:tc>
          <w:tcPr>
            <w:tcW w:w="3760" w:type="dxa"/>
            <w:vAlign w:val="bottom"/>
          </w:tcPr>
          <w:p>
            <w:pPr>
              <w:spacing w:after="0" w:line="168" w:lineRule="exact"/>
              <w:rPr>
                <w:sz w:val="20"/>
                <w:szCs w:val="20"/>
                <w:color w:val="auto"/>
              </w:rPr>
            </w:pPr>
            <w:r>
              <w:rPr>
                <w:rFonts w:ascii="Arial" w:cs="Arial" w:eastAsia="Arial" w:hAnsi="Arial"/>
                <w:sz w:val="15"/>
                <w:szCs w:val="15"/>
                <w:color w:val="auto"/>
              </w:rPr>
              <w:t>Actuarial gain recognition</w:t>
            </w:r>
          </w:p>
        </w:tc>
        <w:tc>
          <w:tcPr>
            <w:tcW w:w="6940" w:type="dxa"/>
            <w:vAlign w:val="bottom"/>
          </w:tcPr>
          <w:p>
            <w:pPr>
              <w:jc w:val="right"/>
              <w:ind w:right="3"/>
              <w:spacing w:after="0" w:line="168" w:lineRule="exact"/>
              <w:rPr>
                <w:sz w:val="20"/>
                <w:szCs w:val="20"/>
                <w:color w:val="auto"/>
              </w:rPr>
            </w:pPr>
            <w:r>
              <w:rPr>
                <w:rFonts w:ascii="Arial" w:cs="Arial" w:eastAsia="Arial" w:hAnsi="Arial"/>
                <w:sz w:val="15"/>
                <w:szCs w:val="15"/>
                <w:color w:val="auto"/>
              </w:rPr>
              <w:t>$</w:t>
            </w:r>
          </w:p>
        </w:tc>
        <w:tc>
          <w:tcPr>
            <w:tcW w:w="240" w:type="dxa"/>
            <w:vAlign w:val="bottom"/>
            <w:gridSpan w:val="2"/>
          </w:tcPr>
          <w:p>
            <w:pPr>
              <w:jc w:val="right"/>
              <w:spacing w:after="0" w:line="168" w:lineRule="exact"/>
              <w:rPr>
                <w:sz w:val="20"/>
                <w:szCs w:val="20"/>
                <w:color w:val="auto"/>
              </w:rPr>
            </w:pPr>
            <w:r>
              <w:rPr>
                <w:rFonts w:ascii="Arial" w:cs="Arial" w:eastAsia="Arial" w:hAnsi="Arial"/>
                <w:sz w:val="15"/>
                <w:szCs w:val="15"/>
                <w:color w:val="auto"/>
              </w:rPr>
              <w:t>(</w:t>
            </w:r>
          </w:p>
        </w:tc>
      </w:tr>
      <w:tr>
        <w:trPr>
          <w:trHeight w:val="179"/>
        </w:trPr>
        <w:tc>
          <w:tcPr>
            <w:tcW w:w="580" w:type="dxa"/>
            <w:vAlign w:val="bottom"/>
          </w:tcPr>
          <w:p>
            <w:pPr>
              <w:spacing w:after="0"/>
              <w:rPr>
                <w:sz w:val="15"/>
                <w:szCs w:val="15"/>
                <w:color w:val="auto"/>
              </w:rPr>
            </w:pPr>
          </w:p>
        </w:tc>
        <w:tc>
          <w:tcPr>
            <w:tcW w:w="3760" w:type="dxa"/>
            <w:vAlign w:val="bottom"/>
          </w:tcPr>
          <w:p>
            <w:pPr>
              <w:spacing w:after="0"/>
              <w:rPr>
                <w:sz w:val="20"/>
                <w:szCs w:val="20"/>
                <w:color w:val="auto"/>
              </w:rPr>
            </w:pPr>
            <w:r>
              <w:rPr>
                <w:rFonts w:ascii="Arial" w:cs="Arial" w:eastAsia="Arial" w:hAnsi="Arial"/>
                <w:sz w:val="15"/>
                <w:szCs w:val="15"/>
                <w:color w:val="auto"/>
              </w:rPr>
              <w:t>Prior service credit recognition</w:t>
            </w:r>
          </w:p>
        </w:tc>
        <w:tc>
          <w:tcPr>
            <w:tcW w:w="69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r>
      <w:tr>
        <w:trPr>
          <w:trHeight w:val="401"/>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940" w:type="dxa"/>
            <w:vAlign w:val="bottom"/>
          </w:tcPr>
          <w:p>
            <w:pPr>
              <w:jc w:val="right"/>
              <w:ind w:right="4803"/>
              <w:spacing w:after="0"/>
              <w:rPr>
                <w:sz w:val="20"/>
                <w:szCs w:val="20"/>
                <w:color w:val="auto"/>
              </w:rPr>
            </w:pPr>
            <w:r>
              <w:rPr>
                <w:rFonts w:ascii="Arial" w:cs="Arial" w:eastAsia="Arial" w:hAnsi="Arial"/>
                <w:sz w:val="17"/>
                <w:szCs w:val="17"/>
                <w:color w:val="auto"/>
              </w:rPr>
              <w:t>105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7"/>
        </w:trPr>
        <w:tc>
          <w:tcPr>
            <w:tcW w:w="580" w:type="dxa"/>
            <w:vAlign w:val="bottom"/>
            <w:tcBorders>
              <w:bottom w:val="single" w:sz="8" w:color="808080"/>
            </w:tcBorders>
          </w:tcPr>
          <w:p>
            <w:pPr>
              <w:spacing w:after="0"/>
              <w:rPr>
                <w:sz w:val="12"/>
                <w:szCs w:val="12"/>
                <w:color w:val="auto"/>
              </w:rPr>
            </w:pPr>
          </w:p>
        </w:tc>
        <w:tc>
          <w:tcPr>
            <w:tcW w:w="3760" w:type="dxa"/>
            <w:vAlign w:val="bottom"/>
            <w:tcBorders>
              <w:bottom w:val="single" w:sz="8" w:color="808080"/>
            </w:tcBorders>
          </w:tcPr>
          <w:p>
            <w:pPr>
              <w:spacing w:after="0"/>
              <w:rPr>
                <w:sz w:val="12"/>
                <w:szCs w:val="12"/>
                <w:color w:val="auto"/>
              </w:rPr>
            </w:pPr>
          </w:p>
        </w:tc>
        <w:tc>
          <w:tcPr>
            <w:tcW w:w="694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548" w:right="139" w:bottom="1440" w:gutter="0" w:footer="0" w:header="0"/>
        </w:sectPr>
      </w:pPr>
    </w:p>
    <w:bookmarkStart w:id="114" w:name="page115"/>
    <w:bookmarkEnd w:id="114"/>
    <w:p>
      <w:pPr>
        <w:jc w:val="both"/>
        <w:ind w:left="9"/>
        <w:spacing w:after="0" w:line="242" w:lineRule="auto"/>
        <w:rPr>
          <w:sz w:val="20"/>
          <w:szCs w:val="20"/>
          <w:color w:val="auto"/>
        </w:rPr>
      </w:pPr>
      <w:r>
        <w:rPr>
          <w:rFonts w:ascii="Arial" w:cs="Arial" w:eastAsia="Arial" w:hAnsi="Arial"/>
          <w:sz w:val="17"/>
          <w:szCs w:val="17"/>
          <w:b w:val="1"/>
          <w:bCs w:val="1"/>
          <w:color w:val="auto"/>
        </w:rPr>
        <w:t>Multiemployer Pension Plans</w:t>
      </w:r>
      <w:r>
        <w:rPr>
          <w:rFonts w:ascii="Arial" w:cs="Arial" w:eastAsia="Arial" w:hAnsi="Arial"/>
          <w:sz w:val="17"/>
          <w:szCs w:val="17"/>
          <w:color w:val="auto"/>
        </w:rPr>
        <w:t>. The Company contributes to a number of multiemployer defined benefit pension plans under the terms of collective-bargaining agreements that cover certain union-represented employees. The risks of participating in these multiemployer pension plans are different fr single-employer plans as follows:</w:t>
      </w:r>
    </w:p>
    <w:p>
      <w:pPr>
        <w:spacing w:after="0" w:line="37" w:lineRule="exact"/>
        <w:rPr>
          <w:sz w:val="20"/>
          <w:szCs w:val="20"/>
          <w:color w:val="auto"/>
        </w:rPr>
      </w:pPr>
    </w:p>
    <w:p>
      <w:pPr>
        <w:ind w:left="269" w:hanging="269"/>
        <w:spacing w:after="0"/>
        <w:tabs>
          <w:tab w:leader="none" w:pos="2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Assets contributed to the multiemployer pension plan by one employer may be used to provide benefits to employees of other participating employ</w:t>
      </w:r>
    </w:p>
    <w:p>
      <w:pPr>
        <w:spacing w:after="0" w:line="51" w:lineRule="exact"/>
        <w:rPr>
          <w:rFonts w:ascii="Arial" w:cs="Arial" w:eastAsia="Arial" w:hAnsi="Arial"/>
          <w:sz w:val="16"/>
          <w:szCs w:val="16"/>
          <w:color w:val="auto"/>
        </w:rPr>
      </w:pPr>
    </w:p>
    <w:p>
      <w:pPr>
        <w:ind w:left="269" w:hanging="269"/>
        <w:spacing w:after="0"/>
        <w:tabs>
          <w:tab w:leader="none" w:pos="2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the plan, the unfunded obligations of the plan may be borne by the remaining participating employe</w:t>
      </w:r>
    </w:p>
    <w:p>
      <w:pPr>
        <w:spacing w:after="0" w:line="51" w:lineRule="exact"/>
        <w:rPr>
          <w:rFonts w:ascii="Arial" w:cs="Arial" w:eastAsia="Arial" w:hAnsi="Arial"/>
          <w:sz w:val="16"/>
          <w:szCs w:val="16"/>
          <w:color w:val="auto"/>
        </w:rPr>
      </w:pPr>
    </w:p>
    <w:p>
      <w:pPr>
        <w:ind w:left="289" w:hanging="289"/>
        <w:spacing w:after="0" w:line="235" w:lineRule="auto"/>
        <w:tabs>
          <w:tab w:leader="none" w:pos="252"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Company chooses to stop participating in some of its multiemployer pension plans, the Company may be required to pay those plans an amo based on the underfunded status of the plan, referred to as a withdrawal liability.</w:t>
      </w:r>
    </w:p>
    <w:p>
      <w:pPr>
        <w:spacing w:after="0" w:line="176" w:lineRule="exact"/>
        <w:rPr>
          <w:sz w:val="20"/>
          <w:szCs w:val="20"/>
          <w:color w:val="auto"/>
        </w:rPr>
      </w:pPr>
    </w:p>
    <w:p>
      <w:pPr>
        <w:ind w:left="9" w:right="40"/>
        <w:spacing w:after="0" w:line="235" w:lineRule="auto"/>
        <w:rPr>
          <w:sz w:val="20"/>
          <w:szCs w:val="20"/>
          <w:color w:val="auto"/>
        </w:rPr>
      </w:pPr>
      <w:r>
        <w:rPr>
          <w:rFonts w:ascii="Arial" w:cs="Arial" w:eastAsia="Arial" w:hAnsi="Arial"/>
          <w:sz w:val="17"/>
          <w:szCs w:val="17"/>
          <w:color w:val="auto"/>
        </w:rPr>
        <w:t>In 2012, The Daily Herald notified the GCIU Employer’s Trust Fund of its unilateral withdrawal from the Plan effective November 30, 2012, and record $0.9 million charge based on an estimate of the withdrawal liability.</w:t>
      </w:r>
    </w:p>
    <w:p>
      <w:pPr>
        <w:spacing w:after="0" w:line="176"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The Company, through The Washington Post and The Daily Herald newspapers, contributed to the CWA/ITU Negotiated Pension Plan (Employer Identification Number – 13-6212879, Plan Number 001) on behalf of mailers, helpers and utility mailers. As of December 31, 2010, the CWA/ITU Nego Pension Plan (the Plan) was in critical (red) status as currently defined by the Pension Protection Act of 2006, and a rehabilitation plan was in effect. T are no surcharges for employers who have adopted the rehabilitation plan, and there is no minimum contribution requirement other than the normal requirement to contribute as provided in the collective bargaining agreement. The Company’s collective bargaining agreement expired on May 18, 200 The Company’s contributions to the Plan amounted to $0.1 million in 2011 and $0.6 million in 2010. The Washington Post was listed in the Plan’s For 5500 as providing more than 5% of the total contribution to the Plan for the year ended December 31, 2010.</w:t>
      </w:r>
    </w:p>
    <w:p>
      <w:pPr>
        <w:spacing w:after="0" w:line="178" w:lineRule="exact"/>
        <w:rPr>
          <w:sz w:val="20"/>
          <w:szCs w:val="20"/>
          <w:color w:val="auto"/>
        </w:rPr>
      </w:pPr>
    </w:p>
    <w:p>
      <w:pPr>
        <w:jc w:val="both"/>
        <w:ind w:left="9"/>
        <w:spacing w:after="0" w:line="231" w:lineRule="auto"/>
        <w:rPr>
          <w:sz w:val="20"/>
          <w:szCs w:val="20"/>
          <w:color w:val="auto"/>
        </w:rPr>
      </w:pPr>
      <w:r>
        <w:rPr>
          <w:rFonts w:ascii="Arial" w:cs="Arial" w:eastAsia="Arial" w:hAnsi="Arial"/>
          <w:sz w:val="17"/>
          <w:szCs w:val="17"/>
          <w:color w:val="auto"/>
        </w:rPr>
        <w:t>In 2010, The Washington Post notified the union and the Plan of its unilateral withdrawal from the Plan effective November 30, 2010. In connection wit action, The Washington Post recorded a $20.4 million charge in 2010 based on an estimate of the withdrawal liability. In 2011, the Daily Herald notifie union and the Plan of its unilateral withdrawal from the Plan effective December 18, 2011. In connection with this action, The Daily Herald recorded a million charge in 2011 based on an estimate of the withdrawal liability. Payment of the actual withdrawal liability will relieve The Washington Post and Daily Herald of further liability to the Plan absent certain circumstances prescribed by law.</w:t>
      </w:r>
    </w:p>
    <w:p>
      <w:pPr>
        <w:spacing w:after="0" w:line="176"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The Company’s total contributions to multiemployer pension plans that are not individually significant amounted to $0.2 million in 2012, $0.3 million in and $0.4 million in 2010. The Company’s total contributions to all multiemployer pension plans amounted to $0.2 million in 2012, $0.4 million in 2011 a $1.0 million in 2010.</w:t>
      </w:r>
    </w:p>
    <w:p>
      <w:pPr>
        <w:spacing w:after="0" w:line="155" w:lineRule="exact"/>
        <w:rPr>
          <w:sz w:val="20"/>
          <w:szCs w:val="20"/>
          <w:color w:val="auto"/>
        </w:rPr>
      </w:pPr>
    </w:p>
    <w:p>
      <w:pPr>
        <w:ind w:left="9" w:right="60"/>
        <w:spacing w:after="0" w:line="255" w:lineRule="auto"/>
        <w:rPr>
          <w:sz w:val="20"/>
          <w:szCs w:val="20"/>
          <w:color w:val="auto"/>
        </w:rPr>
      </w:pPr>
      <w:r>
        <w:rPr>
          <w:rFonts w:ascii="Arial" w:cs="Arial" w:eastAsia="Arial" w:hAnsi="Arial"/>
          <w:sz w:val="17"/>
          <w:szCs w:val="17"/>
          <w:b w:val="1"/>
          <w:bCs w:val="1"/>
          <w:color w:val="auto"/>
        </w:rPr>
        <w:t xml:space="preserve">Savings Plans. </w:t>
      </w:r>
      <w:r>
        <w:rPr>
          <w:rFonts w:ascii="Arial" w:cs="Arial" w:eastAsia="Arial" w:hAnsi="Arial"/>
          <w:sz w:val="17"/>
          <w:szCs w:val="17"/>
          <w:color w:val="auto"/>
        </w:rPr>
        <w:t>The Company recorded expense associated with retirement benefits provided under incentive savings plans (primarily 401(k) plans)</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$17.3 million in 2012, $20.4 million in 2011 and $18.9 million in 2010.</w:t>
      </w:r>
    </w:p>
    <w:p>
      <w:pPr>
        <w:spacing w:after="0" w:line="143" w:lineRule="exact"/>
        <w:rPr>
          <w:sz w:val="20"/>
          <w:szCs w:val="20"/>
          <w:color w:val="auto"/>
        </w:rPr>
      </w:pPr>
    </w:p>
    <w:p>
      <w:pPr>
        <w:ind w:left="409" w:hanging="409"/>
        <w:spacing w:after="0"/>
        <w:tabs>
          <w:tab w:leader="none" w:pos="409"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OTHER NON-OPERATING (EXPENSE) INCOME</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A summary of non-operating (expense) income for the years ended December 31, 2012 and 2011, and January 2, 2011, follows:</w:t>
      </w:r>
    </w:p>
    <w:p>
      <w:pPr>
        <w:spacing w:after="0" w:line="200"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w:t>
            </w:r>
          </w:p>
        </w:tc>
      </w:tr>
      <w:tr>
        <w:trPr>
          <w:trHeight w:val="150"/>
        </w:trPr>
        <w:tc>
          <w:tcPr>
            <w:tcW w:w="7900" w:type="dxa"/>
            <w:vAlign w:val="bottom"/>
          </w:tcPr>
          <w:p>
            <w:pPr>
              <w:spacing w:after="0" w:line="150" w:lineRule="exact"/>
              <w:rPr>
                <w:sz w:val="20"/>
                <w:szCs w:val="20"/>
                <w:color w:val="auto"/>
              </w:rPr>
            </w:pPr>
            <w:r>
              <w:rPr>
                <w:rFonts w:ascii="Arial" w:cs="Arial" w:eastAsia="Arial" w:hAnsi="Arial"/>
                <w:sz w:val="15"/>
                <w:szCs w:val="15"/>
                <w:color w:val="auto"/>
              </w:rPr>
              <w:t>Impairment write-down on a marketable equity security</w:t>
            </w:r>
          </w:p>
        </w:tc>
        <w:tc>
          <w:tcPr>
            <w:tcW w:w="260" w:type="dxa"/>
            <w:vAlign w:val="bottom"/>
          </w:tcPr>
          <w:p>
            <w:pPr>
              <w:jc w:val="right"/>
              <w:ind w:right="26"/>
              <w:spacing w:after="0" w:line="150" w:lineRule="exact"/>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(17,998)</w:t>
            </w:r>
          </w:p>
        </w:tc>
        <w:tc>
          <w:tcPr>
            <w:tcW w:w="36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88"/>
              <w:spacing w:after="0" w:line="150" w:lineRule="exact"/>
              <w:rPr>
                <w:sz w:val="20"/>
                <w:szCs w:val="20"/>
                <w:color w:val="auto"/>
              </w:rPr>
            </w:pPr>
            <w:r>
              <w:rPr>
                <w:rFonts w:ascii="Arial" w:cs="Arial" w:eastAsia="Arial" w:hAnsi="Arial"/>
                <w:sz w:val="15"/>
                <w:szCs w:val="15"/>
                <w:color w:val="auto"/>
              </w:rPr>
              <w:t>(53,793)</w:t>
            </w:r>
          </w:p>
        </w:tc>
        <w:tc>
          <w:tcPr>
            <w:tcW w:w="640" w:type="dxa"/>
            <w:vAlign w:val="bottom"/>
          </w:tcPr>
          <w:p>
            <w:pPr>
              <w:jc w:val="right"/>
              <w:ind w:right="310"/>
              <w:spacing w:after="0" w:line="150" w:lineRule="exact"/>
              <w:rPr>
                <w:sz w:val="20"/>
                <w:szCs w:val="20"/>
                <w:color w:val="auto"/>
              </w:rPr>
            </w:pPr>
            <w:r>
              <w:rPr>
                <w:rFonts w:ascii="Arial" w:cs="Arial" w:eastAsia="Arial" w:hAnsi="Arial"/>
                <w:sz w:val="15"/>
                <w:szCs w:val="15"/>
                <w:color w:val="auto"/>
              </w:rPr>
              <w:t>$</w:t>
            </w: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Gains (losses) on sales or write-downs of cost method investments</w:t>
            </w:r>
          </w:p>
        </w:tc>
        <w:tc>
          <w:tcPr>
            <w:tcW w:w="2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5"/>
                <w:szCs w:val="15"/>
                <w:b w:val="1"/>
                <w:bCs w:val="1"/>
                <w:color w:val="auto"/>
              </w:rPr>
              <w:t>6,639</w:t>
            </w:r>
          </w:p>
        </w:tc>
        <w:tc>
          <w:tcPr>
            <w:tcW w:w="36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419</w:t>
            </w:r>
          </w:p>
        </w:tc>
        <w:tc>
          <w:tcPr>
            <w:tcW w:w="640" w:type="dxa"/>
            <w:vAlign w:val="bottom"/>
          </w:tcPr>
          <w:p>
            <w:pPr>
              <w:spacing w:after="0"/>
              <w:rPr>
                <w:sz w:val="15"/>
                <w:szCs w:val="15"/>
                <w:color w:val="auto"/>
              </w:rPr>
            </w:pPr>
          </w:p>
        </w:tc>
      </w:tr>
      <w:tr>
        <w:trPr>
          <w:trHeight w:val="174"/>
        </w:trPr>
        <w:tc>
          <w:tcPr>
            <w:tcW w:w="7900" w:type="dxa"/>
            <w:vAlign w:val="bottom"/>
          </w:tcPr>
          <w:p>
            <w:pPr>
              <w:spacing w:after="0"/>
              <w:rPr>
                <w:sz w:val="20"/>
                <w:szCs w:val="20"/>
                <w:color w:val="auto"/>
              </w:rPr>
            </w:pPr>
            <w:r>
              <w:rPr>
                <w:rFonts w:ascii="Arial" w:cs="Arial" w:eastAsia="Arial" w:hAnsi="Arial"/>
                <w:sz w:val="15"/>
                <w:szCs w:val="15"/>
                <w:color w:val="auto"/>
              </w:rPr>
              <w:t>Foreign currency gains (losses), net</w:t>
            </w:r>
          </w:p>
        </w:tc>
        <w:tc>
          <w:tcPr>
            <w:tcW w:w="2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5"/>
                <w:szCs w:val="15"/>
                <w:b w:val="1"/>
                <w:bCs w:val="1"/>
                <w:color w:val="auto"/>
              </w:rPr>
              <w:t>3,132</w:t>
            </w:r>
          </w:p>
        </w:tc>
        <w:tc>
          <w:tcPr>
            <w:tcW w:w="36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Arial" w:cs="Arial" w:eastAsia="Arial" w:hAnsi="Arial"/>
                <w:sz w:val="15"/>
                <w:szCs w:val="15"/>
                <w:color w:val="auto"/>
              </w:rPr>
              <w:t>(3,263)</w:t>
            </w:r>
          </w:p>
        </w:tc>
        <w:tc>
          <w:tcPr>
            <w:tcW w:w="640" w:type="dxa"/>
            <w:vAlign w:val="bottom"/>
          </w:tcPr>
          <w:p>
            <w:pPr>
              <w:spacing w:after="0"/>
              <w:rPr>
                <w:sz w:val="15"/>
                <w:szCs w:val="15"/>
                <w:color w:val="auto"/>
              </w:rPr>
            </w:pPr>
          </w:p>
        </w:tc>
      </w:tr>
      <w:tr>
        <w:trPr>
          <w:trHeight w:val="190"/>
        </w:trPr>
        <w:tc>
          <w:tcPr>
            <w:tcW w:w="7900" w:type="dxa"/>
            <w:vAlign w:val="bottom"/>
          </w:tcPr>
          <w:p>
            <w:pPr>
              <w:spacing w:after="0"/>
              <w:rPr>
                <w:sz w:val="20"/>
                <w:szCs w:val="20"/>
                <w:color w:val="auto"/>
              </w:rPr>
            </w:pPr>
            <w:r>
              <w:rPr>
                <w:rFonts w:ascii="Arial" w:cs="Arial" w:eastAsia="Arial" w:hAnsi="Arial"/>
                <w:sz w:val="15"/>
                <w:szCs w:val="15"/>
                <w:color w:val="auto"/>
              </w:rPr>
              <w:t>Other, net</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2,771</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1,437</w:t>
            </w:r>
          </w:p>
        </w:tc>
        <w:tc>
          <w:tcPr>
            <w:tcW w:w="640" w:type="dxa"/>
            <w:vAlign w:val="bottom"/>
            <w:tcBorders>
              <w:bottom w:val="single" w:sz="8" w:color="auto"/>
            </w:tcBorders>
          </w:tcPr>
          <w:p>
            <w:pPr>
              <w:spacing w:after="0"/>
              <w:rPr>
                <w:sz w:val="16"/>
                <w:szCs w:val="16"/>
                <w:color w:val="auto"/>
              </w:rPr>
            </w:pPr>
          </w:p>
        </w:tc>
      </w:tr>
      <w:tr>
        <w:trPr>
          <w:trHeight w:val="166"/>
        </w:trPr>
        <w:tc>
          <w:tcPr>
            <w:tcW w:w="7900" w:type="dxa"/>
            <w:vAlign w:val="bottom"/>
          </w:tcPr>
          <w:p>
            <w:pPr>
              <w:spacing w:after="0" w:line="167" w:lineRule="exact"/>
              <w:rPr>
                <w:sz w:val="20"/>
                <w:szCs w:val="20"/>
                <w:color w:val="auto"/>
              </w:rPr>
            </w:pPr>
            <w:r>
              <w:rPr>
                <w:rFonts w:ascii="Arial" w:cs="Arial" w:eastAsia="Arial" w:hAnsi="Arial"/>
                <w:sz w:val="15"/>
                <w:szCs w:val="15"/>
                <w:b w:val="1"/>
                <w:bCs w:val="1"/>
                <w:color w:val="auto"/>
              </w:rPr>
              <w:t>Total Other Non-Operating (Expense) Income</w:t>
            </w:r>
          </w:p>
        </w:tc>
        <w:tc>
          <w:tcPr>
            <w:tcW w:w="2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(5,456)</w:t>
            </w:r>
          </w:p>
        </w:tc>
        <w:tc>
          <w:tcPr>
            <w:tcW w:w="36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color w:val="auto"/>
              </w:rPr>
              <w:t>(55,200)</w:t>
            </w:r>
          </w:p>
        </w:tc>
        <w:tc>
          <w:tcPr>
            <w:tcW w:w="640" w:type="dxa"/>
            <w:vAlign w:val="bottom"/>
            <w:tcBorders>
              <w:bottom w:val="single" w:sz="8" w:color="auto"/>
            </w:tcBorders>
          </w:tcPr>
          <w:p>
            <w:pPr>
              <w:jc w:val="right"/>
              <w:ind w:right="310"/>
              <w:spacing w:after="0" w:line="167" w:lineRule="exact"/>
              <w:rPr>
                <w:sz w:val="20"/>
                <w:szCs w:val="20"/>
                <w:color w:val="auto"/>
              </w:rPr>
            </w:pPr>
            <w:r>
              <w:rPr>
                <w:rFonts w:ascii="Arial" w:cs="Arial" w:eastAsia="Arial" w:hAnsi="Arial"/>
                <w:sz w:val="15"/>
                <w:szCs w:val="15"/>
                <w:color w:val="auto"/>
              </w:rPr>
              <w:t>$</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528" w:right="139" w:bottom="1440" w:gutter="0" w:footer="0" w:header="0"/>
        </w:sectPr>
      </w:pPr>
    </w:p>
    <w:bookmarkStart w:id="115" w:name="page116"/>
    <w:bookmarkEnd w:id="115"/>
    <w:p>
      <w:pPr>
        <w:ind w:left="409" w:hanging="409"/>
        <w:spacing w:after="0"/>
        <w:tabs>
          <w:tab w:leader="none" w:pos="409"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LEASES AND OTHER COMMITMENTS</w:t>
      </w:r>
    </w:p>
    <w:p>
      <w:pPr>
        <w:spacing w:after="0" w:line="197" w:lineRule="exact"/>
        <w:rPr>
          <w:sz w:val="20"/>
          <w:szCs w:val="20"/>
          <w:color w:val="auto"/>
        </w:rPr>
      </w:pPr>
    </w:p>
    <w:p>
      <w:pPr>
        <w:ind w:left="9"/>
        <w:spacing w:after="0" w:line="235" w:lineRule="auto"/>
        <w:rPr>
          <w:sz w:val="20"/>
          <w:szCs w:val="20"/>
          <w:color w:val="auto"/>
        </w:rPr>
      </w:pPr>
      <w:r>
        <w:rPr>
          <w:rFonts w:ascii="Arial" w:cs="Arial" w:eastAsia="Arial" w:hAnsi="Arial"/>
          <w:sz w:val="17"/>
          <w:szCs w:val="17"/>
          <w:color w:val="auto"/>
        </w:rPr>
        <w:t>The Company leases real property under operating agreements. Many of the leases contain renewal options and escalation clauses that require paym of additional rent to the extent of increases in the related operating costs.</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7"/>
          <w:szCs w:val="17"/>
          <w:color w:val="auto"/>
        </w:rPr>
        <w:t>At December 31, 2012, future minimum rental payments under noncancelable operating leases approximate the following:</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2"/>
          <w:szCs w:val="12"/>
          <w:color w:val="auto"/>
        </w:rPr>
        <w:t>(in thousands)</w:t>
      </w:r>
    </w:p>
    <w:tbl>
      <w:tblPr>
        <w:tblLayout w:type="fixed"/>
        <w:tblInd w:w="9" w:type="dxa"/>
        <w:tblCellMar>
          <w:top w:w="0" w:type="dxa"/>
          <w:left w:w="0" w:type="dxa"/>
          <w:bottom w:w="0" w:type="dxa"/>
          <w:right w:w="0" w:type="dxa"/>
        </w:tblCellMar>
      </w:tblPr>
      <w:tr>
        <w:trPr>
          <w:trHeight w:val="168"/>
        </w:trPr>
        <w:tc>
          <w:tcPr>
            <w:tcW w:w="1030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color w:val="auto"/>
              </w:rPr>
              <w:t>2013</w:t>
            </w:r>
          </w:p>
        </w:tc>
        <w:tc>
          <w:tcPr>
            <w:tcW w:w="340" w:type="dxa"/>
            <w:vAlign w:val="bottom"/>
            <w:tcBorders>
              <w:top w:val="single" w:sz="8" w:color="auto"/>
            </w:tcBorders>
          </w:tcPr>
          <w:p>
            <w:pPr>
              <w:jc w:val="right"/>
              <w:ind w:right="126"/>
              <w:spacing w:after="0" w:line="168" w:lineRule="exact"/>
              <w:rPr>
                <w:sz w:val="20"/>
                <w:szCs w:val="20"/>
                <w:color w:val="auto"/>
              </w:rPr>
            </w:pPr>
            <w:r>
              <w:rPr>
                <w:rFonts w:ascii="Arial" w:cs="Arial" w:eastAsia="Arial" w:hAnsi="Arial"/>
                <w:sz w:val="15"/>
                <w:szCs w:val="15"/>
                <w:color w:val="auto"/>
              </w:rPr>
              <w:t>$</w:t>
            </w:r>
          </w:p>
        </w:tc>
        <w:tc>
          <w:tcPr>
            <w:tcW w:w="30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5"/>
                <w:szCs w:val="15"/>
                <w:color w:val="auto"/>
              </w:rPr>
              <w:t>1</w:t>
            </w: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2014</w:t>
            </w:r>
          </w:p>
        </w:tc>
        <w:tc>
          <w:tcPr>
            <w:tcW w:w="3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2015</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2016</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4"/>
        </w:trPr>
        <w:tc>
          <w:tcPr>
            <w:tcW w:w="10300" w:type="dxa"/>
            <w:vAlign w:val="bottom"/>
          </w:tcPr>
          <w:p>
            <w:pPr>
              <w:spacing w:after="0"/>
              <w:rPr>
                <w:sz w:val="20"/>
                <w:szCs w:val="20"/>
                <w:color w:val="auto"/>
              </w:rPr>
            </w:pPr>
            <w:r>
              <w:rPr>
                <w:rFonts w:ascii="Arial" w:cs="Arial" w:eastAsia="Arial" w:hAnsi="Arial"/>
                <w:sz w:val="15"/>
                <w:szCs w:val="15"/>
                <w:color w:val="auto"/>
              </w:rPr>
              <w:t>2017</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2"/>
        </w:trPr>
        <w:tc>
          <w:tcPr>
            <w:tcW w:w="10300" w:type="dxa"/>
            <w:vAlign w:val="bottom"/>
          </w:tcPr>
          <w:p>
            <w:pPr>
              <w:spacing w:after="0"/>
              <w:rPr>
                <w:sz w:val="20"/>
                <w:szCs w:val="20"/>
                <w:color w:val="auto"/>
              </w:rPr>
            </w:pPr>
            <w:r>
              <w:rPr>
                <w:rFonts w:ascii="Arial" w:cs="Arial" w:eastAsia="Arial" w:hAnsi="Arial"/>
                <w:sz w:val="15"/>
                <w:szCs w:val="15"/>
                <w:color w:val="auto"/>
              </w:rPr>
              <w:t>Thereafter</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66"/>
        </w:trPr>
        <w:tc>
          <w:tcPr>
            <w:tcW w:w="10300" w:type="dxa"/>
            <w:vAlign w:val="bottom"/>
          </w:tcPr>
          <w:p>
            <w:pPr>
              <w:spacing w:after="0"/>
              <w:rPr>
                <w:sz w:val="14"/>
                <w:szCs w:val="14"/>
                <w:color w:val="auto"/>
              </w:rPr>
            </w:pPr>
          </w:p>
        </w:tc>
        <w:tc>
          <w:tcPr>
            <w:tcW w:w="34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w:t>
            </w:r>
          </w:p>
        </w:tc>
      </w:tr>
      <w:tr>
        <w:trPr>
          <w:trHeight w:val="20"/>
        </w:trPr>
        <w:tc>
          <w:tcPr>
            <w:tcW w:w="10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9"/>
        <w:spacing w:after="0"/>
        <w:rPr>
          <w:sz w:val="20"/>
          <w:szCs w:val="20"/>
          <w:color w:val="auto"/>
        </w:rPr>
      </w:pPr>
      <w:r>
        <w:rPr>
          <w:rFonts w:ascii="Arial" w:cs="Arial" w:eastAsia="Arial" w:hAnsi="Arial"/>
          <w:sz w:val="17"/>
          <w:szCs w:val="17"/>
          <w:color w:val="auto"/>
        </w:rPr>
        <w:t>Minimum payments have not been reduced by minimum sublease rentals of $35.9 million due in the future under noncancelable subleases.</w:t>
      </w:r>
    </w:p>
    <w:p>
      <w:pPr>
        <w:spacing w:after="0" w:line="177" w:lineRule="exact"/>
        <w:rPr>
          <w:sz w:val="20"/>
          <w:szCs w:val="20"/>
          <w:color w:val="auto"/>
        </w:rPr>
      </w:pPr>
    </w:p>
    <w:p>
      <w:pPr>
        <w:jc w:val="both"/>
        <w:ind w:left="9" w:right="40"/>
        <w:spacing w:after="0" w:line="233" w:lineRule="auto"/>
        <w:rPr>
          <w:sz w:val="20"/>
          <w:szCs w:val="20"/>
          <w:color w:val="auto"/>
        </w:rPr>
      </w:pPr>
      <w:r>
        <w:rPr>
          <w:rFonts w:ascii="Arial" w:cs="Arial" w:eastAsia="Arial" w:hAnsi="Arial"/>
          <w:sz w:val="17"/>
          <w:szCs w:val="17"/>
          <w:color w:val="auto"/>
        </w:rPr>
        <w:t>Rent expense under operating leases, including a portion reported in discontinued operations, was approximately $127.2 million, $127.8 million and $ million in 2012, 2011 and 2010, respectively. Sublease income was approximately $4.4 million, $2.7 million and $0.5 million in 2012, 2011 and 2010, respectively.</w:t>
      </w:r>
    </w:p>
    <w:p>
      <w:pPr>
        <w:spacing w:after="0" w:line="175" w:lineRule="exact"/>
        <w:rPr>
          <w:sz w:val="20"/>
          <w:szCs w:val="20"/>
          <w:color w:val="auto"/>
        </w:rPr>
      </w:pPr>
    </w:p>
    <w:p>
      <w:pPr>
        <w:ind w:left="9"/>
        <w:spacing w:after="0" w:line="233" w:lineRule="auto"/>
        <w:rPr>
          <w:sz w:val="20"/>
          <w:szCs w:val="20"/>
          <w:color w:val="auto"/>
        </w:rPr>
      </w:pPr>
      <w:r>
        <w:rPr>
          <w:rFonts w:ascii="Arial" w:cs="Arial" w:eastAsia="Arial" w:hAnsi="Arial"/>
          <w:sz w:val="17"/>
          <w:szCs w:val="17"/>
          <w:color w:val="auto"/>
        </w:rPr>
        <w:t>The Company’s broadcast subsidiaries are parties to certain agreements that commit them to purchase programming to be produced in future years. December 31, 2012, such commitments amounted to approximately $25.9 million. If such programs are not produced, the Company’s commitment wo expire without obligation.</w:t>
      </w:r>
    </w:p>
    <w:p>
      <w:pPr>
        <w:spacing w:after="0" w:line="155" w:lineRule="exact"/>
        <w:rPr>
          <w:sz w:val="20"/>
          <w:szCs w:val="20"/>
          <w:color w:val="auto"/>
        </w:rPr>
      </w:pPr>
    </w:p>
    <w:p>
      <w:pPr>
        <w:ind w:left="409" w:hanging="409"/>
        <w:spacing w:after="0"/>
        <w:tabs>
          <w:tab w:leader="none" w:pos="409"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CONTINGENCIES</w:t>
      </w:r>
    </w:p>
    <w:p>
      <w:pPr>
        <w:spacing w:after="0" w:line="177" w:lineRule="exact"/>
        <w:rPr>
          <w:sz w:val="20"/>
          <w:szCs w:val="20"/>
          <w:color w:val="auto"/>
        </w:rPr>
      </w:pPr>
    </w:p>
    <w:p>
      <w:pPr>
        <w:jc w:val="both"/>
        <w:ind w:left="9"/>
        <w:spacing w:after="0" w:line="249" w:lineRule="auto"/>
        <w:rPr>
          <w:sz w:val="20"/>
          <w:szCs w:val="20"/>
          <w:color w:val="auto"/>
        </w:rPr>
      </w:pPr>
      <w:r>
        <w:rPr>
          <w:rFonts w:ascii="Arial" w:cs="Arial" w:eastAsia="Arial" w:hAnsi="Arial"/>
          <w:sz w:val="16"/>
          <w:szCs w:val="16"/>
          <w:b w:val="1"/>
          <w:bCs w:val="1"/>
          <w:color w:val="auto"/>
        </w:rPr>
        <w:t>Litigation and Legal Matters</w:t>
      </w:r>
      <w:r>
        <w:rPr>
          <w:rFonts w:ascii="Arial" w:cs="Arial" w:eastAsia="Arial" w:hAnsi="Arial"/>
          <w:sz w:val="16"/>
          <w:szCs w:val="16"/>
          <w:color w:val="auto"/>
        </w:rPr>
        <w:t>. The Company and its subsidiaries are subject to the items listed below, other complaints and administrative proceedin</w:t>
      </w:r>
      <w:r>
        <w:rPr>
          <w:rFonts w:ascii="Arial" w:cs="Arial" w:eastAsia="Arial" w:hAnsi="Arial"/>
          <w:sz w:val="16"/>
          <w:szCs w:val="16"/>
          <w:b w:val="1"/>
          <w:bCs w:val="1"/>
          <w:color w:val="auto"/>
        </w:rPr>
        <w:t xml:space="preserve"> </w:t>
      </w:r>
      <w:r>
        <w:rPr>
          <w:rFonts w:ascii="Arial" w:cs="Arial" w:eastAsia="Arial" w:hAnsi="Arial"/>
          <w:sz w:val="16"/>
          <w:szCs w:val="16"/>
          <w:color w:val="auto"/>
        </w:rPr>
        <w:t>and are defendants in various other civil lawsuits that have arisen in the ordinary course of their businesses, including contract disputes; actions allegi negligence, libel, invasion of privacy, trademark, copyright and patent infringement; U.S. Federal False Claims Act (False Claim Act) violations; violatio applicable wage and hour laws; and statutory or common law claims involving current and former students and employees. Although the outcomes of legal claims and proceedings against the Company cannot be predicted with certainty, based on currently available information, management believes there are no existing claims or proceedings that are likely to have a material effect on the Company’s business, financial condition, results of operation cash flows. Also, based on currently available information, management is of the opinion that the exposure to future material losses from existing lega proceedings is not reasonably possible, or that future material losses in excess of the amounts accrued are not reasonably possible.</w:t>
      </w:r>
    </w:p>
    <w:p>
      <w:pPr>
        <w:spacing w:after="0" w:line="168"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A purported class-action complaint was filed against the Company, Donald E. Graham and Hal S. Jones on October 28, 2010, in the U.S. District Cour the District of Columbia, by the Plumbers Local #200 Pension Fund. The complaint alleged that the Company and certain of its officers made materiall and misleading statements, or failed to disclose material facts relating to KHE, in violation of the U.S. Federal securities laws. The complaint sought damages, attorneys’ fees, costs and equitable/injunctive relief. The Company moved to dismiss the complaint, and on December 23, 2011, the court g the Company’s motion and dismissed the case with prejudice. On January 25, 2012, the Plaintiff filed a motion seeking leave to amend or alter that fin judgment, which the court granted in part on March 13, 2012 by allowing the Plaintiff to file an amended complaint. On May 11, 2012, the Company m to dismiss the amended complaint. The parties await a ruling on the motion to dismiss.</w:t>
      </w:r>
    </w:p>
    <w:p>
      <w:pPr>
        <w:spacing w:after="0" w:line="178" w:lineRule="exact"/>
        <w:rPr>
          <w:sz w:val="20"/>
          <w:szCs w:val="20"/>
          <w:color w:val="auto"/>
        </w:rPr>
      </w:pPr>
    </w:p>
    <w:p>
      <w:pPr>
        <w:jc w:val="both"/>
        <w:ind w:left="9"/>
        <w:spacing w:after="0" w:line="247" w:lineRule="auto"/>
        <w:rPr>
          <w:sz w:val="20"/>
          <w:szCs w:val="20"/>
          <w:color w:val="auto"/>
        </w:rPr>
      </w:pPr>
      <w:r>
        <w:rPr>
          <w:rFonts w:ascii="Arial" w:cs="Arial" w:eastAsia="Arial" w:hAnsi="Arial"/>
          <w:sz w:val="16"/>
          <w:szCs w:val="16"/>
          <w:color w:val="auto"/>
        </w:rPr>
        <w:t>On February 6, 2008, a purported class-action lawsuit was filed in the U.S. District Court for the Central District of California by purchasers of BAR/BR review courses from July 2006 onward alleging antitrust claims against Kaplan and West Publishing Corporation, BAR/BRI’s former owner. On April 10 2008, the court granted defendants’ motion to dismiss, a decision that was reversed by the Ninth Circuit Court of Appeals on November 7, 2011.The N Circuit also referred the matter to a mediator for the purpose of exploring a settlement. In the fourth quarter of 2012, the parties reached a comprehen agreement to settle the matter. The settlement is expected to be presented to the District Court for approval in the first quarter of 2013.</w:t>
      </w:r>
    </w:p>
    <w:p>
      <w:pPr>
        <w:spacing w:after="0" w:line="195"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42" w:right="139" w:bottom="1440" w:gutter="0" w:footer="0" w:header="0"/>
        </w:sectPr>
      </w:pPr>
    </w:p>
    <w:bookmarkStart w:id="116" w:name="page117"/>
    <w:bookmarkEnd w:id="116"/>
    <w:p>
      <w:pPr>
        <w:spacing w:after="0" w:line="244" w:lineRule="auto"/>
        <w:rPr>
          <w:sz w:val="20"/>
          <w:szCs w:val="20"/>
          <w:color w:val="auto"/>
        </w:rPr>
      </w:pPr>
      <w:r>
        <w:rPr>
          <w:rFonts w:ascii="Arial" w:cs="Arial" w:eastAsia="Arial" w:hAnsi="Arial"/>
          <w:sz w:val="16"/>
          <w:szCs w:val="16"/>
          <w:color w:val="auto"/>
        </w:rPr>
        <w:t>On or about January 17, 2008, an Assistant U.S. Attorney in the Civil Division of the U.S. Attorney’s Office for the Eastern District of Pennsylvania con KHE’s CHI-Broomall campus and made inquiries about the Surgical Technology program, including the program’s eligibility for Title IV U.S. Federal fin aid, the program’s student loan defaults, licensing and accreditation. Kaplan responded to the information requests and fully cooperated with the inquir DOE also conducted a Program Review at the CHI-Broomall campus, and Kaplan likewise cooperated with the Program Review. On July 22, 2011, th Attorney’s Office for the Eastern District of Pennsylvania announced that it had entered into a comprehensive settlement agreement with Kaplan that resolved the U.S. Attorney’s inquiry, provided for the conclusion of the DOE’s program review and also settled a previously sealed False Claims Act complaint that had been filed by a former employee of the CHI-Broomall campus. The total amount of all required payments by CHI-Broomall under th agreements was $1.6 million. Pursuant to the comprehensive settlement agreement, the U.S. Attorney inquiry has been closed, the False Claims Act complaint (</w:t>
      </w:r>
      <w:r>
        <w:rPr>
          <w:rFonts w:ascii="Arial" w:cs="Arial" w:eastAsia="Arial" w:hAnsi="Arial"/>
          <w:sz w:val="16"/>
          <w:szCs w:val="16"/>
          <w:i w:val="1"/>
          <w:iCs w:val="1"/>
          <w:color w:val="auto"/>
        </w:rPr>
        <w:t>United States of America</w:t>
      </w:r>
      <w:r>
        <w:rPr>
          <w:rFonts w:ascii="Arial" w:cs="Arial" w:eastAsia="Arial" w:hAnsi="Arial"/>
          <w:sz w:val="16"/>
          <w:szCs w:val="16"/>
          <w:color w:val="auto"/>
        </w:rPr>
        <w:t xml:space="preserve"> ex rel. </w:t>
      </w:r>
      <w:r>
        <w:rPr>
          <w:rFonts w:ascii="Arial" w:cs="Arial" w:eastAsia="Arial" w:hAnsi="Arial"/>
          <w:sz w:val="16"/>
          <w:szCs w:val="16"/>
          <w:i w:val="1"/>
          <w:iCs w:val="1"/>
          <w:color w:val="auto"/>
        </w:rPr>
        <w:t>David Goodstein</w:t>
      </w:r>
      <w:r>
        <w:rPr>
          <w:rFonts w:ascii="Arial" w:cs="Arial" w:eastAsia="Arial" w:hAnsi="Arial"/>
          <w:sz w:val="16"/>
          <w:szCs w:val="16"/>
          <w:color w:val="auto"/>
        </w:rPr>
        <w:t xml:space="preserve"> v. </w:t>
      </w:r>
      <w:r>
        <w:rPr>
          <w:rFonts w:ascii="Arial" w:cs="Arial" w:eastAsia="Arial" w:hAnsi="Arial"/>
          <w:sz w:val="16"/>
          <w:szCs w:val="16"/>
          <w:i w:val="1"/>
          <w:iCs w:val="1"/>
          <w:color w:val="auto"/>
        </w:rPr>
        <w:t>Kaplan, Inc.</w:t>
      </w:r>
      <w:r>
        <w:rPr>
          <w:rFonts w:ascii="Arial" w:cs="Arial" w:eastAsia="Arial" w:hAnsi="Arial"/>
          <w:sz w:val="16"/>
          <w:szCs w:val="16"/>
          <w:color w:val="auto"/>
        </w:rPr>
        <w:t>, et al.) was dismissed with prejudice, and the DOE will issue a final progra review determination. At this time, Kaplan cannot predict the contents of the pending final program review determination or the ultimate impact the proceedings may have on the CHI-Broomall campus or the KHE business generally.</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 xml:space="preserve">Several Kaplan subsidiaries were or are subject to four other unsealed cases filed by former employees that include, among other allegations, claims the False Claims Act relating to eligibility for Title IV funding. The U.S. Government declined to intervene in all cases, and, as previously reported, cou decisions in 2011 either dismissed the cases in their entirety or narrowed the scope of their allegations. The four cases are captioned: </w:t>
      </w:r>
      <w:r>
        <w:rPr>
          <w:rFonts w:ascii="Arial" w:cs="Arial" w:eastAsia="Arial" w:hAnsi="Arial"/>
          <w:sz w:val="17"/>
          <w:szCs w:val="17"/>
          <w:i w:val="1"/>
          <w:iCs w:val="1"/>
          <w:color w:val="auto"/>
        </w:rPr>
        <w:t>United States 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Carlos Urquilla-Diaz </w:t>
      </w:r>
      <w:r>
        <w:rPr>
          <w:rFonts w:ascii="Arial" w:cs="Arial" w:eastAsia="Arial" w:hAnsi="Arial"/>
          <w:sz w:val="17"/>
          <w:szCs w:val="17"/>
          <w:color w:val="auto"/>
        </w:rPr>
        <w:t>et al. v.</w:t>
      </w:r>
      <w:r>
        <w:rPr>
          <w:rFonts w:ascii="Arial" w:cs="Arial" w:eastAsia="Arial" w:hAnsi="Arial"/>
          <w:sz w:val="17"/>
          <w:szCs w:val="17"/>
          <w:i w:val="1"/>
          <w:iCs w:val="1"/>
          <w:color w:val="auto"/>
        </w:rPr>
        <w:t xml:space="preserve"> Kaplan University </w:t>
      </w:r>
      <w:r>
        <w:rPr>
          <w:rFonts w:ascii="Arial" w:cs="Arial" w:eastAsia="Arial" w:hAnsi="Arial"/>
          <w:sz w:val="17"/>
          <w:szCs w:val="17"/>
          <w:color w:val="auto"/>
        </w:rPr>
        <w:t>et al. (unsealed March 25,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Jorge Torres </w:t>
      </w:r>
      <w:r>
        <w:rPr>
          <w:rFonts w:ascii="Arial" w:cs="Arial" w:eastAsia="Arial" w:hAnsi="Arial"/>
          <w:sz w:val="17"/>
          <w:szCs w:val="17"/>
          <w:color w:val="auto"/>
        </w:rPr>
        <w:t>v.</w:t>
      </w:r>
      <w:r>
        <w:rPr>
          <w:rFonts w:ascii="Arial" w:cs="Arial" w:eastAsia="Arial" w:hAnsi="Arial"/>
          <w:sz w:val="17"/>
          <w:szCs w:val="17"/>
          <w:i w:val="1"/>
          <w:iCs w:val="1"/>
          <w:color w:val="auto"/>
        </w:rPr>
        <w:t xml:space="preserve"> Kapla Higher Education Corp. </w:t>
      </w:r>
      <w:r>
        <w:rPr>
          <w:rFonts w:ascii="Arial" w:cs="Arial" w:eastAsia="Arial" w:hAnsi="Arial"/>
          <w:sz w:val="17"/>
          <w:szCs w:val="17"/>
          <w:color w:val="auto"/>
        </w:rPr>
        <w:t>(unsealed April 7, 2008);</w:t>
      </w:r>
      <w:r>
        <w:rPr>
          <w:rFonts w:ascii="Arial" w:cs="Arial" w:eastAsia="Arial" w:hAnsi="Arial"/>
          <w:sz w:val="17"/>
          <w:szCs w:val="17"/>
          <w:i w:val="1"/>
          <w:iCs w:val="1"/>
          <w:color w:val="auto"/>
        </w:rPr>
        <w:t xml:space="preserve"> United States of America </w:t>
      </w:r>
      <w:r>
        <w:rPr>
          <w:rFonts w:ascii="Arial" w:cs="Arial" w:eastAsia="Arial" w:hAnsi="Arial"/>
          <w:sz w:val="17"/>
          <w:szCs w:val="17"/>
          <w:color w:val="auto"/>
        </w:rPr>
        <w:t>ex rel.</w:t>
      </w:r>
      <w:r>
        <w:rPr>
          <w:rFonts w:ascii="Arial" w:cs="Arial" w:eastAsia="Arial" w:hAnsi="Arial"/>
          <w:sz w:val="17"/>
          <w:szCs w:val="17"/>
          <w:i w:val="1"/>
          <w:iCs w:val="1"/>
          <w:color w:val="auto"/>
        </w:rPr>
        <w:t xml:space="preserve"> Victoria Gatsiopoulos </w:t>
      </w:r>
      <w:r>
        <w:rPr>
          <w:rFonts w:ascii="Arial" w:cs="Arial" w:eastAsia="Arial" w:hAnsi="Arial"/>
          <w:sz w:val="17"/>
          <w:szCs w:val="17"/>
          <w:color w:val="auto"/>
        </w:rPr>
        <w:t>et al. v.</w:t>
      </w:r>
      <w:r>
        <w:rPr>
          <w:rFonts w:ascii="Arial" w:cs="Arial" w:eastAsia="Arial" w:hAnsi="Arial"/>
          <w:sz w:val="17"/>
          <w:szCs w:val="17"/>
          <w:i w:val="1"/>
          <w:iCs w:val="1"/>
          <w:color w:val="auto"/>
        </w:rPr>
        <w:t xml:space="preserve"> ICM School of Business &amp; Medical Ca </w:t>
      </w:r>
      <w:r>
        <w:rPr>
          <w:rFonts w:ascii="Arial" w:cs="Arial" w:eastAsia="Arial" w:hAnsi="Arial"/>
          <w:sz w:val="17"/>
          <w:szCs w:val="17"/>
          <w:color w:val="auto"/>
        </w:rPr>
        <w:t xml:space="preserve">et al. (unsealed September 2, 2008); and </w:t>
      </w:r>
      <w:r>
        <w:rPr>
          <w:rFonts w:ascii="Arial" w:cs="Arial" w:eastAsia="Arial" w:hAnsi="Arial"/>
          <w:sz w:val="17"/>
          <w:szCs w:val="17"/>
          <w:i w:val="1"/>
          <w:iCs w:val="1"/>
          <w:color w:val="auto"/>
        </w:rPr>
        <w:t>United States of America</w:t>
      </w:r>
      <w:r>
        <w:rPr>
          <w:rFonts w:ascii="Arial" w:cs="Arial" w:eastAsia="Arial" w:hAnsi="Arial"/>
          <w:sz w:val="17"/>
          <w:szCs w:val="17"/>
          <w:color w:val="auto"/>
        </w:rPr>
        <w:t xml:space="preserve"> ex rel. </w:t>
      </w:r>
      <w:r>
        <w:rPr>
          <w:rFonts w:ascii="Arial" w:cs="Arial" w:eastAsia="Arial" w:hAnsi="Arial"/>
          <w:sz w:val="17"/>
          <w:szCs w:val="17"/>
          <w:i w:val="1"/>
          <w:iCs w:val="1"/>
          <w:color w:val="auto"/>
        </w:rPr>
        <w:t>Charles Jajdelski</w:t>
      </w:r>
      <w:r>
        <w:rPr>
          <w:rFonts w:ascii="Arial" w:cs="Arial" w:eastAsia="Arial" w:hAnsi="Arial"/>
          <w:sz w:val="17"/>
          <w:szCs w:val="17"/>
          <w:color w:val="auto"/>
        </w:rPr>
        <w:t xml:space="preserve"> v. </w:t>
      </w:r>
      <w:r>
        <w:rPr>
          <w:rFonts w:ascii="Arial" w:cs="Arial" w:eastAsia="Arial" w:hAnsi="Arial"/>
          <w:sz w:val="17"/>
          <w:szCs w:val="17"/>
          <w:i w:val="1"/>
          <w:iCs w:val="1"/>
          <w:color w:val="auto"/>
        </w:rPr>
        <w:t>Kaplan Higher Education Corp.</w:t>
      </w:r>
      <w:r>
        <w:rPr>
          <w:rFonts w:ascii="Arial" w:cs="Arial" w:eastAsia="Arial" w:hAnsi="Arial"/>
          <w:sz w:val="17"/>
          <w:szCs w:val="17"/>
          <w:color w:val="auto"/>
        </w:rPr>
        <w:t xml:space="preserve"> et al. (unsealed January 2009).</w:t>
      </w:r>
    </w:p>
    <w:p>
      <w:pPr>
        <w:spacing w:after="0" w:line="178"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On August 17, 2011, the U.S. District Court for the Southern District of Florida issued a series of rulings in the Diaz case, which included three separat complaints: Diaz, Wilcox and Gillespie. The court dismissed the Wilcox complaint in its entirety; dismissed all False Claims Act allegations in the Diaz complaint, leaving only an individual employment claim; and dismissed in part the Gillespie complaint, thereby limiting the scope and time frame of its Claims Act allegations regarding compliance with the U.S. Federal Rehabilitation Act. On October 31, 2012, the court entered summary judgment in fa the Company as to the sole remaining employment claim in the Diaz complaint. The Gillespie complaint is proceeding to the discovery and dispositive motion phases.</w:t>
      </w:r>
    </w:p>
    <w:p>
      <w:pPr>
        <w:spacing w:after="0" w:line="179" w:lineRule="exact"/>
        <w:rPr>
          <w:sz w:val="20"/>
          <w:szCs w:val="20"/>
          <w:color w:val="auto"/>
        </w:rPr>
      </w:pPr>
    </w:p>
    <w:p>
      <w:pPr>
        <w:jc w:val="both"/>
        <w:ind w:right="20"/>
        <w:spacing w:after="0" w:line="233" w:lineRule="auto"/>
        <w:rPr>
          <w:sz w:val="20"/>
          <w:szCs w:val="20"/>
          <w:color w:val="auto"/>
        </w:rPr>
      </w:pPr>
      <w:r>
        <w:rPr>
          <w:rFonts w:ascii="Arial" w:cs="Arial" w:eastAsia="Arial" w:hAnsi="Arial"/>
          <w:sz w:val="17"/>
          <w:szCs w:val="17"/>
          <w:color w:val="auto"/>
        </w:rPr>
        <w:t>On August 23, 2011, the U.S. District Court for the Southern District of Florida dismissed the Torres case in its entirety and entered a final judgment in of Kaplan. That case was appealed to the U.S. Court of Appeals for the Eleventh Judicial Circuit, but the appeal was subsequently dismissed for want prosecution.</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August 9, 2011, the U.S. District Court for the Southern District of Florida granted in part Kaplan’s motion to dismiss the Gatsiopoulos complaint, w limited the allegations in that complaint to alleged violations of U.S. Federal incentive compensation regulations and so-called “70 percent rules” and a individual employment claim and limited the time frame applicable to these claims. Thereafter, the relators voluntarily dismissed the “false claims” alleg and the remaining employment claim was settled. The complaint was dismissed in the first quarter of 2012.</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July 7, 2011, the U.S. District Court for the District of Nevada dismissed the Jajdelski case in its entirety and entered a final judgment in favor of Ka On February 13, 2013, the U.S. Circuit Court for the Ninth Judicial Circuit affirmed the dismissal in part, and reversed the dismissal on one allegation u the False Claims Act relating to eligibility for Title IV funding based on claims of false attendance. Kaplan is evaluating the decision and its options for steps, including seeking a re-hearing in the appellate court.</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October 21, 2010, Kaplan Higher Education Corporation received a subpoena from the office of the Florida Attorney General. The subpoena soug information pertaining to the online and on-campus schools operated by KHE in and outside of Florida. KHE has cooperated with the Florida Attorney General and provided the information requested in the subpoena. Although KHE may receive further requests for information from the Florida Attorney General, there has been no such further correspondence to date. The Company cannot predict the outcome of this inquiry.</w:t>
      </w:r>
    </w:p>
    <w:p>
      <w:pPr>
        <w:spacing w:after="0" w:line="17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December 21, 2010, the U.S. Equal Employment Opportunity Commission (EEOC) filed suit against Kaplan Higher Education Corporation in the U District Court for the Northern District of Ohio, alleging racial bias by Kaplan in</w:t>
      </w:r>
    </w:p>
    <w:p>
      <w:pPr>
        <w:spacing w:after="0" w:line="20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48" w:right="139" w:bottom="1440" w:gutter="0" w:footer="0" w:header="0"/>
        </w:sectPr>
      </w:pPr>
    </w:p>
    <w:bookmarkStart w:id="117" w:name="page118"/>
    <w:bookmarkEnd w:id="117"/>
    <w:p>
      <w:pPr>
        <w:spacing w:after="0" w:line="233" w:lineRule="auto"/>
        <w:rPr>
          <w:sz w:val="20"/>
          <w:szCs w:val="20"/>
          <w:color w:val="auto"/>
        </w:rPr>
      </w:pPr>
      <w:r>
        <w:rPr>
          <w:rFonts w:ascii="Arial" w:cs="Arial" w:eastAsia="Arial" w:hAnsi="Arial"/>
          <w:sz w:val="17"/>
          <w:szCs w:val="17"/>
          <w:color w:val="auto"/>
        </w:rPr>
        <w:t>requesting credit scores of job applicants seeking financial positions. In March 2011, the court granted in part the Company’s motion to dismiss the complaint. On January 28, 2013, the court entered summary judgment in favor of Kaplan Higher Education Corporation and against the EEOC, termin the case in its entirety. The EEOC will have 60 days in which to file an appeal.</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On February 7, 2011, Kaplan Higher Education Corporation received a Civil Investigative Demand from the Office of the Attorney General of the State Illinois. The demand primarily sought information pertaining to Kaplan University’s online students who are residents of Illinois. KHE has cooperated w Illinois Attorney General and provided the requested information. Although KHE may receive further requests for information from the Illinois Attorney General, there has been no such further correspondence to date. The Company cannot predict the outcome of this inquiry.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April 30, 2011, Kaplan Higher Education Corporation received a Civil Investigative Demand from the Office of the Attorney General of the State of Massachusetts. The demand primarily sought information pertaining to KHE Campuses’ students who are residents of Massachusetts. KHE has coop with the Massachusetts Attorney General and provided the requested information. Although KHE may receive further requests for information from the Massachusetts Attorney General, there has been no such further correspondence to date. The Company cannot predict the outcome of this inquiry.</w:t>
      </w:r>
    </w:p>
    <w:p>
      <w:pPr>
        <w:spacing w:after="0" w:line="170"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On July 20, 2011, Kaplan Higher Education Corporation received a subpoena from the Office of the Attorney General of the State of Delaware. The de primarily sought information pertaining to Kaplan University’s online students and KHE Campuses’ students who are residents of Delaware. KHE has cooperated with the Delaware Attorney General and provided the information requested in the subpoena. Although KHE may receive further requests information from the Delaware Attorney General, there has been no such further correspondence to date. The Company cannot predict the outcome o inquiry.</w:t>
      </w:r>
    </w:p>
    <w:p>
      <w:pPr>
        <w:spacing w:after="0" w:line="156" w:lineRule="exact"/>
        <w:rPr>
          <w:sz w:val="20"/>
          <w:szCs w:val="20"/>
          <w:color w:val="auto"/>
        </w:rPr>
      </w:pPr>
    </w:p>
    <w:p>
      <w:pPr>
        <w:spacing w:after="0" w:line="246" w:lineRule="auto"/>
        <w:rPr>
          <w:sz w:val="20"/>
          <w:szCs w:val="20"/>
          <w:color w:val="auto"/>
        </w:rPr>
      </w:pPr>
      <w:r>
        <w:rPr>
          <w:rFonts w:ascii="Arial" w:cs="Arial" w:eastAsia="Arial" w:hAnsi="Arial"/>
          <w:sz w:val="16"/>
          <w:szCs w:val="16"/>
          <w:b w:val="1"/>
          <w:bCs w:val="1"/>
          <w:color w:val="auto"/>
        </w:rPr>
        <w:t xml:space="preserve">Student Financial Aid. </w:t>
      </w:r>
      <w:r>
        <w:rPr>
          <w:rFonts w:ascii="Arial" w:cs="Arial" w:eastAsia="Arial" w:hAnsi="Arial"/>
          <w:sz w:val="16"/>
          <w:szCs w:val="16"/>
          <w:color w:val="auto"/>
        </w:rPr>
        <w:t>The Company’s education division derives the majority of its revenues from U.S. Federal financial aid received by its student</w:t>
      </w:r>
      <w:r>
        <w:rPr>
          <w:rFonts w:ascii="Arial" w:cs="Arial" w:eastAsia="Arial" w:hAnsi="Arial"/>
          <w:sz w:val="16"/>
          <w:szCs w:val="16"/>
          <w:b w:val="1"/>
          <w:bCs w:val="1"/>
          <w:color w:val="auto"/>
        </w:rPr>
        <w:t xml:space="preserve"> </w:t>
      </w:r>
      <w:r>
        <w:rPr>
          <w:rFonts w:ascii="Arial" w:cs="Arial" w:eastAsia="Arial" w:hAnsi="Arial"/>
          <w:sz w:val="16"/>
          <w:szCs w:val="16"/>
          <w:color w:val="auto"/>
        </w:rPr>
        <w:t>under Title IV programs administered by the DOE pursuant to the Higher Education Act, as amended. To maintain eligibility to participate in Title IV programs, a school must comply with extensive statutory and regulatory requirements relating to its financial aid management, educational programs, financial strength, administrative capability, compensation practices, facilities, recruiting practices and various other matters. In addition, the school mu licensed or otherwise legally authorized to offer postsecondary educational programs by the appropriate governmental body in the state or states in w is physically located or is otherwise subject to state authorization requirements, be accredited by an accrediting agency recognized by the DOE and b certified to participate in the Title IV programs by the DOE. Schools are required periodically to apply for renewal of their authorization, accreditation or certification with the applicable state governmental bodies, accrediting agencies and the DOE. In accordance with DOE regulations, some KHE schoo operate individually or are combined into groups of two or more schools for the purpose of determining compliance with certain Title IV requirements, each school or school group is assigned its own identification number, known as an OPEID number. As a result, the schools in KHE have a total of 30 OPEID numbers. Failure to comply with the requirements of the Higher Education Act or related regulations could result in the restriction or loss of the to participate in Title IV programs and subject the Company to financial penalties and refunds. No assurance can be given that the Kaplan schools, or individual programs within schools, will maintain their Title IV eligibility, accreditation and state authorization in the future or that the DOE might not successfully assert that one or more of such schools have previously failed to comply with Title IV requirements.</w:t>
      </w:r>
    </w:p>
    <w:p>
      <w:pPr>
        <w:spacing w:after="0" w:line="172" w:lineRule="exact"/>
        <w:rPr>
          <w:sz w:val="20"/>
          <w:szCs w:val="20"/>
          <w:color w:val="auto"/>
        </w:rPr>
      </w:pPr>
    </w:p>
    <w:p>
      <w:pPr>
        <w:jc w:val="both"/>
        <w:ind w:right="20"/>
        <w:spacing w:after="0" w:line="230" w:lineRule="auto"/>
        <w:rPr>
          <w:sz w:val="20"/>
          <w:szCs w:val="20"/>
          <w:color w:val="auto"/>
        </w:rPr>
      </w:pPr>
      <w:r>
        <w:rPr>
          <w:rFonts w:ascii="Arial" w:cs="Arial" w:eastAsia="Arial" w:hAnsi="Arial"/>
          <w:sz w:val="17"/>
          <w:szCs w:val="17"/>
          <w:color w:val="auto"/>
        </w:rPr>
        <w:t>DOE regulations require schools participating in Title IV programs to calculate correctly and return on a timely basis unearned Title IV funds disbursed students who withdraw from a program of study prior to completion. These funds must be returned in a timely manner, generally within 45 days of the the school determines that the student has withdrawn. Under DOE regulations, failure to make timely returns of Title IV program funds for 5% or more students sampled in a school’s annual compliance audit could result in a requirement that the school post a letter of credit in an amount equal to 25% prior-year returns of Title IV program funds. If unearned funds are not properly calculated and returned in a timely manner, an institution may be subje monetary liabilities, fines or other sanctions.</w:t>
      </w:r>
    </w:p>
    <w:p>
      <w:pPr>
        <w:spacing w:after="0" w:line="179"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Financial aid and assistance programs are subject to political and governmental budgetary considerations. There is no assurance that such funding wi maintained at current levels. Extensive and complex regulations in the U.S. govern all of the government financial assistance programs in which stude participate.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2012 and 2011, and January 2, 2011, approximately $882 million, $1,110 million, and</w:t>
      </w:r>
    </w:p>
    <w:p>
      <w:pPr>
        <w:spacing w:after="0" w:line="202"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18" w:name="page119"/>
    <w:bookmarkEnd w:id="118"/>
    <w:p>
      <w:pPr>
        <w:jc w:val="both"/>
        <w:ind w:left="9"/>
        <w:spacing w:after="0" w:line="233" w:lineRule="auto"/>
        <w:rPr>
          <w:sz w:val="20"/>
          <w:szCs w:val="20"/>
          <w:color w:val="auto"/>
        </w:rPr>
      </w:pPr>
      <w:r>
        <w:rPr>
          <w:rFonts w:ascii="Arial" w:cs="Arial" w:eastAsia="Arial" w:hAnsi="Arial"/>
          <w:sz w:val="17"/>
          <w:szCs w:val="17"/>
          <w:color w:val="auto"/>
        </w:rPr>
        <w:t>$1,460 million, respectively, of the Company’s education division revenue was derived from financial aid received by students under Title IV programs. Management believes that the Company’s education division schools that participate in Title IV programs are in material compliance with standards se in the Higher Education Act and related regulations.</w:t>
      </w:r>
    </w:p>
    <w:p>
      <w:pPr>
        <w:spacing w:after="0" w:line="155" w:lineRule="exact"/>
        <w:rPr>
          <w:sz w:val="20"/>
          <w:szCs w:val="20"/>
          <w:color w:val="auto"/>
        </w:rPr>
      </w:pPr>
    </w:p>
    <w:p>
      <w:pPr>
        <w:jc w:val="both"/>
        <w:ind w:left="9"/>
        <w:spacing w:after="0" w:line="242" w:lineRule="auto"/>
        <w:rPr>
          <w:sz w:val="20"/>
          <w:szCs w:val="20"/>
          <w:color w:val="auto"/>
        </w:rPr>
      </w:pPr>
      <w:r>
        <w:rPr>
          <w:rFonts w:ascii="Arial" w:cs="Arial" w:eastAsia="Arial" w:hAnsi="Arial"/>
          <w:sz w:val="17"/>
          <w:szCs w:val="17"/>
          <w:b w:val="1"/>
          <w:bCs w:val="1"/>
          <w:color w:val="auto"/>
        </w:rPr>
        <w:t xml:space="preserve">DOE Program Reviews. </w:t>
      </w:r>
      <w:r>
        <w:rPr>
          <w:rFonts w:ascii="Arial" w:cs="Arial" w:eastAsia="Arial" w:hAnsi="Arial"/>
          <w:sz w:val="17"/>
          <w:szCs w:val="17"/>
          <w:color w:val="auto"/>
        </w:rPr>
        <w:t>The DOE has undertaken program reviews at various KHE campus locations and at Kaplan University. Currently, there are f</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program reviews, including Kaplan University. In addition, the Company is awaiting the DOE’s final report on the program review at KHE’s Bro PA, location.</w:t>
      </w:r>
    </w:p>
    <w:p>
      <w:pPr>
        <w:spacing w:after="0" w:line="173" w:lineRule="exact"/>
        <w:rPr>
          <w:sz w:val="20"/>
          <w:szCs w:val="20"/>
          <w:color w:val="auto"/>
        </w:rPr>
      </w:pPr>
    </w:p>
    <w:p>
      <w:pPr>
        <w:ind w:left="9"/>
        <w:spacing w:after="0" w:line="232" w:lineRule="auto"/>
        <w:rPr>
          <w:sz w:val="20"/>
          <w:szCs w:val="20"/>
          <w:color w:val="auto"/>
        </w:rPr>
      </w:pPr>
      <w:r>
        <w:rPr>
          <w:rFonts w:ascii="Arial" w:cs="Arial" w:eastAsia="Arial" w:hAnsi="Arial"/>
          <w:sz w:val="17"/>
          <w:szCs w:val="17"/>
          <w:color w:val="auto"/>
        </w:rPr>
        <w:t>In May 2012, the DOE issued a preliminary report on its 2009 onsite review at Kaplan University containing several findings that required Kaplan Univ to conduct additional, dated file reviews and submit additional data. In January 2013, Kaplan submitted a response to the DOE’s data request and is awaiting a final report on this review. The Company does not expect the final program review report to have a material impact on KHE; however, the re of this and the other open reviews and their impact on Kaplan’s operations are uncertain.</w:t>
      </w:r>
    </w:p>
    <w:p>
      <w:pPr>
        <w:spacing w:after="0" w:line="155" w:lineRule="exact"/>
        <w:rPr>
          <w:sz w:val="20"/>
          <w:szCs w:val="20"/>
          <w:color w:val="auto"/>
        </w:rPr>
      </w:pPr>
    </w:p>
    <w:p>
      <w:pPr>
        <w:ind w:left="9"/>
        <w:spacing w:after="0" w:line="232" w:lineRule="auto"/>
        <w:rPr>
          <w:sz w:val="20"/>
          <w:szCs w:val="20"/>
          <w:color w:val="auto"/>
        </w:rPr>
      </w:pPr>
      <w:r>
        <w:rPr>
          <w:rFonts w:ascii="Arial" w:cs="Arial" w:eastAsia="Arial" w:hAnsi="Arial"/>
          <w:sz w:val="17"/>
          <w:szCs w:val="17"/>
          <w:b w:val="1"/>
          <w:bCs w:val="1"/>
          <w:color w:val="auto"/>
        </w:rPr>
        <w:t xml:space="preserve">The 90/10 Rule. </w:t>
      </w:r>
      <w:r>
        <w:rPr>
          <w:rFonts w:ascii="Arial" w:cs="Arial" w:eastAsia="Arial" w:hAnsi="Arial"/>
          <w:sz w:val="17"/>
          <w:szCs w:val="17"/>
          <w:color w:val="auto"/>
        </w:rPr>
        <w:t>Under regulations referred to as the 90/10 rule, a KHE school would lose its eligibility to participate in Title IV programs for a period o</w:t>
      </w:r>
      <w:r>
        <w:rPr>
          <w:rFonts w:ascii="Arial" w:cs="Arial" w:eastAsia="Arial" w:hAnsi="Arial"/>
          <w:sz w:val="17"/>
          <w:szCs w:val="17"/>
          <w:b w:val="1"/>
          <w:bCs w:val="1"/>
          <w:color w:val="auto"/>
        </w:rPr>
        <w:t xml:space="preserve"> </w:t>
      </w:r>
      <w:r>
        <w:rPr>
          <w:rFonts w:ascii="Arial" w:cs="Arial" w:eastAsia="Arial" w:hAnsi="Arial"/>
          <w:sz w:val="17"/>
          <w:szCs w:val="17"/>
          <w:color w:val="auto"/>
        </w:rPr>
        <w:t>least two fiscal years if the institution derives more than 90% of its receipts from Title IV programs, as calculated on a cash basis in accordance with th Higher Education Act and applicable DOE regulations, in each of two consecutive fiscal years, commencing with the institution’s first fiscal year that en after August 14, 2008. An institution with Title IV receipts exceeding 90% for a single fiscal year ending after August 14, 2008, will be placed on provisi certification and may be subject to other enforcement measures. The 90/10 rule calculations are performed for each OPEID unit. The largest OPEID reporting unit in KHE in terms of revenue is Kaplan University, which accounted for approximately 65% of the Title IV funds received by the division in In 2012, Kaplan University derived less than 80% of its receipts from the Title IV programs, and other OPEID units derived between 71% and 88% of t receipts from Title IV programs. For 2012, a portion of the non-Title IV receipts resulted from the Kaplan Value Loan program, which has been disconti In 2011, Kaplan University derived less than 82% of its receipts from Title IV programs, and other OPEID units derived between 71% and 88% of their receipts from Title IV programs.</w:t>
      </w:r>
    </w:p>
    <w:p>
      <w:pPr>
        <w:spacing w:after="0" w:line="178" w:lineRule="exact"/>
        <w:rPr>
          <w:sz w:val="20"/>
          <w:szCs w:val="20"/>
          <w:color w:val="auto"/>
        </w:rPr>
      </w:pPr>
    </w:p>
    <w:p>
      <w:pPr>
        <w:ind w:left="9"/>
        <w:spacing w:after="0" w:line="245" w:lineRule="auto"/>
        <w:rPr>
          <w:sz w:val="20"/>
          <w:szCs w:val="20"/>
          <w:color w:val="auto"/>
        </w:rPr>
      </w:pPr>
      <w:r>
        <w:rPr>
          <w:rFonts w:ascii="Arial" w:cs="Arial" w:eastAsia="Arial" w:hAnsi="Arial"/>
          <w:sz w:val="16"/>
          <w:szCs w:val="16"/>
          <w:color w:val="auto"/>
        </w:rPr>
        <w:t>A majority of KHE students are enrolled in certificate and associate’s degree programs. Revenue from certificate and associate’s degree programs is composed of a higher percentage of Title IV funds than is the case for revenue from its bachelor’s and other degree programs. KHE is taking various measures to reduce the percentage of its receipts attributable to Title IV funds, including modifying student payment options; emphasizing direct-pay a employer-paid education programs; encouraging students to carefully evaluate the amount of their Title IV borrowing; eliminating some programs; cas matching; and developing and offering additional non-Title IV-eligible certificate preparation, professional development and continuing education progr Some of the other programs may currently be offered by other Kaplan businesses. Absent the adoption of the changes mentioned above, and if curren trends continue, management estimates that in 2013, 20 of the KHE Campuses’ OPEID units, representing approximately 21% of KHE’s 2012 revenu could have a 90/10 ratio over 90%. As noted above, Kaplan is taking steps to address compliance with the 90/10 rule; however, there can be no guara that these measures will be adequate to prevent the 90/10 rule calculations at some or all of the schools from exceeding 90% in the future.</w:t>
      </w:r>
    </w:p>
    <w:p>
      <w:pPr>
        <w:spacing w:after="0" w:line="151" w:lineRule="exact"/>
        <w:rPr>
          <w:sz w:val="20"/>
          <w:szCs w:val="20"/>
          <w:color w:val="auto"/>
        </w:rPr>
      </w:pPr>
    </w:p>
    <w:p>
      <w:pPr>
        <w:ind w:left="409" w:hanging="409"/>
        <w:spacing w:after="0"/>
        <w:tabs>
          <w:tab w:leader="none" w:pos="409"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97"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Fair value measurements are determined based on the assumptions that a market participant would use in pricing an asset or liability based on a thre tiered hierarchy that draws a distinction between market participant assumptions based on (i) observable inputs, such as quoted prices in active mark (Level 1); (ii) inputs other than quoted prices in active markets that are observable either directly or indirectly (Level 2); and (iii) unobservable inputs th require the Company to use present value and other valuation techniques in the determination of fair value (Level 3). Financial assets and liabilities ar classified in their entirety based on the lowest level of input that is significant to the fair value measure. The Company’s assessment of the significance particular input to the fair value measurements requires judgment and may affect the valuation of the assets and liabilities being measured and their placement within the fair value hierarchy.</w:t>
      </w:r>
    </w:p>
    <w:p>
      <w:pPr>
        <w:spacing w:after="0" w:line="203"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62" w:right="139" w:bottom="1440" w:gutter="0" w:footer="0" w:header="0"/>
        </w:sectPr>
      </w:pPr>
    </w:p>
    <w:bookmarkStart w:id="119" w:name="page120"/>
    <w:bookmarkEnd w:id="119"/>
    <w:p>
      <w:pPr>
        <w:ind w:left="9"/>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163"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76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b w:val="1"/>
                <w:bCs w:val="1"/>
                <w:color w:val="auto"/>
              </w:rPr>
              <w:t>Level 1</w:t>
            </w: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6"/>
              <w:spacing w:after="0"/>
              <w:rPr>
                <w:sz w:val="20"/>
                <w:szCs w:val="20"/>
                <w:color w:val="auto"/>
              </w:rPr>
            </w:pPr>
            <w:r>
              <w:rPr>
                <w:rFonts w:ascii="Arial" w:cs="Arial" w:eastAsia="Arial" w:hAnsi="Arial"/>
                <w:sz w:val="12"/>
                <w:szCs w:val="12"/>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w:t>
            </w:r>
          </w:p>
        </w:tc>
        <w:tc>
          <w:tcPr>
            <w:tcW w:w="0" w:type="dxa"/>
            <w:vAlign w:val="bottom"/>
          </w:tcPr>
          <w:p>
            <w:pPr>
              <w:spacing w:after="0"/>
              <w:rPr>
                <w:sz w:val="1"/>
                <w:szCs w:val="1"/>
                <w:color w:val="auto"/>
              </w:rPr>
            </w:pPr>
          </w:p>
        </w:tc>
      </w:tr>
      <w:tr>
        <w:trPr>
          <w:trHeight w:val="150"/>
        </w:trPr>
        <w:tc>
          <w:tcPr>
            <w:tcW w:w="7680" w:type="dxa"/>
            <w:vAlign w:val="bottom"/>
          </w:tcPr>
          <w:p>
            <w:pPr>
              <w:spacing w:after="0" w:line="150" w:lineRule="exact"/>
              <w:rPr>
                <w:sz w:val="20"/>
                <w:szCs w:val="20"/>
                <w:color w:val="auto"/>
              </w:rPr>
            </w:pPr>
            <w:r>
              <w:rPr>
                <w:rFonts w:ascii="Arial" w:cs="Arial" w:eastAsia="Arial" w:hAnsi="Arial"/>
                <w:sz w:val="15"/>
                <w:szCs w:val="15"/>
                <w:b w:val="1"/>
                <w:bCs w:val="1"/>
                <w:color w:val="auto"/>
              </w:rPr>
              <w:t>At December 31, 2012</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b w:val="1"/>
                <w:bCs w:val="1"/>
                <w:color w:val="auto"/>
              </w:rPr>
              <w:t xml:space="preserve">Money market investments </w:t>
            </w:r>
            <w:r>
              <w:rPr>
                <w:rFonts w:ascii="Arial" w:cs="Arial" w:eastAsia="Arial" w:hAnsi="Arial"/>
                <w:sz w:val="11"/>
                <w:szCs w:val="11"/>
                <w:b w:val="1"/>
                <w:bCs w:val="1"/>
                <w:color w:val="auto"/>
              </w:rPr>
              <w:t>(1)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432,670</w:t>
            </w:r>
          </w:p>
        </w:tc>
        <w:tc>
          <w:tcPr>
            <w:tcW w:w="4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b w:val="1"/>
                <w:bCs w:val="1"/>
                <w:color w:val="auto"/>
              </w:rPr>
              <w:t xml:space="preserve">Marketable equity securities </w:t>
            </w:r>
            <w:r>
              <w:rPr>
                <w:rFonts w:ascii="Arial" w:cs="Arial" w:eastAsia="Arial" w:hAnsi="Arial"/>
                <w:sz w:val="11"/>
                <w:szCs w:val="11"/>
                <w:b w:val="1"/>
                <w:bCs w:val="1"/>
                <w:color w:val="auto"/>
              </w:rPr>
              <w:t>(2)</w:t>
            </w:r>
          </w:p>
        </w:tc>
        <w:tc>
          <w:tcPr>
            <w:tcW w:w="220" w:type="dxa"/>
            <w:vAlign w:val="bottom"/>
          </w:tcPr>
          <w:p>
            <w:pPr>
              <w:spacing w:after="0"/>
              <w:rPr>
                <w:sz w:val="15"/>
                <w:szCs w:val="15"/>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380,087</w:t>
            </w:r>
          </w:p>
        </w:tc>
        <w:tc>
          <w:tcPr>
            <w:tcW w:w="380" w:type="dxa"/>
            <w:vAlign w:val="bottom"/>
          </w:tcPr>
          <w:p>
            <w:pPr>
              <w:spacing w:after="0"/>
              <w:rPr>
                <w:sz w:val="15"/>
                <w:szCs w:val="15"/>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4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190"/>
        </w:trPr>
        <w:tc>
          <w:tcPr>
            <w:tcW w:w="7680" w:type="dxa"/>
            <w:vAlign w:val="bottom"/>
          </w:tcPr>
          <w:p>
            <w:pPr>
              <w:spacing w:after="0"/>
              <w:rPr>
                <w:sz w:val="20"/>
                <w:szCs w:val="20"/>
                <w:color w:val="auto"/>
              </w:rPr>
            </w:pPr>
            <w:r>
              <w:rPr>
                <w:rFonts w:ascii="Arial" w:cs="Arial" w:eastAsia="Arial" w:hAnsi="Arial"/>
                <w:sz w:val="15"/>
                <w:szCs w:val="15"/>
                <w:b w:val="1"/>
                <w:bCs w:val="1"/>
                <w:color w:val="auto"/>
              </w:rPr>
              <w:t xml:space="preserve">Other current investments </w:t>
            </w:r>
            <w:r>
              <w:rPr>
                <w:rFonts w:ascii="Arial" w:cs="Arial" w:eastAsia="Arial" w:hAnsi="Arial"/>
                <w:sz w:val="11"/>
                <w:szCs w:val="11"/>
                <w:b w:val="1"/>
                <w:bCs w:val="1"/>
                <w:color w:val="auto"/>
              </w:rPr>
              <w:t>(3)</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14,134</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24,717</w:t>
            </w: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20"/>
              <w:spacing w:after="0" w:line="167" w:lineRule="exact"/>
              <w:rPr>
                <w:sz w:val="20"/>
                <w:szCs w:val="20"/>
                <w:color w:val="auto"/>
              </w:rPr>
            </w:pPr>
            <w:r>
              <w:rPr>
                <w:rFonts w:ascii="Arial" w:cs="Arial" w:eastAsia="Arial" w:hAnsi="Arial"/>
                <w:sz w:val="15"/>
                <w:szCs w:val="15"/>
                <w:b w:val="1"/>
                <w:bCs w:val="1"/>
                <w:color w:val="auto"/>
              </w:rPr>
              <w:t>Total Financial Assets</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394,221</w:t>
            </w:r>
          </w:p>
        </w:tc>
        <w:tc>
          <w:tcPr>
            <w:tcW w:w="3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457,387</w:t>
            </w:r>
          </w:p>
        </w:tc>
        <w:tc>
          <w:tcPr>
            <w:tcW w:w="4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7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b w:val="1"/>
                <w:bCs w:val="1"/>
                <w:color w:val="auto"/>
              </w:rPr>
              <w:t xml:space="preserve">Deferred compensation plan liabilities </w:t>
            </w:r>
            <w:r>
              <w:rPr>
                <w:rFonts w:ascii="Arial" w:cs="Arial" w:eastAsia="Arial" w:hAnsi="Arial"/>
                <w:sz w:val="11"/>
                <w:szCs w:val="11"/>
                <w:b w:val="1"/>
                <w:bCs w:val="1"/>
                <w:color w:val="auto"/>
              </w:rPr>
              <w:t>(5)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62,297</w:t>
            </w:r>
          </w:p>
        </w:tc>
        <w:tc>
          <w:tcPr>
            <w:tcW w:w="4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b w:val="1"/>
                <w:bCs w:val="1"/>
                <w:color w:val="auto"/>
              </w:rPr>
              <w:t xml:space="preserve">7.25% unsecured notes </w:t>
            </w:r>
            <w:r>
              <w:rPr>
                <w:rFonts w:ascii="Arial" w:cs="Arial" w:eastAsia="Arial" w:hAnsi="Arial"/>
                <w:sz w:val="11"/>
                <w:szCs w:val="11"/>
                <w:b w:val="1"/>
                <w:bCs w:val="1"/>
                <w:color w:val="auto"/>
              </w:rPr>
              <w:t>(6)</w:t>
            </w:r>
          </w:p>
        </w:tc>
        <w:tc>
          <w:tcPr>
            <w:tcW w:w="220" w:type="dxa"/>
            <w:vAlign w:val="bottom"/>
          </w:tcPr>
          <w:p>
            <w:pPr>
              <w:spacing w:after="0"/>
              <w:rPr>
                <w:sz w:val="15"/>
                <w:szCs w:val="15"/>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5"/>
                <w:szCs w:val="15"/>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481,424</w:t>
            </w:r>
          </w:p>
        </w:tc>
        <w:tc>
          <w:tcPr>
            <w:tcW w:w="4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b w:val="1"/>
                <w:bCs w:val="1"/>
                <w:color w:val="auto"/>
              </w:rPr>
              <w:t xml:space="preserve">AUD revolving credit borrowing </w:t>
            </w:r>
            <w:r>
              <w:rPr>
                <w:rFonts w:ascii="Arial" w:cs="Arial" w:eastAsia="Arial" w:hAnsi="Arial"/>
                <w:sz w:val="11"/>
                <w:szCs w:val="11"/>
                <w:b w:val="1"/>
                <w:bCs w:val="1"/>
                <w:color w:val="auto"/>
              </w:rPr>
              <w:t>(6)</w:t>
            </w:r>
          </w:p>
        </w:tc>
        <w:tc>
          <w:tcPr>
            <w:tcW w:w="220" w:type="dxa"/>
            <w:vAlign w:val="bottom"/>
          </w:tcPr>
          <w:p>
            <w:pPr>
              <w:spacing w:after="0"/>
              <w:rPr>
                <w:sz w:val="15"/>
                <w:szCs w:val="15"/>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5"/>
                <w:szCs w:val="15"/>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b w:val="1"/>
                <w:bCs w:val="1"/>
                <w:color w:val="auto"/>
              </w:rPr>
              <w:t>51,915</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80" w:type="dxa"/>
            <w:vAlign w:val="bottom"/>
          </w:tcPr>
          <w:p>
            <w:pPr>
              <w:spacing w:after="0"/>
              <w:rPr>
                <w:sz w:val="20"/>
                <w:szCs w:val="20"/>
                <w:color w:val="auto"/>
              </w:rPr>
            </w:pPr>
            <w:r>
              <w:rPr>
                <w:rFonts w:ascii="Arial" w:cs="Arial" w:eastAsia="Arial" w:hAnsi="Arial"/>
                <w:sz w:val="15"/>
                <w:szCs w:val="15"/>
                <w:b w:val="1"/>
                <w:bCs w:val="1"/>
                <w:color w:val="auto"/>
              </w:rPr>
              <w:t xml:space="preserve">Interest rate swap </w:t>
            </w:r>
            <w:r>
              <w:rPr>
                <w:rFonts w:ascii="Arial" w:cs="Arial" w:eastAsia="Arial" w:hAnsi="Arial"/>
                <w:sz w:val="11"/>
                <w:szCs w:val="11"/>
                <w:b w:val="1"/>
                <w:bCs w:val="1"/>
                <w:color w:val="auto"/>
              </w:rPr>
              <w:t>(7)</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1,567</w:t>
            </w: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20"/>
              <w:spacing w:after="0" w:line="167" w:lineRule="exact"/>
              <w:rPr>
                <w:sz w:val="20"/>
                <w:szCs w:val="20"/>
                <w:color w:val="auto"/>
              </w:rPr>
            </w:pPr>
            <w:r>
              <w:rPr>
                <w:rFonts w:ascii="Arial" w:cs="Arial" w:eastAsia="Arial" w:hAnsi="Arial"/>
                <w:sz w:val="15"/>
                <w:szCs w:val="15"/>
                <w:b w:val="1"/>
                <w:bCs w:val="1"/>
                <w:color w:val="auto"/>
              </w:rPr>
              <w:t>Total Financial Liabilities</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b w:val="1"/>
                <w:bCs w:val="1"/>
                <w:color w:val="auto"/>
              </w:rPr>
              <w:t>597,203</w:t>
            </w:r>
          </w:p>
        </w:tc>
        <w:tc>
          <w:tcPr>
            <w:tcW w:w="4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5"/>
                <w:szCs w:val="15"/>
                <w:b w:val="1"/>
                <w:bCs w:val="1"/>
                <w:color w:val="auto"/>
              </w:rPr>
              <w:t>At December 31, 2011</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68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 xml:space="preserve">Money market investments </w:t>
            </w:r>
            <w:r>
              <w:rPr>
                <w:rFonts w:ascii="Arial" w:cs="Arial" w:eastAsia="Arial" w:hAnsi="Arial"/>
                <w:sz w:val="11"/>
                <w:szCs w:val="11"/>
                <w:color w:val="auto"/>
              </w:rPr>
              <w:t>(1)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180,136</w:t>
            </w:r>
          </w:p>
        </w:tc>
        <w:tc>
          <w:tcPr>
            <w:tcW w:w="4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 xml:space="preserve">Marketable equity securities </w:t>
            </w:r>
            <w:r>
              <w:rPr>
                <w:rFonts w:ascii="Arial" w:cs="Arial" w:eastAsia="Arial" w:hAnsi="Arial"/>
                <w:sz w:val="11"/>
                <w:szCs w:val="11"/>
                <w:color w:val="auto"/>
              </w:rPr>
              <w:t>(2)</w:t>
            </w:r>
          </w:p>
        </w:tc>
        <w:tc>
          <w:tcPr>
            <w:tcW w:w="220" w:type="dxa"/>
            <w:vAlign w:val="bottom"/>
          </w:tcPr>
          <w:p>
            <w:pPr>
              <w:spacing w:after="0"/>
              <w:rPr>
                <w:sz w:val="15"/>
                <w:szCs w:val="15"/>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303,201</w:t>
            </w:r>
          </w:p>
        </w:tc>
        <w:tc>
          <w:tcPr>
            <w:tcW w:w="380" w:type="dxa"/>
            <w:vAlign w:val="bottom"/>
          </w:tcPr>
          <w:p>
            <w:pPr>
              <w:spacing w:after="0"/>
              <w:rPr>
                <w:sz w:val="15"/>
                <w:szCs w:val="15"/>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 xml:space="preserve">Other current investments </w:t>
            </w:r>
            <w:r>
              <w:rPr>
                <w:rFonts w:ascii="Arial" w:cs="Arial" w:eastAsia="Arial" w:hAnsi="Arial"/>
                <w:sz w:val="11"/>
                <w:szCs w:val="11"/>
                <w:color w:val="auto"/>
              </w:rPr>
              <w:t>(3)</w:t>
            </w:r>
          </w:p>
        </w:tc>
        <w:tc>
          <w:tcPr>
            <w:tcW w:w="220" w:type="dxa"/>
            <w:vAlign w:val="bottom"/>
          </w:tcPr>
          <w:p>
            <w:pPr>
              <w:spacing w:after="0"/>
              <w:rPr>
                <w:sz w:val="15"/>
                <w:szCs w:val="15"/>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15,223</w:t>
            </w:r>
          </w:p>
        </w:tc>
        <w:tc>
          <w:tcPr>
            <w:tcW w:w="380" w:type="dxa"/>
            <w:vAlign w:val="bottom"/>
          </w:tcPr>
          <w:p>
            <w:pPr>
              <w:spacing w:after="0"/>
              <w:rPr>
                <w:sz w:val="15"/>
                <w:szCs w:val="15"/>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20,250</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680" w:type="dxa"/>
            <w:vAlign w:val="bottom"/>
          </w:tcPr>
          <w:p>
            <w:pPr>
              <w:spacing w:after="0"/>
              <w:rPr>
                <w:sz w:val="20"/>
                <w:szCs w:val="20"/>
                <w:color w:val="auto"/>
              </w:rPr>
            </w:pPr>
            <w:r>
              <w:rPr>
                <w:rFonts w:ascii="Arial" w:cs="Arial" w:eastAsia="Arial" w:hAnsi="Arial"/>
                <w:sz w:val="15"/>
                <w:szCs w:val="15"/>
                <w:color w:val="auto"/>
              </w:rPr>
              <w:t xml:space="preserve">Interest rate swap </w:t>
            </w:r>
            <w:r>
              <w:rPr>
                <w:rFonts w:ascii="Arial" w:cs="Arial" w:eastAsia="Arial" w:hAnsi="Arial"/>
                <w:sz w:val="11"/>
                <w:szCs w:val="11"/>
                <w:color w:val="auto"/>
              </w:rPr>
              <w:t>(4)</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14</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20"/>
              <w:spacing w:after="0" w:line="167" w:lineRule="exact"/>
              <w:rPr>
                <w:sz w:val="20"/>
                <w:szCs w:val="20"/>
                <w:color w:val="auto"/>
              </w:rPr>
            </w:pPr>
            <w:r>
              <w:rPr>
                <w:rFonts w:ascii="Arial" w:cs="Arial" w:eastAsia="Arial" w:hAnsi="Arial"/>
                <w:sz w:val="15"/>
                <w:szCs w:val="15"/>
                <w:b w:val="1"/>
                <w:bCs w:val="1"/>
                <w:color w:val="auto"/>
              </w:rPr>
              <w:t>Total Financial Assets</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318,424</w:t>
            </w:r>
          </w:p>
        </w:tc>
        <w:tc>
          <w:tcPr>
            <w:tcW w:w="3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200,400</w:t>
            </w:r>
          </w:p>
        </w:tc>
        <w:tc>
          <w:tcPr>
            <w:tcW w:w="4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 xml:space="preserve">Deferred compensation plan liabilities </w:t>
            </w:r>
            <w:r>
              <w:rPr>
                <w:rFonts w:ascii="Arial" w:cs="Arial" w:eastAsia="Arial" w:hAnsi="Arial"/>
                <w:sz w:val="11"/>
                <w:szCs w:val="11"/>
                <w:color w:val="auto"/>
              </w:rPr>
              <w:t>(5)</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63,403</w:t>
            </w:r>
          </w:p>
        </w:tc>
        <w:tc>
          <w:tcPr>
            <w:tcW w:w="4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80" w:type="dxa"/>
            <w:vAlign w:val="bottom"/>
          </w:tcPr>
          <w:p>
            <w:pPr>
              <w:spacing w:after="0"/>
              <w:rPr>
                <w:sz w:val="20"/>
                <w:szCs w:val="20"/>
                <w:color w:val="auto"/>
              </w:rPr>
            </w:pPr>
            <w:r>
              <w:rPr>
                <w:rFonts w:ascii="Arial" w:cs="Arial" w:eastAsia="Arial" w:hAnsi="Arial"/>
                <w:sz w:val="15"/>
                <w:szCs w:val="15"/>
                <w:color w:val="auto"/>
              </w:rPr>
              <w:t xml:space="preserve">7.25% unsecured notes </w:t>
            </w:r>
            <w:r>
              <w:rPr>
                <w:rFonts w:ascii="Arial" w:cs="Arial" w:eastAsia="Arial" w:hAnsi="Arial"/>
                <w:sz w:val="11"/>
                <w:szCs w:val="11"/>
                <w:color w:val="auto"/>
              </w:rPr>
              <w:t>(6)</w:t>
            </w:r>
          </w:p>
        </w:tc>
        <w:tc>
          <w:tcPr>
            <w:tcW w:w="220" w:type="dxa"/>
            <w:vAlign w:val="bottom"/>
          </w:tcPr>
          <w:p>
            <w:pPr>
              <w:spacing w:after="0"/>
              <w:rPr>
                <w:sz w:val="15"/>
                <w:szCs w:val="15"/>
                <w:color w:val="auto"/>
              </w:rPr>
            </w:pPr>
          </w:p>
        </w:tc>
        <w:tc>
          <w:tcPr>
            <w:tcW w:w="10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960" w:type="dxa"/>
            <w:vAlign w:val="bottom"/>
          </w:tcPr>
          <w:p>
            <w:pPr>
              <w:jc w:val="right"/>
              <w:ind w:right="146"/>
              <w:spacing w:after="0"/>
              <w:rPr>
                <w:sz w:val="20"/>
                <w:szCs w:val="20"/>
                <w:color w:val="auto"/>
              </w:rPr>
            </w:pPr>
            <w:r>
              <w:rPr>
                <w:rFonts w:ascii="Arial" w:cs="Arial" w:eastAsia="Arial" w:hAnsi="Arial"/>
                <w:sz w:val="15"/>
                <w:szCs w:val="15"/>
                <w:color w:val="auto"/>
              </w:rPr>
              <w:t>460,500</w:t>
            </w:r>
          </w:p>
        </w:tc>
        <w:tc>
          <w:tcPr>
            <w:tcW w:w="4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2"/>
        </w:trPr>
        <w:tc>
          <w:tcPr>
            <w:tcW w:w="7680" w:type="dxa"/>
            <w:vAlign w:val="bottom"/>
          </w:tcPr>
          <w:p>
            <w:pPr>
              <w:spacing w:after="0"/>
              <w:rPr>
                <w:sz w:val="20"/>
                <w:szCs w:val="20"/>
                <w:color w:val="auto"/>
              </w:rPr>
            </w:pPr>
            <w:r>
              <w:rPr>
                <w:rFonts w:ascii="Arial" w:cs="Arial" w:eastAsia="Arial" w:hAnsi="Arial"/>
                <w:sz w:val="15"/>
                <w:szCs w:val="15"/>
                <w:color w:val="auto"/>
              </w:rPr>
              <w:t xml:space="preserve">AUD revolving credit borrowing </w:t>
            </w:r>
            <w:r>
              <w:rPr>
                <w:rFonts w:ascii="Arial" w:cs="Arial" w:eastAsia="Arial" w:hAnsi="Arial"/>
                <w:sz w:val="11"/>
                <w:szCs w:val="11"/>
                <w:color w:val="auto"/>
              </w:rPr>
              <w:t>(6)</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51,012</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680" w:type="dxa"/>
            <w:vAlign w:val="bottom"/>
          </w:tcPr>
          <w:p>
            <w:pPr>
              <w:ind w:left="220"/>
              <w:spacing w:after="0" w:line="167" w:lineRule="exact"/>
              <w:rPr>
                <w:sz w:val="20"/>
                <w:szCs w:val="20"/>
                <w:color w:val="auto"/>
              </w:rPr>
            </w:pPr>
            <w:r>
              <w:rPr>
                <w:rFonts w:ascii="Arial" w:cs="Arial" w:eastAsia="Arial" w:hAnsi="Arial"/>
                <w:sz w:val="15"/>
                <w:szCs w:val="15"/>
                <w:b w:val="1"/>
                <w:bCs w:val="1"/>
                <w:color w:val="auto"/>
              </w:rPr>
              <w:t>Total Financial Liabilities</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574,915</w:t>
            </w:r>
          </w:p>
        </w:tc>
        <w:tc>
          <w:tcPr>
            <w:tcW w:w="42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9"/>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289" w:hanging="289"/>
        <w:spacing w:after="0"/>
        <w:tabs>
          <w:tab w:leader="none" w:pos="289"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Company’s money market investments are included in cash, cash equivalents and restricted cash.</w:t>
      </w:r>
    </w:p>
    <w:p>
      <w:pPr>
        <w:spacing w:after="0" w:line="23" w:lineRule="exact"/>
        <w:rPr>
          <w:rFonts w:ascii="Arial" w:cs="Arial" w:eastAsia="Arial" w:hAnsi="Arial"/>
          <w:sz w:val="12"/>
          <w:szCs w:val="12"/>
          <w:color w:val="auto"/>
        </w:rPr>
      </w:pPr>
    </w:p>
    <w:p>
      <w:pPr>
        <w:ind w:left="289" w:hanging="289"/>
        <w:spacing w:after="0"/>
        <w:tabs>
          <w:tab w:leader="none" w:pos="289"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The Company’s investments in marketable equity securities are classified as available-for-sale.</w:t>
      </w:r>
    </w:p>
    <w:p>
      <w:pPr>
        <w:spacing w:after="0" w:line="10" w:lineRule="exact"/>
        <w:rPr>
          <w:rFonts w:ascii="Arial" w:cs="Arial" w:eastAsia="Arial" w:hAnsi="Arial"/>
          <w:sz w:val="12"/>
          <w:szCs w:val="12"/>
          <w:color w:val="auto"/>
        </w:rPr>
      </w:pPr>
    </w:p>
    <w:p>
      <w:pPr>
        <w:ind w:left="289" w:hanging="289"/>
        <w:spacing w:after="0"/>
        <w:tabs>
          <w:tab w:leader="none" w:pos="289"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spacing w:after="0" w:line="10" w:lineRule="exact"/>
        <w:rPr>
          <w:rFonts w:ascii="Arial" w:cs="Arial" w:eastAsia="Arial" w:hAnsi="Arial"/>
          <w:sz w:val="12"/>
          <w:szCs w:val="12"/>
          <w:color w:val="auto"/>
        </w:rPr>
      </w:pPr>
    </w:p>
    <w:p>
      <w:pPr>
        <w:ind w:left="289" w:hanging="289"/>
        <w:spacing w:after="0" w:line="255" w:lineRule="auto"/>
        <w:tabs>
          <w:tab w:leader="none" w:pos="281"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Included in deferred charges and other assets. The Company utilized a market approach model using the notional amount of the interest rate swap multiplied by the observable inputs of time to m and market interest rates.</w:t>
      </w:r>
    </w:p>
    <w:p>
      <w:pPr>
        <w:spacing w:after="0" w:line="4" w:lineRule="exact"/>
        <w:rPr>
          <w:rFonts w:ascii="Arial" w:cs="Arial" w:eastAsia="Arial" w:hAnsi="Arial"/>
          <w:sz w:val="12"/>
          <w:szCs w:val="12"/>
          <w:color w:val="auto"/>
        </w:rPr>
      </w:pPr>
    </w:p>
    <w:p>
      <w:pPr>
        <w:ind w:left="289" w:hanging="289"/>
        <w:spacing w:after="0" w:line="248" w:lineRule="auto"/>
        <w:tabs>
          <w:tab w:leader="none" w:pos="281"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Includes The Washington Post Company Deferred Compensation Plan and supplemental savings plan benefits under The Washington Post Company Supplemental Executive Retirement Plan, w included in accrued compensation and related benefits.</w:t>
      </w:r>
    </w:p>
    <w:p>
      <w:pPr>
        <w:ind w:left="289" w:hanging="289"/>
        <w:spacing w:after="0"/>
        <w:tabs>
          <w:tab w:leader="none" w:pos="289" w:val="left"/>
        </w:tabs>
        <w:numPr>
          <w:ilvl w:val="0"/>
          <w:numId w:val="69"/>
        </w:numPr>
        <w:rPr>
          <w:rFonts w:ascii="Arial" w:cs="Arial" w:eastAsia="Arial" w:hAnsi="Arial"/>
          <w:sz w:val="12"/>
          <w:szCs w:val="12"/>
          <w:color w:val="auto"/>
        </w:rPr>
      </w:pPr>
      <w:r>
        <w:rPr>
          <w:rFonts w:ascii="Arial" w:cs="Arial" w:eastAsia="Arial" w:hAnsi="Arial"/>
          <w:sz w:val="12"/>
          <w:szCs w:val="12"/>
          <w:color w:val="auto"/>
        </w:rPr>
        <w:t>See Note 10 for carrying amount of these notes and borrowing.</w:t>
      </w:r>
    </w:p>
    <w:p>
      <w:pPr>
        <w:spacing w:after="0" w:line="10" w:lineRule="exact"/>
        <w:rPr>
          <w:rFonts w:ascii="Arial" w:cs="Arial" w:eastAsia="Arial" w:hAnsi="Arial"/>
          <w:sz w:val="12"/>
          <w:szCs w:val="12"/>
          <w:color w:val="auto"/>
        </w:rPr>
      </w:pPr>
    </w:p>
    <w:p>
      <w:pPr>
        <w:ind w:left="289" w:right="20" w:hanging="289"/>
        <w:spacing w:after="0" w:line="247" w:lineRule="auto"/>
        <w:tabs>
          <w:tab w:leader="none" w:pos="281" w:val="left"/>
        </w:tabs>
        <w:numPr>
          <w:ilvl w:val="0"/>
          <w:numId w:val="69"/>
        </w:numPr>
        <w:rPr>
          <w:rFonts w:ascii="Arial" w:cs="Arial" w:eastAsia="Arial" w:hAnsi="Arial"/>
          <w:sz w:val="12"/>
          <w:szCs w:val="12"/>
          <w:color w:val="auto"/>
        </w:rPr>
      </w:pPr>
      <w:r>
        <w:rPr>
          <w:rFonts w:ascii="Arial" w:cs="Arial" w:eastAsia="Arial" w:hAnsi="Arial"/>
          <w:sz w:val="12"/>
          <w:szCs w:val="12"/>
          <w:color w:val="auto"/>
        </w:rPr>
        <w:t>Included in Other liabilities. The Company utilized a market approach model using the notional amount of the interest rate swap multiplied by the observable inputs of time to maturity and market i rates.</w:t>
      </w:r>
    </w:p>
    <w:p>
      <w:pPr>
        <w:spacing w:after="0" w:line="317" w:lineRule="exact"/>
        <w:rPr>
          <w:sz w:val="20"/>
          <w:szCs w:val="20"/>
          <w:color w:val="auto"/>
        </w:rPr>
      </w:pPr>
    </w:p>
    <w:p>
      <w:pPr>
        <w:jc w:val="both"/>
        <w:ind w:left="9"/>
        <w:spacing w:after="0" w:line="251"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units held, without consideration of transaction costs. Assets and liabilities that are measured using significant other observable inputs are primarily va by reference to quoted prices of similar assets or liabilities in active markets, adjusted for any terms specific to that asset or liability</w:t>
      </w:r>
    </w:p>
    <w:p>
      <w:pPr>
        <w:spacing w:after="0" w:line="167" w:lineRule="exact"/>
        <w:rPr>
          <w:sz w:val="20"/>
          <w:szCs w:val="20"/>
          <w:color w:val="auto"/>
        </w:rPr>
      </w:pPr>
    </w:p>
    <w:p>
      <w:pPr>
        <w:ind w:left="9"/>
        <w:spacing w:after="0" w:line="230" w:lineRule="auto"/>
        <w:rPr>
          <w:sz w:val="20"/>
          <w:szCs w:val="20"/>
          <w:color w:val="auto"/>
        </w:rPr>
      </w:pPr>
      <w:r>
        <w:rPr>
          <w:rFonts w:ascii="Arial" w:cs="Arial" w:eastAsia="Arial" w:hAnsi="Arial"/>
          <w:sz w:val="17"/>
          <w:szCs w:val="17"/>
          <w:color w:val="auto"/>
        </w:rPr>
        <w:t>The Company measures certain assets, including goodwill, intangible assets, property, plant, and equipment, cost and equity-method investments, at value on a nonrecurring basis when they are deemed to be impaired. The fair value of these assets is determined with valuation techniques using the information available, and may include quoted market prices, market comparables, and discounted cash flow models. For the year ended December 3 2012, the Company recorded a goodwill and other long-lived asset impairment charge of $ 111.6 million (see Note 2 and 8). The remeasurement of the goodwill and other long-lived assets is classified as a Level 3 fair value assessment due to the significance of unobservable inputs developed in the determination of the fair value.</w:t>
      </w:r>
    </w:p>
    <w:p>
      <w:pPr>
        <w:spacing w:after="0" w:line="204"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424" w:right="139" w:bottom="1440" w:gutter="0" w:footer="0" w:header="0"/>
        </w:sectPr>
      </w:pPr>
    </w:p>
    <w:bookmarkStart w:id="120" w:name="page121"/>
    <w:bookmarkEnd w:id="120"/>
    <w:p>
      <w:pPr>
        <w:ind w:left="409" w:hanging="409"/>
        <w:spacing w:after="0"/>
        <w:tabs>
          <w:tab w:leader="none" w:pos="409"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BUSINESS SEGMENTS</w:t>
      </w:r>
    </w:p>
    <w:p>
      <w:pPr>
        <w:spacing w:after="0" w:line="177" w:lineRule="exact"/>
        <w:rPr>
          <w:sz w:val="20"/>
          <w:szCs w:val="20"/>
          <w:color w:val="auto"/>
        </w:rPr>
      </w:pPr>
    </w:p>
    <w:p>
      <w:pPr>
        <w:ind w:left="9"/>
        <w:spacing w:after="0" w:line="236"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Company’s organizational structure is based on a number of factors that management uses to evaluate, view and run its</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operations, which include, but are not limited to, customers, the nature of products and services and use of resources. The business segmen disclosed in the Consolidated Financial Statements are based on this organizational structure and information reviewed by the Company’s manageme evaluate the business segment results. The Company has seven reportable segments: KHE, KTP, Kaplan International, cable television, newspaper publishing, television broadcasting and other businesses.</w:t>
      </w:r>
    </w:p>
    <w:p>
      <w:pPr>
        <w:spacing w:after="0" w:line="176" w:lineRule="exact"/>
        <w:rPr>
          <w:sz w:val="20"/>
          <w:szCs w:val="20"/>
          <w:color w:val="auto"/>
        </w:rPr>
      </w:pPr>
    </w:p>
    <w:p>
      <w:pPr>
        <w:jc w:val="both"/>
        <w:ind w:left="9" w:right="20"/>
        <w:spacing w:after="0" w:line="232" w:lineRule="auto"/>
        <w:rPr>
          <w:sz w:val="20"/>
          <w:szCs w:val="20"/>
          <w:color w:val="auto"/>
        </w:rPr>
      </w:pPr>
      <w:r>
        <w:rPr>
          <w:rFonts w:ascii="Arial" w:cs="Arial" w:eastAsia="Arial" w:hAnsi="Arial"/>
          <w:sz w:val="17"/>
          <w:szCs w:val="17"/>
          <w:color w:val="auto"/>
        </w:rPr>
        <w:t>The Company evaluates segment performance based on operating income before amortization of intangible assets and impairment of goodwill and ot long-lived assets. The accounting policies at the segments are the same as described in Note 2. In computing income from operations by segment, th effects of equity in earnings (losses) of affiliates, interest income, interest expense, other non-operating income and expense items and income taxes not included. Intersegment sales are not material.</w:t>
      </w:r>
    </w:p>
    <w:p>
      <w:pPr>
        <w:spacing w:after="0" w:line="175" w:lineRule="exact"/>
        <w:rPr>
          <w:sz w:val="20"/>
          <w:szCs w:val="20"/>
          <w:color w:val="auto"/>
        </w:rPr>
      </w:pPr>
    </w:p>
    <w:p>
      <w:pPr>
        <w:jc w:val="both"/>
        <w:ind w:left="9" w:right="20"/>
        <w:spacing w:after="0" w:line="235" w:lineRule="auto"/>
        <w:rPr>
          <w:sz w:val="20"/>
          <w:szCs w:val="20"/>
          <w:color w:val="auto"/>
        </w:rPr>
      </w:pPr>
      <w:r>
        <w:rPr>
          <w:rFonts w:ascii="Arial" w:cs="Arial" w:eastAsia="Arial" w:hAnsi="Arial"/>
          <w:sz w:val="17"/>
          <w:szCs w:val="17"/>
          <w:color w:val="auto"/>
        </w:rPr>
        <w:t>Identifiable assets by segment are those assets used in the Company’s operations in each business segment. The Prepaid Pension cost is not includ identifiable assets by segment. Investments in marketable equity securities are discussed in Note 4.</w:t>
      </w:r>
    </w:p>
    <w:p>
      <w:pPr>
        <w:spacing w:after="0" w:line="156" w:lineRule="exact"/>
        <w:rPr>
          <w:sz w:val="20"/>
          <w:szCs w:val="20"/>
          <w:color w:val="auto"/>
        </w:rPr>
      </w:pPr>
    </w:p>
    <w:p>
      <w:pPr>
        <w:jc w:val="both"/>
        <w:ind w:left="9"/>
        <w:spacing w:after="0" w:line="238" w:lineRule="auto"/>
        <w:rPr>
          <w:sz w:val="20"/>
          <w:szCs w:val="20"/>
          <w:color w:val="auto"/>
        </w:rPr>
      </w:pPr>
      <w:r>
        <w:rPr>
          <w:rFonts w:ascii="Arial" w:cs="Arial" w:eastAsia="Arial" w:hAnsi="Arial"/>
          <w:sz w:val="17"/>
          <w:szCs w:val="17"/>
          <w:b w:val="1"/>
          <w:bCs w:val="1"/>
          <w:color w:val="auto"/>
        </w:rPr>
        <w:t xml:space="preserve">Education. </w:t>
      </w:r>
      <w:r>
        <w:rPr>
          <w:rFonts w:ascii="Arial" w:cs="Arial" w:eastAsia="Arial" w:hAnsi="Arial"/>
          <w:sz w:val="17"/>
          <w:szCs w:val="17"/>
          <w:color w:val="auto"/>
        </w:rPr>
        <w:t>Education products and services are provided by Kaplan, Inc. KHE includes Kaplan’s postsecondary education businesses, made up of fi</w:t>
      </w:r>
      <w:r>
        <w:rPr>
          <w:rFonts w:ascii="Arial" w:cs="Arial" w:eastAsia="Arial" w:hAnsi="Arial"/>
          <w:sz w:val="17"/>
          <w:szCs w:val="17"/>
          <w:b w:val="1"/>
          <w:bCs w:val="1"/>
          <w:color w:val="auto"/>
        </w:rPr>
        <w:t xml:space="preserve"> </w:t>
      </w:r>
      <w:r>
        <w:rPr>
          <w:rFonts w:ascii="Arial" w:cs="Arial" w:eastAsia="Arial" w:hAnsi="Arial"/>
          <w:sz w:val="17"/>
          <w:szCs w:val="17"/>
          <w:color w:val="auto"/>
        </w:rPr>
        <w:t>facility colleges as well as online postsecondary and career programs. KHE also includes the domestic professional training businesses. KTP includes Kaplan’s standardized test preparation and tutoring offerings. Kaplan International includes professional training and postsecondary education busines outside the United States, as well as English-language programs.</w:t>
      </w:r>
    </w:p>
    <w:p>
      <w:pPr>
        <w:spacing w:after="0" w:line="175" w:lineRule="exact"/>
        <w:rPr>
          <w:sz w:val="20"/>
          <w:szCs w:val="20"/>
          <w:color w:val="auto"/>
        </w:rPr>
      </w:pPr>
    </w:p>
    <w:p>
      <w:pPr>
        <w:jc w:val="both"/>
        <w:ind w:left="9"/>
        <w:spacing w:after="0" w:line="248" w:lineRule="auto"/>
        <w:rPr>
          <w:sz w:val="20"/>
          <w:szCs w:val="20"/>
          <w:color w:val="auto"/>
        </w:rPr>
      </w:pPr>
      <w:r>
        <w:rPr>
          <w:rFonts w:ascii="Arial" w:cs="Arial" w:eastAsia="Arial" w:hAnsi="Arial"/>
          <w:sz w:val="16"/>
          <w:szCs w:val="16"/>
          <w:color w:val="auto"/>
        </w:rPr>
        <w:t>Kaplan sold Kidum in August 2012, EduNeering in April 2012, KLT in February 2012, KCS in October 2011, KVE in July 2011, and Education Connect April 2010; therefore, the education division’s operating results exclude these businesses. As a result, the Kaplan Ventures segment is no longer inclu a separate segment as its results have been reclassified to discontinued operations. Also, Kaplan’s Colloquy and U.S. Pathways businesses moved fr Kaplan Ventures to Kaplan International. Segment operating results of the education division have been restated to reflect these changes.</w:t>
      </w:r>
    </w:p>
    <w:p>
      <w:pPr>
        <w:spacing w:after="0" w:line="170"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response to student demand levels, Kaplan has formulated and implemented restructuring plans at its various businesses that have resulted in sign costs in the past three years, with the objective of establishing lower cost levels in future periods. Across all Kaplan businesses, restructuring costs of million, $28.9 million and $27.5 million were recorded in 2012, 2011 and 2010, respectively, as follows:</w:t>
      </w:r>
    </w:p>
    <w:p>
      <w:pPr>
        <w:spacing w:after="0" w:line="286"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69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2"/>
                <w:szCs w:val="12"/>
                <w:b w:val="1"/>
                <w:bCs w:val="1"/>
                <w:color w:val="auto"/>
              </w:rPr>
              <w:t>Fiscal Year Ended</w:t>
            </w:r>
          </w:p>
        </w:tc>
        <w:tc>
          <w:tcPr>
            <w:tcW w:w="940" w:type="dxa"/>
            <w:vAlign w:val="bottom"/>
            <w:tcBorders>
              <w:bottom w:val="single" w:sz="8" w:color="auto"/>
            </w:tcBorders>
          </w:tcPr>
          <w:p>
            <w:pPr>
              <w:spacing w:after="0"/>
              <w:rPr>
                <w:sz w:val="13"/>
                <w:szCs w:val="13"/>
                <w:color w:val="auto"/>
              </w:rPr>
            </w:pPr>
          </w:p>
        </w:tc>
      </w:tr>
      <w:tr>
        <w:trPr>
          <w:trHeight w:val="129"/>
        </w:trPr>
        <w:tc>
          <w:tcPr>
            <w:tcW w:w="69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607"/>
              <w:spacing w:after="0" w:line="129" w:lineRule="exact"/>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607"/>
              <w:spacing w:after="0" w:line="129" w:lineRule="exact"/>
              <w:rPr>
                <w:sz w:val="20"/>
                <w:szCs w:val="20"/>
                <w:color w:val="auto"/>
              </w:rPr>
            </w:pPr>
            <w:r>
              <w:rPr>
                <w:rFonts w:ascii="Arial" w:cs="Arial" w:eastAsia="Arial" w:hAnsi="Arial"/>
                <w:sz w:val="12"/>
                <w:szCs w:val="12"/>
                <w:color w:val="auto"/>
              </w:rPr>
              <w:t>2011</w:t>
            </w:r>
          </w:p>
        </w:tc>
        <w:tc>
          <w:tcPr>
            <w:tcW w:w="940" w:type="dxa"/>
            <w:vAlign w:val="bottom"/>
            <w:tcBorders>
              <w:bottom w:val="single" w:sz="8" w:color="auto"/>
            </w:tcBorders>
          </w:tcPr>
          <w:p>
            <w:pPr>
              <w:jc w:val="right"/>
              <w:ind w:right="70"/>
              <w:spacing w:after="0" w:line="129" w:lineRule="exact"/>
              <w:rPr>
                <w:sz w:val="20"/>
                <w:szCs w:val="20"/>
                <w:color w:val="auto"/>
              </w:rPr>
            </w:pPr>
            <w:r>
              <w:rPr>
                <w:rFonts w:ascii="Arial" w:cs="Arial" w:eastAsia="Arial" w:hAnsi="Arial"/>
                <w:sz w:val="12"/>
                <w:szCs w:val="12"/>
                <w:color w:val="auto"/>
              </w:rPr>
              <w:t>2010</w:t>
            </w:r>
          </w:p>
        </w:tc>
      </w:tr>
      <w:tr>
        <w:trPr>
          <w:trHeight w:val="150"/>
        </w:trPr>
        <w:tc>
          <w:tcPr>
            <w:tcW w:w="6980" w:type="dxa"/>
            <w:vAlign w:val="bottom"/>
          </w:tcPr>
          <w:p>
            <w:pPr>
              <w:spacing w:after="0" w:line="150" w:lineRule="exact"/>
              <w:rPr>
                <w:sz w:val="20"/>
                <w:szCs w:val="20"/>
                <w:color w:val="auto"/>
              </w:rPr>
            </w:pPr>
            <w:r>
              <w:rPr>
                <w:rFonts w:ascii="Arial" w:cs="Arial" w:eastAsia="Arial" w:hAnsi="Arial"/>
                <w:sz w:val="15"/>
                <w:szCs w:val="15"/>
                <w:color w:val="auto"/>
              </w:rPr>
              <w:t>Accelerated depreciation</w:t>
            </w:r>
          </w:p>
        </w:tc>
        <w:tc>
          <w:tcPr>
            <w:tcW w:w="340" w:type="dxa"/>
            <w:vAlign w:val="bottom"/>
          </w:tcPr>
          <w:p>
            <w:pPr>
              <w:jc w:val="right"/>
              <w:ind w:right="186"/>
              <w:spacing w:after="0" w:line="150" w:lineRule="exact"/>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ind w:right="27"/>
              <w:spacing w:after="0" w:line="150" w:lineRule="exact"/>
              <w:rPr>
                <w:sz w:val="20"/>
                <w:szCs w:val="20"/>
                <w:color w:val="auto"/>
              </w:rPr>
            </w:pPr>
            <w:r>
              <w:rPr>
                <w:rFonts w:ascii="Arial" w:cs="Arial" w:eastAsia="Arial" w:hAnsi="Arial"/>
                <w:sz w:val="15"/>
                <w:szCs w:val="15"/>
                <w:b w:val="1"/>
                <w:bCs w:val="1"/>
                <w:color w:val="auto"/>
              </w:rPr>
              <w:t>17,230</w:t>
            </w:r>
          </w:p>
        </w:tc>
        <w:tc>
          <w:tcPr>
            <w:tcW w:w="340" w:type="dxa"/>
            <w:vAlign w:val="bottom"/>
          </w:tcPr>
          <w:p>
            <w:pPr>
              <w:jc w:val="right"/>
              <w:ind w:right="90"/>
              <w:spacing w:after="0" w:line="150" w:lineRule="exact"/>
              <w:rPr>
                <w:sz w:val="20"/>
                <w:szCs w:val="20"/>
                <w:color w:val="auto"/>
              </w:rPr>
            </w:pPr>
            <w:r>
              <w:rPr>
                <w:rFonts w:ascii="Arial" w:cs="Arial" w:eastAsia="Arial" w:hAnsi="Arial"/>
                <w:sz w:val="15"/>
                <w:szCs w:val="15"/>
                <w:color w:val="auto"/>
              </w:rPr>
              <w:t>$</w:t>
            </w:r>
          </w:p>
        </w:tc>
        <w:tc>
          <w:tcPr>
            <w:tcW w:w="1140" w:type="dxa"/>
            <w:vAlign w:val="bottom"/>
          </w:tcPr>
          <w:p>
            <w:pPr>
              <w:jc w:val="right"/>
              <w:ind w:right="27"/>
              <w:spacing w:after="0" w:line="150" w:lineRule="exact"/>
              <w:rPr>
                <w:sz w:val="20"/>
                <w:szCs w:val="20"/>
                <w:color w:val="auto"/>
              </w:rPr>
            </w:pPr>
            <w:r>
              <w:rPr>
                <w:rFonts w:ascii="Arial" w:cs="Arial" w:eastAsia="Arial" w:hAnsi="Arial"/>
                <w:sz w:val="15"/>
                <w:szCs w:val="15"/>
                <w:color w:val="auto"/>
              </w:rPr>
              <w:t>3,965</w:t>
            </w:r>
          </w:p>
        </w:tc>
        <w:tc>
          <w:tcPr>
            <w:tcW w:w="940" w:type="dxa"/>
            <w:vAlign w:val="bottom"/>
          </w:tcPr>
          <w:p>
            <w:pPr>
              <w:jc w:val="right"/>
              <w:ind w:right="710"/>
              <w:spacing w:after="0" w:line="150" w:lineRule="exact"/>
              <w:rPr>
                <w:sz w:val="20"/>
                <w:szCs w:val="20"/>
                <w:color w:val="auto"/>
              </w:rPr>
            </w:pPr>
            <w:r>
              <w:rPr>
                <w:rFonts w:ascii="Arial" w:cs="Arial" w:eastAsia="Arial" w:hAnsi="Arial"/>
                <w:sz w:val="15"/>
                <w:szCs w:val="15"/>
                <w:color w:val="auto"/>
              </w:rPr>
              <w:t>$</w:t>
            </w:r>
          </w:p>
        </w:tc>
      </w:tr>
      <w:tr>
        <w:trPr>
          <w:trHeight w:val="174"/>
        </w:trPr>
        <w:tc>
          <w:tcPr>
            <w:tcW w:w="6980" w:type="dxa"/>
            <w:vAlign w:val="bottom"/>
          </w:tcPr>
          <w:p>
            <w:pPr>
              <w:spacing w:after="0"/>
              <w:rPr>
                <w:sz w:val="20"/>
                <w:szCs w:val="20"/>
                <w:color w:val="auto"/>
              </w:rPr>
            </w:pPr>
            <w:r>
              <w:rPr>
                <w:rFonts w:ascii="Arial" w:cs="Arial" w:eastAsia="Arial" w:hAnsi="Arial"/>
                <w:sz w:val="15"/>
                <w:szCs w:val="15"/>
                <w:color w:val="auto"/>
              </w:rPr>
              <w:t>Severance</w:t>
            </w:r>
          </w:p>
        </w:tc>
        <w:tc>
          <w:tcPr>
            <w:tcW w:w="340" w:type="dxa"/>
            <w:vAlign w:val="bottom"/>
          </w:tcPr>
          <w:p>
            <w:pPr>
              <w:spacing w:after="0"/>
              <w:rPr>
                <w:sz w:val="15"/>
                <w:szCs w:val="15"/>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14,349</w:t>
            </w:r>
          </w:p>
        </w:tc>
        <w:tc>
          <w:tcPr>
            <w:tcW w:w="34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17,205</w:t>
            </w:r>
          </w:p>
        </w:tc>
        <w:tc>
          <w:tcPr>
            <w:tcW w:w="940" w:type="dxa"/>
            <w:vAlign w:val="bottom"/>
          </w:tcPr>
          <w:p>
            <w:pPr>
              <w:spacing w:after="0"/>
              <w:rPr>
                <w:sz w:val="15"/>
                <w:szCs w:val="15"/>
                <w:color w:val="auto"/>
              </w:rPr>
            </w:pPr>
          </w:p>
        </w:tc>
      </w:tr>
      <w:tr>
        <w:trPr>
          <w:trHeight w:val="174"/>
        </w:trPr>
        <w:tc>
          <w:tcPr>
            <w:tcW w:w="6980" w:type="dxa"/>
            <w:vAlign w:val="bottom"/>
          </w:tcPr>
          <w:p>
            <w:pPr>
              <w:spacing w:after="0"/>
              <w:rPr>
                <w:sz w:val="20"/>
                <w:szCs w:val="20"/>
                <w:color w:val="auto"/>
              </w:rPr>
            </w:pPr>
            <w:r>
              <w:rPr>
                <w:rFonts w:ascii="Arial" w:cs="Arial" w:eastAsia="Arial" w:hAnsi="Arial"/>
                <w:sz w:val="15"/>
                <w:szCs w:val="15"/>
                <w:color w:val="auto"/>
              </w:rPr>
              <w:t>Lease obligation losses</w:t>
            </w:r>
          </w:p>
        </w:tc>
        <w:tc>
          <w:tcPr>
            <w:tcW w:w="340" w:type="dxa"/>
            <w:vAlign w:val="bottom"/>
          </w:tcPr>
          <w:p>
            <w:pPr>
              <w:spacing w:after="0"/>
              <w:rPr>
                <w:sz w:val="15"/>
                <w:szCs w:val="15"/>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9,794</w:t>
            </w:r>
          </w:p>
        </w:tc>
        <w:tc>
          <w:tcPr>
            <w:tcW w:w="34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7,570</w:t>
            </w:r>
          </w:p>
        </w:tc>
        <w:tc>
          <w:tcPr>
            <w:tcW w:w="940" w:type="dxa"/>
            <w:vAlign w:val="bottom"/>
          </w:tcPr>
          <w:p>
            <w:pPr>
              <w:spacing w:after="0"/>
              <w:rPr>
                <w:sz w:val="15"/>
                <w:szCs w:val="15"/>
                <w:color w:val="auto"/>
              </w:rPr>
            </w:pPr>
          </w:p>
        </w:tc>
      </w:tr>
      <w:tr>
        <w:trPr>
          <w:trHeight w:val="174"/>
        </w:trPr>
        <w:tc>
          <w:tcPr>
            <w:tcW w:w="6980" w:type="dxa"/>
            <w:vAlign w:val="bottom"/>
          </w:tcPr>
          <w:p>
            <w:pPr>
              <w:spacing w:after="0"/>
              <w:rPr>
                <w:sz w:val="20"/>
                <w:szCs w:val="20"/>
                <w:color w:val="auto"/>
              </w:rPr>
            </w:pPr>
            <w:r>
              <w:rPr>
                <w:rFonts w:ascii="Arial" w:cs="Arial" w:eastAsia="Arial" w:hAnsi="Arial"/>
                <w:sz w:val="15"/>
                <w:szCs w:val="15"/>
                <w:color w:val="auto"/>
              </w:rPr>
              <w:t>Accelerated amortization of intangible assets</w:t>
            </w:r>
          </w:p>
        </w:tc>
        <w:tc>
          <w:tcPr>
            <w:tcW w:w="340" w:type="dxa"/>
            <w:vAlign w:val="bottom"/>
          </w:tcPr>
          <w:p>
            <w:pPr>
              <w:spacing w:after="0"/>
              <w:rPr>
                <w:sz w:val="15"/>
                <w:szCs w:val="15"/>
                <w:color w:val="auto"/>
              </w:rPr>
            </w:pPr>
          </w:p>
        </w:tc>
        <w:tc>
          <w:tcPr>
            <w:tcW w:w="1200" w:type="dxa"/>
            <w:vAlign w:val="bottom"/>
          </w:tcPr>
          <w:p>
            <w:pPr>
              <w:jc w:val="right"/>
              <w:ind w:right="27"/>
              <w:spacing w:after="0"/>
              <w:rPr>
                <w:sz w:val="20"/>
                <w:szCs w:val="20"/>
                <w:color w:val="auto"/>
              </w:rPr>
            </w:pPr>
            <w:r>
              <w:rPr>
                <w:rFonts w:ascii="Arial" w:cs="Arial" w:eastAsia="Arial" w:hAnsi="Arial"/>
                <w:sz w:val="15"/>
                <w:szCs w:val="15"/>
                <w:b w:val="1"/>
                <w:bCs w:val="1"/>
                <w:color w:val="auto"/>
              </w:rPr>
              <w:t>2,595</w:t>
            </w:r>
          </w:p>
        </w:tc>
        <w:tc>
          <w:tcPr>
            <w:tcW w:w="34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940" w:type="dxa"/>
            <w:vAlign w:val="bottom"/>
          </w:tcPr>
          <w:p>
            <w:pPr>
              <w:spacing w:after="0"/>
              <w:rPr>
                <w:sz w:val="15"/>
                <w:szCs w:val="15"/>
                <w:color w:val="auto"/>
              </w:rPr>
            </w:pPr>
          </w:p>
        </w:tc>
      </w:tr>
      <w:tr>
        <w:trPr>
          <w:trHeight w:val="190"/>
        </w:trPr>
        <w:tc>
          <w:tcPr>
            <w:tcW w:w="6980" w:type="dxa"/>
            <w:vAlign w:val="bottom"/>
          </w:tcPr>
          <w:p>
            <w:pPr>
              <w:spacing w:after="0"/>
              <w:rPr>
                <w:sz w:val="20"/>
                <w:szCs w:val="20"/>
                <w:color w:val="auto"/>
              </w:rPr>
            </w:pPr>
            <w:r>
              <w:rPr>
                <w:rFonts w:ascii="Arial" w:cs="Arial" w:eastAsia="Arial" w:hAnsi="Arial"/>
                <w:sz w:val="15"/>
                <w:szCs w:val="15"/>
                <w:color w:val="auto"/>
              </w:rPr>
              <w:t>Other</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1,274</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205</w:t>
            </w:r>
          </w:p>
        </w:tc>
        <w:tc>
          <w:tcPr>
            <w:tcW w:w="940" w:type="dxa"/>
            <w:vAlign w:val="bottom"/>
            <w:tcBorders>
              <w:bottom w:val="single" w:sz="8" w:color="auto"/>
            </w:tcBorders>
          </w:tcPr>
          <w:p>
            <w:pPr>
              <w:spacing w:after="0"/>
              <w:rPr>
                <w:sz w:val="16"/>
                <w:szCs w:val="16"/>
                <w:color w:val="auto"/>
              </w:rPr>
            </w:pPr>
          </w:p>
        </w:tc>
      </w:tr>
      <w:tr>
        <w:trPr>
          <w:trHeight w:val="166"/>
        </w:trPr>
        <w:tc>
          <w:tcPr>
            <w:tcW w:w="6980" w:type="dxa"/>
            <w:vAlign w:val="bottom"/>
          </w:tcPr>
          <w:p>
            <w:pPr>
              <w:spacing w:after="0"/>
              <w:rPr>
                <w:sz w:val="14"/>
                <w:szCs w:val="14"/>
                <w:color w:val="auto"/>
              </w:rPr>
            </w:pP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b w:val="1"/>
                <w:bCs w:val="1"/>
                <w:color w:val="auto"/>
              </w:rPr>
              <w:t>45,242</w:t>
            </w:r>
          </w:p>
        </w:tc>
        <w:tc>
          <w:tcPr>
            <w:tcW w:w="340" w:type="dxa"/>
            <w:vAlign w:val="bottom"/>
            <w:tcBorders>
              <w:bottom w:val="single" w:sz="8" w:color="auto"/>
            </w:tcBorders>
          </w:tcPr>
          <w:p>
            <w:pPr>
              <w:jc w:val="right"/>
              <w:ind w:right="90"/>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28,945</w:t>
            </w:r>
          </w:p>
        </w:tc>
        <w:tc>
          <w:tcPr>
            <w:tcW w:w="940" w:type="dxa"/>
            <w:vAlign w:val="bottom"/>
            <w:tcBorders>
              <w:bottom w:val="single" w:sz="8" w:color="auto"/>
            </w:tcBorders>
          </w:tcPr>
          <w:p>
            <w:pPr>
              <w:jc w:val="right"/>
              <w:ind w:right="710"/>
              <w:spacing w:after="0" w:line="167" w:lineRule="exact"/>
              <w:rPr>
                <w:sz w:val="20"/>
                <w:szCs w:val="20"/>
                <w:color w:val="auto"/>
              </w:rPr>
            </w:pPr>
            <w:r>
              <w:rPr>
                <w:rFonts w:ascii="Arial" w:cs="Arial" w:eastAsia="Arial" w:hAnsi="Arial"/>
                <w:sz w:val="15"/>
                <w:szCs w:val="15"/>
                <w:color w:val="auto"/>
              </w:rPr>
              <w:t>$</w:t>
            </w: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9" w:right="20"/>
        <w:spacing w:after="0" w:line="232" w:lineRule="auto"/>
        <w:rPr>
          <w:sz w:val="20"/>
          <w:szCs w:val="20"/>
          <w:color w:val="auto"/>
        </w:rPr>
      </w:pPr>
      <w:r>
        <w:rPr>
          <w:rFonts w:ascii="Arial" w:cs="Arial" w:eastAsia="Arial" w:hAnsi="Arial"/>
          <w:sz w:val="17"/>
          <w:szCs w:val="17"/>
          <w:color w:val="auto"/>
        </w:rPr>
        <w:t>KHE incurred restructuring costs of $23.4 million, $13.2 million and $ 9.3 million in 2012, 2011 and 2010, respectively, from accelerated depreciation a severance and lease obligations. In 2012, these costs were incurred in connection with a plan announced in September 2012 for KHE to close or consolidate operations at 13 ground campuses, along with plans to consolidate facilities and reduce workforce at its online programs. The 2011 and 2 costs were primarily severance costs from workforce reduction programs.</w:t>
      </w:r>
    </w:p>
    <w:p>
      <w:pPr>
        <w:spacing w:after="0" w:line="175" w:lineRule="exact"/>
        <w:rPr>
          <w:sz w:val="20"/>
          <w:szCs w:val="20"/>
          <w:color w:val="auto"/>
        </w:rPr>
      </w:pPr>
    </w:p>
    <w:p>
      <w:pPr>
        <w:ind w:left="9"/>
        <w:spacing w:after="0" w:line="260" w:lineRule="auto"/>
        <w:rPr>
          <w:sz w:val="20"/>
          <w:szCs w:val="20"/>
          <w:color w:val="auto"/>
        </w:rPr>
      </w:pPr>
      <w:r>
        <w:rPr>
          <w:rFonts w:ascii="Arial" w:cs="Arial" w:eastAsia="Arial" w:hAnsi="Arial"/>
          <w:sz w:val="16"/>
          <w:szCs w:val="16"/>
          <w:color w:val="auto"/>
        </w:rPr>
        <w:t>Kaplan International incurred restructuring costs of $16.4 million and $1.0 million in 2012 and 2011, respectively. These restructuring costs were largel Australia, where Kaplan is consolidating and restructuring its businesses, and included lease obligations, accelerated depreciation and severance cha</w:t>
      </w:r>
    </w:p>
    <w:p>
      <w:pPr>
        <w:spacing w:after="0" w:line="371"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42" w:right="139" w:bottom="1440" w:gutter="0" w:footer="0" w:header="0"/>
        </w:sectPr>
      </w:pPr>
    </w:p>
    <w:bookmarkStart w:id="121" w:name="page122"/>
    <w:bookmarkEnd w:id="121"/>
    <w:p>
      <w:pPr>
        <w:spacing w:after="0" w:line="230" w:lineRule="auto"/>
        <w:rPr>
          <w:sz w:val="20"/>
          <w:szCs w:val="20"/>
          <w:color w:val="auto"/>
        </w:rPr>
      </w:pPr>
      <w:r>
        <w:rPr>
          <w:rFonts w:ascii="Arial" w:cs="Arial" w:eastAsia="Arial" w:hAnsi="Arial"/>
          <w:sz w:val="17"/>
          <w:szCs w:val="17"/>
          <w:color w:val="auto"/>
        </w:rPr>
        <w:t>KTP incurred restructuring costs of $12.5 million and $18.2 million in 2011 and 2010, respectively, from lease and severance obligations and accelerat depreciation. In 2010, KTP discontinued certain offerings at its K12 business, resulting in $ 7.8 million in severance and other closure costs. Also in 20 KTP began implementing a plan to reorganize its business consistent with the migration of students to Kaplan’s online and hybrid test preparation offe reducing the number of leased test preparation centers; $10.4 million in lease and severance obligations and accelerated depreciation was recorded. I 2011, implementation of the plan was completed and $12.5 million in additional lease and severance obligations and accelerated depreciation was recorded.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Total accrued restructuring costs at Kaplan were $17.6 million and $10.5 million at the end of 2012 and 2011, respectively.</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second quarter of 2012, Kaplan International results benefited from a favorable $ 3.9 million out of period expense adjustment related to certain i in 2011 and 2010. With respect to this out of period expense adjustment, the Company has concluded that it was not material to the Company’s financ position or results of operations for 2012, 2011 and 2010 and the related interim periods, based on its consideration of quantitative and qualitative fact</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Cable Television. </w:t>
      </w:r>
      <w:r>
        <w:rPr>
          <w:rFonts w:ascii="Arial" w:cs="Arial" w:eastAsia="Arial" w:hAnsi="Arial"/>
          <w:sz w:val="17"/>
          <w:szCs w:val="17"/>
          <w:color w:val="auto"/>
        </w:rPr>
        <w:t>Cable television operations consist of cable systems offering video, Internet, phone and other services to subscribers in midwester</w:t>
      </w:r>
      <w:r>
        <w:rPr>
          <w:rFonts w:ascii="Arial" w:cs="Arial" w:eastAsia="Arial" w:hAnsi="Arial"/>
          <w:sz w:val="17"/>
          <w:szCs w:val="17"/>
          <w:b w:val="1"/>
          <w:bCs w:val="1"/>
          <w:color w:val="auto"/>
        </w:rPr>
        <w:t xml:space="preserve"> </w:t>
      </w:r>
      <w:r>
        <w:rPr>
          <w:rFonts w:ascii="Arial" w:cs="Arial" w:eastAsia="Arial" w:hAnsi="Arial"/>
          <w:sz w:val="17"/>
          <w:szCs w:val="17"/>
          <w:color w:val="auto"/>
        </w:rPr>
        <w:t>western and southern states. The principal source of revenue is monthly subscription fees charged for services.</w:t>
      </w:r>
    </w:p>
    <w:p>
      <w:pPr>
        <w:spacing w:after="0" w:line="143"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auto"/>
        </w:rPr>
        <w:t xml:space="preserve">Newspaper Publishing. </w:t>
      </w:r>
      <w:r>
        <w:rPr>
          <w:rFonts w:ascii="Arial" w:cs="Arial" w:eastAsia="Arial" w:hAnsi="Arial"/>
          <w:sz w:val="16"/>
          <w:szCs w:val="16"/>
          <w:color w:val="auto"/>
        </w:rPr>
        <w:t>Newspaper publishing includes the publication of newspapers in the Washington, DC, area and Everett, WA; newsprint</w:t>
      </w:r>
      <w:r>
        <w:rPr>
          <w:rFonts w:ascii="Arial" w:cs="Arial" w:eastAsia="Arial" w:hAnsi="Arial"/>
          <w:sz w:val="16"/>
          <w:szCs w:val="16"/>
          <w:b w:val="1"/>
          <w:bCs w:val="1"/>
          <w:color w:val="auto"/>
        </w:rPr>
        <w:t xml:space="preserve"> </w:t>
      </w:r>
      <w:r>
        <w:rPr>
          <w:rFonts w:ascii="Arial" w:cs="Arial" w:eastAsia="Arial" w:hAnsi="Arial"/>
          <w:sz w:val="16"/>
          <w:szCs w:val="16"/>
          <w:color w:val="auto"/>
        </w:rPr>
        <w:t>warehousing; and the Company’s digital media publishing businesses (primarily washingtonpost.com and Slate). Revenues from newspaper publishin operations are derived from advertising and, to a lesser extent, from circulation. In February 2013, the Company announced that it had signed an agre to sell The Herald, a daily and Sunday newspaper headquartered in Everett, WA; the transaction is expected to close in March 2013.</w:t>
      </w:r>
    </w:p>
    <w:p>
      <w:pPr>
        <w:spacing w:after="0" w:line="143" w:lineRule="exact"/>
        <w:rPr>
          <w:sz w:val="20"/>
          <w:szCs w:val="20"/>
          <w:color w:val="auto"/>
        </w:rPr>
      </w:pPr>
    </w:p>
    <w:p>
      <w:pPr>
        <w:jc w:val="both"/>
        <w:ind w:right="20"/>
        <w:spacing w:after="0" w:line="242" w:lineRule="auto"/>
        <w:rPr>
          <w:sz w:val="20"/>
          <w:szCs w:val="20"/>
          <w:color w:val="auto"/>
        </w:rPr>
      </w:pPr>
      <w:r>
        <w:rPr>
          <w:rFonts w:ascii="Arial" w:cs="Arial" w:eastAsia="Arial" w:hAnsi="Arial"/>
          <w:sz w:val="17"/>
          <w:szCs w:val="17"/>
          <w:b w:val="1"/>
          <w:bCs w:val="1"/>
          <w:color w:val="auto"/>
        </w:rPr>
        <w:t xml:space="preserve">Television Broadcasting. </w:t>
      </w:r>
      <w:r>
        <w:rPr>
          <w:rFonts w:ascii="Arial" w:cs="Arial" w:eastAsia="Arial" w:hAnsi="Arial"/>
          <w:sz w:val="17"/>
          <w:szCs w:val="17"/>
          <w:color w:val="auto"/>
        </w:rPr>
        <w:t>Television broadcasting operations are conducted through six VHF television stations serving the Detroit, Houston, Miami,</w:t>
      </w:r>
      <w:r>
        <w:rPr>
          <w:rFonts w:ascii="Arial" w:cs="Arial" w:eastAsia="Arial" w:hAnsi="Arial"/>
          <w:sz w:val="17"/>
          <w:szCs w:val="17"/>
          <w:b w:val="1"/>
          <w:bCs w:val="1"/>
          <w:color w:val="auto"/>
        </w:rPr>
        <w:t xml:space="preserve"> </w:t>
      </w:r>
      <w:r>
        <w:rPr>
          <w:rFonts w:ascii="Arial" w:cs="Arial" w:eastAsia="Arial" w:hAnsi="Arial"/>
          <w:sz w:val="17"/>
          <w:szCs w:val="17"/>
          <w:color w:val="auto"/>
        </w:rPr>
        <w:t>San Antonio, Orlando and Jacksonville television markets. All stations are network-affiliated (except for WJXT in Jacksonville), with revenues derived primarily from sales of advertising time.</w:t>
      </w:r>
    </w:p>
    <w:p>
      <w:pPr>
        <w:spacing w:after="0" w:line="153"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In 2012, Social Code, a marketing solutions provider helping companies with marketing on social-media platforms, was moved fro</w:t>
      </w:r>
      <w:r>
        <w:rPr>
          <w:rFonts w:ascii="Arial" w:cs="Arial" w:eastAsia="Arial" w:hAnsi="Arial"/>
          <w:sz w:val="17"/>
          <w:szCs w:val="17"/>
          <w:b w:val="1"/>
          <w:bCs w:val="1"/>
          <w:color w:val="auto"/>
        </w:rPr>
        <w:t xml:space="preserve"> </w:t>
      </w:r>
      <w:r>
        <w:rPr>
          <w:rFonts w:ascii="Arial" w:cs="Arial" w:eastAsia="Arial" w:hAnsi="Arial"/>
          <w:sz w:val="17"/>
          <w:szCs w:val="17"/>
          <w:color w:val="auto"/>
        </w:rPr>
        <w:t>newspaper publishing segment to other businesses. Due to the disposal of Avenue100 Media Solutions, it is no longer included in the other businesse segment, as its results have been reclassified to discontinued operations. The other businesses operating results have been restated to reflect these changes. Other businesses also includes WaPo Labs, a digital team focused on emerging technologies and new product development, and Celtic Healthcare, Inc. (Celtic), a provider of home health care and hospice services in the northeastern and mid-Atlantic regions that was acquired by the Company in November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Office. </w:t>
      </w:r>
      <w:r>
        <w:rPr>
          <w:rFonts w:ascii="Arial" w:cs="Arial" w:eastAsia="Arial" w:hAnsi="Arial"/>
          <w:sz w:val="17"/>
          <w:szCs w:val="17"/>
          <w:color w:val="auto"/>
        </w:rPr>
        <w:t>Corporate office includes the expenses of the Company’s corporate office and a net pension credit.</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Geographical Information. </w:t>
      </w:r>
      <w:r>
        <w:rPr>
          <w:rFonts w:ascii="Arial" w:cs="Arial" w:eastAsia="Arial" w:hAnsi="Arial"/>
          <w:sz w:val="17"/>
          <w:szCs w:val="17"/>
          <w:color w:val="auto"/>
        </w:rPr>
        <w:t>The Company's non-U.S. revenues in 2012, 2011 and 2010 totaled approximately $644 million, $594 million and $507 m</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respectively, from Kaplan's operations outside the U.S. The Company's long-lived assets in non-U.S. countries (excluding goodwill and other intangibl assets), totaled approximately $58 million and $71 million at December 31, 2012 and 2011, respectively.</w:t>
      </w:r>
    </w:p>
    <w:p>
      <w:pPr>
        <w:spacing w:after="0" w:line="198"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62" w:right="1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Company information broken down by operating segment and education division: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2"/>
                <w:szCs w:val="12"/>
                <w:b w:val="1"/>
                <w:bCs w:val="1"/>
                <w:color w:val="auto"/>
              </w:rPr>
              <w:t>Fiscal Year Ended</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56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98"/>
              <w:spacing w:after="0" w:line="129" w:lineRule="exact"/>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18"/>
              <w:spacing w:after="0" w:line="129" w:lineRule="exact"/>
              <w:rPr>
                <w:sz w:val="20"/>
                <w:szCs w:val="20"/>
                <w:color w:val="auto"/>
              </w:rPr>
            </w:pPr>
            <w:r>
              <w:rPr>
                <w:rFonts w:ascii="Arial" w:cs="Arial" w:eastAsia="Arial" w:hAnsi="Arial"/>
                <w:sz w:val="12"/>
                <w:szCs w:val="12"/>
                <w:color w:val="auto"/>
              </w:rPr>
              <w:t>2011</w:t>
            </w:r>
          </w:p>
        </w:tc>
        <w:tc>
          <w:tcPr>
            <w:tcW w:w="3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28"/>
        </w:trPr>
        <w:tc>
          <w:tcPr>
            <w:tcW w:w="7560" w:type="dxa"/>
            <w:vAlign w:val="bottom"/>
          </w:tcPr>
          <w:p>
            <w:pPr>
              <w:spacing w:after="0" w:line="129" w:lineRule="exact"/>
              <w:rPr>
                <w:sz w:val="20"/>
                <w:szCs w:val="20"/>
                <w:color w:val="auto"/>
              </w:rPr>
            </w:pPr>
            <w:r>
              <w:rPr>
                <w:rFonts w:ascii="Arial" w:cs="Arial" w:eastAsia="Arial" w:hAnsi="Arial"/>
                <w:sz w:val="12"/>
                <w:szCs w:val="12"/>
                <w:b w:val="1"/>
                <w:bCs w:val="1"/>
                <w:color w:val="auto"/>
              </w:rPr>
              <w:t>Operating Revenues</w:t>
            </w:r>
          </w:p>
        </w:tc>
        <w:tc>
          <w:tcPr>
            <w:tcW w:w="280" w:type="dxa"/>
            <w:vAlign w:val="bottom"/>
          </w:tcPr>
          <w:p>
            <w:pPr>
              <w:spacing w:after="0"/>
              <w:rPr>
                <w:sz w:val="11"/>
                <w:szCs w:val="11"/>
                <w:color w:val="auto"/>
              </w:rPr>
            </w:pPr>
          </w:p>
        </w:tc>
        <w:tc>
          <w:tcPr>
            <w:tcW w:w="98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2,196,496</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56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28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980" w:type="dxa"/>
            <w:vAlign w:val="bottom"/>
            <w:vMerge w:val="continue"/>
          </w:tcPr>
          <w:p>
            <w:pPr>
              <w:spacing w:after="0"/>
              <w:rPr>
                <w:sz w:val="10"/>
                <w:szCs w:val="10"/>
                <w:color w:val="auto"/>
              </w:rPr>
            </w:pPr>
          </w:p>
        </w:tc>
        <w:tc>
          <w:tcPr>
            <w:tcW w:w="400" w:type="dxa"/>
            <w:vAlign w:val="bottom"/>
          </w:tcPr>
          <w:p>
            <w:pPr>
              <w:jc w:val="right"/>
              <w:ind w:right="78"/>
              <w:spacing w:after="0" w:line="12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98"/>
              <w:spacing w:after="0" w:line="123" w:lineRule="exact"/>
              <w:rPr>
                <w:sz w:val="20"/>
                <w:szCs w:val="20"/>
                <w:color w:val="auto"/>
              </w:rPr>
            </w:pPr>
            <w:r>
              <w:rPr>
                <w:rFonts w:ascii="Arial" w:cs="Arial" w:eastAsia="Arial" w:hAnsi="Arial"/>
                <w:sz w:val="12"/>
                <w:szCs w:val="12"/>
                <w:color w:val="auto"/>
              </w:rPr>
              <w:t>2,404,459</w:t>
            </w:r>
          </w:p>
        </w:tc>
        <w:tc>
          <w:tcPr>
            <w:tcW w:w="36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380" w:type="dxa"/>
            <w:vAlign w:val="bottom"/>
          </w:tcPr>
          <w:p>
            <w:pPr>
              <w:jc w:val="right"/>
              <w:spacing w:after="0" w:line="12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787,117</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760,221</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581,686</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622,532</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399,691</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319,206</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53,540</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25,507</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Corporate office</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60" w:type="dxa"/>
            <w:vAlign w:val="bottom"/>
          </w:tcPr>
          <w:p>
            <w:pPr>
              <w:ind w:left="220"/>
              <w:spacing w:after="0"/>
              <w:rPr>
                <w:sz w:val="20"/>
                <w:szCs w:val="20"/>
                <w:color w:val="auto"/>
              </w:rPr>
            </w:pPr>
            <w:r>
              <w:rPr>
                <w:rFonts w:ascii="Arial" w:cs="Arial" w:eastAsia="Arial" w:hAnsi="Arial"/>
                <w:sz w:val="12"/>
                <w:szCs w:val="12"/>
                <w:color w:val="auto"/>
              </w:rPr>
              <w:t>Intersegment elimination</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(877)</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(780)</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560" w:type="dxa"/>
            <w:vAlign w:val="bottom"/>
            <w:vMerge w:val="restart"/>
          </w:tcPr>
          <w:p>
            <w:pPr>
              <w:spacing w:after="0"/>
              <w:rPr>
                <w:sz w:val="20"/>
                <w:szCs w:val="20"/>
                <w:color w:val="auto"/>
              </w:rPr>
            </w:pPr>
            <w:r>
              <w:rPr>
                <w:rFonts w:ascii="Arial" w:cs="Arial" w:eastAsia="Arial" w:hAnsi="Arial"/>
                <w:sz w:val="12"/>
                <w:szCs w:val="12"/>
                <w:b w:val="1"/>
                <w:bCs w:val="1"/>
                <w:color w:val="auto"/>
              </w:rPr>
              <w:t>Income (Loss) from Operations</w:t>
            </w:r>
          </w:p>
        </w:tc>
        <w:tc>
          <w:tcPr>
            <w:tcW w:w="28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b w:val="1"/>
                <w:bCs w:val="1"/>
                <w:color w:val="auto"/>
              </w:rPr>
              <w:t>4,017,653</w:t>
            </w:r>
          </w:p>
        </w:tc>
        <w:tc>
          <w:tcPr>
            <w:tcW w:w="40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color w:val="auto"/>
              </w:rPr>
              <w:t>4,131,145</w:t>
            </w:r>
          </w:p>
        </w:tc>
        <w:tc>
          <w:tcPr>
            <w:tcW w:w="3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28"/>
        </w:trPr>
        <w:tc>
          <w:tcPr>
            <w:tcW w:w="7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(105,368)</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56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28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980" w:type="dxa"/>
            <w:vAlign w:val="bottom"/>
            <w:vMerge w:val="continue"/>
          </w:tcPr>
          <w:p>
            <w:pPr>
              <w:spacing w:after="0"/>
              <w:rPr>
                <w:sz w:val="10"/>
                <w:szCs w:val="10"/>
                <w:color w:val="auto"/>
              </w:rPr>
            </w:pPr>
          </w:p>
        </w:tc>
        <w:tc>
          <w:tcPr>
            <w:tcW w:w="400" w:type="dxa"/>
            <w:vAlign w:val="bottom"/>
          </w:tcPr>
          <w:p>
            <w:pPr>
              <w:jc w:val="right"/>
              <w:ind w:right="78"/>
              <w:spacing w:after="0" w:line="12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98"/>
              <w:spacing w:after="0" w:line="123" w:lineRule="exact"/>
              <w:rPr>
                <w:sz w:val="20"/>
                <w:szCs w:val="20"/>
                <w:color w:val="auto"/>
              </w:rPr>
            </w:pPr>
            <w:r>
              <w:rPr>
                <w:rFonts w:ascii="Arial" w:cs="Arial" w:eastAsia="Arial" w:hAnsi="Arial"/>
                <w:sz w:val="12"/>
                <w:szCs w:val="12"/>
                <w:color w:val="auto"/>
              </w:rPr>
              <w:t>96,286</w:t>
            </w:r>
          </w:p>
        </w:tc>
        <w:tc>
          <w:tcPr>
            <w:tcW w:w="36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154,581</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156,844</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(53,702)</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(21,204)</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191,642</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117,089</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(23,244)</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(8,735)</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(19,378)</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(14,422)</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560" w:type="dxa"/>
            <w:vAlign w:val="bottom"/>
            <w:vMerge w:val="restart"/>
          </w:tcPr>
          <w:p>
            <w:pPr>
              <w:spacing w:after="0"/>
              <w:rPr>
                <w:sz w:val="20"/>
                <w:szCs w:val="20"/>
                <w:color w:val="auto"/>
              </w:rPr>
            </w:pPr>
            <w:r>
              <w:rPr>
                <w:rFonts w:ascii="Arial" w:cs="Arial" w:eastAsia="Arial" w:hAnsi="Arial"/>
                <w:sz w:val="12"/>
                <w:szCs w:val="12"/>
                <w:b w:val="1"/>
                <w:bCs w:val="1"/>
                <w:color w:val="auto"/>
              </w:rPr>
              <w:t>Equity in Earnings (Losses) of Affiliates, Net</w:t>
            </w:r>
          </w:p>
        </w:tc>
        <w:tc>
          <w:tcPr>
            <w:tcW w:w="28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b w:val="1"/>
                <w:bCs w:val="1"/>
                <w:color w:val="auto"/>
              </w:rPr>
              <w:t>144,531</w:t>
            </w:r>
          </w:p>
        </w:tc>
        <w:tc>
          <w:tcPr>
            <w:tcW w:w="40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color w:val="auto"/>
              </w:rPr>
              <w:t>325,858</w:t>
            </w:r>
          </w:p>
        </w:tc>
        <w:tc>
          <w:tcPr>
            <w:tcW w:w="3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7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jc w:val="right"/>
              <w:ind w:right="78"/>
              <w:spacing w:after="0" w:line="114" w:lineRule="exact"/>
              <w:rPr>
                <w:sz w:val="20"/>
                <w:szCs w:val="20"/>
                <w:color w:val="auto"/>
              </w:rPr>
            </w:pPr>
            <w:r>
              <w:rPr>
                <w:rFonts w:ascii="Arial" w:cs="Arial" w:eastAsia="Arial" w:hAnsi="Arial"/>
                <w:sz w:val="12"/>
                <w:szCs w:val="12"/>
                <w:b w:val="1"/>
                <w:bCs w:val="1"/>
                <w:color w:val="auto"/>
              </w:rPr>
              <w:t>14,086</w:t>
            </w:r>
          </w:p>
        </w:tc>
        <w:tc>
          <w:tcPr>
            <w:tcW w:w="400" w:type="dxa"/>
            <w:vAlign w:val="bottom"/>
          </w:tcPr>
          <w:p>
            <w:pPr>
              <w:spacing w:after="0"/>
              <w:rPr>
                <w:sz w:val="9"/>
                <w:szCs w:val="9"/>
                <w:color w:val="auto"/>
              </w:rPr>
            </w:pPr>
          </w:p>
        </w:tc>
        <w:tc>
          <w:tcPr>
            <w:tcW w:w="980" w:type="dxa"/>
            <w:vAlign w:val="bottom"/>
          </w:tcPr>
          <w:p>
            <w:pPr>
              <w:jc w:val="right"/>
              <w:ind w:right="98"/>
              <w:spacing w:after="0" w:line="114" w:lineRule="exact"/>
              <w:rPr>
                <w:sz w:val="20"/>
                <w:szCs w:val="20"/>
                <w:color w:val="auto"/>
              </w:rPr>
            </w:pPr>
            <w:r>
              <w:rPr>
                <w:rFonts w:ascii="Arial" w:cs="Arial" w:eastAsia="Arial" w:hAnsi="Arial"/>
                <w:sz w:val="12"/>
                <w:szCs w:val="12"/>
                <w:color w:val="auto"/>
              </w:rPr>
              <w:t>5,949</w:t>
            </w: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7560" w:type="dxa"/>
            <w:vAlign w:val="bottom"/>
          </w:tcPr>
          <w:p>
            <w:pPr>
              <w:spacing w:after="0" w:line="137" w:lineRule="exact"/>
              <w:rPr>
                <w:sz w:val="20"/>
                <w:szCs w:val="20"/>
                <w:color w:val="auto"/>
              </w:rPr>
            </w:pPr>
            <w:r>
              <w:rPr>
                <w:rFonts w:ascii="Arial" w:cs="Arial" w:eastAsia="Arial" w:hAnsi="Arial"/>
                <w:sz w:val="12"/>
                <w:szCs w:val="12"/>
                <w:b w:val="1"/>
                <w:bCs w:val="1"/>
                <w:color w:val="auto"/>
              </w:rPr>
              <w:t>Interest Expense, Net</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(32,551)</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(29,079)</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60" w:type="dxa"/>
            <w:vAlign w:val="bottom"/>
          </w:tcPr>
          <w:p>
            <w:pPr>
              <w:spacing w:after="0"/>
              <w:rPr>
                <w:sz w:val="20"/>
                <w:szCs w:val="20"/>
                <w:color w:val="auto"/>
              </w:rPr>
            </w:pPr>
            <w:r>
              <w:rPr>
                <w:rFonts w:ascii="Arial" w:cs="Arial" w:eastAsia="Arial" w:hAnsi="Arial"/>
                <w:sz w:val="12"/>
                <w:szCs w:val="12"/>
                <w:b w:val="1"/>
                <w:bCs w:val="1"/>
                <w:color w:val="auto"/>
              </w:rPr>
              <w:t>Other (Expense) Income, Net</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(5,456)</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(55,200)</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560" w:type="dxa"/>
            <w:vAlign w:val="bottom"/>
          </w:tcPr>
          <w:p>
            <w:pPr>
              <w:spacing w:after="0" w:line="129" w:lineRule="exact"/>
              <w:rPr>
                <w:sz w:val="20"/>
                <w:szCs w:val="20"/>
                <w:color w:val="auto"/>
              </w:rPr>
            </w:pPr>
            <w:r>
              <w:rPr>
                <w:rFonts w:ascii="Arial" w:cs="Arial" w:eastAsia="Arial" w:hAnsi="Arial"/>
                <w:sz w:val="12"/>
                <w:szCs w:val="12"/>
                <w:b w:val="1"/>
                <w:bCs w:val="1"/>
                <w:color w:val="auto"/>
              </w:rPr>
              <w:t>Income from Continuing Operations before Income Taxes</w:t>
            </w:r>
          </w:p>
        </w:tc>
        <w:tc>
          <w:tcPr>
            <w:tcW w:w="28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b w:val="1"/>
                <w:bCs w:val="1"/>
                <w:color w:val="auto"/>
              </w:rPr>
              <w:t>120,610</w:t>
            </w:r>
          </w:p>
        </w:tc>
        <w:tc>
          <w:tcPr>
            <w:tcW w:w="40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color w:val="auto"/>
              </w:rPr>
              <w:t>247,528</w:t>
            </w:r>
          </w:p>
        </w:tc>
        <w:tc>
          <w:tcPr>
            <w:tcW w:w="3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2"/>
                <w:szCs w:val="12"/>
                <w:b w:val="1"/>
                <w:bCs w:val="1"/>
                <w:color w:val="auto"/>
              </w:rPr>
              <w:t>Depreciation of Property, Plant and Equipment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75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101,183</w:t>
            </w: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756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28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980" w:type="dxa"/>
            <w:vAlign w:val="bottom"/>
            <w:vMerge w:val="continue"/>
          </w:tcPr>
          <w:p>
            <w:pPr>
              <w:spacing w:after="0"/>
              <w:rPr>
                <w:sz w:val="10"/>
                <w:szCs w:val="10"/>
                <w:color w:val="auto"/>
              </w:rPr>
            </w:pPr>
          </w:p>
        </w:tc>
        <w:tc>
          <w:tcPr>
            <w:tcW w:w="400" w:type="dxa"/>
            <w:vAlign w:val="bottom"/>
          </w:tcPr>
          <w:p>
            <w:pPr>
              <w:jc w:val="right"/>
              <w:ind w:right="78"/>
              <w:spacing w:after="0" w:line="12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98"/>
              <w:spacing w:after="0" w:line="123" w:lineRule="exact"/>
              <w:rPr>
                <w:sz w:val="20"/>
                <w:szCs w:val="20"/>
                <w:color w:val="auto"/>
              </w:rPr>
            </w:pPr>
            <w:r>
              <w:rPr>
                <w:rFonts w:ascii="Arial" w:cs="Arial" w:eastAsia="Arial" w:hAnsi="Arial"/>
                <w:sz w:val="12"/>
                <w:szCs w:val="12"/>
                <w:color w:val="auto"/>
              </w:rPr>
              <w:t>83,735</w:t>
            </w:r>
          </w:p>
        </w:tc>
        <w:tc>
          <w:tcPr>
            <w:tcW w:w="36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129,107</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126,302</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25,072</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26,336</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13,018</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12,448</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263</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244</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560" w:type="dxa"/>
            <w:vAlign w:val="bottom"/>
            <w:vMerge w:val="restart"/>
          </w:tcPr>
          <w:p>
            <w:pPr>
              <w:spacing w:after="0"/>
              <w:rPr>
                <w:sz w:val="20"/>
                <w:szCs w:val="20"/>
                <w:color w:val="auto"/>
              </w:rPr>
            </w:pPr>
            <w:r>
              <w:rPr>
                <w:rFonts w:ascii="Arial" w:cs="Arial" w:eastAsia="Arial" w:hAnsi="Arial"/>
                <w:sz w:val="12"/>
                <w:szCs w:val="12"/>
                <w:b w:val="1"/>
                <w:bCs w:val="1"/>
                <w:color w:val="auto"/>
              </w:rPr>
              <w:t>Amortization of Intangible Assets and Impairment of Goodwill and Other Long-Lived Assets</w:t>
            </w:r>
          </w:p>
        </w:tc>
        <w:tc>
          <w:tcPr>
            <w:tcW w:w="28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b w:val="1"/>
                <w:bCs w:val="1"/>
                <w:color w:val="auto"/>
              </w:rPr>
              <w:t>268,643</w:t>
            </w:r>
          </w:p>
        </w:tc>
        <w:tc>
          <w:tcPr>
            <w:tcW w:w="40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color w:val="auto"/>
              </w:rPr>
              <w:t>249,065</w:t>
            </w:r>
          </w:p>
        </w:tc>
        <w:tc>
          <w:tcPr>
            <w:tcW w:w="3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129,312</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56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28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980" w:type="dxa"/>
            <w:vAlign w:val="bottom"/>
            <w:vMerge w:val="continue"/>
          </w:tcPr>
          <w:p>
            <w:pPr>
              <w:spacing w:after="0"/>
              <w:rPr>
                <w:sz w:val="10"/>
                <w:szCs w:val="10"/>
                <w:color w:val="auto"/>
              </w:rPr>
            </w:pPr>
          </w:p>
        </w:tc>
        <w:tc>
          <w:tcPr>
            <w:tcW w:w="400" w:type="dxa"/>
            <w:vAlign w:val="bottom"/>
          </w:tcPr>
          <w:p>
            <w:pPr>
              <w:jc w:val="right"/>
              <w:ind w:right="78"/>
              <w:spacing w:after="0" w:line="12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98"/>
              <w:spacing w:after="0" w:line="123" w:lineRule="exact"/>
              <w:rPr>
                <w:sz w:val="20"/>
                <w:szCs w:val="20"/>
                <w:color w:val="auto"/>
              </w:rPr>
            </w:pPr>
            <w:r>
              <w:rPr>
                <w:rFonts w:ascii="Arial" w:cs="Arial" w:eastAsia="Arial" w:hAnsi="Arial"/>
                <w:sz w:val="12"/>
                <w:szCs w:val="12"/>
                <w:color w:val="auto"/>
              </w:rPr>
              <w:t>19,417</w:t>
            </w:r>
          </w:p>
        </w:tc>
        <w:tc>
          <w:tcPr>
            <w:tcW w:w="36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211</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267</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654</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1,051</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2,418</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1,600</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560" w:type="dxa"/>
            <w:vAlign w:val="bottom"/>
            <w:vMerge w:val="restart"/>
          </w:tcPr>
          <w:p>
            <w:pPr>
              <w:spacing w:after="0"/>
              <w:rPr>
                <w:sz w:val="20"/>
                <w:szCs w:val="20"/>
                <w:color w:val="auto"/>
              </w:rPr>
            </w:pPr>
            <w:r>
              <w:rPr>
                <w:rFonts w:ascii="Arial" w:cs="Arial" w:eastAsia="Arial" w:hAnsi="Arial"/>
                <w:sz w:val="12"/>
                <w:szCs w:val="12"/>
                <w:b w:val="1"/>
                <w:bCs w:val="1"/>
                <w:color w:val="auto"/>
              </w:rPr>
              <w:t>Net Pension Expense (Credit)</w:t>
            </w:r>
          </w:p>
        </w:tc>
        <w:tc>
          <w:tcPr>
            <w:tcW w:w="28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b w:val="1"/>
                <w:bCs w:val="1"/>
                <w:color w:val="auto"/>
              </w:rPr>
              <w:t>132,595</w:t>
            </w:r>
          </w:p>
        </w:tc>
        <w:tc>
          <w:tcPr>
            <w:tcW w:w="40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color w:val="auto"/>
              </w:rPr>
              <w:t>22,335</w:t>
            </w:r>
          </w:p>
        </w:tc>
        <w:tc>
          <w:tcPr>
            <w:tcW w:w="3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11,584</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56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28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980" w:type="dxa"/>
            <w:vAlign w:val="bottom"/>
            <w:vMerge w:val="continue"/>
          </w:tcPr>
          <w:p>
            <w:pPr>
              <w:spacing w:after="0"/>
              <w:rPr>
                <w:sz w:val="10"/>
                <w:szCs w:val="10"/>
                <w:color w:val="auto"/>
              </w:rPr>
            </w:pPr>
          </w:p>
        </w:tc>
        <w:tc>
          <w:tcPr>
            <w:tcW w:w="400" w:type="dxa"/>
            <w:vAlign w:val="bottom"/>
          </w:tcPr>
          <w:p>
            <w:pPr>
              <w:jc w:val="right"/>
              <w:ind w:right="78"/>
              <w:spacing w:after="0" w:line="12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98"/>
              <w:spacing w:after="0" w:line="123" w:lineRule="exact"/>
              <w:rPr>
                <w:sz w:val="20"/>
                <w:szCs w:val="20"/>
                <w:color w:val="auto"/>
              </w:rPr>
            </w:pPr>
            <w:r>
              <w:rPr>
                <w:rFonts w:ascii="Arial" w:cs="Arial" w:eastAsia="Arial" w:hAnsi="Arial"/>
                <w:sz w:val="12"/>
                <w:szCs w:val="12"/>
                <w:color w:val="auto"/>
              </w:rPr>
              <w:t>6,345</w:t>
            </w:r>
          </w:p>
        </w:tc>
        <w:tc>
          <w:tcPr>
            <w:tcW w:w="36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2,540</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1,924</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 xml:space="preserve">Newspaper publishing </w:t>
            </w:r>
            <w:r>
              <w:rPr>
                <w:rFonts w:ascii="Arial" w:cs="Arial" w:eastAsia="Arial" w:hAnsi="Arial"/>
                <w:sz w:val="9"/>
                <w:szCs w:val="9"/>
                <w:color w:val="auto"/>
              </w:rPr>
              <w:t>(1)</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42,436</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25,283</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4,970</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1,669</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60</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17</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(36,197)</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(36,983)</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560" w:type="dxa"/>
            <w:vAlign w:val="bottom"/>
            <w:vMerge w:val="restart"/>
          </w:tcPr>
          <w:p>
            <w:pPr>
              <w:spacing w:after="0"/>
              <w:rPr>
                <w:sz w:val="20"/>
                <w:szCs w:val="20"/>
                <w:color w:val="auto"/>
              </w:rPr>
            </w:pPr>
            <w:r>
              <w:rPr>
                <w:rFonts w:ascii="Arial" w:cs="Arial" w:eastAsia="Arial" w:hAnsi="Arial"/>
                <w:sz w:val="12"/>
                <w:szCs w:val="12"/>
                <w:b w:val="1"/>
                <w:bCs w:val="1"/>
                <w:color w:val="auto"/>
              </w:rPr>
              <w:t>Capital Expenditures</w:t>
            </w:r>
          </w:p>
        </w:tc>
        <w:tc>
          <w:tcPr>
            <w:tcW w:w="28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b w:val="1"/>
                <w:bCs w:val="1"/>
                <w:color w:val="auto"/>
              </w:rPr>
              <w:t>25,393</w:t>
            </w:r>
          </w:p>
        </w:tc>
        <w:tc>
          <w:tcPr>
            <w:tcW w:w="400" w:type="dxa"/>
            <w:vAlign w:val="bottom"/>
            <w:tcBorders>
              <w:bottom w:val="single" w:sz="8" w:color="auto"/>
            </w:tcBorders>
          </w:tcPr>
          <w:p>
            <w:pPr>
              <w:jc w:val="right"/>
              <w:ind w:right="78"/>
              <w:spacing w:after="0" w:line="129"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98"/>
              <w:spacing w:after="0" w:line="129" w:lineRule="exact"/>
              <w:rPr>
                <w:sz w:val="20"/>
                <w:szCs w:val="20"/>
                <w:color w:val="auto"/>
              </w:rPr>
            </w:pPr>
            <w:r>
              <w:rPr>
                <w:rFonts w:ascii="Arial" w:cs="Arial" w:eastAsia="Arial" w:hAnsi="Arial"/>
                <w:sz w:val="12"/>
                <w:szCs w:val="12"/>
                <w:color w:val="auto"/>
              </w:rPr>
              <w:t>(1,745)</w:t>
            </w:r>
          </w:p>
        </w:tc>
        <w:tc>
          <w:tcPr>
            <w:tcW w:w="360" w:type="dxa"/>
            <w:vAlign w:val="bottom"/>
            <w:tcBorders>
              <w:bottom w:val="single" w:sz="8" w:color="auto"/>
            </w:tcBorders>
          </w:tcPr>
          <w:p>
            <w:pPr>
              <w:jc w:val="right"/>
              <w:ind w:right="58"/>
              <w:spacing w:after="0" w:line="129" w:lineRule="exact"/>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51,241</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7560" w:type="dxa"/>
            <w:vAlign w:val="bottom"/>
          </w:tcPr>
          <w:p>
            <w:pPr>
              <w:ind w:left="220"/>
              <w:spacing w:after="0" w:line="123" w:lineRule="exact"/>
              <w:rPr>
                <w:sz w:val="20"/>
                <w:szCs w:val="20"/>
                <w:color w:val="auto"/>
              </w:rPr>
            </w:pPr>
            <w:r>
              <w:rPr>
                <w:rFonts w:ascii="Arial" w:cs="Arial" w:eastAsia="Arial" w:hAnsi="Arial"/>
                <w:sz w:val="12"/>
                <w:szCs w:val="12"/>
                <w:color w:val="auto"/>
              </w:rPr>
              <w:t>Education</w:t>
            </w:r>
          </w:p>
        </w:tc>
        <w:tc>
          <w:tcPr>
            <w:tcW w:w="28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980" w:type="dxa"/>
            <w:vAlign w:val="bottom"/>
            <w:vMerge w:val="continue"/>
          </w:tcPr>
          <w:p>
            <w:pPr>
              <w:spacing w:after="0"/>
              <w:rPr>
                <w:sz w:val="10"/>
                <w:szCs w:val="10"/>
                <w:color w:val="auto"/>
              </w:rPr>
            </w:pPr>
          </w:p>
        </w:tc>
        <w:tc>
          <w:tcPr>
            <w:tcW w:w="400" w:type="dxa"/>
            <w:vAlign w:val="bottom"/>
          </w:tcPr>
          <w:p>
            <w:pPr>
              <w:jc w:val="right"/>
              <w:ind w:right="78"/>
              <w:spacing w:after="0" w:line="12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98"/>
              <w:spacing w:after="0" w:line="123" w:lineRule="exact"/>
              <w:rPr>
                <w:sz w:val="20"/>
                <w:szCs w:val="20"/>
                <w:color w:val="auto"/>
              </w:rPr>
            </w:pPr>
            <w:r>
              <w:rPr>
                <w:rFonts w:ascii="Arial" w:cs="Arial" w:eastAsia="Arial" w:hAnsi="Arial"/>
                <w:sz w:val="12"/>
                <w:szCs w:val="12"/>
                <w:color w:val="auto"/>
              </w:rPr>
              <w:t>51,871</w:t>
            </w:r>
          </w:p>
        </w:tc>
        <w:tc>
          <w:tcPr>
            <w:tcW w:w="360" w:type="dxa"/>
            <w:vAlign w:val="bottom"/>
          </w:tcPr>
          <w:p>
            <w:pPr>
              <w:jc w:val="right"/>
              <w:ind w:right="58"/>
              <w:spacing w:after="0" w:line="123"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Cable television</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150,525</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143,225</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Newspaper publishing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7,746</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11,405</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Television broadcasting</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6,401</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6,415</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7560" w:type="dxa"/>
            <w:vAlign w:val="bottom"/>
          </w:tcPr>
          <w:p>
            <w:pPr>
              <w:ind w:left="220"/>
              <w:spacing w:after="0" w:line="137" w:lineRule="exact"/>
              <w:rPr>
                <w:sz w:val="20"/>
                <w:szCs w:val="20"/>
                <w:color w:val="auto"/>
              </w:rPr>
            </w:pPr>
            <w:r>
              <w:rPr>
                <w:rFonts w:ascii="Arial" w:cs="Arial" w:eastAsia="Arial" w:hAnsi="Arial"/>
                <w:sz w:val="12"/>
                <w:szCs w:val="12"/>
                <w:color w:val="auto"/>
              </w:rPr>
              <w:t>Other businesses</w:t>
            </w:r>
          </w:p>
        </w:tc>
        <w:tc>
          <w:tcPr>
            <w:tcW w:w="280" w:type="dxa"/>
            <w:vAlign w:val="bottom"/>
          </w:tcPr>
          <w:p>
            <w:pPr>
              <w:spacing w:after="0"/>
              <w:rPr>
                <w:sz w:val="11"/>
                <w:szCs w:val="11"/>
                <w:color w:val="auto"/>
              </w:rPr>
            </w:pPr>
          </w:p>
        </w:tc>
        <w:tc>
          <w:tcPr>
            <w:tcW w:w="980" w:type="dxa"/>
            <w:vAlign w:val="bottom"/>
          </w:tcPr>
          <w:p>
            <w:pPr>
              <w:jc w:val="right"/>
              <w:ind w:right="78"/>
              <w:spacing w:after="0" w:line="137" w:lineRule="exact"/>
              <w:rPr>
                <w:sz w:val="20"/>
                <w:szCs w:val="20"/>
                <w:color w:val="auto"/>
              </w:rPr>
            </w:pPr>
            <w:r>
              <w:rPr>
                <w:rFonts w:ascii="Arial" w:cs="Arial" w:eastAsia="Arial" w:hAnsi="Arial"/>
                <w:sz w:val="12"/>
                <w:szCs w:val="12"/>
                <w:b w:val="1"/>
                <w:bCs w:val="1"/>
                <w:color w:val="auto"/>
              </w:rPr>
              <w:t>775</w:t>
            </w:r>
          </w:p>
        </w:tc>
        <w:tc>
          <w:tcPr>
            <w:tcW w:w="400" w:type="dxa"/>
            <w:vAlign w:val="bottom"/>
          </w:tcPr>
          <w:p>
            <w:pPr>
              <w:spacing w:after="0"/>
              <w:rPr>
                <w:sz w:val="11"/>
                <w:szCs w:val="11"/>
                <w:color w:val="auto"/>
              </w:rPr>
            </w:pPr>
          </w:p>
        </w:tc>
        <w:tc>
          <w:tcPr>
            <w:tcW w:w="980" w:type="dxa"/>
            <w:vAlign w:val="bottom"/>
          </w:tcPr>
          <w:p>
            <w:pPr>
              <w:jc w:val="right"/>
              <w:ind w:right="98"/>
              <w:spacing w:after="0" w:line="137" w:lineRule="exact"/>
              <w:rPr>
                <w:sz w:val="20"/>
                <w:szCs w:val="20"/>
                <w:color w:val="auto"/>
              </w:rPr>
            </w:pPr>
            <w:r>
              <w:rPr>
                <w:rFonts w:ascii="Arial" w:cs="Arial" w:eastAsia="Arial" w:hAnsi="Arial"/>
                <w:sz w:val="12"/>
                <w:szCs w:val="12"/>
                <w:color w:val="auto"/>
              </w:rPr>
              <w:t>―</w:t>
            </w: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7560" w:type="dxa"/>
            <w:vAlign w:val="bottom"/>
          </w:tcPr>
          <w:p>
            <w:pPr>
              <w:ind w:left="220"/>
              <w:spacing w:after="0"/>
              <w:rPr>
                <w:sz w:val="20"/>
                <w:szCs w:val="20"/>
                <w:color w:val="auto"/>
              </w:rPr>
            </w:pPr>
            <w:r>
              <w:rPr>
                <w:rFonts w:ascii="Arial" w:cs="Arial" w:eastAsia="Arial" w:hAnsi="Arial"/>
                <w:sz w:val="12"/>
                <w:szCs w:val="12"/>
                <w:color w:val="auto"/>
              </w:rPr>
              <w:t>Corporate office</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560" w:type="dxa"/>
            <w:vAlign w:val="bottom"/>
          </w:tcPr>
          <w:p>
            <w:pPr>
              <w:spacing w:after="0"/>
              <w:rPr>
                <w:sz w:val="12"/>
                <w:szCs w:val="12"/>
                <w:color w:val="auto"/>
              </w:rPr>
            </w:pPr>
          </w:p>
        </w:tc>
        <w:tc>
          <w:tcPr>
            <w:tcW w:w="2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78"/>
              <w:spacing w:after="0"/>
              <w:rPr>
                <w:sz w:val="20"/>
                <w:szCs w:val="20"/>
                <w:color w:val="auto"/>
              </w:rPr>
            </w:pPr>
            <w:r>
              <w:rPr>
                <w:rFonts w:ascii="Arial" w:cs="Arial" w:eastAsia="Arial" w:hAnsi="Arial"/>
                <w:sz w:val="12"/>
                <w:szCs w:val="12"/>
                <w:b w:val="1"/>
                <w:bCs w:val="1"/>
                <w:color w:val="auto"/>
              </w:rPr>
              <w:t>216,688</w:t>
            </w:r>
          </w:p>
        </w:tc>
        <w:tc>
          <w:tcPr>
            <w:tcW w:w="4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98"/>
              <w:spacing w:after="0"/>
              <w:rPr>
                <w:sz w:val="20"/>
                <w:szCs w:val="20"/>
                <w:color w:val="auto"/>
              </w:rPr>
            </w:pPr>
            <w:r>
              <w:rPr>
                <w:rFonts w:ascii="Arial" w:cs="Arial" w:eastAsia="Arial" w:hAnsi="Arial"/>
                <w:sz w:val="12"/>
                <w:szCs w:val="12"/>
                <w:color w:val="auto"/>
              </w:rPr>
              <w:t>212,916</w:t>
            </w:r>
          </w:p>
        </w:tc>
        <w:tc>
          <w:tcPr>
            <w:tcW w:w="3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4800600</wp:posOffset>
            </wp:positionH>
            <wp:positionV relativeFrom="paragraph">
              <wp:posOffset>-6985</wp:posOffset>
            </wp:positionV>
            <wp:extent cx="21463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46300" cy="7620"/>
                    </a:xfrm>
                    <a:prstGeom prst="rect">
                      <a:avLst/>
                    </a:prstGeom>
                    <a:noFill/>
                  </pic:spPr>
                </pic:pic>
              </a:graphicData>
            </a:graphic>
          </wp:anchor>
        </w:drawing>
      </w:r>
    </w:p>
    <w:p>
      <w:pPr>
        <w:spacing w:after="0"/>
        <w:rPr>
          <w:sz w:val="20"/>
          <w:szCs w:val="20"/>
          <w:color w:val="auto"/>
        </w:rPr>
      </w:pPr>
      <w:r>
        <w:rPr>
          <w:rFonts w:ascii="Arial" w:cs="Arial" w:eastAsia="Arial" w:hAnsi="Arial"/>
          <w:sz w:val="8"/>
          <w:szCs w:val="8"/>
          <w:color w:val="auto"/>
        </w:rPr>
        <w:t>_________________</w:t>
      </w:r>
    </w:p>
    <w:p>
      <w:pPr>
        <w:spacing w:after="0" w:line="7"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(1)</w:t>
        <w:tab/>
        <w:t>Includes a $0.9 million, $2.4 million and $20.4 million charge in 2012, 2011 and 2010, respectively, related to the withdrawal from a multiemployer pension plan.</w:t>
      </w:r>
    </w:p>
    <w:p>
      <w:pPr>
        <w:spacing w:after="0" w:line="209"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24" w:right="1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auto"/>
        </w:rPr>
        <w:t>Asset information for the Company’s business segments are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jc w:val="right"/>
              <w:ind w:right="1038"/>
              <w:spacing w:after="0"/>
              <w:rPr>
                <w:sz w:val="20"/>
                <w:szCs w:val="20"/>
                <w:color w:val="auto"/>
              </w:rPr>
            </w:pPr>
            <w:r>
              <w:rPr>
                <w:rFonts w:ascii="Arial" w:cs="Arial" w:eastAsia="Arial" w:hAnsi="Arial"/>
                <w:sz w:val="12"/>
                <w:szCs w:val="12"/>
                <w:b w:val="1"/>
                <w:bCs w:val="1"/>
                <w:color w:val="auto"/>
              </w:rPr>
              <w:t>As of December 31,</w:t>
            </w:r>
          </w:p>
        </w:tc>
      </w:tr>
      <w:tr>
        <w:trPr>
          <w:trHeight w:val="203"/>
        </w:trPr>
        <w:tc>
          <w:tcPr>
            <w:tcW w:w="7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2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2012</w:t>
            </w:r>
          </w:p>
        </w:tc>
        <w:tc>
          <w:tcPr>
            <w:tcW w:w="242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2011</w:t>
            </w:r>
          </w:p>
        </w:tc>
      </w:tr>
      <w:tr>
        <w:trPr>
          <w:trHeight w:val="155"/>
        </w:trPr>
        <w:tc>
          <w:tcPr>
            <w:tcW w:w="7240" w:type="dxa"/>
            <w:vAlign w:val="bottom"/>
          </w:tcPr>
          <w:p>
            <w:pPr>
              <w:spacing w:after="0"/>
              <w:rPr>
                <w:sz w:val="20"/>
                <w:szCs w:val="20"/>
                <w:color w:val="auto"/>
              </w:rPr>
            </w:pPr>
            <w:r>
              <w:rPr>
                <w:rFonts w:ascii="Arial" w:cs="Arial" w:eastAsia="Arial" w:hAnsi="Arial"/>
                <w:sz w:val="12"/>
                <w:szCs w:val="12"/>
                <w:b w:val="1"/>
                <w:bCs w:val="1"/>
                <w:color w:val="auto"/>
              </w:rPr>
              <w:t>Identifiable Assets</w:t>
            </w:r>
          </w:p>
        </w:tc>
        <w:tc>
          <w:tcPr>
            <w:tcW w:w="1280" w:type="dxa"/>
            <w:vAlign w:val="bottom"/>
          </w:tcPr>
          <w:p>
            <w:pPr>
              <w:spacing w:after="0"/>
              <w:rPr>
                <w:sz w:val="13"/>
                <w:szCs w:val="13"/>
                <w:color w:val="auto"/>
              </w:rPr>
            </w:pPr>
          </w:p>
        </w:tc>
        <w:tc>
          <w:tcPr>
            <w:tcW w:w="2420" w:type="dxa"/>
            <w:vAlign w:val="bottom"/>
          </w:tcPr>
          <w:p>
            <w:pPr>
              <w:spacing w:after="0"/>
              <w:rPr>
                <w:sz w:val="13"/>
                <w:szCs w:val="13"/>
                <w:color w:val="auto"/>
              </w:rPr>
            </w:pPr>
          </w:p>
        </w:tc>
      </w:tr>
    </w:tbl>
    <w:p>
      <w:pPr>
        <w:spacing w:after="0" w:line="34" w:lineRule="exact"/>
        <w:rPr>
          <w:sz w:val="20"/>
          <w:szCs w:val="20"/>
          <w:color w:val="auto"/>
        </w:rPr>
      </w:pPr>
    </w:p>
    <w:p>
      <w:pPr>
        <w:sectPr>
          <w:pgSz w:w="11900" w:h="16838" w:orient="portrait"/>
          <w:cols w:equalWidth="0" w:num="1">
            <w:col w:w="10940"/>
          </w:cols>
          <w:pgMar w:left="820" w:top="399" w:right="139" w:bottom="1440" w:gutter="0" w:footer="0" w:header="0"/>
        </w:sectPr>
      </w:pPr>
    </w:p>
    <w:p>
      <w:pPr>
        <w:spacing w:after="0" w:line="14"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Education</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Cable television</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Newspaper publishing</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Television broadcasting</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Other businesses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Corporate office</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in Marketable Equity Securities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Investments in Affiliates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Prepaid Pension Cost</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jc w:val="right"/>
              <w:ind w:right="538"/>
              <w:spacing w:after="0"/>
              <w:rPr>
                <w:sz w:val="20"/>
                <w:szCs w:val="20"/>
                <w:color w:val="auto"/>
              </w:rPr>
            </w:pPr>
            <w:r>
              <w:rPr>
                <w:rFonts w:ascii="Arial" w:cs="Arial" w:eastAsia="Arial" w:hAnsi="Arial"/>
                <w:sz w:val="12"/>
                <w:szCs w:val="12"/>
                <w:b w:val="1"/>
                <w:bCs w:val="1"/>
                <w:color w:val="auto"/>
              </w:rPr>
              <w:t>$</w:t>
            </w:r>
          </w:p>
        </w:tc>
        <w:tc>
          <w:tcPr>
            <w:tcW w:w="126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1,988,015</w:t>
            </w:r>
          </w:p>
        </w:tc>
        <w:tc>
          <w:tcPr>
            <w:tcW w:w="800" w:type="dxa"/>
            <w:vAlign w:val="bottom"/>
          </w:tcPr>
          <w:p>
            <w:pPr>
              <w:jc w:val="right"/>
              <w:ind w:right="538"/>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87"/>
        </w:trPr>
        <w:tc>
          <w:tcPr>
            <w:tcW w:w="8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60" w:type="dxa"/>
            <w:vAlign w:val="bottom"/>
          </w:tcPr>
          <w:p>
            <w:pPr>
              <w:jc w:val="right"/>
              <w:ind w:right="78"/>
              <w:spacing w:after="0"/>
              <w:rPr>
                <w:sz w:val="20"/>
                <w:szCs w:val="20"/>
                <w:color w:val="auto"/>
              </w:rPr>
            </w:pPr>
            <w:r>
              <w:rPr>
                <w:rFonts w:ascii="Arial" w:cs="Arial" w:eastAsia="Arial" w:hAnsi="Arial"/>
                <w:sz w:val="12"/>
                <w:szCs w:val="12"/>
                <w:b w:val="1"/>
                <w:bCs w:val="1"/>
                <w:color w:val="auto"/>
              </w:rPr>
              <w:t>1,187,603</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1,16</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60" w:type="dxa"/>
            <w:vAlign w:val="bottom"/>
          </w:tcPr>
          <w:p>
            <w:pPr>
              <w:jc w:val="right"/>
              <w:ind w:right="78"/>
              <w:spacing w:after="0"/>
              <w:rPr>
                <w:sz w:val="20"/>
                <w:szCs w:val="20"/>
                <w:color w:val="auto"/>
              </w:rPr>
            </w:pPr>
            <w:r>
              <w:rPr>
                <w:rFonts w:ascii="Arial" w:cs="Arial" w:eastAsia="Arial" w:hAnsi="Arial"/>
                <w:sz w:val="12"/>
                <w:szCs w:val="12"/>
                <w:b w:val="1"/>
                <w:bCs w:val="1"/>
                <w:color w:val="auto"/>
              </w:rPr>
              <w:t>293,592</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60" w:type="dxa"/>
            <w:vAlign w:val="bottom"/>
          </w:tcPr>
          <w:p>
            <w:pPr>
              <w:jc w:val="right"/>
              <w:ind w:right="78"/>
              <w:spacing w:after="0"/>
              <w:rPr>
                <w:sz w:val="20"/>
                <w:szCs w:val="20"/>
                <w:color w:val="auto"/>
              </w:rPr>
            </w:pPr>
            <w:r>
              <w:rPr>
                <w:rFonts w:ascii="Arial" w:cs="Arial" w:eastAsia="Arial" w:hAnsi="Arial"/>
                <w:sz w:val="12"/>
                <w:szCs w:val="12"/>
                <w:b w:val="1"/>
                <w:bCs w:val="1"/>
                <w:color w:val="auto"/>
              </w:rPr>
              <w:t>374,075</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60" w:type="dxa"/>
            <w:vAlign w:val="bottom"/>
          </w:tcPr>
          <w:p>
            <w:pPr>
              <w:jc w:val="right"/>
              <w:ind w:right="78"/>
              <w:spacing w:after="0"/>
              <w:rPr>
                <w:sz w:val="20"/>
                <w:szCs w:val="20"/>
                <w:color w:val="auto"/>
              </w:rPr>
            </w:pPr>
            <w:r>
              <w:rPr>
                <w:rFonts w:ascii="Arial" w:cs="Arial" w:eastAsia="Arial" w:hAnsi="Arial"/>
                <w:sz w:val="12"/>
                <w:szCs w:val="12"/>
                <w:b w:val="1"/>
                <w:bCs w:val="1"/>
                <w:color w:val="auto"/>
              </w:rPr>
              <w:t>81,211</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2"/>
        </w:trPr>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180,128</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5"/>
        </w:trPr>
        <w:tc>
          <w:tcPr>
            <w:tcW w:w="800" w:type="dxa"/>
            <w:vAlign w:val="bottom"/>
          </w:tcPr>
          <w:p>
            <w:pPr>
              <w:jc w:val="right"/>
              <w:ind w:right="538"/>
              <w:spacing w:after="0"/>
              <w:rPr>
                <w:sz w:val="20"/>
                <w:szCs w:val="20"/>
                <w:color w:val="auto"/>
              </w:rPr>
            </w:pPr>
            <w:r>
              <w:rPr>
                <w:rFonts w:ascii="Arial" w:cs="Arial" w:eastAsia="Arial" w:hAnsi="Arial"/>
                <w:sz w:val="12"/>
                <w:szCs w:val="12"/>
                <w:b w:val="1"/>
                <w:bCs w:val="1"/>
                <w:color w:val="auto"/>
              </w:rPr>
              <w:t>$</w:t>
            </w:r>
          </w:p>
        </w:tc>
        <w:tc>
          <w:tcPr>
            <w:tcW w:w="126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4,104,624</w:t>
            </w:r>
          </w:p>
        </w:tc>
        <w:tc>
          <w:tcPr>
            <w:tcW w:w="800" w:type="dxa"/>
            <w:vAlign w:val="bottom"/>
          </w:tcPr>
          <w:p>
            <w:pPr>
              <w:jc w:val="right"/>
              <w:ind w:right="538"/>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4,15</w:t>
            </w:r>
          </w:p>
        </w:tc>
        <w:tc>
          <w:tcPr>
            <w:tcW w:w="0" w:type="dxa"/>
            <w:vAlign w:val="bottom"/>
          </w:tcPr>
          <w:p>
            <w:pPr>
              <w:spacing w:after="0"/>
              <w:rPr>
                <w:sz w:val="1"/>
                <w:szCs w:val="1"/>
                <w:color w:val="auto"/>
              </w:rPr>
            </w:pPr>
          </w:p>
        </w:tc>
      </w:tr>
      <w:tr>
        <w:trPr>
          <w:trHeight w:val="49"/>
        </w:trPr>
        <w:tc>
          <w:tcPr>
            <w:tcW w:w="80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vMerge w:val="continue"/>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00" w:type="dxa"/>
            <w:vAlign w:val="bottom"/>
          </w:tcPr>
          <w:p>
            <w:pPr>
              <w:spacing w:after="0"/>
              <w:rPr>
                <w:sz w:val="18"/>
                <w:szCs w:val="18"/>
                <w:color w:val="auto"/>
              </w:rPr>
            </w:pPr>
          </w:p>
        </w:tc>
        <w:tc>
          <w:tcPr>
            <w:tcW w:w="1260" w:type="dxa"/>
            <w:vAlign w:val="bottom"/>
          </w:tcPr>
          <w:p>
            <w:pPr>
              <w:jc w:val="right"/>
              <w:ind w:right="78"/>
              <w:spacing w:after="0"/>
              <w:rPr>
                <w:sz w:val="20"/>
                <w:szCs w:val="20"/>
                <w:color w:val="auto"/>
              </w:rPr>
            </w:pPr>
            <w:r>
              <w:rPr>
                <w:rFonts w:ascii="Arial" w:cs="Arial" w:eastAsia="Arial" w:hAnsi="Arial"/>
                <w:sz w:val="12"/>
                <w:szCs w:val="12"/>
                <w:b w:val="1"/>
                <w:bCs w:val="1"/>
                <w:color w:val="auto"/>
              </w:rPr>
              <w:t>380,087</w:t>
            </w:r>
          </w:p>
        </w:tc>
        <w:tc>
          <w:tcPr>
            <w:tcW w:w="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1260" w:type="dxa"/>
            <w:vAlign w:val="bottom"/>
          </w:tcPr>
          <w:p>
            <w:pPr>
              <w:jc w:val="right"/>
              <w:ind w:right="78"/>
              <w:spacing w:after="0"/>
              <w:rPr>
                <w:sz w:val="20"/>
                <w:szCs w:val="20"/>
                <w:color w:val="auto"/>
              </w:rPr>
            </w:pPr>
            <w:r>
              <w:rPr>
                <w:rFonts w:ascii="Arial" w:cs="Arial" w:eastAsia="Arial" w:hAnsi="Arial"/>
                <w:sz w:val="12"/>
                <w:szCs w:val="12"/>
                <w:b w:val="1"/>
                <w:bCs w:val="1"/>
                <w:color w:val="auto"/>
              </w:rPr>
              <w:t>15,535</w:t>
            </w: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2"/>
        </w:trPr>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604,823</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5"/>
        </w:trPr>
        <w:tc>
          <w:tcPr>
            <w:tcW w:w="800" w:type="dxa"/>
            <w:vAlign w:val="bottom"/>
          </w:tcPr>
          <w:p>
            <w:pPr>
              <w:jc w:val="right"/>
              <w:ind w:right="538"/>
              <w:spacing w:after="0"/>
              <w:rPr>
                <w:sz w:val="20"/>
                <w:szCs w:val="20"/>
                <w:color w:val="auto"/>
              </w:rPr>
            </w:pPr>
            <w:r>
              <w:rPr>
                <w:rFonts w:ascii="Arial" w:cs="Arial" w:eastAsia="Arial" w:hAnsi="Arial"/>
                <w:sz w:val="12"/>
                <w:szCs w:val="12"/>
                <w:b w:val="1"/>
                <w:bCs w:val="1"/>
                <w:color w:val="auto"/>
              </w:rPr>
              <w:t>$</w:t>
            </w:r>
          </w:p>
        </w:tc>
        <w:tc>
          <w:tcPr>
            <w:tcW w:w="126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5,105,069</w:t>
            </w:r>
          </w:p>
        </w:tc>
        <w:tc>
          <w:tcPr>
            <w:tcW w:w="800" w:type="dxa"/>
            <w:vAlign w:val="bottom"/>
          </w:tcPr>
          <w:p>
            <w:pPr>
              <w:jc w:val="right"/>
              <w:ind w:right="538"/>
              <w:spacing w:after="0"/>
              <w:rPr>
                <w:sz w:val="20"/>
                <w:szCs w:val="20"/>
                <w:color w:val="auto"/>
              </w:rPr>
            </w:pPr>
            <w:r>
              <w:rPr>
                <w:rFonts w:ascii="Arial" w:cs="Arial" w:eastAsia="Arial" w:hAnsi="Arial"/>
                <w:sz w:val="12"/>
                <w:szCs w:val="12"/>
                <w:color w:val="auto"/>
              </w:rPr>
              <w:t>$</w:t>
            </w:r>
          </w:p>
        </w:tc>
        <w:tc>
          <w:tcPr>
            <w:tcW w:w="840" w:type="dxa"/>
            <w:vAlign w:val="bottom"/>
            <w:vMerge w:val="restart"/>
          </w:tcPr>
          <w:p>
            <w:pPr>
              <w:jc w:val="right"/>
              <w:spacing w:after="0"/>
              <w:rPr>
                <w:sz w:val="20"/>
                <w:szCs w:val="20"/>
                <w:color w:val="auto"/>
              </w:rPr>
            </w:pPr>
            <w:r>
              <w:rPr>
                <w:rFonts w:ascii="Arial" w:cs="Arial" w:eastAsia="Arial" w:hAnsi="Arial"/>
                <w:sz w:val="12"/>
                <w:szCs w:val="12"/>
                <w:color w:val="auto"/>
              </w:rPr>
              <w:t>5,01</w:t>
            </w:r>
          </w:p>
        </w:tc>
        <w:tc>
          <w:tcPr>
            <w:tcW w:w="0" w:type="dxa"/>
            <w:vAlign w:val="bottom"/>
          </w:tcPr>
          <w:p>
            <w:pPr>
              <w:spacing w:after="0"/>
              <w:rPr>
                <w:sz w:val="1"/>
                <w:szCs w:val="1"/>
                <w:color w:val="auto"/>
              </w:rPr>
            </w:pPr>
          </w:p>
        </w:tc>
      </w:tr>
      <w:tr>
        <w:trPr>
          <w:trHeight w:val="36"/>
        </w:trPr>
        <w:tc>
          <w:tcPr>
            <w:tcW w:w="8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vMerge w:val="continue"/>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20" w:space="720"/>
            <w:col w:w="3700"/>
          </w:cols>
          <w:pgMar w:left="820" w:top="399" w:right="139" w:bottom="1440" w:gutter="0" w:footer="0" w:header="0"/>
          <w:type w:val="continuous"/>
        </w:sectPr>
      </w:pPr>
    </w:p>
    <w:p>
      <w:pPr>
        <w:spacing w:after="0" w:line="10" w:lineRule="exact"/>
        <w:rPr>
          <w:sz w:val="20"/>
          <w:szCs w:val="20"/>
          <w:color w:val="auto"/>
        </w:rPr>
      </w:pPr>
    </w:p>
    <w:p>
      <w:pPr>
        <w:jc w:val="center"/>
        <w:ind w:left="110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93980</wp:posOffset>
            </wp:positionV>
            <wp:extent cx="7278370"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399" w:right="139" w:bottom="1440" w:gutter="0" w:footer="0" w:header="0"/>
          <w:type w:val="continuous"/>
        </w:sectPr>
      </w:pPr>
    </w:p>
    <w:bookmarkStart w:id="124" w:name="page125"/>
    <w:bookmarkEnd w:id="124"/>
    <w:p>
      <w:pPr>
        <w:ind w:left="580"/>
        <w:spacing w:after="0"/>
        <w:rPr>
          <w:sz w:val="20"/>
          <w:szCs w:val="20"/>
          <w:color w:val="auto"/>
        </w:rPr>
      </w:pPr>
      <w:r>
        <w:rPr>
          <w:rFonts w:ascii="Arial" w:cs="Arial" w:eastAsia="Arial" w:hAnsi="Arial"/>
          <w:sz w:val="17"/>
          <w:szCs w:val="17"/>
          <w:color w:val="auto"/>
        </w:rPr>
        <w:t>The Company’s education division comprises the following operating segments: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2"/>
                <w:szCs w:val="12"/>
                <w:b w:val="1"/>
                <w:bCs w:val="1"/>
                <w:color w:val="auto"/>
              </w:rPr>
              <w:t>Fiscal Year Ended</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69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6"/>
              <w:spacing w:after="0" w:line="129" w:lineRule="exact"/>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46"/>
              <w:spacing w:after="0" w:line="129" w:lineRule="exact"/>
              <w:rPr>
                <w:sz w:val="20"/>
                <w:szCs w:val="20"/>
                <w:color w:val="auto"/>
              </w:rPr>
            </w:pPr>
            <w:r>
              <w:rPr>
                <w:rFonts w:ascii="Arial" w:cs="Arial" w:eastAsia="Arial" w:hAnsi="Arial"/>
                <w:sz w:val="12"/>
                <w:szCs w:val="12"/>
                <w:color w:val="auto"/>
              </w:rPr>
              <w:t>2011</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7"/>
              <w:spacing w:after="0" w:line="129" w:lineRule="exact"/>
              <w:rPr>
                <w:sz w:val="20"/>
                <w:szCs w:val="20"/>
                <w:color w:val="auto"/>
              </w:rPr>
            </w:pPr>
            <w:r>
              <w:rPr>
                <w:rFonts w:ascii="Arial" w:cs="Arial" w:eastAsia="Arial" w:hAnsi="Arial"/>
                <w:sz w:val="12"/>
                <w:szCs w:val="12"/>
                <w:color w:val="auto"/>
              </w:rPr>
              <w:t>2010</w:t>
            </w: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98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tcPr>
          <w:p>
            <w:pPr>
              <w:jc w:val="right"/>
              <w:ind w:right="26"/>
              <w:spacing w:after="0"/>
              <w:rPr>
                <w:sz w:val="20"/>
                <w:szCs w:val="20"/>
                <w:color w:val="auto"/>
              </w:rPr>
            </w:pPr>
            <w:r>
              <w:rPr>
                <w:rFonts w:ascii="Arial" w:cs="Arial" w:eastAsia="Arial" w:hAnsi="Arial"/>
                <w:sz w:val="15"/>
                <w:szCs w:val="15"/>
                <w:b w:val="1"/>
                <w:bCs w:val="1"/>
                <w:color w:val="auto"/>
              </w:rPr>
              <w:t>1,149,407</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9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56" w:lineRule="exact"/>
              <w:rPr>
                <w:sz w:val="20"/>
                <w:szCs w:val="20"/>
                <w:color w:val="auto"/>
              </w:rPr>
            </w:pPr>
            <w:r>
              <w:rPr>
                <w:rFonts w:ascii="Arial" w:cs="Arial" w:eastAsia="Arial" w:hAnsi="Arial"/>
                <w:sz w:val="15"/>
                <w:szCs w:val="15"/>
                <w:color w:val="auto"/>
              </w:rPr>
              <w:t>1,399,583</w:t>
            </w:r>
          </w:p>
        </w:tc>
        <w:tc>
          <w:tcPr>
            <w:tcW w:w="120" w:type="dxa"/>
            <w:vAlign w:val="bottom"/>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56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284,252</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303,093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764,184</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704,581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4,645</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4,585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5"/>
                <w:szCs w:val="15"/>
                <w:b w:val="1"/>
                <w:bCs w:val="1"/>
                <w:color w:val="auto"/>
              </w:rPr>
              <w:t>(5,992)</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gridSpan w:val="2"/>
          </w:tcPr>
          <w:p>
            <w:pPr>
              <w:jc w:val="right"/>
              <w:ind w:right="26"/>
              <w:spacing w:after="0" w:line="167" w:lineRule="exact"/>
              <w:rPr>
                <w:sz w:val="20"/>
                <w:szCs w:val="20"/>
                <w:color w:val="auto"/>
              </w:rPr>
            </w:pPr>
            <w:r>
              <w:rPr>
                <w:rFonts w:ascii="Arial" w:cs="Arial" w:eastAsia="Arial" w:hAnsi="Arial"/>
                <w:sz w:val="15"/>
                <w:szCs w:val="15"/>
                <w:b w:val="1"/>
                <w:bCs w:val="1"/>
                <w:color w:val="auto"/>
              </w:rPr>
              <w:t>2,196,496</w:t>
            </w:r>
          </w:p>
        </w:tc>
        <w:tc>
          <w:tcPr>
            <w:tcW w:w="2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2,404,459</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2,8</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980" w:type="dxa"/>
            <w:vAlign w:val="bottom"/>
            <w:vMerge w:val="continue"/>
          </w:tcPr>
          <w:p>
            <w:pPr>
              <w:spacing w:after="0"/>
              <w:rPr>
                <w:sz w:val="14"/>
                <w:szCs w:val="14"/>
                <w:color w:val="auto"/>
              </w:rPr>
            </w:pP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tcPr>
          <w:p>
            <w:pPr>
              <w:jc w:val="right"/>
              <w:ind w:right="26"/>
              <w:spacing w:after="0"/>
              <w:rPr>
                <w:sz w:val="20"/>
                <w:szCs w:val="20"/>
                <w:color w:val="auto"/>
              </w:rPr>
            </w:pPr>
            <w:r>
              <w:rPr>
                <w:rFonts w:ascii="Arial" w:cs="Arial" w:eastAsia="Arial" w:hAnsi="Arial"/>
                <w:sz w:val="15"/>
                <w:szCs w:val="15"/>
                <w:b w:val="1"/>
                <w:bCs w:val="1"/>
                <w:color w:val="auto"/>
              </w:rPr>
              <w:t>27,245</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9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56" w:lineRule="exact"/>
              <w:rPr>
                <w:sz w:val="20"/>
                <w:szCs w:val="20"/>
                <w:color w:val="auto"/>
              </w:rPr>
            </w:pPr>
            <w:r>
              <w:rPr>
                <w:rFonts w:ascii="Arial" w:cs="Arial" w:eastAsia="Arial" w:hAnsi="Arial"/>
                <w:sz w:val="15"/>
                <w:szCs w:val="15"/>
                <w:color w:val="auto"/>
              </w:rPr>
              <w:t>148,915</w:t>
            </w:r>
          </w:p>
        </w:tc>
        <w:tc>
          <w:tcPr>
            <w:tcW w:w="120" w:type="dxa"/>
            <w:vAlign w:val="bottom"/>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56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(10,799)</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(28,498)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49,069</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41,506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(171,929)</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(64,517)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5"/>
                <w:szCs w:val="15"/>
                <w:b w:val="1"/>
                <w:bCs w:val="1"/>
                <w:color w:val="auto"/>
              </w:rPr>
              <w:t>1,046</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gridSpan w:val="2"/>
          </w:tcPr>
          <w:p>
            <w:pPr>
              <w:jc w:val="right"/>
              <w:ind w:right="26"/>
              <w:spacing w:after="0" w:line="167" w:lineRule="exact"/>
              <w:rPr>
                <w:sz w:val="20"/>
                <w:szCs w:val="20"/>
                <w:color w:val="auto"/>
              </w:rPr>
            </w:pPr>
            <w:r>
              <w:rPr>
                <w:rFonts w:ascii="Arial" w:cs="Arial" w:eastAsia="Arial" w:hAnsi="Arial"/>
                <w:sz w:val="15"/>
                <w:szCs w:val="15"/>
                <w:b w:val="1"/>
                <w:bCs w:val="1"/>
                <w:color w:val="auto"/>
              </w:rPr>
              <w:t>(105,368)</w:t>
            </w:r>
          </w:p>
        </w:tc>
        <w:tc>
          <w:tcPr>
            <w:tcW w:w="2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96,286</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980" w:type="dxa"/>
            <w:vAlign w:val="bottom"/>
            <w:vMerge w:val="continue"/>
          </w:tcPr>
          <w:p>
            <w:pPr>
              <w:spacing w:after="0"/>
              <w:rPr>
                <w:sz w:val="14"/>
                <w:szCs w:val="14"/>
                <w:color w:val="auto"/>
              </w:rPr>
            </w:pP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tcPr>
          <w:p>
            <w:pPr>
              <w:jc w:val="right"/>
              <w:ind w:right="26"/>
              <w:spacing w:after="0"/>
              <w:rPr>
                <w:sz w:val="20"/>
                <w:szCs w:val="20"/>
                <w:color w:val="auto"/>
              </w:rPr>
            </w:pPr>
            <w:r>
              <w:rPr>
                <w:rFonts w:ascii="Arial" w:cs="Arial" w:eastAsia="Arial" w:hAnsi="Arial"/>
                <w:sz w:val="15"/>
                <w:szCs w:val="15"/>
                <w:b w:val="1"/>
                <w:bCs w:val="1"/>
                <w:color w:val="auto"/>
              </w:rPr>
              <w:t>58,514</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9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56" w:lineRule="exact"/>
              <w:rPr>
                <w:sz w:val="20"/>
                <w:szCs w:val="20"/>
                <w:color w:val="auto"/>
              </w:rPr>
            </w:pPr>
            <w:r>
              <w:rPr>
                <w:rFonts w:ascii="Arial" w:cs="Arial" w:eastAsia="Arial" w:hAnsi="Arial"/>
                <w:sz w:val="15"/>
                <w:szCs w:val="15"/>
                <w:color w:val="auto"/>
              </w:rPr>
              <w:t>48,379</w:t>
            </w:r>
          </w:p>
        </w:tc>
        <w:tc>
          <w:tcPr>
            <w:tcW w:w="120" w:type="dxa"/>
            <w:vAlign w:val="bottom"/>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19,718</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15,489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21,173</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16,953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5"/>
                <w:szCs w:val="15"/>
                <w:b w:val="1"/>
                <w:bCs w:val="1"/>
                <w:color w:val="auto"/>
              </w:rPr>
              <w:t>1,778</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gridSpan w:val="2"/>
          </w:tcPr>
          <w:p>
            <w:pPr>
              <w:jc w:val="right"/>
              <w:ind w:right="26"/>
              <w:spacing w:after="0" w:line="167" w:lineRule="exact"/>
              <w:rPr>
                <w:sz w:val="20"/>
                <w:szCs w:val="20"/>
                <w:color w:val="auto"/>
              </w:rPr>
            </w:pPr>
            <w:r>
              <w:rPr>
                <w:rFonts w:ascii="Arial" w:cs="Arial" w:eastAsia="Arial" w:hAnsi="Arial"/>
                <w:sz w:val="15"/>
                <w:szCs w:val="15"/>
                <w:b w:val="1"/>
                <w:bCs w:val="1"/>
                <w:color w:val="auto"/>
              </w:rPr>
              <w:t>101,183</w:t>
            </w:r>
          </w:p>
        </w:tc>
        <w:tc>
          <w:tcPr>
            <w:tcW w:w="2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83,735</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4"/>
                <w:szCs w:val="24"/>
                <w:color w:val="auto"/>
              </w:rPr>
            </w:pPr>
          </w:p>
        </w:tc>
        <w:tc>
          <w:tcPr>
            <w:tcW w:w="6980" w:type="dxa"/>
            <w:vAlign w:val="bottom"/>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340" w:type="dxa"/>
            <w:vAlign w:val="bottom"/>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17,719</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19,417</w:t>
            </w:r>
          </w:p>
        </w:tc>
        <w:tc>
          <w:tcPr>
            <w:tcW w:w="120" w:type="dxa"/>
            <w:vAlign w:val="bottom"/>
          </w:tcPr>
          <w:p>
            <w:pPr>
              <w:spacing w:after="0"/>
              <w:rPr>
                <w:sz w:val="24"/>
                <w:szCs w:val="24"/>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6980" w:type="dxa"/>
            <w:vAlign w:val="bottom"/>
          </w:tcPr>
          <w:p>
            <w:pPr>
              <w:spacing w:after="0"/>
              <w:rPr>
                <w:sz w:val="20"/>
                <w:szCs w:val="20"/>
                <w:color w:val="auto"/>
              </w:rPr>
            </w:pPr>
            <w:r>
              <w:rPr>
                <w:rFonts w:ascii="Arial" w:cs="Arial" w:eastAsia="Arial" w:hAnsi="Arial"/>
                <w:sz w:val="15"/>
                <w:szCs w:val="15"/>
                <w:b w:val="1"/>
                <w:bCs w:val="1"/>
                <w:color w:val="auto"/>
              </w:rPr>
              <w:t>Impairment of Goodwill and Other Long-Lived Assets</w:t>
            </w:r>
          </w:p>
        </w:tc>
        <w:tc>
          <w:tcPr>
            <w:tcW w:w="340" w:type="dxa"/>
            <w:vAlign w:val="bottom"/>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111,593</w:t>
            </w:r>
          </w:p>
        </w:tc>
        <w:tc>
          <w:tcPr>
            <w:tcW w:w="28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2"/>
        </w:trPr>
        <w:tc>
          <w:tcPr>
            <w:tcW w:w="580" w:type="dxa"/>
            <w:vAlign w:val="bottom"/>
          </w:tcPr>
          <w:p>
            <w:pPr>
              <w:spacing w:after="0"/>
              <w:rPr>
                <w:sz w:val="24"/>
                <w:szCs w:val="24"/>
                <w:color w:val="auto"/>
              </w:rPr>
            </w:pPr>
          </w:p>
        </w:tc>
        <w:tc>
          <w:tcPr>
            <w:tcW w:w="6980" w:type="dxa"/>
            <w:vAlign w:val="bottom"/>
          </w:tcPr>
          <w:p>
            <w:pPr>
              <w:spacing w:after="0"/>
              <w:rPr>
                <w:sz w:val="20"/>
                <w:szCs w:val="20"/>
                <w:color w:val="auto"/>
              </w:rPr>
            </w:pPr>
            <w:r>
              <w:rPr>
                <w:rFonts w:ascii="Arial" w:cs="Arial" w:eastAsia="Arial" w:hAnsi="Arial"/>
                <w:sz w:val="15"/>
                <w:szCs w:val="15"/>
                <w:b w:val="1"/>
                <w:bCs w:val="1"/>
                <w:color w:val="auto"/>
              </w:rPr>
              <w:t>Pension Expense</w:t>
            </w: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tcPr>
          <w:p>
            <w:pPr>
              <w:jc w:val="right"/>
              <w:ind w:right="26"/>
              <w:spacing w:after="0"/>
              <w:rPr>
                <w:sz w:val="20"/>
                <w:szCs w:val="20"/>
                <w:color w:val="auto"/>
              </w:rPr>
            </w:pPr>
            <w:r>
              <w:rPr>
                <w:rFonts w:ascii="Arial" w:cs="Arial" w:eastAsia="Arial" w:hAnsi="Arial"/>
                <w:sz w:val="15"/>
                <w:szCs w:val="15"/>
                <w:b w:val="1"/>
                <w:bCs w:val="1"/>
                <w:color w:val="auto"/>
              </w:rPr>
              <w:t>7,943</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9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56" w:lineRule="exact"/>
              <w:rPr>
                <w:sz w:val="20"/>
                <w:szCs w:val="20"/>
                <w:color w:val="auto"/>
              </w:rPr>
            </w:pPr>
            <w:r>
              <w:rPr>
                <w:rFonts w:ascii="Arial" w:cs="Arial" w:eastAsia="Arial" w:hAnsi="Arial"/>
                <w:sz w:val="15"/>
                <w:szCs w:val="15"/>
                <w:color w:val="auto"/>
              </w:rPr>
              <w:t>4,249</w:t>
            </w:r>
          </w:p>
        </w:tc>
        <w:tc>
          <w:tcPr>
            <w:tcW w:w="120" w:type="dxa"/>
            <w:vAlign w:val="bottom"/>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2,007</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1,288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241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5"/>
                <w:szCs w:val="15"/>
                <w:b w:val="1"/>
                <w:bCs w:val="1"/>
                <w:color w:val="auto"/>
              </w:rPr>
              <w:t>1,393</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980" w:type="dxa"/>
            <w:vAlign w:val="bottom"/>
            <w:vMerge w:val="restart"/>
          </w:tcPr>
          <w:p>
            <w:pPr>
              <w:spacing w:after="0"/>
              <w:rPr>
                <w:sz w:val="20"/>
                <w:szCs w:val="20"/>
                <w:color w:val="auto"/>
              </w:rPr>
            </w:pPr>
            <w:r>
              <w:rPr>
                <w:rFonts w:ascii="Arial" w:cs="Arial" w:eastAsia="Arial" w:hAnsi="Arial"/>
                <w:sz w:val="15"/>
                <w:szCs w:val="15"/>
                <w:b w:val="1"/>
                <w:bCs w:val="1"/>
                <w:color w:val="auto"/>
              </w:rPr>
              <w:t>Capital Expenditures</w:t>
            </w: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gridSpan w:val="2"/>
          </w:tcPr>
          <w:p>
            <w:pPr>
              <w:jc w:val="right"/>
              <w:ind w:right="26"/>
              <w:spacing w:after="0" w:line="167" w:lineRule="exact"/>
              <w:rPr>
                <w:sz w:val="20"/>
                <w:szCs w:val="20"/>
                <w:color w:val="auto"/>
              </w:rPr>
            </w:pPr>
            <w:r>
              <w:rPr>
                <w:rFonts w:ascii="Arial" w:cs="Arial" w:eastAsia="Arial" w:hAnsi="Arial"/>
                <w:sz w:val="15"/>
                <w:szCs w:val="15"/>
                <w:b w:val="1"/>
                <w:bCs w:val="1"/>
                <w:color w:val="auto"/>
              </w:rPr>
              <w:t>11,584</w:t>
            </w:r>
          </w:p>
        </w:tc>
        <w:tc>
          <w:tcPr>
            <w:tcW w:w="2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6,345</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980" w:type="dxa"/>
            <w:vAlign w:val="bottom"/>
            <w:vMerge w:val="continue"/>
          </w:tcPr>
          <w:p>
            <w:pPr>
              <w:spacing w:after="0"/>
              <w:rPr>
                <w:sz w:val="14"/>
                <w:szCs w:val="14"/>
                <w:color w:val="auto"/>
              </w:rPr>
            </w:pPr>
          </w:p>
        </w:tc>
        <w:tc>
          <w:tcPr>
            <w:tcW w:w="340" w:type="dxa"/>
            <w:vAlign w:val="bottom"/>
            <w:vMerge w:val="restart"/>
          </w:tcPr>
          <w:p>
            <w:pPr>
              <w:jc w:val="right"/>
              <w:ind w:right="186"/>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vMerge w:val="restart"/>
          </w:tcPr>
          <w:p>
            <w:pPr>
              <w:jc w:val="right"/>
              <w:ind w:right="26"/>
              <w:spacing w:after="0"/>
              <w:rPr>
                <w:sz w:val="20"/>
                <w:szCs w:val="20"/>
                <w:color w:val="auto"/>
              </w:rPr>
            </w:pPr>
            <w:r>
              <w:rPr>
                <w:rFonts w:ascii="Arial" w:cs="Arial" w:eastAsia="Arial" w:hAnsi="Arial"/>
                <w:sz w:val="15"/>
                <w:szCs w:val="15"/>
                <w:b w:val="1"/>
                <w:bCs w:val="1"/>
                <w:color w:val="auto"/>
              </w:rPr>
              <w:t>26,406</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9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jc w:val="right"/>
              <w:ind w:right="27"/>
              <w:spacing w:after="0" w:line="156" w:lineRule="exact"/>
              <w:rPr>
                <w:sz w:val="20"/>
                <w:szCs w:val="20"/>
                <w:color w:val="auto"/>
              </w:rPr>
            </w:pPr>
            <w:r>
              <w:rPr>
                <w:rFonts w:ascii="Arial" w:cs="Arial" w:eastAsia="Arial" w:hAnsi="Arial"/>
                <w:sz w:val="15"/>
                <w:szCs w:val="15"/>
                <w:color w:val="auto"/>
              </w:rPr>
              <w:t>$</w:t>
            </w:r>
          </w:p>
        </w:tc>
        <w:tc>
          <w:tcPr>
            <w:tcW w:w="1140" w:type="dxa"/>
            <w:vAlign w:val="bottom"/>
          </w:tcPr>
          <w:p>
            <w:pPr>
              <w:jc w:val="right"/>
              <w:spacing w:after="0" w:line="156" w:lineRule="exact"/>
              <w:rPr>
                <w:sz w:val="20"/>
                <w:szCs w:val="20"/>
                <w:color w:val="auto"/>
              </w:rPr>
            </w:pPr>
            <w:r>
              <w:rPr>
                <w:rFonts w:ascii="Arial" w:cs="Arial" w:eastAsia="Arial" w:hAnsi="Arial"/>
                <w:sz w:val="15"/>
                <w:szCs w:val="15"/>
                <w:color w:val="auto"/>
              </w:rPr>
              <w:t>19,735</w:t>
            </w:r>
          </w:p>
        </w:tc>
        <w:tc>
          <w:tcPr>
            <w:tcW w:w="120" w:type="dxa"/>
            <w:vAlign w:val="bottom"/>
          </w:tcPr>
          <w:p>
            <w:pPr>
              <w:spacing w:after="0"/>
              <w:rPr>
                <w:sz w:val="13"/>
                <w:szCs w:val="13"/>
                <w:color w:val="auto"/>
              </w:rPr>
            </w:pPr>
          </w:p>
        </w:tc>
        <w:tc>
          <w:tcPr>
            <w:tcW w:w="320" w:type="dxa"/>
            <w:vAlign w:val="bottom"/>
          </w:tcPr>
          <w:p>
            <w:pPr>
              <w:jc w:val="right"/>
              <w:ind w:right="146"/>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8,211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17,266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200" w:type="dxa"/>
            <w:vAlign w:val="bottom"/>
            <w:gridSpan w:val="2"/>
          </w:tcPr>
          <w:p>
            <w:pPr>
              <w:jc w:val="right"/>
              <w:ind w:right="26"/>
              <w:spacing w:after="0"/>
              <w:rPr>
                <w:sz w:val="20"/>
                <w:szCs w:val="20"/>
                <w:color w:val="auto"/>
              </w:rPr>
            </w:pPr>
            <w:r>
              <w:rPr>
                <w:rFonts w:ascii="Arial" w:cs="Arial" w:eastAsia="Arial" w:hAnsi="Arial"/>
                <w:sz w:val="15"/>
                <w:szCs w:val="15"/>
                <w:b w:val="1"/>
                <w:bCs w:val="1"/>
                <w:color w:val="auto"/>
              </w:rPr>
              <w:t>16,864</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16,304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5"/>
                <w:szCs w:val="15"/>
                <w:b w:val="1"/>
                <w:bCs w:val="1"/>
                <w:color w:val="auto"/>
              </w:rPr>
              <w:t>(240)</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4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gridSpan w:val="2"/>
          </w:tcPr>
          <w:p>
            <w:pPr>
              <w:jc w:val="right"/>
              <w:ind w:right="26"/>
              <w:spacing w:after="0" w:line="167" w:lineRule="exact"/>
              <w:rPr>
                <w:sz w:val="20"/>
                <w:szCs w:val="20"/>
                <w:color w:val="auto"/>
              </w:rPr>
            </w:pPr>
            <w:r>
              <w:rPr>
                <w:rFonts w:ascii="Arial" w:cs="Arial" w:eastAsia="Arial" w:hAnsi="Arial"/>
                <w:sz w:val="15"/>
                <w:szCs w:val="15"/>
                <w:b w:val="1"/>
                <w:bCs w:val="1"/>
                <w:color w:val="auto"/>
              </w:rPr>
              <w:t>51,241</w:t>
            </w:r>
          </w:p>
        </w:tc>
        <w:tc>
          <w:tcPr>
            <w:tcW w:w="28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51,871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375"/>
        </w:trPr>
        <w:tc>
          <w:tcPr>
            <w:tcW w:w="580" w:type="dxa"/>
            <w:vAlign w:val="bottom"/>
          </w:tcPr>
          <w:p>
            <w:pPr>
              <w:spacing w:after="0"/>
              <w:rPr>
                <w:sz w:val="24"/>
                <w:szCs w:val="24"/>
                <w:color w:val="auto"/>
              </w:rPr>
            </w:pPr>
          </w:p>
        </w:tc>
        <w:tc>
          <w:tcPr>
            <w:tcW w:w="6980" w:type="dxa"/>
            <w:vAlign w:val="bottom"/>
          </w:tcPr>
          <w:p>
            <w:pPr>
              <w:spacing w:after="0"/>
              <w:rPr>
                <w:sz w:val="20"/>
                <w:szCs w:val="20"/>
                <w:color w:val="auto"/>
              </w:rPr>
            </w:pPr>
            <w:r>
              <w:rPr>
                <w:rFonts w:ascii="Arial" w:cs="Arial" w:eastAsia="Arial" w:hAnsi="Arial"/>
                <w:sz w:val="17"/>
                <w:szCs w:val="17"/>
                <w:color w:val="auto"/>
              </w:rPr>
              <w:t>Identifiable assets for the Company’s education division consist of the following:</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5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2"/>
                <w:szCs w:val="12"/>
                <w:b w:val="1"/>
                <w:bCs w:val="1"/>
                <w:color w:val="auto"/>
              </w:rPr>
              <w:t>As of December 31,</w:t>
            </w: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698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ind w:right="926"/>
              <w:spacing w:after="0" w:line="129" w:lineRule="exact"/>
              <w:rPr>
                <w:sz w:val="20"/>
                <w:szCs w:val="20"/>
                <w:color w:val="auto"/>
              </w:rPr>
            </w:pPr>
            <w:r>
              <w:rPr>
                <w:rFonts w:ascii="Arial" w:cs="Arial" w:eastAsia="Arial" w:hAnsi="Arial"/>
                <w:sz w:val="12"/>
                <w:szCs w:val="12"/>
                <w:b w:val="1"/>
                <w:bCs w:val="1"/>
                <w:color w:val="auto"/>
              </w:rPr>
              <w:t>2012</w:t>
            </w: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67"/>
              <w:spacing w:after="0" w:line="129" w:lineRule="exact"/>
              <w:rPr>
                <w:sz w:val="20"/>
                <w:szCs w:val="20"/>
                <w:color w:val="auto"/>
              </w:rPr>
            </w:pPr>
            <w:r>
              <w:rPr>
                <w:rFonts w:ascii="Arial" w:cs="Arial" w:eastAsia="Arial" w:hAnsi="Arial"/>
                <w:sz w:val="12"/>
                <w:szCs w:val="12"/>
                <w:color w:val="auto"/>
              </w:rPr>
              <w:t>2011</w:t>
            </w: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80" w:type="dxa"/>
            <w:vAlign w:val="bottom"/>
          </w:tcPr>
          <w:p>
            <w:pPr>
              <w:spacing w:after="0"/>
              <w:rPr>
                <w:sz w:val="14"/>
                <w:szCs w:val="14"/>
                <w:color w:val="auto"/>
              </w:rPr>
            </w:pPr>
          </w:p>
        </w:tc>
        <w:tc>
          <w:tcPr>
            <w:tcW w:w="698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340" w:type="dxa"/>
            <w:vAlign w:val="bottom"/>
          </w:tcPr>
          <w:p>
            <w:pPr>
              <w:spacing w:after="0"/>
              <w:rPr>
                <w:sz w:val="14"/>
                <w:szCs w:val="14"/>
                <w:color w:val="auto"/>
              </w:rPr>
            </w:pPr>
          </w:p>
        </w:tc>
        <w:tc>
          <w:tcPr>
            <w:tcW w:w="1200" w:type="dxa"/>
            <w:vAlign w:val="bottom"/>
            <w:gridSpan w:val="2"/>
            <w:vMerge w:val="restart"/>
          </w:tcPr>
          <w:p>
            <w:pPr>
              <w:jc w:val="right"/>
              <w:ind w:right="206"/>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140" w:type="dxa"/>
            <w:vAlign w:val="bottom"/>
            <w:vMerge w:val="restart"/>
          </w:tcPr>
          <w:p>
            <w:pPr>
              <w:jc w:val="right"/>
              <w:ind w:right="306"/>
              <w:spacing w:after="0"/>
              <w:rPr>
                <w:sz w:val="20"/>
                <w:szCs w:val="20"/>
                <w:color w:val="auto"/>
              </w:rPr>
            </w:pPr>
            <w:r>
              <w:rPr>
                <w:rFonts w:ascii="Arial" w:cs="Arial" w:eastAsia="Arial" w:hAnsi="Arial"/>
                <w:sz w:val="15"/>
                <w:szCs w:val="15"/>
                <w:b w:val="1"/>
                <w:bCs w:val="1"/>
                <w:color w:val="auto"/>
              </w:rPr>
              <w:t>949,260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98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320" w:type="dxa"/>
            <w:vAlign w:val="bottom"/>
          </w:tcPr>
          <w:p>
            <w:pPr>
              <w:spacing w:after="0"/>
              <w:rPr>
                <w:sz w:val="13"/>
                <w:szCs w:val="13"/>
                <w:color w:val="auto"/>
              </w:rPr>
            </w:pPr>
          </w:p>
        </w:tc>
        <w:tc>
          <w:tcPr>
            <w:tcW w:w="56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Arial" w:cs="Arial" w:eastAsia="Arial" w:hAnsi="Arial"/>
                <w:sz w:val="15"/>
                <w:szCs w:val="15"/>
                <w:b w:val="1"/>
                <w:bCs w:val="1"/>
                <w:color w:val="auto"/>
              </w:rPr>
              <w:t>197,672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06"/>
              <w:spacing w:after="0"/>
              <w:rPr>
                <w:sz w:val="20"/>
                <w:szCs w:val="20"/>
                <w:color w:val="auto"/>
              </w:rPr>
            </w:pPr>
            <w:r>
              <w:rPr>
                <w:rFonts w:ascii="Arial" w:cs="Arial" w:eastAsia="Arial" w:hAnsi="Arial"/>
                <w:sz w:val="15"/>
                <w:szCs w:val="15"/>
                <w:b w:val="1"/>
                <w:bCs w:val="1"/>
                <w:color w:val="auto"/>
              </w:rPr>
              <w:t>820,565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6980" w:type="dxa"/>
            <w:vAlign w:val="bottom"/>
          </w:tcPr>
          <w:p>
            <w:pPr>
              <w:ind w:left="22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20,518</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6"/>
        </w:trPr>
        <w:tc>
          <w:tcPr>
            <w:tcW w:w="5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Borders>
              <w:bottom w:val="single" w:sz="8" w:color="auto"/>
            </w:tcBorders>
          </w:tcPr>
          <w:p>
            <w:pPr>
              <w:jc w:val="right"/>
              <w:ind w:right="206"/>
              <w:spacing w:after="0" w:line="167"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06"/>
              <w:spacing w:after="0" w:line="167" w:lineRule="exact"/>
              <w:rPr>
                <w:sz w:val="20"/>
                <w:szCs w:val="20"/>
                <w:color w:val="auto"/>
              </w:rPr>
            </w:pPr>
            <w:r>
              <w:rPr>
                <w:rFonts w:ascii="Arial" w:cs="Arial" w:eastAsia="Arial" w:hAnsi="Arial"/>
                <w:sz w:val="15"/>
                <w:szCs w:val="15"/>
                <w:b w:val="1"/>
                <w:bCs w:val="1"/>
                <w:color w:val="auto"/>
              </w:rPr>
              <w:t>1,988,015</w:t>
            </w:r>
          </w:p>
        </w:tc>
        <w:tc>
          <w:tcPr>
            <w:tcW w:w="1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
              <w:spacing w:after="0" w:line="167" w:lineRule="exact"/>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980" w:type="dxa"/>
            <w:vAlign w:val="bottom"/>
            <w:vMerge w:val="restart"/>
          </w:tcPr>
          <w:p>
            <w:pPr>
              <w:ind w:left="5540"/>
              <w:spacing w:after="0"/>
              <w:rPr>
                <w:sz w:val="20"/>
                <w:szCs w:val="20"/>
                <w:color w:val="auto"/>
              </w:rPr>
            </w:pPr>
            <w:r>
              <w:rPr>
                <w:rFonts w:ascii="Arial" w:cs="Arial" w:eastAsia="Arial" w:hAnsi="Arial"/>
                <w:sz w:val="17"/>
                <w:szCs w:val="17"/>
                <w:color w:val="auto"/>
              </w:rPr>
              <w:t>116</w:t>
            </w: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80" w:type="dxa"/>
            <w:vAlign w:val="bottom"/>
          </w:tcPr>
          <w:p>
            <w:pPr>
              <w:spacing w:after="0"/>
              <w:rPr>
                <w:sz w:val="24"/>
                <w:szCs w:val="24"/>
                <w:color w:val="auto"/>
              </w:rPr>
            </w:pPr>
          </w:p>
        </w:tc>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80" w:type="dxa"/>
            <w:vAlign w:val="bottom"/>
            <w:tcBorders>
              <w:bottom w:val="single" w:sz="8" w:color="808080"/>
            </w:tcBorders>
          </w:tcPr>
          <w:p>
            <w:pPr>
              <w:spacing w:after="0"/>
              <w:rPr>
                <w:sz w:val="12"/>
                <w:szCs w:val="12"/>
                <w:color w:val="auto"/>
              </w:rPr>
            </w:pPr>
          </w:p>
        </w:tc>
        <w:tc>
          <w:tcPr>
            <w:tcW w:w="698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424" w:right="139" w:bottom="1440" w:gutter="0" w:footer="0" w:header="0"/>
        </w:sectPr>
      </w:pPr>
    </w:p>
    <w:bookmarkStart w:id="125" w:name="page126"/>
    <w:bookmarkEnd w:id="125"/>
    <w:p>
      <w:pPr>
        <w:ind w:left="409" w:hanging="409"/>
        <w:spacing w:after="0"/>
        <w:tabs>
          <w:tab w:leader="none" w:pos="409"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QUARTERLY OPERATING RESULTS AND COMPREHENSIVE INCOME (UNAUDITED)</w:t>
      </w:r>
    </w:p>
    <w:p>
      <w:pPr>
        <w:spacing w:after="0" w:line="197" w:lineRule="exact"/>
        <w:rPr>
          <w:sz w:val="20"/>
          <w:szCs w:val="20"/>
          <w:color w:val="auto"/>
        </w:rPr>
      </w:pPr>
    </w:p>
    <w:p>
      <w:pPr>
        <w:ind w:left="9"/>
        <w:spacing w:after="0"/>
        <w:rPr>
          <w:sz w:val="20"/>
          <w:szCs w:val="20"/>
          <w:color w:val="auto"/>
        </w:rPr>
      </w:pPr>
      <w:r>
        <w:rPr>
          <w:rFonts w:ascii="Arial" w:cs="Arial" w:eastAsia="Arial" w:hAnsi="Arial"/>
          <w:sz w:val="17"/>
          <w:szCs w:val="17"/>
          <w:color w:val="auto"/>
        </w:rPr>
        <w:t>Quarterly results of operations and comprehensive income for the year ended December 31, 2012, is as follows:</w:t>
      </w:r>
    </w:p>
    <w:p>
      <w:pPr>
        <w:spacing w:after="0" w:line="199" w:lineRule="exact"/>
        <w:rPr>
          <w:sz w:val="20"/>
          <w:szCs w:val="20"/>
          <w:color w:val="auto"/>
        </w:rPr>
      </w:pPr>
    </w:p>
    <w:tbl>
      <w:tblPr>
        <w:tblLayout w:type="fixed"/>
        <w:tblInd w:w="9" w:type="dxa"/>
        <w:tblCellMar>
          <w:top w:w="0" w:type="dxa"/>
          <w:left w:w="0" w:type="dxa"/>
          <w:bottom w:w="0" w:type="dxa"/>
          <w:right w:w="0" w:type="dxa"/>
        </w:tblCellMar>
      </w:tblPr>
      <w:tr>
        <w:trPr>
          <w:trHeight w:val="138"/>
        </w:trPr>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6"/>
              <w:spacing w:after="0"/>
              <w:rPr>
                <w:sz w:val="20"/>
                <w:szCs w:val="20"/>
                <w:color w:val="auto"/>
              </w:rPr>
            </w:pPr>
            <w:r>
              <w:rPr>
                <w:rFonts w:ascii="Arial" w:cs="Arial" w:eastAsia="Arial" w:hAnsi="Arial"/>
                <w:sz w:val="12"/>
                <w:szCs w:val="12"/>
                <w:b w:val="1"/>
                <w:bCs w:val="1"/>
                <w:color w:val="auto"/>
              </w:rPr>
              <w:t>First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66"/>
              <w:spacing w:after="0"/>
              <w:rPr>
                <w:sz w:val="20"/>
                <w:szCs w:val="20"/>
                <w:color w:val="auto"/>
              </w:rPr>
            </w:pPr>
            <w:r>
              <w:rPr>
                <w:rFonts w:ascii="Arial" w:cs="Arial" w:eastAsia="Arial" w:hAnsi="Arial"/>
                <w:sz w:val="12"/>
                <w:szCs w:val="12"/>
                <w:b w:val="1"/>
                <w:bCs w:val="1"/>
                <w:color w:val="auto"/>
              </w:rPr>
              <w:t>Third</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Fourth</w:t>
            </w:r>
          </w:p>
        </w:tc>
      </w:tr>
      <w:tr>
        <w:trPr>
          <w:trHeight w:val="151"/>
        </w:trPr>
        <w:tc>
          <w:tcPr>
            <w:tcW w:w="6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2"/>
                <w:szCs w:val="12"/>
                <w:b w:val="1"/>
                <w:bCs w:val="1"/>
                <w:color w:val="auto"/>
              </w:rPr>
              <w:t>Quarter</w:t>
            </w: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Second Quarter</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Quarter</w:t>
            </w: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2012 Quarterly Operating Results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Education</w:t>
            </w:r>
          </w:p>
        </w:tc>
        <w:tc>
          <w:tcPr>
            <w:tcW w:w="180" w:type="dxa"/>
            <w:vAlign w:val="bottom"/>
          </w:tcPr>
          <w:p>
            <w:pPr>
              <w:jc w:val="right"/>
              <w:ind w:right="6"/>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547,280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552,202</w:t>
            </w:r>
          </w:p>
        </w:tc>
        <w:tc>
          <w:tcPr>
            <w:tcW w:w="2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552,585</w:t>
            </w:r>
          </w:p>
        </w:tc>
        <w:tc>
          <w:tcPr>
            <w:tcW w:w="2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Advertising</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170,750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190,086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195,158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Circulation and subscriber</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215,230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219,286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220,668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22</w:t>
            </w:r>
          </w:p>
        </w:tc>
      </w:tr>
      <w:tr>
        <w:trPr>
          <w:trHeight w:val="217"/>
        </w:trPr>
        <w:tc>
          <w:tcPr>
            <w:tcW w:w="6460" w:type="dxa"/>
            <w:vAlign w:val="bottom"/>
          </w:tcPr>
          <w:p>
            <w:pPr>
              <w:ind w:left="120"/>
              <w:spacing w:after="0"/>
              <w:rPr>
                <w:sz w:val="20"/>
                <w:szCs w:val="20"/>
                <w:color w:val="auto"/>
              </w:rPr>
            </w:pPr>
            <w:r>
              <w:rPr>
                <w:rFonts w:ascii="Arial" w:cs="Arial" w:eastAsia="Arial" w:hAnsi="Arial"/>
                <w:sz w:val="15"/>
                <w:szCs w:val="15"/>
                <w:color w:val="auto"/>
              </w:rPr>
              <w:t>Other</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27,939</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33,450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42,923</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w:t>
            </w:r>
          </w:p>
        </w:tc>
      </w:tr>
      <w:tr>
        <w:trPr>
          <w:trHeight w:val="203"/>
        </w:trPr>
        <w:tc>
          <w:tcPr>
            <w:tcW w:w="6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961,199</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995,024</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1,011,334</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w:t>
            </w: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Operating</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463,106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464,615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483,622</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w:t>
            </w: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Selling, general and administrative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411,466</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400,676</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382,961</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Depreciation of property, plant and equipment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62,275</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62,749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63,739</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7</w:t>
            </w: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Amortization of intangible assets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3,873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4,428</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5,091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7"/>
        </w:trPr>
        <w:tc>
          <w:tcPr>
            <w:tcW w:w="6460" w:type="dxa"/>
            <w:vAlign w:val="bottom"/>
          </w:tcPr>
          <w:p>
            <w:pPr>
              <w:ind w:left="120"/>
              <w:spacing w:after="0"/>
              <w:rPr>
                <w:sz w:val="20"/>
                <w:szCs w:val="20"/>
                <w:color w:val="auto"/>
              </w:rPr>
            </w:pPr>
            <w:r>
              <w:rPr>
                <w:rFonts w:ascii="Arial" w:cs="Arial" w:eastAsia="Arial" w:hAnsi="Arial"/>
                <w:sz w:val="15"/>
                <w:szCs w:val="15"/>
                <w:color w:val="auto"/>
              </w:rPr>
              <w:t>Impairment of goodwill and other long-lived assets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r>
      <w:tr>
        <w:trPr>
          <w:trHeight w:val="203"/>
        </w:trPr>
        <w:tc>
          <w:tcPr>
            <w:tcW w:w="6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940,720</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932,468</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935,413</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w:t>
            </w: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20,479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62,556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75,921</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(14</w:t>
            </w: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Equity in earnings of affiliates, net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3,888</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3,314</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4,099</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Interest income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1,069</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775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648</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6460" w:type="dxa"/>
            <w:vAlign w:val="bottom"/>
          </w:tcPr>
          <w:p>
            <w:pPr>
              <w:ind w:left="120"/>
              <w:spacing w:after="0"/>
              <w:rPr>
                <w:sz w:val="20"/>
                <w:szCs w:val="20"/>
                <w:color w:val="auto"/>
              </w:rPr>
            </w:pPr>
            <w:r>
              <w:rPr>
                <w:rFonts w:ascii="Arial" w:cs="Arial" w:eastAsia="Arial" w:hAnsi="Arial"/>
                <w:sz w:val="15"/>
                <w:szCs w:val="15"/>
                <w:color w:val="auto"/>
              </w:rPr>
              <w:t>Interest expense</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(9,163)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(8,979)</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(8,738)</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17"/>
        </w:trPr>
        <w:tc>
          <w:tcPr>
            <w:tcW w:w="6460" w:type="dxa"/>
            <w:vAlign w:val="bottom"/>
          </w:tcPr>
          <w:p>
            <w:pPr>
              <w:ind w:left="120"/>
              <w:spacing w:after="0"/>
              <w:rPr>
                <w:sz w:val="20"/>
                <w:szCs w:val="20"/>
                <w:color w:val="auto"/>
              </w:rPr>
            </w:pPr>
            <w:r>
              <w:rPr>
                <w:rFonts w:ascii="Arial" w:cs="Arial" w:eastAsia="Arial" w:hAnsi="Arial"/>
                <w:sz w:val="15"/>
                <w:szCs w:val="15"/>
                <w:color w:val="auto"/>
              </w:rPr>
              <w:t>Other income (expense), net</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8,588</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4,163</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Income (Loss) from Continuing Operations Before Income Taxes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24,861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57,031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76,093</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17"/>
        </w:trPr>
        <w:tc>
          <w:tcPr>
            <w:tcW w:w="646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11,400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21,000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31,200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Income (Loss) from Continuing Operations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13,461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36,031</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44,893</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17"/>
        </w:trPr>
        <w:tc>
          <w:tcPr>
            <w:tcW w:w="6460" w:type="dxa"/>
            <w:vAlign w:val="bottom"/>
          </w:tcPr>
          <w:p>
            <w:pPr>
              <w:spacing w:after="0"/>
              <w:rPr>
                <w:sz w:val="20"/>
                <w:szCs w:val="20"/>
                <w:color w:val="auto"/>
              </w:rPr>
            </w:pPr>
            <w:r>
              <w:rPr>
                <w:rFonts w:ascii="Arial" w:cs="Arial" w:eastAsia="Arial" w:hAnsi="Arial"/>
                <w:sz w:val="15"/>
                <w:szCs w:val="15"/>
                <w:b w:val="1"/>
                <w:bCs w:val="1"/>
                <w:color w:val="auto"/>
              </w:rPr>
              <w:t>Income from Discontinued Operations, Net of Tax</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18,107</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16,016</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49,054</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Net Income (Loss)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31,568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52,047</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93,947</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17"/>
        </w:trPr>
        <w:tc>
          <w:tcPr>
            <w:tcW w:w="646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Net Income (Loss) Attributable to The Washington Post Company</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31,498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52,036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94,018</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17"/>
        </w:trPr>
        <w:tc>
          <w:tcPr>
            <w:tcW w:w="646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(451)</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Arial" w:cs="Arial" w:eastAsia="Arial" w:hAnsi="Arial"/>
                <w:sz w:val="15"/>
                <w:szCs w:val="15"/>
                <w:b w:val="1"/>
                <w:bCs w:val="1"/>
                <w:color w:val="auto"/>
              </w:rPr>
              <w:t>Net Income (Loss) Attributable to The Washington Post</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04"/>
        </w:trPr>
        <w:tc>
          <w:tcPr>
            <w:tcW w:w="6460" w:type="dxa"/>
            <w:vAlign w:val="bottom"/>
          </w:tcPr>
          <w:p>
            <w:pPr>
              <w:ind w:left="160"/>
              <w:spacing w:after="0"/>
              <w:rPr>
                <w:sz w:val="20"/>
                <w:szCs w:val="20"/>
                <w:color w:val="auto"/>
              </w:rPr>
            </w:pPr>
            <w:r>
              <w:rPr>
                <w:rFonts w:ascii="Arial" w:cs="Arial" w:eastAsia="Arial" w:hAnsi="Arial"/>
                <w:sz w:val="15"/>
                <w:szCs w:val="15"/>
                <w:b w:val="1"/>
                <w:bCs w:val="1"/>
                <w:color w:val="auto"/>
              </w:rPr>
              <w:t>Company Common Stockholders</w:t>
            </w:r>
          </w:p>
        </w:tc>
        <w:tc>
          <w:tcPr>
            <w:tcW w:w="1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51,814</w:t>
            </w:r>
          </w:p>
        </w:tc>
        <w:tc>
          <w:tcPr>
            <w:tcW w:w="2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93,796</w:t>
            </w:r>
          </w:p>
        </w:tc>
        <w:tc>
          <w:tcPr>
            <w:tcW w:w="2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r>
      <w:tr>
        <w:trPr>
          <w:trHeight w:val="20"/>
        </w:trPr>
        <w:tc>
          <w:tcPr>
            <w:tcW w:w="6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Amounts Attributable to The Washington Post Company</w:t>
      </w:r>
    </w:p>
    <w:p>
      <w:pPr>
        <w:spacing w:after="0" w:line="51" w:lineRule="exact"/>
        <w:rPr>
          <w:sz w:val="20"/>
          <w:szCs w:val="20"/>
          <w:color w:val="auto"/>
        </w:rPr>
      </w:pPr>
    </w:p>
    <w:p>
      <w:pPr>
        <w:ind w:left="129"/>
        <w:spacing w:after="0"/>
        <w:rPr>
          <w:sz w:val="20"/>
          <w:szCs w:val="20"/>
          <w:color w:val="auto"/>
        </w:rPr>
      </w:pPr>
      <w:r>
        <w:rPr>
          <w:rFonts w:ascii="Arial" w:cs="Arial" w:eastAsia="Arial" w:hAnsi="Arial"/>
          <w:sz w:val="15"/>
          <w:szCs w:val="15"/>
          <w:b w:val="1"/>
          <w:bCs w:val="1"/>
          <w:color w:val="auto"/>
        </w:rPr>
        <w:t>Common Stockholders</w:t>
      </w:r>
    </w:p>
    <w:p>
      <w:pPr>
        <w:sectPr>
          <w:pgSz w:w="11900" w:h="16838" w:orient="portrait"/>
          <w:cols w:equalWidth="0" w:num="1">
            <w:col w:w="10949"/>
          </w:cols>
          <w:pgMar w:left="811" w:top="342" w:right="139" w:bottom="1440" w:gutter="0" w:footer="0" w:header="0"/>
        </w:sectPr>
      </w:pPr>
    </w:p>
    <w:p>
      <w:pPr>
        <w:spacing w:after="0" w:line="69" w:lineRule="exact"/>
        <w:rPr>
          <w:sz w:val="20"/>
          <w:szCs w:val="20"/>
          <w:color w:val="auto"/>
        </w:rPr>
      </w:pPr>
    </w:p>
    <w:p>
      <w:pPr>
        <w:ind w:left="9"/>
        <w:spacing w:after="0"/>
        <w:rPr>
          <w:sz w:val="20"/>
          <w:szCs w:val="20"/>
          <w:color w:val="auto"/>
        </w:rPr>
      </w:pPr>
      <w:r>
        <w:rPr>
          <w:rFonts w:ascii="Arial" w:cs="Arial" w:eastAsia="Arial" w:hAnsi="Arial"/>
          <w:sz w:val="15"/>
          <w:szCs w:val="15"/>
          <w:color w:val="auto"/>
        </w:rPr>
        <w:t>Income (loss) from continuing operations</w:t>
      </w:r>
    </w:p>
    <w:p>
      <w:pPr>
        <w:spacing w:after="0" w:line="51" w:lineRule="exact"/>
        <w:rPr>
          <w:sz w:val="20"/>
          <w:szCs w:val="20"/>
          <w:color w:val="auto"/>
        </w:rPr>
      </w:pPr>
    </w:p>
    <w:p>
      <w:pPr>
        <w:ind w:left="9"/>
        <w:spacing w:after="0"/>
        <w:rPr>
          <w:sz w:val="20"/>
          <w:szCs w:val="20"/>
          <w:color w:val="auto"/>
        </w:rPr>
      </w:pPr>
      <w:r>
        <w:rPr>
          <w:rFonts w:ascii="Arial" w:cs="Arial" w:eastAsia="Arial" w:hAnsi="Arial"/>
          <w:sz w:val="15"/>
          <w:szCs w:val="15"/>
          <w:color w:val="auto"/>
        </w:rPr>
        <w:t>Income from discontinued operations, net of tax</w:t>
      </w:r>
    </w:p>
    <w:p>
      <w:pPr>
        <w:spacing w:after="0" w:line="51" w:lineRule="exact"/>
        <w:rPr>
          <w:sz w:val="20"/>
          <w:szCs w:val="20"/>
          <w:color w:val="auto"/>
        </w:rPr>
      </w:pPr>
    </w:p>
    <w:p>
      <w:pPr>
        <w:ind w:left="129" w:right="1500" w:hanging="123"/>
        <w:spacing w:after="0" w:line="319" w:lineRule="auto"/>
        <w:rPr>
          <w:sz w:val="20"/>
          <w:szCs w:val="20"/>
          <w:color w:val="auto"/>
        </w:rPr>
      </w:pPr>
      <w:r>
        <w:rPr>
          <w:rFonts w:ascii="Arial" w:cs="Arial" w:eastAsia="Arial" w:hAnsi="Arial"/>
          <w:sz w:val="15"/>
          <w:szCs w:val="15"/>
          <w:color w:val="auto"/>
        </w:rPr>
        <w:t>Net income (loss) attributable to The Washington Post Company common stockholders</w:t>
      </w:r>
    </w:p>
    <w:p>
      <w:pPr>
        <w:spacing w:after="0" w:line="194" w:lineRule="exact"/>
        <w:rPr>
          <w:sz w:val="20"/>
          <w:szCs w:val="20"/>
          <w:color w:val="auto"/>
        </w:rPr>
      </w:pPr>
    </w:p>
    <w:p>
      <w:pPr>
        <w:ind w:left="129" w:right="1580" w:hanging="123"/>
        <w:spacing w:after="0" w:line="323" w:lineRule="auto"/>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p>
      <w:pPr>
        <w:ind w:left="9"/>
        <w:spacing w:after="0"/>
        <w:rPr>
          <w:sz w:val="20"/>
          <w:szCs w:val="20"/>
          <w:color w:val="auto"/>
        </w:rPr>
      </w:pPr>
      <w:r>
        <w:rPr>
          <w:rFonts w:ascii="Arial" w:cs="Arial" w:eastAsia="Arial" w:hAnsi="Arial"/>
          <w:sz w:val="15"/>
          <w:szCs w:val="15"/>
          <w:color w:val="auto"/>
        </w:rPr>
        <w:t>Basic income (loss) per common share from continuing operations</w:t>
      </w:r>
    </w:p>
    <w:p>
      <w:pPr>
        <w:spacing w:after="0" w:line="51" w:lineRule="exact"/>
        <w:rPr>
          <w:sz w:val="20"/>
          <w:szCs w:val="20"/>
          <w:color w:val="auto"/>
        </w:rPr>
      </w:pPr>
    </w:p>
    <w:p>
      <w:pPr>
        <w:ind w:left="9"/>
        <w:spacing w:after="0"/>
        <w:rPr>
          <w:sz w:val="20"/>
          <w:szCs w:val="20"/>
          <w:color w:val="auto"/>
        </w:rPr>
      </w:pPr>
      <w:r>
        <w:rPr>
          <w:rFonts w:ascii="Arial" w:cs="Arial" w:eastAsia="Arial" w:hAnsi="Arial"/>
          <w:sz w:val="15"/>
          <w:szCs w:val="15"/>
          <w:color w:val="auto"/>
        </w:rPr>
        <w:t>Basic income per common share from discontinued operations</w:t>
      </w:r>
    </w:p>
    <w:p>
      <w:pPr>
        <w:spacing w:after="0" w:line="51" w:lineRule="exact"/>
        <w:rPr>
          <w:sz w:val="20"/>
          <w:szCs w:val="20"/>
          <w:color w:val="auto"/>
        </w:rPr>
      </w:pPr>
    </w:p>
    <w:p>
      <w:pPr>
        <w:ind w:left="9"/>
        <w:spacing w:after="0"/>
        <w:rPr>
          <w:sz w:val="20"/>
          <w:szCs w:val="20"/>
          <w:color w:val="auto"/>
        </w:rPr>
      </w:pPr>
      <w:r>
        <w:rPr>
          <w:rFonts w:ascii="Arial" w:cs="Arial" w:eastAsia="Arial" w:hAnsi="Arial"/>
          <w:sz w:val="15"/>
          <w:szCs w:val="15"/>
          <w:color w:val="auto"/>
        </w:rPr>
        <w:t>Basic net income (loss) per common share</w:t>
      </w:r>
    </w:p>
    <w:p>
      <w:pPr>
        <w:spacing w:after="0" w:line="274" w:lineRule="exact"/>
        <w:rPr>
          <w:sz w:val="20"/>
          <w:szCs w:val="20"/>
          <w:color w:val="auto"/>
        </w:rPr>
      </w:pPr>
    </w:p>
    <w:p>
      <w:pPr>
        <w:ind w:left="9"/>
        <w:spacing w:after="0"/>
        <w:rPr>
          <w:sz w:val="20"/>
          <w:szCs w:val="20"/>
          <w:color w:val="auto"/>
        </w:rPr>
      </w:pPr>
      <w:r>
        <w:rPr>
          <w:rFonts w:ascii="Arial" w:cs="Arial" w:eastAsia="Arial" w:hAnsi="Arial"/>
          <w:sz w:val="14"/>
          <w:szCs w:val="14"/>
          <w:color w:val="auto"/>
        </w:rPr>
        <w:t>Diluted income (loss) per common share from continuing operations</w:t>
      </w:r>
    </w:p>
    <w:p>
      <w:pPr>
        <w:spacing w:after="0" w:line="62" w:lineRule="exact"/>
        <w:rPr>
          <w:sz w:val="20"/>
          <w:szCs w:val="20"/>
          <w:color w:val="auto"/>
        </w:rPr>
      </w:pPr>
    </w:p>
    <w:p>
      <w:pPr>
        <w:ind w:left="9"/>
        <w:spacing w:after="0"/>
        <w:rPr>
          <w:sz w:val="20"/>
          <w:szCs w:val="20"/>
          <w:color w:val="auto"/>
        </w:rPr>
      </w:pPr>
      <w:r>
        <w:rPr>
          <w:rFonts w:ascii="Arial" w:cs="Arial" w:eastAsia="Arial" w:hAnsi="Arial"/>
          <w:sz w:val="15"/>
          <w:szCs w:val="15"/>
          <w:color w:val="auto"/>
        </w:rPr>
        <w:t>Diluted income per common share from discontinued operations</w:t>
      </w:r>
    </w:p>
    <w:p>
      <w:pPr>
        <w:spacing w:after="0" w:line="51" w:lineRule="exact"/>
        <w:rPr>
          <w:sz w:val="20"/>
          <w:szCs w:val="20"/>
          <w:color w:val="auto"/>
        </w:rPr>
      </w:pPr>
    </w:p>
    <w:p>
      <w:pPr>
        <w:ind w:left="9"/>
        <w:spacing w:after="0"/>
        <w:rPr>
          <w:sz w:val="20"/>
          <w:szCs w:val="20"/>
          <w:color w:val="auto"/>
        </w:rPr>
      </w:pPr>
      <w:r>
        <w:rPr>
          <w:rFonts w:ascii="Arial" w:cs="Arial" w:eastAsia="Arial" w:hAnsi="Arial"/>
          <w:sz w:val="15"/>
          <w:szCs w:val="15"/>
          <w:color w:val="auto"/>
        </w:rPr>
        <w:t>Diluted net income (loss) per common share</w:t>
      </w:r>
    </w:p>
    <w:p>
      <w:pPr>
        <w:spacing w:after="0" w:line="51" w:lineRule="exact"/>
        <w:rPr>
          <w:sz w:val="20"/>
          <w:szCs w:val="20"/>
          <w:color w:val="auto"/>
        </w:rPr>
      </w:pPr>
    </w:p>
    <w:p>
      <w:pPr>
        <w:ind w:left="9" w:right="2080"/>
        <w:spacing w:after="0" w:line="315" w:lineRule="auto"/>
        <w:rPr>
          <w:sz w:val="20"/>
          <w:szCs w:val="20"/>
          <w:color w:val="auto"/>
        </w:rPr>
      </w:pPr>
      <w:r>
        <w:rPr>
          <w:rFonts w:ascii="Arial" w:cs="Arial" w:eastAsia="Arial" w:hAnsi="Arial"/>
          <w:sz w:val="15"/>
          <w:szCs w:val="15"/>
          <w:color w:val="auto"/>
        </w:rPr>
        <w:t>Basic average number of common shares outstanding Diluted average number of common shares outstanding 2012 Quarterly comprehensive income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12,940</w:t>
            </w:r>
          </w:p>
        </w:tc>
        <w:tc>
          <w:tcPr>
            <w:tcW w:w="50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35,798</w:t>
            </w:r>
          </w:p>
        </w:tc>
        <w:tc>
          <w:tcPr>
            <w:tcW w:w="44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44,742</w:t>
            </w:r>
          </w:p>
        </w:tc>
        <w:tc>
          <w:tcPr>
            <w:tcW w:w="4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17"/>
        </w:trPr>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18,107</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16,016</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49,054</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414"/>
        </w:trPr>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31,047</w:t>
            </w:r>
          </w:p>
        </w:tc>
        <w:tc>
          <w:tcPr>
            <w:tcW w:w="5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51,814</w:t>
            </w:r>
          </w:p>
        </w:tc>
        <w:tc>
          <w:tcPr>
            <w:tcW w:w="4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93,796</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853"/>
        </w:trPr>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1.66</w:t>
            </w:r>
          </w:p>
        </w:tc>
        <w:tc>
          <w:tcPr>
            <w:tcW w:w="50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4.72</w:t>
            </w:r>
          </w:p>
        </w:tc>
        <w:tc>
          <w:tcPr>
            <w:tcW w:w="44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6.03</w:t>
            </w:r>
          </w:p>
        </w:tc>
        <w:tc>
          <w:tcPr>
            <w:tcW w:w="4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4"/>
                <w:szCs w:val="24"/>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1"/>
        </w:trPr>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w:t>
            </w:r>
          </w:p>
        </w:tc>
        <w:tc>
          <w:tcPr>
            <w:tcW w:w="5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w:t>
            </w:r>
          </w:p>
        </w:tc>
        <w:tc>
          <w:tcPr>
            <w:tcW w:w="4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6"/>
                <w:szCs w:val="16"/>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406"/>
        </w:trPr>
        <w:tc>
          <w:tcPr>
            <w:tcW w:w="300" w:type="dxa"/>
            <w:vAlign w:val="bottom"/>
          </w:tcPr>
          <w:p>
            <w:pPr>
              <w:jc w:val="right"/>
              <w:ind w:right="126"/>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1.66</w:t>
            </w:r>
          </w:p>
        </w:tc>
        <w:tc>
          <w:tcPr>
            <w:tcW w:w="50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4.72</w:t>
            </w:r>
          </w:p>
        </w:tc>
        <w:tc>
          <w:tcPr>
            <w:tcW w:w="440" w:type="dxa"/>
            <w:vAlign w:val="bottom"/>
          </w:tcPr>
          <w:p>
            <w:pPr>
              <w:jc w:val="right"/>
              <w:ind w:right="22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6.03</w:t>
            </w:r>
          </w:p>
        </w:tc>
        <w:tc>
          <w:tcPr>
            <w:tcW w:w="400" w:type="dxa"/>
            <w:vAlign w:val="bottom"/>
          </w:tcPr>
          <w:p>
            <w:pPr>
              <w:jc w:val="right"/>
              <w:ind w:right="206"/>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4"/>
                <w:szCs w:val="24"/>
                <w:color w:val="auto"/>
              </w:rPr>
            </w:pPr>
          </w:p>
        </w:tc>
      </w:tr>
      <w:tr>
        <w:trPr>
          <w:trHeight w:val="217"/>
        </w:trPr>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w:t>
            </w:r>
          </w:p>
        </w:tc>
        <w:tc>
          <w:tcPr>
            <w:tcW w:w="4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r>
      <w:tr>
        <w:trPr>
          <w:trHeight w:val="191"/>
        </w:trPr>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4.07</w:t>
            </w:r>
          </w:p>
        </w:tc>
        <w:tc>
          <w:tcPr>
            <w:tcW w:w="5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6.84</w:t>
            </w:r>
          </w:p>
        </w:tc>
        <w:tc>
          <w:tcPr>
            <w:tcW w:w="4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6"/>
                <w:szCs w:val="16"/>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183"/>
        </w:trPr>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7,514</w:t>
            </w:r>
          </w:p>
        </w:tc>
        <w:tc>
          <w:tcPr>
            <w:tcW w:w="5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7,431</w:t>
            </w: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7,272</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23"/>
        </w:trPr>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7,615</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7,545</w:t>
            </w: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7,376</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04"/>
        </w:trPr>
        <w:tc>
          <w:tcPr>
            <w:tcW w:w="3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59,907</w:t>
            </w:r>
          </w:p>
        </w:tc>
        <w:tc>
          <w:tcPr>
            <w:tcW w:w="5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47,085</w:t>
            </w:r>
          </w:p>
        </w:tc>
        <w:tc>
          <w:tcPr>
            <w:tcW w:w="44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95,760</w:t>
            </w:r>
          </w:p>
        </w:tc>
        <w:tc>
          <w:tcPr>
            <w:tcW w:w="40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ectPr>
          <w:pgSz w:w="11900" w:h="16838" w:orient="portrait"/>
          <w:cols w:equalWidth="0" w:num="2">
            <w:col w:w="5749" w:space="720"/>
            <w:col w:w="4480"/>
          </w:cols>
          <w:pgMar w:left="811" w:top="342" w:right="139" w:bottom="1440" w:gutter="0" w:footer="0" w:header="0"/>
          <w:type w:val="continuous"/>
        </w:sectPr>
      </w:pPr>
    </w:p>
    <w:p>
      <w:pPr>
        <w:spacing w:after="0" w:line="265" w:lineRule="exact"/>
        <w:rPr>
          <w:sz w:val="20"/>
          <w:szCs w:val="20"/>
          <w:color w:val="auto"/>
        </w:rPr>
      </w:pPr>
    </w:p>
    <w:p>
      <w:pPr>
        <w:ind w:left="9"/>
        <w:spacing w:after="0"/>
        <w:rPr>
          <w:sz w:val="20"/>
          <w:szCs w:val="20"/>
          <w:color w:val="auto"/>
        </w:rPr>
      </w:pPr>
      <w:r>
        <w:rPr>
          <w:rFonts w:ascii="Arial" w:cs="Arial" w:eastAsia="Arial" w:hAnsi="Arial"/>
          <w:sz w:val="13"/>
          <w:szCs w:val="13"/>
          <w:color w:val="auto"/>
        </w:rPr>
        <w:t>The sum of the four quarters may not necessarily be equal to the annual amounts reported in the Consolidated Statements of Operations due to rounding.</w:t>
      </w:r>
    </w:p>
    <w:p>
      <w:pPr>
        <w:spacing w:after="0" w:line="205"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342" w:right="13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7"/>
          <w:szCs w:val="17"/>
          <w:color w:val="auto"/>
        </w:rPr>
        <w:t>Quarterly results of operations and comprehensive income for the year ended December 31, 2011,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86"/>
              <w:spacing w:after="0"/>
              <w:rPr>
                <w:sz w:val="20"/>
                <w:szCs w:val="20"/>
                <w:color w:val="auto"/>
              </w:rPr>
            </w:pPr>
            <w:r>
              <w:rPr>
                <w:rFonts w:ascii="Arial" w:cs="Arial" w:eastAsia="Arial" w:hAnsi="Arial"/>
                <w:sz w:val="12"/>
                <w:szCs w:val="12"/>
                <w:b w:val="1"/>
                <w:bCs w:val="1"/>
                <w:color w:val="auto"/>
              </w:rPr>
              <w:t>First</w:t>
            </w:r>
          </w:p>
        </w:tc>
        <w:tc>
          <w:tcPr>
            <w:tcW w:w="260" w:type="dxa"/>
            <w:vAlign w:val="bottom"/>
          </w:tcPr>
          <w:p>
            <w:pPr>
              <w:spacing w:after="0"/>
              <w:rPr>
                <w:sz w:val="12"/>
                <w:szCs w:val="12"/>
                <w:color w:val="auto"/>
              </w:rPr>
            </w:pPr>
          </w:p>
        </w:tc>
        <w:tc>
          <w:tcPr>
            <w:tcW w:w="960" w:type="dxa"/>
            <w:vAlign w:val="bottom"/>
          </w:tcPr>
          <w:p>
            <w:pPr>
              <w:jc w:val="right"/>
              <w:ind w:right="306"/>
              <w:spacing w:after="0"/>
              <w:rPr>
                <w:sz w:val="20"/>
                <w:szCs w:val="20"/>
                <w:color w:val="auto"/>
              </w:rPr>
            </w:pPr>
            <w:r>
              <w:rPr>
                <w:rFonts w:ascii="Arial" w:cs="Arial" w:eastAsia="Arial" w:hAnsi="Arial"/>
                <w:sz w:val="12"/>
                <w:szCs w:val="12"/>
                <w:b w:val="1"/>
                <w:bCs w:val="1"/>
                <w:color w:val="auto"/>
              </w:rPr>
              <w:t>Second</w:t>
            </w:r>
          </w:p>
        </w:tc>
        <w:tc>
          <w:tcPr>
            <w:tcW w:w="260" w:type="dxa"/>
            <w:vAlign w:val="bottom"/>
          </w:tcPr>
          <w:p>
            <w:pPr>
              <w:spacing w:after="0"/>
              <w:rPr>
                <w:sz w:val="12"/>
                <w:szCs w:val="12"/>
                <w:color w:val="auto"/>
              </w:rPr>
            </w:pPr>
          </w:p>
        </w:tc>
        <w:tc>
          <w:tcPr>
            <w:tcW w:w="980" w:type="dxa"/>
            <w:vAlign w:val="bottom"/>
          </w:tcPr>
          <w:p>
            <w:pPr>
              <w:jc w:val="right"/>
              <w:ind w:right="386"/>
              <w:spacing w:after="0"/>
              <w:rPr>
                <w:sz w:val="20"/>
                <w:szCs w:val="20"/>
                <w:color w:val="auto"/>
              </w:rPr>
            </w:pPr>
            <w:r>
              <w:rPr>
                <w:rFonts w:ascii="Arial" w:cs="Arial" w:eastAsia="Arial" w:hAnsi="Arial"/>
                <w:sz w:val="12"/>
                <w:szCs w:val="12"/>
                <w:b w:val="1"/>
                <w:bCs w:val="1"/>
                <w:color w:val="auto"/>
              </w:rPr>
              <w:t>Third</w:t>
            </w:r>
          </w:p>
        </w:tc>
        <w:tc>
          <w:tcPr>
            <w:tcW w:w="2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Fourth</w:t>
            </w:r>
          </w:p>
        </w:tc>
        <w:tc>
          <w:tcPr>
            <w:tcW w:w="0" w:type="dxa"/>
            <w:vAlign w:val="bottom"/>
          </w:tcPr>
          <w:p>
            <w:pPr>
              <w:spacing w:after="0"/>
              <w:rPr>
                <w:sz w:val="1"/>
                <w:szCs w:val="1"/>
                <w:color w:val="auto"/>
              </w:rPr>
            </w:pPr>
          </w:p>
        </w:tc>
      </w:tr>
      <w:tr>
        <w:trPr>
          <w:trHeight w:val="151"/>
        </w:trPr>
        <w:tc>
          <w:tcPr>
            <w:tcW w:w="6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w:t>
            </w: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Quarter</w:t>
            </w: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06"/>
              <w:spacing w:after="0"/>
              <w:rPr>
                <w:sz w:val="20"/>
                <w:szCs w:val="20"/>
                <w:color w:val="auto"/>
              </w:rPr>
            </w:pPr>
            <w:r>
              <w:rPr>
                <w:rFonts w:ascii="Arial" w:cs="Arial" w:eastAsia="Arial" w:hAnsi="Arial"/>
                <w:sz w:val="12"/>
                <w:szCs w:val="12"/>
                <w:b w:val="1"/>
                <w:bCs w:val="1"/>
                <w:color w:val="auto"/>
              </w:rPr>
              <w:t>Quarter</w:t>
            </w: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Quarter</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2011 Quarterly Operating Results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Education</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611,714</w:t>
            </w:r>
          </w:p>
        </w:tc>
        <w:tc>
          <w:tcPr>
            <w:tcW w:w="2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610,371</w:t>
            </w: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601,611</w:t>
            </w:r>
          </w:p>
        </w:tc>
        <w:tc>
          <w:tcPr>
            <w:tcW w:w="2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Advertising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177,385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193,352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170,552</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Circulation and subscriber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214,523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216,606</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212,145</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17"/>
        </w:trPr>
        <w:tc>
          <w:tcPr>
            <w:tcW w:w="6440" w:type="dxa"/>
            <w:vAlign w:val="bottom"/>
          </w:tcPr>
          <w:p>
            <w:pPr>
              <w:ind w:left="14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25,299</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28,976</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28,190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1,028,921</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1,049,305</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1,012,498</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Operating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463,303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488,577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486,615</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Selling, general and administrative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438,744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405,729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387,735</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Depreciation of property, plant and equipment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61,929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62,615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61,589</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7"/>
        </w:trPr>
        <w:tc>
          <w:tcPr>
            <w:tcW w:w="6440" w:type="dxa"/>
            <w:vAlign w:val="bottom"/>
          </w:tcPr>
          <w:p>
            <w:pPr>
              <w:ind w:left="140"/>
              <w:spacing w:after="0"/>
              <w:rPr>
                <w:sz w:val="20"/>
                <w:szCs w:val="20"/>
                <w:color w:val="auto"/>
              </w:rPr>
            </w:pPr>
            <w:r>
              <w:rPr>
                <w:rFonts w:ascii="Arial" w:cs="Arial" w:eastAsia="Arial" w:hAnsi="Arial"/>
                <w:sz w:val="15"/>
                <w:szCs w:val="15"/>
                <w:color w:val="auto"/>
              </w:rPr>
              <w:t>Amortization of intangible assets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5,797</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6,320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969,152</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962,718</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942,259</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59,769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86,587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70,239</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Equity in (losses) earnings of affiliates, net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3,737</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3,138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(1,494)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Interest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982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997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994</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color w:val="auto"/>
              </w:rPr>
              <w:t>Interest expense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(7,961)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(7,960)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(8,667)</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7"/>
        </w:trPr>
        <w:tc>
          <w:tcPr>
            <w:tcW w:w="6440" w:type="dxa"/>
            <w:vAlign w:val="bottom"/>
          </w:tcPr>
          <w:p>
            <w:pPr>
              <w:ind w:left="14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(24,032)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(29,650)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32,495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80,171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31,422</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12,100</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29,200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18,600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20,395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50,971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12,822</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5"/>
                <w:szCs w:val="15"/>
                <w:b w:val="1"/>
                <w:bCs w:val="1"/>
                <w:color w:val="auto"/>
              </w:rPr>
              <w:t>(Loss) Income from Discontinued Operations, Net of Tax</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(5,208)</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(18,788)</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Net Income (Loss)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15,629</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45,763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(5,966)</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The Washington Post Company</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15,615</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45,803</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(5,982)</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(230)</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The Washington Post Company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40" w:type="dxa"/>
            <w:vAlign w:val="bottom"/>
          </w:tcPr>
          <w:p>
            <w:pPr>
              <w:ind w:left="140"/>
              <w:spacing w:after="0"/>
              <w:rPr>
                <w:sz w:val="20"/>
                <w:szCs w:val="20"/>
                <w:color w:val="auto"/>
              </w:rPr>
            </w:pPr>
            <w:r>
              <w:rPr>
                <w:rFonts w:ascii="Arial" w:cs="Arial" w:eastAsia="Arial" w:hAnsi="Arial"/>
                <w:sz w:val="15"/>
                <w:szCs w:val="15"/>
                <w:b w:val="1"/>
                <w:bCs w:val="1"/>
                <w:color w:val="auto"/>
              </w:rPr>
              <w:t>Common Stockholders</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45,573</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(6,208)</w:t>
            </w:r>
          </w:p>
        </w:tc>
        <w:tc>
          <w:tcPr>
            <w:tcW w:w="2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b w:val="1"/>
                <w:bCs w:val="1"/>
                <w:color w:val="auto"/>
              </w:rPr>
              <w:t>Common Stockholders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19,920</w:t>
            </w:r>
          </w:p>
        </w:tc>
        <w:tc>
          <w:tcPr>
            <w:tcW w:w="2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50,781</w:t>
            </w: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12,580</w:t>
            </w:r>
          </w:p>
        </w:tc>
        <w:tc>
          <w:tcPr>
            <w:tcW w:w="2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5"/>
                <w:szCs w:val="15"/>
                <w:color w:val="auto"/>
              </w:rPr>
              <w:t>(Loss) income from discontinued operations, net of tax</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(4,766)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(5,208)</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(18,788)</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Arial" w:cs="Arial" w:eastAsia="Arial" w:hAnsi="Arial"/>
                <w:sz w:val="15"/>
                <w:szCs w:val="15"/>
                <w:color w:val="auto"/>
              </w:rPr>
              <w:t>Net income (loss) attributable to The Washington Post Company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40" w:type="dxa"/>
            <w:vAlign w:val="bottom"/>
          </w:tcPr>
          <w:p>
            <w:pPr>
              <w:ind w:left="180"/>
              <w:spacing w:after="0"/>
              <w:rPr>
                <w:sz w:val="20"/>
                <w:szCs w:val="20"/>
                <w:color w:val="auto"/>
              </w:rPr>
            </w:pPr>
            <w:r>
              <w:rPr>
                <w:rFonts w:ascii="Arial" w:cs="Arial" w:eastAsia="Arial" w:hAnsi="Arial"/>
                <w:sz w:val="15"/>
                <w:szCs w:val="15"/>
                <w:color w:val="auto"/>
              </w:rPr>
              <w:t>common stockholders</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15,154</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45,573</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(6,208)</w:t>
            </w:r>
          </w:p>
        </w:tc>
        <w:tc>
          <w:tcPr>
            <w:tcW w:w="2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440" w:type="dxa"/>
            <w:vAlign w:val="bottom"/>
          </w:tcPr>
          <w:p>
            <w:pPr>
              <w:ind w:left="140"/>
              <w:spacing w:after="0"/>
              <w:rPr>
                <w:sz w:val="20"/>
                <w:szCs w:val="20"/>
                <w:color w:val="auto"/>
              </w:rPr>
            </w:pPr>
            <w:r>
              <w:rPr>
                <w:rFonts w:ascii="Arial" w:cs="Arial" w:eastAsia="Arial" w:hAnsi="Arial"/>
                <w:sz w:val="15"/>
                <w:szCs w:val="15"/>
                <w:b w:val="1"/>
                <w:bCs w:val="1"/>
                <w:color w:val="auto"/>
              </w:rPr>
              <w:t>Company Common Stockholders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2.43</w:t>
            </w:r>
          </w:p>
        </w:tc>
        <w:tc>
          <w:tcPr>
            <w:tcW w:w="2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6.40</w:t>
            </w: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1.59</w:t>
            </w:r>
          </w:p>
        </w:tc>
        <w:tc>
          <w:tcPr>
            <w:tcW w:w="2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5"/>
                <w:szCs w:val="15"/>
                <w:color w:val="auto"/>
              </w:rPr>
              <w:t>Basic (loss) income per common share from discontinued operations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(0.66)</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40" w:type="dxa"/>
            <w:vAlign w:val="bottom"/>
          </w:tcPr>
          <w:p>
            <w:pPr>
              <w:spacing w:after="0"/>
              <w:rPr>
                <w:sz w:val="20"/>
                <w:szCs w:val="20"/>
                <w:color w:val="auto"/>
              </w:rPr>
            </w:pPr>
            <w:r>
              <w:rPr>
                <w:rFonts w:ascii="Arial" w:cs="Arial" w:eastAsia="Arial" w:hAnsi="Arial"/>
                <w:sz w:val="15"/>
                <w:szCs w:val="15"/>
                <w:color w:val="auto"/>
              </w:rPr>
              <w:t>Basic net income per common share</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(0.82)</w:t>
            </w:r>
          </w:p>
        </w:tc>
        <w:tc>
          <w:tcPr>
            <w:tcW w:w="2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44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2.43</w:t>
            </w:r>
          </w:p>
        </w:tc>
        <w:tc>
          <w:tcPr>
            <w:tcW w:w="2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6.40</w:t>
            </w:r>
          </w:p>
        </w:tc>
        <w:tc>
          <w:tcPr>
            <w:tcW w:w="26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1.59</w:t>
            </w:r>
          </w:p>
        </w:tc>
        <w:tc>
          <w:tcPr>
            <w:tcW w:w="2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5"/>
                <w:szCs w:val="15"/>
                <w:color w:val="auto"/>
              </w:rPr>
              <w:t>Diluted (loss) income per common share from discontinued operations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(0.56)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(0.66)</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440" w:type="dxa"/>
            <w:vAlign w:val="bottom"/>
          </w:tcPr>
          <w:p>
            <w:pPr>
              <w:spacing w:after="0"/>
              <w:rPr>
                <w:sz w:val="20"/>
                <w:szCs w:val="20"/>
                <w:color w:val="auto"/>
              </w:rPr>
            </w:pPr>
            <w:r>
              <w:rPr>
                <w:rFonts w:ascii="Arial" w:cs="Arial" w:eastAsia="Arial" w:hAnsi="Arial"/>
                <w:sz w:val="15"/>
                <w:szCs w:val="15"/>
                <w:color w:val="auto"/>
              </w:rPr>
              <w:t>Diluted net income (loss) per common share</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(0.82)</w:t>
            </w:r>
          </w:p>
        </w:tc>
        <w:tc>
          <w:tcPr>
            <w:tcW w:w="2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40" w:type="dxa"/>
            <w:vAlign w:val="bottom"/>
          </w:tcPr>
          <w:p>
            <w:pPr>
              <w:spacing w:after="0"/>
              <w:rPr>
                <w:sz w:val="20"/>
                <w:szCs w:val="20"/>
                <w:color w:val="auto"/>
              </w:rPr>
            </w:pPr>
            <w:r>
              <w:rPr>
                <w:rFonts w:ascii="Arial" w:cs="Arial" w:eastAsia="Arial" w:hAnsi="Arial"/>
                <w:sz w:val="15"/>
                <w:szCs w:val="15"/>
                <w:color w:val="auto"/>
              </w:rPr>
              <w:t>Basic average number of common shares outstanding</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8,046</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7,852</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7,802</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8,119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7,933</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7,883</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440" w:type="dxa"/>
            <w:vAlign w:val="bottom"/>
          </w:tcPr>
          <w:p>
            <w:pPr>
              <w:spacing w:after="0"/>
              <w:rPr>
                <w:sz w:val="20"/>
                <w:szCs w:val="20"/>
                <w:color w:val="auto"/>
              </w:rPr>
            </w:pPr>
            <w:r>
              <w:rPr>
                <w:rFonts w:ascii="Arial" w:cs="Arial" w:eastAsia="Arial" w:hAnsi="Arial"/>
                <w:sz w:val="15"/>
                <w:szCs w:val="15"/>
                <w:color w:val="auto"/>
              </w:rPr>
              <w:t>2011 Quarterly comprehensive income (loss)</w:t>
            </w: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40,894</w:t>
            </w:r>
          </w:p>
        </w:tc>
        <w:tc>
          <w:tcPr>
            <w:tcW w:w="2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37,040</w:t>
            </w:r>
          </w:p>
        </w:tc>
        <w:tc>
          <w:tcPr>
            <w:tcW w:w="2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(41,225)</w:t>
            </w:r>
          </w:p>
        </w:tc>
        <w:tc>
          <w:tcPr>
            <w:tcW w:w="2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3"/>
          <w:szCs w:val="13"/>
          <w:color w:val="auto"/>
        </w:rPr>
        <w:t>The sum of the four quarters may not necessarily be equal to the annual amounts reported in the Consolidated Statements of Operations due to rounding.</w:t>
      </w:r>
    </w:p>
    <w:p>
      <w:pPr>
        <w:spacing w:after="0" w:line="205"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424" w:right="139" w:bottom="1440" w:gutter="0" w:footer="0" w:header="0"/>
        </w:sectPr>
      </w:pPr>
    </w:p>
    <w:bookmarkStart w:id="127" w:name="page128"/>
    <w:bookmarkEnd w:id="127"/>
    <w:p>
      <w:pPr>
        <w:ind w:left="580"/>
        <w:spacing w:after="0"/>
        <w:rPr>
          <w:sz w:val="20"/>
          <w:szCs w:val="20"/>
          <w:color w:val="auto"/>
        </w:rPr>
      </w:pPr>
      <w:r>
        <w:rPr>
          <w:rFonts w:ascii="Arial" w:cs="Arial" w:eastAsia="Arial" w:hAnsi="Arial"/>
          <w:sz w:val="17"/>
          <w:szCs w:val="17"/>
          <w:color w:val="auto"/>
        </w:rPr>
        <w:t>Quarterly impact from certain items in 2012 and 2011 (after-tax and diluted EPS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89"/>
              <w:spacing w:after="0"/>
              <w:rPr>
                <w:sz w:val="20"/>
                <w:szCs w:val="20"/>
                <w:color w:val="auto"/>
              </w:rPr>
            </w:pPr>
            <w:r>
              <w:rPr>
                <w:rFonts w:ascii="Arial" w:cs="Arial" w:eastAsia="Arial" w:hAnsi="Arial"/>
                <w:sz w:val="12"/>
                <w:szCs w:val="12"/>
                <w:b w:val="1"/>
                <w:bCs w:val="1"/>
                <w:color w:val="auto"/>
              </w:rPr>
              <w:t>First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270"/>
              <w:spacing w:after="0"/>
              <w:rPr>
                <w:sz w:val="20"/>
                <w:szCs w:val="20"/>
                <w:color w:val="auto"/>
              </w:rPr>
            </w:pPr>
            <w:r>
              <w:rPr>
                <w:rFonts w:ascii="Arial" w:cs="Arial" w:eastAsia="Arial" w:hAnsi="Arial"/>
                <w:sz w:val="12"/>
                <w:szCs w:val="12"/>
                <w:b w:val="1"/>
                <w:bCs w:val="1"/>
                <w:color w:val="auto"/>
              </w:rPr>
              <w:t>Second</w:t>
            </w:r>
          </w:p>
        </w:tc>
        <w:tc>
          <w:tcPr>
            <w:tcW w:w="220" w:type="dxa"/>
            <w:vAlign w:val="bottom"/>
          </w:tcPr>
          <w:p>
            <w:pPr>
              <w:spacing w:after="0"/>
              <w:rPr>
                <w:sz w:val="12"/>
                <w:szCs w:val="12"/>
                <w:color w:val="auto"/>
              </w:rPr>
            </w:pPr>
          </w:p>
        </w:tc>
        <w:tc>
          <w:tcPr>
            <w:tcW w:w="760" w:type="dxa"/>
            <w:vAlign w:val="bottom"/>
          </w:tcPr>
          <w:p>
            <w:pPr>
              <w:jc w:val="right"/>
              <w:ind w:right="309"/>
              <w:spacing w:after="0"/>
              <w:rPr>
                <w:sz w:val="20"/>
                <w:szCs w:val="20"/>
                <w:color w:val="auto"/>
              </w:rPr>
            </w:pPr>
            <w:r>
              <w:rPr>
                <w:rFonts w:ascii="Arial" w:cs="Arial" w:eastAsia="Arial" w:hAnsi="Arial"/>
                <w:sz w:val="12"/>
                <w:szCs w:val="12"/>
                <w:b w:val="1"/>
                <w:bCs w:val="1"/>
                <w:color w:val="auto"/>
              </w:rPr>
              <w:t>Third</w:t>
            </w:r>
          </w:p>
        </w:tc>
        <w:tc>
          <w:tcPr>
            <w:tcW w:w="26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Fo</w:t>
            </w: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7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89"/>
              <w:spacing w:after="0"/>
              <w:rPr>
                <w:sz w:val="20"/>
                <w:szCs w:val="20"/>
                <w:color w:val="auto"/>
              </w:rPr>
            </w:pPr>
            <w:r>
              <w:rPr>
                <w:rFonts w:ascii="Arial" w:cs="Arial" w:eastAsia="Arial" w:hAnsi="Arial"/>
                <w:sz w:val="12"/>
                <w:szCs w:val="12"/>
                <w:b w:val="1"/>
                <w:bCs w:val="1"/>
                <w:color w:val="auto"/>
              </w:rPr>
              <w:t>Quarter</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Quarter</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Quarter</w:t>
            </w: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95"/>
              </w:rPr>
              <w:t>Qu</w:t>
            </w: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7440" w:type="dxa"/>
            <w:vAlign w:val="bottom"/>
          </w:tcPr>
          <w:p>
            <w:pPr>
              <w:spacing w:after="0" w:line="131" w:lineRule="exact"/>
              <w:rPr>
                <w:sz w:val="20"/>
                <w:szCs w:val="20"/>
                <w:color w:val="auto"/>
              </w:rPr>
            </w:pPr>
            <w:r>
              <w:rPr>
                <w:rFonts w:ascii="Arial" w:cs="Arial" w:eastAsia="Arial" w:hAnsi="Arial"/>
                <w:sz w:val="12"/>
                <w:szCs w:val="12"/>
                <w:b w:val="1"/>
                <w:bCs w:val="1"/>
                <w:color w:val="auto"/>
              </w:rPr>
              <w:t>2012</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Goodwill and other long-lived assets impairment charge of $81.9 million</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at Kaplan Test Preparation</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jc w:val="right"/>
              <w:ind w:right="8"/>
              <w:spacing w:after="0"/>
              <w:rPr>
                <w:sz w:val="20"/>
                <w:szCs w:val="20"/>
                <w:color w:val="auto"/>
              </w:rPr>
            </w:pPr>
            <w:r>
              <w:rPr>
                <w:rFonts w:ascii="Arial" w:cs="Arial" w:eastAsia="Arial" w:hAnsi="Arial"/>
                <w:sz w:val="12"/>
                <w:szCs w:val="12"/>
                <w:color w:val="auto"/>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Charges of $45.5 million in connection with early retirement, severance and other</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restructuring at the education and newspaper publishing divisions ($1.2 million,</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$5.2 million, $7.6 million and $31.1 million in the first, second, third, and</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fourth quarters, respectively)</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(0.16)</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90"/>
              <w:spacing w:after="0"/>
              <w:rPr>
                <w:sz w:val="20"/>
                <w:szCs w:val="20"/>
                <w:color w:val="auto"/>
              </w:rPr>
            </w:pPr>
            <w:r>
              <w:rPr>
                <w:rFonts w:ascii="Arial" w:cs="Arial" w:eastAsia="Arial" w:hAnsi="Arial"/>
                <w:sz w:val="15"/>
                <w:szCs w:val="15"/>
                <w:color w:val="auto"/>
              </w:rPr>
              <w:t>(0.69)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9"/>
              <w:spacing w:after="0"/>
              <w:rPr>
                <w:sz w:val="20"/>
                <w:szCs w:val="20"/>
                <w:color w:val="auto"/>
              </w:rPr>
            </w:pPr>
            <w:r>
              <w:rPr>
                <w:rFonts w:ascii="Arial" w:cs="Arial" w:eastAsia="Arial" w:hAnsi="Arial"/>
                <w:sz w:val="15"/>
                <w:szCs w:val="15"/>
                <w:color w:val="auto"/>
              </w:rPr>
              <w:t>(1.02)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Write-down of marketable equity security of $11.2 million</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Gain on sale of cost method investment of $3.7 million</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0.48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Gains, net, of $2.0 million for non-operating unrealized foreign currency gains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(losses) ($1.7 million gain, $1.6 million loss, $1.9 million gain in the first, second</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5"/>
                <w:szCs w:val="15"/>
                <w:color w:val="auto"/>
              </w:rPr>
              <w:t>0.22</w:t>
            </w:r>
          </w:p>
        </w:tc>
        <w:tc>
          <w:tcPr>
            <w:tcW w:w="2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vMerge w:val="restart"/>
          </w:tcPr>
          <w:p>
            <w:pPr>
              <w:jc w:val="right"/>
              <w:ind w:right="90"/>
              <w:spacing w:after="0"/>
              <w:rPr>
                <w:sz w:val="20"/>
                <w:szCs w:val="20"/>
                <w:color w:val="auto"/>
              </w:rPr>
            </w:pPr>
            <w:r>
              <w:rPr>
                <w:rFonts w:ascii="Arial" w:cs="Arial" w:eastAsia="Arial" w:hAnsi="Arial"/>
                <w:sz w:val="15"/>
                <w:szCs w:val="15"/>
                <w:color w:val="auto"/>
              </w:rPr>
              <w:t>(0.21)</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5"/>
                <w:szCs w:val="15"/>
                <w:color w:val="auto"/>
              </w:rPr>
              <w:t>0.26</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7440" w:type="dxa"/>
            <w:vAlign w:val="bottom"/>
          </w:tcPr>
          <w:p>
            <w:pPr>
              <w:ind w:left="220"/>
              <w:spacing w:after="0" w:line="167" w:lineRule="exact"/>
              <w:rPr>
                <w:sz w:val="20"/>
                <w:szCs w:val="20"/>
                <w:color w:val="auto"/>
              </w:rPr>
            </w:pPr>
            <w:r>
              <w:rPr>
                <w:rFonts w:ascii="Arial" w:cs="Arial" w:eastAsia="Arial" w:hAnsi="Arial"/>
                <w:sz w:val="15"/>
                <w:szCs w:val="15"/>
                <w:color w:val="auto"/>
              </w:rPr>
              <w:t>and third quarters, respectively)</w:t>
            </w:r>
          </w:p>
        </w:tc>
        <w:tc>
          <w:tcPr>
            <w:tcW w:w="2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580" w:type="dxa"/>
            <w:vAlign w:val="bottom"/>
          </w:tcPr>
          <w:p>
            <w:pPr>
              <w:spacing w:after="0"/>
              <w:rPr>
                <w:sz w:val="24"/>
                <w:szCs w:val="24"/>
                <w:color w:val="auto"/>
              </w:rPr>
            </w:pPr>
          </w:p>
        </w:tc>
        <w:tc>
          <w:tcPr>
            <w:tcW w:w="7440" w:type="dxa"/>
            <w:vAlign w:val="bottom"/>
          </w:tcPr>
          <w:p>
            <w:pPr>
              <w:spacing w:after="0"/>
              <w:rPr>
                <w:sz w:val="20"/>
                <w:szCs w:val="20"/>
                <w:color w:val="auto"/>
              </w:rPr>
            </w:pPr>
            <w:r>
              <w:rPr>
                <w:rFonts w:ascii="Arial" w:cs="Arial" w:eastAsia="Arial" w:hAnsi="Arial"/>
                <w:sz w:val="12"/>
                <w:szCs w:val="12"/>
                <w:b w:val="1"/>
                <w:bCs w:val="1"/>
                <w:color w:val="auto"/>
              </w:rPr>
              <w:t>2011</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Charges of $19.4 million in connection with severance and other restructuring at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the education and newspaper publishing divisions ($1.4 million, $7.3 million, $3.5</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million and $7.3 million in the first, second, third and fourth quarters, respectively)</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(0.18)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ind w:right="90"/>
              <w:spacing w:after="0"/>
              <w:rPr>
                <w:sz w:val="20"/>
                <w:szCs w:val="20"/>
                <w:color w:val="auto"/>
              </w:rPr>
            </w:pPr>
            <w:r>
              <w:rPr>
                <w:rFonts w:ascii="Arial" w:cs="Arial" w:eastAsia="Arial" w:hAnsi="Arial"/>
                <w:sz w:val="15"/>
                <w:szCs w:val="15"/>
                <w:color w:val="auto"/>
              </w:rPr>
              <w:t>(0.91)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9"/>
              <w:spacing w:after="0"/>
              <w:rPr>
                <w:sz w:val="20"/>
                <w:szCs w:val="20"/>
                <w:color w:val="auto"/>
              </w:rPr>
            </w:pPr>
            <w:r>
              <w:rPr>
                <w:rFonts w:ascii="Arial" w:cs="Arial" w:eastAsia="Arial" w:hAnsi="Arial"/>
                <w:sz w:val="15"/>
                <w:szCs w:val="15"/>
                <w:color w:val="auto"/>
              </w:rPr>
              <w:t>(0.44)</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Impairment charges of $5.7 million at one of the Company's affiliates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9"/>
              <w:spacing w:after="0"/>
              <w:rPr>
                <w:sz w:val="20"/>
                <w:szCs w:val="20"/>
                <w:color w:val="auto"/>
              </w:rPr>
            </w:pPr>
            <w:r>
              <w:rPr>
                <w:rFonts w:ascii="Arial" w:cs="Arial" w:eastAsia="Arial" w:hAnsi="Arial"/>
                <w:sz w:val="15"/>
                <w:szCs w:val="15"/>
                <w:color w:val="auto"/>
              </w:rPr>
              <w:t>(0.72)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Write-down of a marketable equity security of $34.6 million ($19.8 million and</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$14.9 million in the first and third quarters, respectively)</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9"/>
              <w:spacing w:after="0"/>
              <w:rPr>
                <w:sz w:val="20"/>
                <w:szCs w:val="20"/>
                <w:color w:val="auto"/>
              </w:rPr>
            </w:pPr>
            <w:r>
              <w:rPr>
                <w:rFonts w:ascii="Arial" w:cs="Arial" w:eastAsia="Arial" w:hAnsi="Arial"/>
                <w:sz w:val="15"/>
                <w:szCs w:val="15"/>
                <w:color w:val="auto"/>
              </w:rPr>
              <w:t>(2.44)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9"/>
              <w:spacing w:after="0"/>
              <w:rPr>
                <w:sz w:val="20"/>
                <w:szCs w:val="20"/>
                <w:color w:val="auto"/>
              </w:rPr>
            </w:pPr>
            <w:r>
              <w:rPr>
                <w:rFonts w:ascii="Arial" w:cs="Arial" w:eastAsia="Arial" w:hAnsi="Arial"/>
                <w:sz w:val="15"/>
                <w:szCs w:val="15"/>
                <w:color w:val="auto"/>
              </w:rPr>
              <w:t>(1.89)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7440" w:type="dxa"/>
            <w:vAlign w:val="bottom"/>
          </w:tcPr>
          <w:p>
            <w:pPr>
              <w:spacing w:after="0"/>
              <w:rPr>
                <w:sz w:val="20"/>
                <w:szCs w:val="20"/>
                <w:color w:val="auto"/>
              </w:rPr>
            </w:pPr>
            <w:r>
              <w:rPr>
                <w:rFonts w:ascii="Arial" w:cs="Arial" w:eastAsia="Arial" w:hAnsi="Arial"/>
                <w:sz w:val="15"/>
                <w:szCs w:val="15"/>
                <w:color w:val="auto"/>
              </w:rPr>
              <w:t>Losses, net, of $2.1 million for non-operating unrealized foreign currency gains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7440" w:type="dxa"/>
            <w:vAlign w:val="bottom"/>
          </w:tcPr>
          <w:p>
            <w:pPr>
              <w:ind w:left="220"/>
              <w:spacing w:after="0"/>
              <w:rPr>
                <w:sz w:val="20"/>
                <w:szCs w:val="20"/>
                <w:color w:val="auto"/>
              </w:rPr>
            </w:pPr>
            <w:r>
              <w:rPr>
                <w:rFonts w:ascii="Arial" w:cs="Arial" w:eastAsia="Arial" w:hAnsi="Arial"/>
                <w:sz w:val="15"/>
                <w:szCs w:val="15"/>
                <w:color w:val="auto"/>
              </w:rPr>
              <w:t>(losses) ($1.7 million gain, $0.2 million gain, $4.2 million loss and $0.3 million</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9"/>
              <w:spacing w:after="0"/>
              <w:rPr>
                <w:sz w:val="20"/>
                <w:szCs w:val="20"/>
                <w:color w:val="auto"/>
              </w:rPr>
            </w:pPr>
            <w:r>
              <w:rPr>
                <w:rFonts w:ascii="Arial" w:cs="Arial" w:eastAsia="Arial" w:hAnsi="Arial"/>
                <w:sz w:val="15"/>
                <w:szCs w:val="15"/>
                <w:color w:val="auto"/>
              </w:rPr>
              <w:t>0.21</w:t>
            </w:r>
          </w:p>
        </w:tc>
        <w:tc>
          <w:tcPr>
            <w:tcW w:w="2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vMerge w:val="restart"/>
          </w:tcPr>
          <w:p>
            <w:pPr>
              <w:jc w:val="right"/>
              <w:ind w:right="90"/>
              <w:spacing w:after="0"/>
              <w:rPr>
                <w:sz w:val="20"/>
                <w:szCs w:val="20"/>
                <w:color w:val="auto"/>
              </w:rPr>
            </w:pPr>
            <w:r>
              <w:rPr>
                <w:rFonts w:ascii="Arial" w:cs="Arial" w:eastAsia="Arial" w:hAnsi="Arial"/>
                <w:sz w:val="15"/>
                <w:szCs w:val="15"/>
                <w:color w:val="auto"/>
              </w:rPr>
              <w:t>0.03</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5"/>
                <w:szCs w:val="15"/>
                <w:color w:val="auto"/>
              </w:rPr>
              <w:t>(0.54)</w:t>
            </w:r>
          </w:p>
        </w:tc>
        <w:tc>
          <w:tcPr>
            <w:tcW w:w="2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7440" w:type="dxa"/>
            <w:vAlign w:val="bottom"/>
          </w:tcPr>
          <w:p>
            <w:pPr>
              <w:ind w:left="220"/>
              <w:spacing w:after="0" w:line="167" w:lineRule="exact"/>
              <w:rPr>
                <w:sz w:val="20"/>
                <w:szCs w:val="20"/>
                <w:color w:val="auto"/>
              </w:rPr>
            </w:pPr>
            <w:r>
              <w:rPr>
                <w:rFonts w:ascii="Arial" w:cs="Arial" w:eastAsia="Arial" w:hAnsi="Arial"/>
                <w:sz w:val="15"/>
                <w:szCs w:val="15"/>
                <w:color w:val="auto"/>
              </w:rPr>
              <w:t>gain in the first, second, third and fourth quarters, respectively)</w:t>
            </w:r>
          </w:p>
        </w:tc>
        <w:tc>
          <w:tcPr>
            <w:tcW w:w="2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8"/>
        </w:trPr>
        <w:tc>
          <w:tcPr>
            <w:tcW w:w="580" w:type="dxa"/>
            <w:vAlign w:val="bottom"/>
          </w:tcPr>
          <w:p>
            <w:pPr>
              <w:spacing w:after="0"/>
              <w:rPr>
                <w:sz w:val="24"/>
                <w:szCs w:val="24"/>
                <w:color w:val="auto"/>
              </w:rPr>
            </w:pPr>
          </w:p>
        </w:tc>
        <w:tc>
          <w:tcPr>
            <w:tcW w:w="7440" w:type="dxa"/>
            <w:vAlign w:val="bottom"/>
          </w:tcPr>
          <w:p>
            <w:pPr>
              <w:ind w:left="5540"/>
              <w:spacing w:after="0"/>
              <w:rPr>
                <w:sz w:val="20"/>
                <w:szCs w:val="20"/>
                <w:color w:val="auto"/>
              </w:rPr>
            </w:pPr>
            <w:r>
              <w:rPr>
                <w:rFonts w:ascii="Arial" w:cs="Arial" w:eastAsia="Arial" w:hAnsi="Arial"/>
                <w:sz w:val="17"/>
                <w:szCs w:val="17"/>
                <w:color w:val="auto"/>
              </w:rPr>
              <w:t>119</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80" w:type="dxa"/>
            <w:vAlign w:val="bottom"/>
            <w:tcBorders>
              <w:bottom w:val="single" w:sz="8" w:color="808080"/>
            </w:tcBorders>
          </w:tcPr>
          <w:p>
            <w:pPr>
              <w:spacing w:after="0"/>
              <w:rPr>
                <w:sz w:val="12"/>
                <w:szCs w:val="12"/>
                <w:color w:val="auto"/>
              </w:rPr>
            </w:pPr>
          </w:p>
        </w:tc>
        <w:tc>
          <w:tcPr>
            <w:tcW w:w="74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424" w:right="139" w:bottom="1440" w:gutter="0" w:footer="0" w:header="0"/>
        </w:sectPr>
      </w:pPr>
    </w:p>
    <w:bookmarkStart w:id="128" w:name="page129"/>
    <w:bookmarkEnd w:id="1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9" w:name="page130"/>
    <w:bookmarkEnd w:id="129"/>
    <w:p>
      <w:pPr>
        <w:jc w:val="center"/>
        <w:ind w:left="1160"/>
        <w:spacing w:after="0"/>
        <w:rPr>
          <w:sz w:val="20"/>
          <w:szCs w:val="20"/>
          <w:color w:val="auto"/>
        </w:rPr>
      </w:pPr>
      <w:r>
        <w:rPr>
          <w:rFonts w:ascii="Arial" w:cs="Arial" w:eastAsia="Arial" w:hAnsi="Arial"/>
          <w:sz w:val="17"/>
          <w:szCs w:val="17"/>
          <w:b w:val="1"/>
          <w:bCs w:val="1"/>
          <w:color w:val="auto"/>
        </w:rPr>
        <w:t>THE WASHINGTON POST COMPANY</w:t>
      </w:r>
    </w:p>
    <w:p>
      <w:pPr>
        <w:spacing w:after="0" w:line="1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FIVE-YEAR SUMMARY OF SELECTED HISTORICAL FINANCIAL DATA</w:t>
      </w:r>
    </w:p>
    <w:p>
      <w:pPr>
        <w:spacing w:after="0" w:line="105" w:lineRule="exact"/>
        <w:rPr>
          <w:sz w:val="20"/>
          <w:szCs w:val="20"/>
          <w:color w:val="auto"/>
        </w:rPr>
      </w:pPr>
    </w:p>
    <w:p>
      <w:pPr>
        <w:ind w:left="9"/>
        <w:spacing w:after="0" w:line="250" w:lineRule="auto"/>
        <w:rPr>
          <w:sz w:val="20"/>
          <w:szCs w:val="20"/>
          <w:color w:val="auto"/>
        </w:rPr>
      </w:pPr>
      <w:r>
        <w:rPr>
          <w:rFonts w:ascii="Arial" w:cs="Arial" w:eastAsia="Arial" w:hAnsi="Arial"/>
          <w:sz w:val="15"/>
          <w:szCs w:val="15"/>
          <w:color w:val="auto"/>
        </w:rPr>
        <w:t>See Notes to Consolidated Financial Statements for the summary of significant accounting policies and additional information relative to the years 2010–2012 and refe Note 3 for discussion of discontinued operations.</w:t>
      </w:r>
    </w:p>
    <w:p>
      <w:pPr>
        <w:spacing w:after="0" w:line="158" w:lineRule="exact"/>
        <w:rPr>
          <w:sz w:val="20"/>
          <w:szCs w:val="20"/>
          <w:color w:val="auto"/>
        </w:rPr>
      </w:pPr>
    </w:p>
    <w:tbl>
      <w:tblPr>
        <w:tblLayout w:type="fixed"/>
        <w:tblInd w:w="9" w:type="dxa"/>
        <w:tblCellMar>
          <w:top w:w="0" w:type="dxa"/>
          <w:left w:w="0" w:type="dxa"/>
          <w:bottom w:w="0" w:type="dxa"/>
          <w:right w:w="0" w:type="dxa"/>
        </w:tblCellMar>
      </w:tblPr>
      <w:tr>
        <w:trPr>
          <w:trHeight w:val="151"/>
        </w:trPr>
        <w:tc>
          <w:tcPr>
            <w:tcW w:w="4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1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color w:val="auto"/>
              </w:rPr>
              <w:t>2011</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color w:val="auto"/>
              </w:rPr>
              <w:t>2010</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2"/>
                <w:szCs w:val="12"/>
                <w:color w:val="auto"/>
              </w:rPr>
              <w:t>2009</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200</w:t>
            </w:r>
          </w:p>
        </w:tc>
        <w:tc>
          <w:tcPr>
            <w:tcW w:w="0" w:type="dxa"/>
            <w:vAlign w:val="bottom"/>
          </w:tcPr>
          <w:p>
            <w:pPr>
              <w:spacing w:after="0"/>
              <w:rPr>
                <w:sz w:val="1"/>
                <w:szCs w:val="1"/>
                <w:color w:val="auto"/>
              </w:rPr>
            </w:pPr>
          </w:p>
        </w:tc>
      </w:tr>
      <w:tr>
        <w:trPr>
          <w:trHeight w:val="146"/>
        </w:trPr>
        <w:tc>
          <w:tcPr>
            <w:tcW w:w="4920" w:type="dxa"/>
            <w:vAlign w:val="bottom"/>
          </w:tcPr>
          <w:p>
            <w:pPr>
              <w:spacing w:after="0" w:line="146" w:lineRule="exact"/>
              <w:rPr>
                <w:sz w:val="20"/>
                <w:szCs w:val="20"/>
                <w:color w:val="auto"/>
              </w:rPr>
            </w:pPr>
            <w:r>
              <w:rPr>
                <w:rFonts w:ascii="Arial" w:cs="Arial" w:eastAsia="Arial" w:hAnsi="Arial"/>
                <w:sz w:val="13"/>
                <w:szCs w:val="13"/>
                <w:b w:val="1"/>
                <w:bCs w:val="1"/>
                <w:color w:val="auto"/>
              </w:rPr>
              <w:t>Results of Operations</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4,017,653</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220"/>
              <w:spacing w:after="0" w:line="133" w:lineRule="exact"/>
              <w:rPr>
                <w:sz w:val="20"/>
                <w:szCs w:val="20"/>
                <w:color w:val="auto"/>
              </w:rPr>
            </w:pPr>
            <w:r>
              <w:rPr>
                <w:rFonts w:ascii="Arial" w:cs="Arial" w:eastAsia="Arial" w:hAnsi="Arial"/>
                <w:sz w:val="13"/>
                <w:szCs w:val="13"/>
                <w:color w:val="auto"/>
              </w:rPr>
              <w:t>Operating revenues</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4,131,145</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4,586,417</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4,221,292</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jc w:val="center"/>
              <w:spacing w:after="0" w:line="133" w:lineRule="exact"/>
              <w:rPr>
                <w:sz w:val="20"/>
                <w:szCs w:val="20"/>
                <w:color w:val="auto"/>
              </w:rPr>
            </w:pPr>
            <w:r>
              <w:rPr>
                <w:rFonts w:ascii="Arial" w:cs="Arial" w:eastAsia="Arial" w:hAnsi="Arial"/>
                <w:sz w:val="13"/>
                <w:szCs w:val="13"/>
                <w:color w:val="auto"/>
                <w:w w:val="91"/>
              </w:rPr>
              <w:t>4,</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Income from operations</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144,531</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325,858</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602,864</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303,883</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220"/>
              <w:spacing w:after="0"/>
              <w:rPr>
                <w:sz w:val="20"/>
                <w:szCs w:val="20"/>
                <w:color w:val="auto"/>
              </w:rPr>
            </w:pPr>
            <w:r>
              <w:rPr>
                <w:rFonts w:ascii="Arial" w:cs="Arial" w:eastAsia="Arial" w:hAnsi="Arial"/>
                <w:sz w:val="13"/>
                <w:szCs w:val="13"/>
                <w:color w:val="auto"/>
              </w:rPr>
              <w:t>Income from continuing operations</w:t>
            </w:r>
          </w:p>
        </w:tc>
        <w:tc>
          <w:tcPr>
            <w:tcW w:w="124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49,010</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145,628</w:t>
            </w:r>
          </w:p>
        </w:tc>
        <w:tc>
          <w:tcPr>
            <w:tcW w:w="30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355,919</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168,991</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Net income attributable to The Washington Post Company</w:t>
            </w:r>
          </w:p>
        </w:tc>
        <w:tc>
          <w:tcPr>
            <w:tcW w:w="12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131,218</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460"/>
              <w:spacing w:after="0" w:line="133" w:lineRule="exact"/>
              <w:rPr>
                <w:sz w:val="20"/>
                <w:szCs w:val="20"/>
                <w:color w:val="auto"/>
              </w:rPr>
            </w:pPr>
            <w:r>
              <w:rPr>
                <w:rFonts w:ascii="Arial" w:cs="Arial" w:eastAsia="Arial" w:hAnsi="Arial"/>
                <w:sz w:val="13"/>
                <w:szCs w:val="13"/>
                <w:color w:val="auto"/>
              </w:rPr>
              <w:t>common stockholders</w:t>
            </w:r>
          </w:p>
        </w:tc>
        <w:tc>
          <w:tcPr>
            <w:tcW w:w="1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116,233</w:t>
            </w:r>
          </w:p>
        </w:tc>
        <w:tc>
          <w:tcPr>
            <w:tcW w:w="300" w:type="dxa"/>
            <w:vAlign w:val="bottom"/>
          </w:tcPr>
          <w:p>
            <w:pPr>
              <w:spacing w:after="0"/>
              <w:rPr>
                <w:sz w:val="11"/>
                <w:szCs w:val="11"/>
                <w:color w:val="auto"/>
              </w:rPr>
            </w:pP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277,192</w:t>
            </w:r>
          </w:p>
        </w:tc>
        <w:tc>
          <w:tcPr>
            <w:tcW w:w="280" w:type="dxa"/>
            <w:vAlign w:val="bottom"/>
          </w:tcPr>
          <w:p>
            <w:pPr>
              <w:spacing w:after="0"/>
              <w:rPr>
                <w:sz w:val="11"/>
                <w:szCs w:val="11"/>
                <w:color w:val="auto"/>
              </w:rPr>
            </w:pP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91,846</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20"/>
                <w:szCs w:val="20"/>
                <w:color w:val="auto"/>
              </w:rPr>
            </w:pPr>
            <w:r>
              <w:rPr>
                <w:rFonts w:ascii="Arial" w:cs="Arial" w:eastAsia="Arial" w:hAnsi="Arial"/>
                <w:sz w:val="13"/>
                <w:szCs w:val="13"/>
                <w:b w:val="1"/>
                <w:bCs w:val="1"/>
                <w:color w:val="auto"/>
              </w:rPr>
              <w:t>Per Share Amounts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Basic earnings per common share attributable to</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460"/>
              <w:spacing w:after="0"/>
              <w:rPr>
                <w:sz w:val="20"/>
                <w:szCs w:val="20"/>
                <w:color w:val="auto"/>
              </w:rPr>
            </w:pPr>
            <w:r>
              <w:rPr>
                <w:rFonts w:ascii="Arial" w:cs="Arial" w:eastAsia="Arial" w:hAnsi="Arial"/>
                <w:sz w:val="13"/>
                <w:szCs w:val="13"/>
                <w:color w:val="auto"/>
              </w:rPr>
              <w:t>The Washington Post Company common stockholders</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6.09</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700"/>
              <w:spacing w:after="0" w:line="133" w:lineRule="exact"/>
              <w:rPr>
                <w:sz w:val="20"/>
                <w:szCs w:val="20"/>
                <w:color w:val="auto"/>
              </w:rPr>
            </w:pPr>
            <w:r>
              <w:rPr>
                <w:rFonts w:ascii="Arial" w:cs="Arial" w:eastAsia="Arial" w:hAnsi="Arial"/>
                <w:sz w:val="13"/>
                <w:szCs w:val="13"/>
                <w:color w:val="auto"/>
              </w:rPr>
              <w:t>Income from continuing operations</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18.30</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39.78</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18.06</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700"/>
              <w:spacing w:after="0"/>
              <w:rPr>
                <w:sz w:val="20"/>
                <w:szCs w:val="20"/>
                <w:color w:val="auto"/>
              </w:rPr>
            </w:pPr>
            <w:r>
              <w:rPr>
                <w:rFonts w:ascii="Arial" w:cs="Arial" w:eastAsia="Arial" w:hAnsi="Arial"/>
                <w:sz w:val="13"/>
                <w:szCs w:val="13"/>
                <w:color w:val="auto"/>
              </w:rPr>
              <w:t>Net income</w:t>
            </w:r>
          </w:p>
        </w:tc>
        <w:tc>
          <w:tcPr>
            <w:tcW w:w="124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17.39</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14.70</w:t>
            </w:r>
          </w:p>
        </w:tc>
        <w:tc>
          <w:tcPr>
            <w:tcW w:w="30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31.06</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9.78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Diluted earnings per common share attributable to</w:t>
            </w:r>
          </w:p>
        </w:tc>
        <w:tc>
          <w:tcPr>
            <w:tcW w:w="1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460"/>
              <w:spacing w:after="0"/>
              <w:rPr>
                <w:sz w:val="20"/>
                <w:szCs w:val="20"/>
                <w:color w:val="auto"/>
              </w:rPr>
            </w:pPr>
            <w:r>
              <w:rPr>
                <w:rFonts w:ascii="Arial" w:cs="Arial" w:eastAsia="Arial" w:hAnsi="Arial"/>
                <w:sz w:val="13"/>
                <w:szCs w:val="13"/>
                <w:color w:val="auto"/>
              </w:rPr>
              <w:t>The Washington Post Company common stockholders</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6.09</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700"/>
              <w:spacing w:after="0" w:line="133" w:lineRule="exact"/>
              <w:rPr>
                <w:sz w:val="20"/>
                <w:szCs w:val="20"/>
                <w:color w:val="auto"/>
              </w:rPr>
            </w:pPr>
            <w:r>
              <w:rPr>
                <w:rFonts w:ascii="Arial" w:cs="Arial" w:eastAsia="Arial" w:hAnsi="Arial"/>
                <w:sz w:val="13"/>
                <w:szCs w:val="13"/>
                <w:color w:val="auto"/>
              </w:rPr>
              <w:t>Income from continuing operations</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18.30</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39.76</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18.06</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700"/>
              <w:spacing w:after="0"/>
              <w:rPr>
                <w:sz w:val="20"/>
                <w:szCs w:val="20"/>
                <w:color w:val="auto"/>
              </w:rPr>
            </w:pPr>
            <w:r>
              <w:rPr>
                <w:rFonts w:ascii="Arial" w:cs="Arial" w:eastAsia="Arial" w:hAnsi="Arial"/>
                <w:sz w:val="13"/>
                <w:szCs w:val="13"/>
                <w:color w:val="auto"/>
              </w:rPr>
              <w:t>Net income</w:t>
            </w:r>
          </w:p>
        </w:tc>
        <w:tc>
          <w:tcPr>
            <w:tcW w:w="124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17.39</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14.70</w:t>
            </w:r>
          </w:p>
        </w:tc>
        <w:tc>
          <w:tcPr>
            <w:tcW w:w="300" w:type="dxa"/>
            <w:vAlign w:val="bottom"/>
          </w:tcPr>
          <w:p>
            <w:pPr>
              <w:spacing w:after="0"/>
              <w:rPr>
                <w:sz w:val="14"/>
                <w:szCs w:val="14"/>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31.04</w:t>
            </w:r>
          </w:p>
        </w:tc>
        <w:tc>
          <w:tcPr>
            <w:tcW w:w="280" w:type="dxa"/>
            <w:vAlign w:val="bottom"/>
          </w:tcPr>
          <w:p>
            <w:pPr>
              <w:spacing w:after="0"/>
              <w:rPr>
                <w:sz w:val="14"/>
                <w:szCs w:val="14"/>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9.78</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Weighted average shares outstanding:</w:t>
            </w:r>
          </w:p>
        </w:tc>
        <w:tc>
          <w:tcPr>
            <w:tcW w:w="1240" w:type="dxa"/>
            <w:vAlign w:val="bottom"/>
          </w:tcPr>
          <w:p>
            <w:pPr>
              <w:spacing w:after="0"/>
              <w:rPr>
                <w:sz w:val="12"/>
                <w:szCs w:val="12"/>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7,360</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460"/>
              <w:spacing w:after="0" w:line="133" w:lineRule="exact"/>
              <w:rPr>
                <w:sz w:val="20"/>
                <w:szCs w:val="20"/>
                <w:color w:val="auto"/>
              </w:rPr>
            </w:pPr>
            <w:r>
              <w:rPr>
                <w:rFonts w:ascii="Arial" w:cs="Arial" w:eastAsia="Arial" w:hAnsi="Arial"/>
                <w:sz w:val="13"/>
                <w:szCs w:val="13"/>
                <w:color w:val="auto"/>
              </w:rPr>
              <w:t>Basic</w:t>
            </w:r>
          </w:p>
        </w:tc>
        <w:tc>
          <w:tcPr>
            <w:tcW w:w="12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7,826</w:t>
            </w:r>
          </w:p>
        </w:tc>
        <w:tc>
          <w:tcPr>
            <w:tcW w:w="300" w:type="dxa"/>
            <w:vAlign w:val="bottom"/>
          </w:tcPr>
          <w:p>
            <w:pPr>
              <w:spacing w:after="0"/>
              <w:rPr>
                <w:sz w:val="11"/>
                <w:szCs w:val="11"/>
                <w:color w:val="auto"/>
              </w:rPr>
            </w:pP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8,869</w:t>
            </w:r>
          </w:p>
        </w:tc>
        <w:tc>
          <w:tcPr>
            <w:tcW w:w="280" w:type="dxa"/>
            <w:vAlign w:val="bottom"/>
          </w:tcPr>
          <w:p>
            <w:pPr>
              <w:spacing w:after="0"/>
              <w:rPr>
                <w:sz w:val="11"/>
                <w:szCs w:val="11"/>
                <w:color w:val="auto"/>
              </w:rPr>
            </w:pP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9,332</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460"/>
              <w:spacing w:after="0"/>
              <w:rPr>
                <w:sz w:val="20"/>
                <w:szCs w:val="20"/>
                <w:color w:val="auto"/>
              </w:rPr>
            </w:pPr>
            <w:r>
              <w:rPr>
                <w:rFonts w:ascii="Arial" w:cs="Arial" w:eastAsia="Arial" w:hAnsi="Arial"/>
                <w:sz w:val="13"/>
                <w:szCs w:val="13"/>
                <w:color w:val="auto"/>
              </w:rPr>
              <w:t>Diluted</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7,404</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7,905</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8,931</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9,392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920" w:type="dxa"/>
            <w:vAlign w:val="bottom"/>
          </w:tcPr>
          <w:p>
            <w:pPr>
              <w:ind w:left="220"/>
              <w:spacing w:after="0"/>
              <w:rPr>
                <w:sz w:val="20"/>
                <w:szCs w:val="20"/>
                <w:color w:val="auto"/>
              </w:rPr>
            </w:pPr>
            <w:r>
              <w:rPr>
                <w:rFonts w:ascii="Arial" w:cs="Arial" w:eastAsia="Arial" w:hAnsi="Arial"/>
                <w:sz w:val="13"/>
                <w:szCs w:val="13"/>
                <w:color w:val="auto"/>
              </w:rPr>
              <w:t>Cash dividends per common share</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19.60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9.40</w:t>
            </w:r>
          </w:p>
        </w:tc>
        <w:tc>
          <w:tcPr>
            <w:tcW w:w="3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9.00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8.60</w:t>
            </w:r>
          </w:p>
        </w:tc>
        <w:tc>
          <w:tcPr>
            <w:tcW w:w="30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The Washington Post Company common stockholders’ equity</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348.17</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460"/>
              <w:spacing w:after="0" w:line="133" w:lineRule="exact"/>
              <w:rPr>
                <w:sz w:val="20"/>
                <w:szCs w:val="20"/>
                <w:color w:val="auto"/>
              </w:rPr>
            </w:pPr>
            <w:r>
              <w:rPr>
                <w:rFonts w:ascii="Arial" w:cs="Arial" w:eastAsia="Arial" w:hAnsi="Arial"/>
                <w:sz w:val="13"/>
                <w:szCs w:val="13"/>
                <w:color w:val="auto"/>
              </w:rPr>
              <w:t>per common share</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342.76</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343.47</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317.21</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920" w:type="dxa"/>
            <w:vAlign w:val="bottom"/>
          </w:tcPr>
          <w:p>
            <w:pPr>
              <w:spacing w:after="0"/>
              <w:rPr>
                <w:sz w:val="20"/>
                <w:szCs w:val="20"/>
                <w:color w:val="auto"/>
              </w:rPr>
            </w:pPr>
            <w:r>
              <w:rPr>
                <w:rFonts w:ascii="Arial" w:cs="Arial" w:eastAsia="Arial" w:hAnsi="Arial"/>
                <w:sz w:val="13"/>
                <w:szCs w:val="13"/>
                <w:b w:val="1"/>
                <w:bCs w:val="1"/>
                <w:color w:val="auto"/>
              </w:rPr>
              <w:t>Financial Position</w:t>
            </w: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327,476</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20" w:type="dxa"/>
            <w:vAlign w:val="bottom"/>
          </w:tcPr>
          <w:p>
            <w:pPr>
              <w:ind w:left="220"/>
              <w:spacing w:after="0" w:line="133" w:lineRule="exact"/>
              <w:rPr>
                <w:sz w:val="20"/>
                <w:szCs w:val="20"/>
                <w:color w:val="auto"/>
              </w:rPr>
            </w:pPr>
            <w:r>
              <w:rPr>
                <w:rFonts w:ascii="Arial" w:cs="Arial" w:eastAsia="Arial" w:hAnsi="Arial"/>
                <w:sz w:val="13"/>
                <w:szCs w:val="13"/>
                <w:color w:val="auto"/>
              </w:rPr>
              <w:t>Working capital</w:t>
            </w:r>
          </w:p>
        </w:tc>
        <w:tc>
          <w:tcPr>
            <w:tcW w:w="12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250,069</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94"/>
              <w:spacing w:after="0" w:line="133" w:lineRule="exact"/>
              <w:rPr>
                <w:sz w:val="20"/>
                <w:szCs w:val="20"/>
                <w:color w:val="auto"/>
              </w:rPr>
            </w:pPr>
            <w:r>
              <w:rPr>
                <w:rFonts w:ascii="Arial" w:cs="Arial" w:eastAsia="Arial" w:hAnsi="Arial"/>
                <w:sz w:val="13"/>
                <w:szCs w:val="13"/>
                <w:color w:val="auto"/>
              </w:rPr>
              <w:t>353,621</w:t>
            </w:r>
          </w:p>
        </w:tc>
        <w:tc>
          <w:tcPr>
            <w:tcW w:w="280" w:type="dxa"/>
            <w:vAlign w:val="bottom"/>
          </w:tcPr>
          <w:p>
            <w:pPr>
              <w:jc w:val="right"/>
              <w:spacing w:after="0" w:line="133"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74"/>
              <w:spacing w:after="0" w:line="133" w:lineRule="exact"/>
              <w:rPr>
                <w:sz w:val="20"/>
                <w:szCs w:val="20"/>
                <w:color w:val="auto"/>
              </w:rPr>
            </w:pPr>
            <w:r>
              <w:rPr>
                <w:rFonts w:ascii="Arial" w:cs="Arial" w:eastAsia="Arial" w:hAnsi="Arial"/>
                <w:sz w:val="13"/>
                <w:szCs w:val="13"/>
                <w:color w:val="auto"/>
              </w:rPr>
              <w:t>398,481</w:t>
            </w:r>
          </w:p>
        </w:tc>
        <w:tc>
          <w:tcPr>
            <w:tcW w:w="300" w:type="dxa"/>
            <w:vAlign w:val="bottom"/>
          </w:tcPr>
          <w:p>
            <w:pPr>
              <w:jc w:val="right"/>
              <w:ind w:right="14"/>
              <w:spacing w:after="0" w:line="13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Total assets</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5,105,069</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5,016,986</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5,158,367</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5,186,206</w:t>
            </w:r>
          </w:p>
        </w:tc>
        <w:tc>
          <w:tcPr>
            <w:tcW w:w="300" w:type="dxa"/>
            <w:vAlign w:val="bottom"/>
          </w:tcPr>
          <w:p>
            <w:pPr>
              <w:spacing w:after="0"/>
              <w:rPr>
                <w:sz w:val="12"/>
                <w:szCs w:val="12"/>
                <w:color w:val="auto"/>
              </w:rPr>
            </w:pPr>
          </w:p>
        </w:tc>
        <w:tc>
          <w:tcPr>
            <w:tcW w:w="240" w:type="dxa"/>
            <w:vAlign w:val="bottom"/>
          </w:tcPr>
          <w:p>
            <w:pPr>
              <w:jc w:val="center"/>
              <w:spacing w:after="0"/>
              <w:rPr>
                <w:sz w:val="20"/>
                <w:szCs w:val="20"/>
                <w:color w:val="auto"/>
              </w:rPr>
            </w:pPr>
            <w:r>
              <w:rPr>
                <w:rFonts w:ascii="Arial" w:cs="Arial" w:eastAsia="Arial" w:hAnsi="Arial"/>
                <w:sz w:val="13"/>
                <w:szCs w:val="13"/>
                <w:color w:val="auto"/>
                <w:w w:val="91"/>
              </w:rPr>
              <w:t>5,</w:t>
            </w:r>
          </w:p>
        </w:tc>
        <w:tc>
          <w:tcPr>
            <w:tcW w:w="0" w:type="dxa"/>
            <w:vAlign w:val="bottom"/>
          </w:tcPr>
          <w:p>
            <w:pPr>
              <w:spacing w:after="0"/>
              <w:rPr>
                <w:sz w:val="1"/>
                <w:szCs w:val="1"/>
                <w:color w:val="auto"/>
              </w:rPr>
            </w:pPr>
          </w:p>
        </w:tc>
      </w:tr>
      <w:tr>
        <w:trPr>
          <w:trHeight w:val="149"/>
        </w:trPr>
        <w:tc>
          <w:tcPr>
            <w:tcW w:w="4920" w:type="dxa"/>
            <w:vAlign w:val="bottom"/>
          </w:tcPr>
          <w:p>
            <w:pPr>
              <w:ind w:left="220"/>
              <w:spacing w:after="0"/>
              <w:rPr>
                <w:sz w:val="20"/>
                <w:szCs w:val="20"/>
                <w:color w:val="auto"/>
              </w:rPr>
            </w:pPr>
            <w:r>
              <w:rPr>
                <w:rFonts w:ascii="Arial" w:cs="Arial" w:eastAsia="Arial" w:hAnsi="Arial"/>
                <w:sz w:val="13"/>
                <w:szCs w:val="13"/>
                <w:color w:val="auto"/>
              </w:rPr>
              <w:t>Long-term debt</w:t>
            </w:r>
          </w:p>
        </w:tc>
        <w:tc>
          <w:tcPr>
            <w:tcW w:w="1240" w:type="dxa"/>
            <w:vAlign w:val="bottom"/>
          </w:tcPr>
          <w:p>
            <w:pPr>
              <w:spacing w:after="0"/>
              <w:rPr>
                <w:sz w:val="12"/>
                <w:szCs w:val="12"/>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453,384</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452,229</w:t>
            </w:r>
          </w:p>
        </w:tc>
        <w:tc>
          <w:tcPr>
            <w:tcW w:w="300" w:type="dxa"/>
            <w:vAlign w:val="bottom"/>
          </w:tcPr>
          <w:p>
            <w:pPr>
              <w:spacing w:after="0"/>
              <w:rPr>
                <w:sz w:val="12"/>
                <w:szCs w:val="12"/>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396,650</w:t>
            </w:r>
          </w:p>
        </w:tc>
        <w:tc>
          <w:tcPr>
            <w:tcW w:w="280" w:type="dxa"/>
            <w:vAlign w:val="bottom"/>
          </w:tcPr>
          <w:p>
            <w:pPr>
              <w:spacing w:after="0"/>
              <w:rPr>
                <w:sz w:val="12"/>
                <w:szCs w:val="12"/>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396,236</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920" w:type="dxa"/>
            <w:vAlign w:val="bottom"/>
          </w:tcPr>
          <w:p>
            <w:pPr>
              <w:ind w:left="220"/>
              <w:spacing w:after="0"/>
              <w:rPr>
                <w:sz w:val="20"/>
                <w:szCs w:val="20"/>
                <w:color w:val="auto"/>
              </w:rPr>
            </w:pPr>
            <w:r>
              <w:rPr>
                <w:rFonts w:ascii="Arial" w:cs="Arial" w:eastAsia="Arial" w:hAnsi="Arial"/>
                <w:sz w:val="13"/>
                <w:szCs w:val="13"/>
                <w:color w:val="auto"/>
              </w:rPr>
              <w:t>The Washington Post Company common stockholders’ equity</w:t>
            </w:r>
          </w:p>
        </w:tc>
        <w:tc>
          <w:tcPr>
            <w:tcW w:w="1240" w:type="dxa"/>
            <w:vAlign w:val="bottom"/>
          </w:tcPr>
          <w:p>
            <w:pPr>
              <w:spacing w:after="0"/>
              <w:rPr>
                <w:sz w:val="15"/>
                <w:szCs w:val="15"/>
                <w:color w:val="auto"/>
              </w:rPr>
            </w:pPr>
          </w:p>
        </w:tc>
        <w:tc>
          <w:tcPr>
            <w:tcW w:w="860" w:type="dxa"/>
            <w:vAlign w:val="bottom"/>
          </w:tcPr>
          <w:p>
            <w:pPr>
              <w:jc w:val="right"/>
              <w:ind w:right="94"/>
              <w:spacing w:after="0"/>
              <w:rPr>
                <w:sz w:val="20"/>
                <w:szCs w:val="20"/>
                <w:color w:val="auto"/>
              </w:rPr>
            </w:pPr>
            <w:r>
              <w:rPr>
                <w:rFonts w:ascii="Arial" w:cs="Arial" w:eastAsia="Arial" w:hAnsi="Arial"/>
                <w:sz w:val="13"/>
                <w:szCs w:val="13"/>
                <w:b w:val="1"/>
                <w:bCs w:val="1"/>
                <w:color w:val="auto"/>
              </w:rPr>
              <w:t>2,586,028</w:t>
            </w:r>
          </w:p>
        </w:tc>
        <w:tc>
          <w:tcPr>
            <w:tcW w:w="2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2,601,896</w:t>
            </w:r>
          </w:p>
        </w:tc>
        <w:tc>
          <w:tcPr>
            <w:tcW w:w="300" w:type="dxa"/>
            <w:vAlign w:val="bottom"/>
          </w:tcPr>
          <w:p>
            <w:pPr>
              <w:spacing w:after="0"/>
              <w:rPr>
                <w:sz w:val="15"/>
                <w:szCs w:val="15"/>
                <w:color w:val="auto"/>
              </w:rPr>
            </w:pP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2,814,364</w:t>
            </w:r>
          </w:p>
        </w:tc>
        <w:tc>
          <w:tcPr>
            <w:tcW w:w="2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Arial" w:cs="Arial" w:eastAsia="Arial" w:hAnsi="Arial"/>
                <w:sz w:val="13"/>
                <w:szCs w:val="13"/>
                <w:color w:val="auto"/>
              </w:rPr>
              <w:t>2,939,550</w:t>
            </w:r>
          </w:p>
        </w:tc>
        <w:tc>
          <w:tcPr>
            <w:tcW w:w="300" w:type="dxa"/>
            <w:vAlign w:val="bottom"/>
          </w:tcPr>
          <w:p>
            <w:pPr>
              <w:spacing w:after="0"/>
              <w:rPr>
                <w:sz w:val="15"/>
                <w:szCs w:val="15"/>
                <w:color w:val="auto"/>
              </w:rPr>
            </w:pPr>
          </w:p>
        </w:tc>
        <w:tc>
          <w:tcPr>
            <w:tcW w:w="240" w:type="dxa"/>
            <w:vAlign w:val="bottom"/>
          </w:tcPr>
          <w:p>
            <w:pPr>
              <w:jc w:val="center"/>
              <w:spacing w:after="0"/>
              <w:rPr>
                <w:sz w:val="20"/>
                <w:szCs w:val="20"/>
                <w:color w:val="auto"/>
              </w:rPr>
            </w:pPr>
            <w:r>
              <w:rPr>
                <w:rFonts w:ascii="Arial" w:cs="Arial" w:eastAsia="Arial" w:hAnsi="Arial"/>
                <w:sz w:val="13"/>
                <w:szCs w:val="13"/>
                <w:color w:val="auto"/>
                <w:w w:val="91"/>
              </w:rPr>
              <w:t>2,</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Impact from certain items included in income from continuing operations (after-tax and diluted EPS amounts):</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2012</w:t>
      </w:r>
    </w:p>
    <w:p>
      <w:pPr>
        <w:spacing w:after="0" w:line="15" w:lineRule="exact"/>
        <w:rPr>
          <w:sz w:val="20"/>
          <w:szCs w:val="20"/>
          <w:color w:val="auto"/>
        </w:rPr>
      </w:pP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goodwill and other long-lived assets impairment charge of $81.9 million ($11.33 per share) at KTP</w:t>
      </w: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charges of $45.5 million ($6.18 per share) related to early retirement, severance and other restructuring at the education and newspaper publishing divisions</w:t>
      </w: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write-down of a marketable equity security of $11.2 million ($1.54 per share)</w:t>
      </w: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$3.7 million ($0.48 per share) gain on sale of cost method investment</w:t>
      </w:r>
    </w:p>
    <w:p>
      <w:pPr>
        <w:ind w:left="89" w:hanging="89"/>
        <w:spacing w:after="0"/>
        <w:tabs>
          <w:tab w:leader="none" w:pos="89" w:val="left"/>
        </w:tabs>
        <w:numPr>
          <w:ilvl w:val="0"/>
          <w:numId w:val="72"/>
        </w:numPr>
        <w:rPr>
          <w:rFonts w:ascii="Arial" w:cs="Arial" w:eastAsia="Arial" w:hAnsi="Arial"/>
          <w:sz w:val="13"/>
          <w:szCs w:val="13"/>
          <w:color w:val="auto"/>
        </w:rPr>
      </w:pPr>
      <w:r>
        <w:rPr>
          <w:rFonts w:ascii="Arial" w:cs="Arial" w:eastAsia="Arial" w:hAnsi="Arial"/>
          <w:sz w:val="13"/>
          <w:szCs w:val="13"/>
          <w:color w:val="auto"/>
        </w:rPr>
        <w:t>gains, net, of $2.0 million ($0.27 per share) from non-operating unrealized foreign currency gains</w:t>
      </w:r>
    </w:p>
    <w:p>
      <w:pPr>
        <w:spacing w:after="0" w:line="5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2011</w:t>
      </w:r>
    </w:p>
    <w:p>
      <w:pPr>
        <w:spacing w:after="0" w:line="15" w:lineRule="exact"/>
        <w:rPr>
          <w:sz w:val="20"/>
          <w:szCs w:val="20"/>
          <w:color w:val="auto"/>
        </w:rPr>
      </w:pPr>
    </w:p>
    <w:p>
      <w:pPr>
        <w:ind w:left="89" w:hanging="89"/>
        <w:spacing w:after="0"/>
        <w:tabs>
          <w:tab w:leader="none" w:pos="89" w:val="left"/>
        </w:tabs>
        <w:numPr>
          <w:ilvl w:val="0"/>
          <w:numId w:val="73"/>
        </w:numPr>
        <w:rPr>
          <w:rFonts w:ascii="Arial" w:cs="Arial" w:eastAsia="Arial" w:hAnsi="Arial"/>
          <w:sz w:val="13"/>
          <w:szCs w:val="13"/>
          <w:color w:val="auto"/>
        </w:rPr>
      </w:pPr>
      <w:r>
        <w:rPr>
          <w:rFonts w:ascii="Arial" w:cs="Arial" w:eastAsia="Arial" w:hAnsi="Arial"/>
          <w:sz w:val="13"/>
          <w:szCs w:val="13"/>
          <w:color w:val="auto"/>
        </w:rPr>
        <w:t>charges of $19.4 million ($2.46 per share) related to severance and restructuring at the education and newspaper publishing divisions</w:t>
      </w:r>
    </w:p>
    <w:p>
      <w:pPr>
        <w:ind w:left="89" w:hanging="89"/>
        <w:spacing w:after="0"/>
        <w:tabs>
          <w:tab w:leader="none" w:pos="89" w:val="left"/>
        </w:tabs>
        <w:numPr>
          <w:ilvl w:val="0"/>
          <w:numId w:val="73"/>
        </w:numPr>
        <w:rPr>
          <w:rFonts w:ascii="Arial" w:cs="Arial" w:eastAsia="Arial" w:hAnsi="Arial"/>
          <w:sz w:val="13"/>
          <w:szCs w:val="13"/>
          <w:color w:val="auto"/>
        </w:rPr>
      </w:pPr>
      <w:r>
        <w:rPr>
          <w:rFonts w:ascii="Arial" w:cs="Arial" w:eastAsia="Arial" w:hAnsi="Arial"/>
          <w:sz w:val="13"/>
          <w:szCs w:val="13"/>
          <w:color w:val="auto"/>
        </w:rPr>
        <w:t>impairment charge at one of the Company’s affiliates of $5.7 million ($0.72 per share)</w:t>
      </w:r>
    </w:p>
    <w:p>
      <w:pPr>
        <w:ind w:left="89" w:hanging="89"/>
        <w:spacing w:after="0"/>
        <w:tabs>
          <w:tab w:leader="none" w:pos="89" w:val="left"/>
        </w:tabs>
        <w:numPr>
          <w:ilvl w:val="0"/>
          <w:numId w:val="73"/>
        </w:numPr>
        <w:rPr>
          <w:rFonts w:ascii="Arial" w:cs="Arial" w:eastAsia="Arial" w:hAnsi="Arial"/>
          <w:sz w:val="13"/>
          <w:szCs w:val="13"/>
          <w:color w:val="auto"/>
        </w:rPr>
      </w:pPr>
      <w:r>
        <w:rPr>
          <w:rFonts w:ascii="Arial" w:cs="Arial" w:eastAsia="Arial" w:hAnsi="Arial"/>
          <w:sz w:val="13"/>
          <w:szCs w:val="13"/>
          <w:color w:val="auto"/>
        </w:rPr>
        <w:t>write-down of a marketable equity security of $34.6 million ($4.34 per share)</w:t>
      </w:r>
    </w:p>
    <w:p>
      <w:pPr>
        <w:ind w:left="89" w:hanging="89"/>
        <w:spacing w:after="0"/>
        <w:tabs>
          <w:tab w:leader="none" w:pos="89" w:val="left"/>
        </w:tabs>
        <w:numPr>
          <w:ilvl w:val="0"/>
          <w:numId w:val="73"/>
        </w:numPr>
        <w:rPr>
          <w:rFonts w:ascii="Arial" w:cs="Arial" w:eastAsia="Arial" w:hAnsi="Arial"/>
          <w:sz w:val="13"/>
          <w:szCs w:val="13"/>
          <w:color w:val="auto"/>
        </w:rPr>
      </w:pPr>
      <w:r>
        <w:rPr>
          <w:rFonts w:ascii="Arial" w:cs="Arial" w:eastAsia="Arial" w:hAnsi="Arial"/>
          <w:sz w:val="13"/>
          <w:szCs w:val="13"/>
          <w:color w:val="auto"/>
        </w:rPr>
        <w:t>losses, net, of $2.1 million ($0.26 per share) from non-operating unrealized foreign currency losses</w:t>
      </w:r>
    </w:p>
    <w:p>
      <w:pPr>
        <w:spacing w:after="0" w:line="5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2010</w:t>
      </w:r>
    </w:p>
    <w:p>
      <w:pPr>
        <w:spacing w:after="0" w:line="15" w:lineRule="exact"/>
        <w:rPr>
          <w:sz w:val="20"/>
          <w:szCs w:val="20"/>
          <w:color w:val="auto"/>
        </w:rPr>
      </w:pPr>
    </w:p>
    <w:p>
      <w:pPr>
        <w:ind w:left="89" w:hanging="89"/>
        <w:spacing w:after="0"/>
        <w:tabs>
          <w:tab w:leader="none" w:pos="89" w:val="left"/>
        </w:tabs>
        <w:numPr>
          <w:ilvl w:val="0"/>
          <w:numId w:val="74"/>
        </w:numPr>
        <w:rPr>
          <w:rFonts w:ascii="Arial" w:cs="Arial" w:eastAsia="Arial" w:hAnsi="Arial"/>
          <w:sz w:val="13"/>
          <w:szCs w:val="13"/>
          <w:color w:val="auto"/>
        </w:rPr>
      </w:pPr>
      <w:r>
        <w:rPr>
          <w:rFonts w:ascii="Arial" w:cs="Arial" w:eastAsia="Arial" w:hAnsi="Arial"/>
          <w:sz w:val="13"/>
          <w:szCs w:val="13"/>
          <w:color w:val="auto"/>
        </w:rPr>
        <w:t>charge of $12.7 million ($1.38 per share) at the Post in connection with the withdrawal from a multiemployer pension plan</w:t>
      </w:r>
    </w:p>
    <w:p>
      <w:pPr>
        <w:ind w:left="89" w:hanging="89"/>
        <w:spacing w:after="0"/>
        <w:tabs>
          <w:tab w:leader="none" w:pos="89" w:val="left"/>
        </w:tabs>
        <w:numPr>
          <w:ilvl w:val="0"/>
          <w:numId w:val="74"/>
        </w:numPr>
        <w:rPr>
          <w:rFonts w:ascii="Arial" w:cs="Arial" w:eastAsia="Arial" w:hAnsi="Arial"/>
          <w:sz w:val="13"/>
          <w:szCs w:val="13"/>
          <w:color w:val="auto"/>
        </w:rPr>
      </w:pPr>
      <w:r>
        <w:rPr>
          <w:rFonts w:ascii="Arial" w:cs="Arial" w:eastAsia="Arial" w:hAnsi="Arial"/>
          <w:sz w:val="13"/>
          <w:szCs w:val="13"/>
          <w:color w:val="auto"/>
        </w:rPr>
        <w:t>charges of $24.2 million ($2.83 per share) related to severance and restructuring</w:t>
      </w:r>
    </w:p>
    <w:p>
      <w:pPr>
        <w:ind w:left="89" w:hanging="89"/>
        <w:spacing w:after="0"/>
        <w:tabs>
          <w:tab w:leader="none" w:pos="89" w:val="left"/>
        </w:tabs>
        <w:numPr>
          <w:ilvl w:val="0"/>
          <w:numId w:val="74"/>
        </w:numPr>
        <w:rPr>
          <w:rFonts w:ascii="Arial" w:cs="Arial" w:eastAsia="Arial" w:hAnsi="Arial"/>
          <w:sz w:val="13"/>
          <w:szCs w:val="13"/>
          <w:color w:val="auto"/>
        </w:rPr>
      </w:pPr>
      <w:r>
        <w:rPr>
          <w:rFonts w:ascii="Arial" w:cs="Arial" w:eastAsia="Arial" w:hAnsi="Arial"/>
          <w:sz w:val="13"/>
          <w:szCs w:val="13"/>
          <w:color w:val="auto"/>
        </w:rPr>
        <w:t>gains, net, of $4.2 million ($0.47 per share) from non-operating unrealized foreign currency gains</w:t>
      </w:r>
    </w:p>
    <w:p>
      <w:pPr>
        <w:spacing w:after="0" w:line="5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2009</w:t>
      </w:r>
    </w:p>
    <w:p>
      <w:pPr>
        <w:spacing w:after="0" w:line="15" w:lineRule="exact"/>
        <w:rPr>
          <w:sz w:val="20"/>
          <w:szCs w:val="20"/>
          <w:color w:val="auto"/>
        </w:rPr>
      </w:pPr>
    </w:p>
    <w:p>
      <w:pPr>
        <w:ind w:left="89" w:hanging="89"/>
        <w:spacing w:after="0"/>
        <w:tabs>
          <w:tab w:leader="none" w:pos="89" w:val="left"/>
        </w:tabs>
        <w:numPr>
          <w:ilvl w:val="0"/>
          <w:numId w:val="75"/>
        </w:numPr>
        <w:rPr>
          <w:rFonts w:ascii="Arial" w:cs="Arial" w:eastAsia="Arial" w:hAnsi="Arial"/>
          <w:sz w:val="13"/>
          <w:szCs w:val="13"/>
          <w:color w:val="auto"/>
        </w:rPr>
      </w:pPr>
      <w:r>
        <w:rPr>
          <w:rFonts w:ascii="Arial" w:cs="Arial" w:eastAsia="Arial" w:hAnsi="Arial"/>
          <w:sz w:val="13"/>
          <w:szCs w:val="13"/>
          <w:color w:val="auto"/>
        </w:rPr>
        <w:t>charges of $35.9 million ($3.82 per share) related to early retirement program expense at the newspaper publishing division</w:t>
      </w:r>
    </w:p>
    <w:p>
      <w:pPr>
        <w:ind w:left="89" w:hanging="89"/>
        <w:spacing w:after="0"/>
        <w:tabs>
          <w:tab w:leader="none" w:pos="89" w:val="left"/>
        </w:tabs>
        <w:numPr>
          <w:ilvl w:val="0"/>
          <w:numId w:val="75"/>
        </w:numPr>
        <w:rPr>
          <w:rFonts w:ascii="Arial" w:cs="Arial" w:eastAsia="Arial" w:hAnsi="Arial"/>
          <w:sz w:val="13"/>
          <w:szCs w:val="13"/>
          <w:color w:val="auto"/>
        </w:rPr>
      </w:pPr>
      <w:r>
        <w:rPr>
          <w:rFonts w:ascii="Arial" w:cs="Arial" w:eastAsia="Arial" w:hAnsi="Arial"/>
          <w:sz w:val="13"/>
          <w:szCs w:val="13"/>
          <w:color w:val="auto"/>
        </w:rPr>
        <w:t>charges of $20.6 million ($2.19 per share) in connection with the restructuring of Kaplan’s Score and Test Preparation operations</w:t>
      </w:r>
    </w:p>
    <w:p>
      <w:pPr>
        <w:ind w:left="89" w:hanging="89"/>
        <w:spacing w:after="0"/>
        <w:tabs>
          <w:tab w:leader="none" w:pos="89" w:val="left"/>
        </w:tabs>
        <w:numPr>
          <w:ilvl w:val="0"/>
          <w:numId w:val="75"/>
        </w:numPr>
        <w:rPr>
          <w:rFonts w:ascii="Arial" w:cs="Arial" w:eastAsia="Arial" w:hAnsi="Arial"/>
          <w:sz w:val="13"/>
          <w:szCs w:val="13"/>
          <w:color w:val="auto"/>
        </w:rPr>
      </w:pPr>
      <w:r>
        <w:rPr>
          <w:rFonts w:ascii="Arial" w:cs="Arial" w:eastAsia="Arial" w:hAnsi="Arial"/>
          <w:sz w:val="13"/>
          <w:szCs w:val="13"/>
          <w:color w:val="auto"/>
        </w:rPr>
        <w:t>$21.0 million ($2.23 per share) in accelerated depreciation related to the closing of the Post’s College Park, MD, plant and the consolidation of operations at the Post</w:t>
      </w:r>
    </w:p>
    <w:p>
      <w:pPr>
        <w:ind w:left="89" w:hanging="89"/>
        <w:spacing w:after="0"/>
        <w:tabs>
          <w:tab w:leader="none" w:pos="89" w:val="left"/>
        </w:tabs>
        <w:numPr>
          <w:ilvl w:val="0"/>
          <w:numId w:val="75"/>
        </w:numPr>
        <w:rPr>
          <w:rFonts w:ascii="Arial" w:cs="Arial" w:eastAsia="Arial" w:hAnsi="Arial"/>
          <w:sz w:val="13"/>
          <w:szCs w:val="13"/>
          <w:color w:val="auto"/>
        </w:rPr>
      </w:pPr>
      <w:r>
        <w:rPr>
          <w:rFonts w:ascii="Arial" w:cs="Arial" w:eastAsia="Arial" w:hAnsi="Arial"/>
          <w:sz w:val="13"/>
          <w:szCs w:val="13"/>
          <w:color w:val="auto"/>
        </w:rPr>
        <w:t>impairment charges of $18.8 million ($2.00 per share) at two of the Company’s affiliates</w:t>
      </w:r>
    </w:p>
    <w:p>
      <w:pPr>
        <w:ind w:left="89" w:hanging="89"/>
        <w:spacing w:after="0"/>
        <w:tabs>
          <w:tab w:leader="none" w:pos="89" w:val="left"/>
        </w:tabs>
        <w:numPr>
          <w:ilvl w:val="0"/>
          <w:numId w:val="75"/>
        </w:numPr>
        <w:rPr>
          <w:rFonts w:ascii="Arial" w:cs="Arial" w:eastAsia="Arial" w:hAnsi="Arial"/>
          <w:sz w:val="13"/>
          <w:szCs w:val="13"/>
          <w:color w:val="auto"/>
        </w:rPr>
      </w:pPr>
      <w:r>
        <w:rPr>
          <w:rFonts w:ascii="Arial" w:cs="Arial" w:eastAsia="Arial" w:hAnsi="Arial"/>
          <w:sz w:val="13"/>
          <w:szCs w:val="13"/>
          <w:color w:val="auto"/>
        </w:rPr>
        <w:t>gains, net, of $10.3 million ($1.10 per share) from non-operating unrealized foreign currency gains</w:t>
      </w:r>
    </w:p>
    <w:p>
      <w:pPr>
        <w:spacing w:after="0" w:line="5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2008</w:t>
      </w:r>
    </w:p>
    <w:p>
      <w:pPr>
        <w:spacing w:after="0" w:line="15" w:lineRule="exact"/>
        <w:rPr>
          <w:sz w:val="20"/>
          <w:szCs w:val="20"/>
          <w:color w:val="auto"/>
        </w:rPr>
      </w:pPr>
    </w:p>
    <w:p>
      <w:pPr>
        <w:ind w:left="89" w:right="200" w:hanging="89"/>
        <w:spacing w:after="0" w:line="239" w:lineRule="auto"/>
        <w:tabs>
          <w:tab w:leader="none" w:pos="77" w:val="left"/>
        </w:tabs>
        <w:numPr>
          <w:ilvl w:val="0"/>
          <w:numId w:val="76"/>
        </w:numPr>
        <w:rPr>
          <w:rFonts w:ascii="Arial" w:cs="Arial" w:eastAsia="Arial" w:hAnsi="Arial"/>
          <w:sz w:val="13"/>
          <w:szCs w:val="13"/>
          <w:color w:val="auto"/>
        </w:rPr>
      </w:pPr>
      <w:r>
        <w:rPr>
          <w:rFonts w:ascii="Arial" w:cs="Arial" w:eastAsia="Arial" w:hAnsi="Arial"/>
          <w:sz w:val="13"/>
          <w:szCs w:val="13"/>
          <w:color w:val="auto"/>
        </w:rPr>
        <w:t>goodwill, intangible assets and other impairment charges of $49.6 million ($5.28 per share) at the Company’s community newspapers, The Herald and other operations included in the newspaper publishing segment; and at two of the Company’s equity affiliates</w:t>
      </w:r>
    </w:p>
    <w:p>
      <w:pPr>
        <w:ind w:left="89" w:hanging="89"/>
        <w:spacing w:after="0"/>
        <w:tabs>
          <w:tab w:leader="none" w:pos="89" w:val="left"/>
        </w:tabs>
        <w:numPr>
          <w:ilvl w:val="0"/>
          <w:numId w:val="76"/>
        </w:numPr>
        <w:rPr>
          <w:rFonts w:ascii="Arial" w:cs="Arial" w:eastAsia="Arial" w:hAnsi="Arial"/>
          <w:sz w:val="13"/>
          <w:szCs w:val="13"/>
          <w:color w:val="auto"/>
        </w:rPr>
      </w:pPr>
      <w:r>
        <w:rPr>
          <w:rFonts w:ascii="Arial" w:cs="Arial" w:eastAsia="Arial" w:hAnsi="Arial"/>
          <w:sz w:val="13"/>
          <w:szCs w:val="13"/>
          <w:color w:val="auto"/>
        </w:rPr>
        <w:t>charges of $50.1 million ($5.27 per share) related to early retirement program expense at the Post and the corporate office</w:t>
      </w:r>
    </w:p>
    <w:p>
      <w:pPr>
        <w:ind w:left="89" w:hanging="89"/>
        <w:spacing w:after="0"/>
        <w:tabs>
          <w:tab w:leader="none" w:pos="89" w:val="left"/>
        </w:tabs>
        <w:numPr>
          <w:ilvl w:val="0"/>
          <w:numId w:val="76"/>
        </w:numPr>
        <w:rPr>
          <w:rFonts w:ascii="Arial" w:cs="Arial" w:eastAsia="Arial" w:hAnsi="Arial"/>
          <w:sz w:val="13"/>
          <w:szCs w:val="13"/>
          <w:color w:val="auto"/>
        </w:rPr>
      </w:pPr>
      <w:r>
        <w:rPr>
          <w:rFonts w:ascii="Arial" w:cs="Arial" w:eastAsia="Arial" w:hAnsi="Arial"/>
          <w:sz w:val="13"/>
          <w:szCs w:val="13"/>
          <w:color w:val="auto"/>
        </w:rPr>
        <w:t>$13.9 million ($1.48 per share) in accelerated depreciation related to the planned closing of the Post’s College Park, MD, plant</w:t>
      </w:r>
    </w:p>
    <w:p>
      <w:pPr>
        <w:ind w:left="89" w:hanging="89"/>
        <w:spacing w:after="0"/>
        <w:tabs>
          <w:tab w:leader="none" w:pos="89" w:val="left"/>
        </w:tabs>
        <w:numPr>
          <w:ilvl w:val="0"/>
          <w:numId w:val="76"/>
        </w:numPr>
        <w:rPr>
          <w:rFonts w:ascii="Arial" w:cs="Arial" w:eastAsia="Arial" w:hAnsi="Arial"/>
          <w:sz w:val="13"/>
          <w:szCs w:val="13"/>
          <w:color w:val="auto"/>
        </w:rPr>
      </w:pPr>
      <w:r>
        <w:rPr>
          <w:rFonts w:ascii="Arial" w:cs="Arial" w:eastAsia="Arial" w:hAnsi="Arial"/>
          <w:sz w:val="13"/>
          <w:szCs w:val="13"/>
          <w:color w:val="auto"/>
        </w:rPr>
        <w:t>charges of $6.8 million ($0.72 per share) in connection with the restructuring of KHE’s professional training businesses</w:t>
      </w:r>
    </w:p>
    <w:p>
      <w:pPr>
        <w:ind w:left="89" w:hanging="89"/>
        <w:spacing w:after="0"/>
        <w:tabs>
          <w:tab w:leader="none" w:pos="89" w:val="left"/>
        </w:tabs>
        <w:numPr>
          <w:ilvl w:val="0"/>
          <w:numId w:val="76"/>
        </w:numPr>
        <w:rPr>
          <w:rFonts w:ascii="Arial" w:cs="Arial" w:eastAsia="Arial" w:hAnsi="Arial"/>
          <w:sz w:val="13"/>
          <w:szCs w:val="13"/>
          <w:color w:val="auto"/>
        </w:rPr>
      </w:pPr>
      <w:r>
        <w:rPr>
          <w:rFonts w:ascii="Arial" w:cs="Arial" w:eastAsia="Arial" w:hAnsi="Arial"/>
          <w:sz w:val="13"/>
          <w:szCs w:val="13"/>
          <w:color w:val="auto"/>
        </w:rPr>
        <w:t>gains of $28.9 million ($3.09 per share) from the sales of marketable securities</w:t>
      </w:r>
    </w:p>
    <w:p>
      <w:pPr>
        <w:ind w:left="89" w:hanging="89"/>
        <w:spacing w:after="0"/>
        <w:tabs>
          <w:tab w:leader="none" w:pos="89" w:val="left"/>
        </w:tabs>
        <w:numPr>
          <w:ilvl w:val="0"/>
          <w:numId w:val="76"/>
        </w:numPr>
        <w:rPr>
          <w:rFonts w:ascii="Arial" w:cs="Arial" w:eastAsia="Arial" w:hAnsi="Arial"/>
          <w:sz w:val="13"/>
          <w:szCs w:val="13"/>
          <w:color w:val="auto"/>
        </w:rPr>
      </w:pPr>
      <w:r>
        <w:rPr>
          <w:rFonts w:ascii="Arial" w:cs="Arial" w:eastAsia="Arial" w:hAnsi="Arial"/>
          <w:sz w:val="13"/>
          <w:szCs w:val="13"/>
          <w:color w:val="auto"/>
        </w:rPr>
        <w:t>losses, net, of $28.5 million ($3.04 per share) from non-operating unrealized foreign currency losses</w:t>
      </w:r>
    </w:p>
    <w:p>
      <w:pPr>
        <w:ind w:left="89" w:hanging="89"/>
        <w:spacing w:after="0" w:line="252" w:lineRule="auto"/>
        <w:tabs>
          <w:tab w:leader="none" w:pos="77" w:val="left"/>
        </w:tabs>
        <w:numPr>
          <w:ilvl w:val="0"/>
          <w:numId w:val="76"/>
        </w:numPr>
        <w:rPr>
          <w:rFonts w:ascii="Arial" w:cs="Arial" w:eastAsia="Arial" w:hAnsi="Arial"/>
          <w:sz w:val="13"/>
          <w:szCs w:val="13"/>
          <w:color w:val="auto"/>
        </w:rPr>
      </w:pPr>
      <w:r>
        <w:rPr>
          <w:rFonts w:ascii="Arial" w:cs="Arial" w:eastAsia="Arial" w:hAnsi="Arial"/>
          <w:sz w:val="13"/>
          <w:szCs w:val="13"/>
          <w:color w:val="auto"/>
        </w:rPr>
        <w:t>charge of $9.5 million ($1.01 per share) in income tax expense related to valuation allowances provided against certain state and local income tax benefits, net of U.S. Federal income tax benefits</w:t>
      </w:r>
    </w:p>
    <w:p>
      <w:pPr>
        <w:spacing w:after="0" w:line="190"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86995</wp:posOffset>
            </wp:positionV>
            <wp:extent cx="7278370"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18" w:right="139" w:bottom="1440" w:gutter="0" w:footer="0" w:header="0"/>
        </w:sectPr>
      </w:pPr>
    </w:p>
    <w:bookmarkStart w:id="130" w:name="page131"/>
    <w:bookmarkEnd w:id="1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9"/>
        </w:trPr>
        <w:tc>
          <w:tcPr>
            <w:tcW w:w="1360" w:type="dxa"/>
            <w:vAlign w:val="bottom"/>
          </w:tcPr>
          <w:p>
            <w:pPr>
              <w:spacing w:after="0"/>
              <w:rPr>
                <w:sz w:val="19"/>
                <w:szCs w:val="19"/>
                <w:color w:val="auto"/>
              </w:rPr>
            </w:pPr>
          </w:p>
        </w:tc>
        <w:tc>
          <w:tcPr>
            <w:tcW w:w="9580" w:type="dxa"/>
            <w:vAlign w:val="bottom"/>
          </w:tcPr>
          <w:p>
            <w:pPr>
              <w:ind w:left="3580"/>
              <w:spacing w:after="0"/>
              <w:rPr>
                <w:sz w:val="20"/>
                <w:szCs w:val="20"/>
                <w:color w:val="auto"/>
              </w:rPr>
            </w:pPr>
            <w:r>
              <w:rPr>
                <w:rFonts w:ascii="Arial" w:cs="Arial" w:eastAsia="Arial" w:hAnsi="Arial"/>
                <w:sz w:val="17"/>
                <w:szCs w:val="17"/>
                <w:b w:val="1"/>
                <w:bCs w:val="1"/>
                <w:color w:val="auto"/>
              </w:rPr>
              <w:t>INDEX TO EXHIBITS</w:t>
            </w:r>
          </w:p>
        </w:tc>
      </w:tr>
      <w:tr>
        <w:trPr>
          <w:trHeight w:val="250"/>
        </w:trPr>
        <w:tc>
          <w:tcPr>
            <w:tcW w:w="136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99"/>
              </w:rPr>
              <w:t>Exhibit Number</w:t>
            </w:r>
          </w:p>
        </w:tc>
        <w:tc>
          <w:tcPr>
            <w:tcW w:w="9580" w:type="dxa"/>
            <w:vAlign w:val="bottom"/>
            <w:tcBorders>
              <w:bottom w:val="single" w:sz="8" w:color="auto"/>
            </w:tcBorders>
          </w:tcPr>
          <w:p>
            <w:pPr>
              <w:ind w:left="4980"/>
              <w:spacing w:after="0"/>
              <w:rPr>
                <w:sz w:val="20"/>
                <w:szCs w:val="20"/>
                <w:color w:val="auto"/>
              </w:rPr>
            </w:pPr>
            <w:r>
              <w:rPr>
                <w:rFonts w:ascii="Arial" w:cs="Arial" w:eastAsia="Arial" w:hAnsi="Arial"/>
                <w:sz w:val="12"/>
                <w:szCs w:val="12"/>
                <w:b w:val="1"/>
                <w:bCs w:val="1"/>
                <w:color w:val="auto"/>
              </w:rPr>
              <w:t>Description</w:t>
            </w:r>
          </w:p>
        </w:tc>
      </w:tr>
      <w:tr>
        <w:trPr>
          <w:trHeight w:val="160"/>
        </w:trPr>
        <w:tc>
          <w:tcPr>
            <w:tcW w:w="1360" w:type="dxa"/>
            <w:vAlign w:val="bottom"/>
          </w:tcPr>
          <w:p>
            <w:pPr>
              <w:jc w:val="right"/>
              <w:ind w:right="862"/>
              <w:spacing w:after="0" w:line="161" w:lineRule="exact"/>
              <w:rPr>
                <w:sz w:val="20"/>
                <w:szCs w:val="20"/>
                <w:color w:val="auto"/>
              </w:rPr>
            </w:pPr>
            <w:r>
              <w:rPr>
                <w:rFonts w:ascii="Arial" w:cs="Arial" w:eastAsia="Arial" w:hAnsi="Arial"/>
                <w:sz w:val="16"/>
                <w:szCs w:val="16"/>
                <w:color w:val="auto"/>
              </w:rPr>
              <w:t>3.1</w:t>
            </w:r>
          </w:p>
        </w:tc>
        <w:tc>
          <w:tcPr>
            <w:tcW w:w="9580" w:type="dxa"/>
            <w:vAlign w:val="bottom"/>
          </w:tcPr>
          <w:p>
            <w:pPr>
              <w:ind w:left="460"/>
              <w:spacing w:after="0" w:line="161" w:lineRule="exact"/>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Company’s Annual Report on Form 10-K for the fiscal year ended December 28, 2003).</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3.2</w:t>
            </w:r>
          </w:p>
        </w:tc>
        <w:tc>
          <w:tcPr>
            <w:tcW w:w="9580" w:type="dxa"/>
            <w:vAlign w:val="bottom"/>
          </w:tcPr>
          <w:p>
            <w:pPr>
              <w:ind w:left="460"/>
              <w:spacing w:after="0"/>
              <w:rPr>
                <w:sz w:val="20"/>
                <w:szCs w:val="20"/>
                <w:color w:val="auto"/>
              </w:rPr>
            </w:pPr>
            <w:r>
              <w:rPr>
                <w:rFonts w:ascii="Arial" w:cs="Arial" w:eastAsia="Arial" w:hAnsi="Arial"/>
                <w:sz w:val="16"/>
                <w:szCs w:val="16"/>
                <w:color w:val="auto"/>
                <w:w w:val="97"/>
              </w:rPr>
              <w:t>Certificate of Designation for the Company’s Series A Preferred Stock dated September 22, 2003 (incorporated by reference to Exh</w:t>
            </w:r>
          </w:p>
        </w:tc>
      </w:tr>
      <w:tr>
        <w:trPr>
          <w:trHeight w:val="188"/>
        </w:trPr>
        <w:tc>
          <w:tcPr>
            <w:tcW w:w="1360" w:type="dxa"/>
            <w:vAlign w:val="bottom"/>
          </w:tcPr>
          <w:p>
            <w:pPr>
              <w:spacing w:after="0"/>
              <w:rPr>
                <w:sz w:val="16"/>
                <w:szCs w:val="16"/>
                <w:color w:val="auto"/>
              </w:rPr>
            </w:pPr>
          </w:p>
        </w:tc>
        <w:tc>
          <w:tcPr>
            <w:tcW w:w="9580" w:type="dxa"/>
            <w:vAlign w:val="bottom"/>
          </w:tcPr>
          <w:p>
            <w:pPr>
              <w:ind w:left="480"/>
              <w:spacing w:after="0"/>
              <w:rPr>
                <w:sz w:val="20"/>
                <w:szCs w:val="20"/>
                <w:color w:val="auto"/>
              </w:rPr>
            </w:pPr>
            <w:r>
              <w:rPr>
                <w:rFonts w:ascii="Arial" w:cs="Arial" w:eastAsia="Arial" w:hAnsi="Arial"/>
                <w:sz w:val="16"/>
                <w:szCs w:val="16"/>
                <w:color w:val="auto"/>
              </w:rPr>
              <w:t>to Amendment No. 1 to the Company’s Current Report on Form 8-K dated September 22, 2003).</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3.3</w:t>
            </w:r>
          </w:p>
        </w:tc>
        <w:tc>
          <w:tcPr>
            <w:tcW w:w="9580" w:type="dxa"/>
            <w:vAlign w:val="bottom"/>
          </w:tcPr>
          <w:p>
            <w:pPr>
              <w:ind w:left="460"/>
              <w:spacing w:after="0"/>
              <w:rPr>
                <w:sz w:val="20"/>
                <w:szCs w:val="20"/>
                <w:color w:val="auto"/>
              </w:rPr>
            </w:pPr>
            <w:r>
              <w:rPr>
                <w:rFonts w:ascii="Arial" w:cs="Arial" w:eastAsia="Arial" w:hAnsi="Arial"/>
                <w:sz w:val="16"/>
                <w:szCs w:val="16"/>
                <w:color w:val="auto"/>
                <w:w w:val="97"/>
              </w:rPr>
              <w:t>By-Laws of the Company as amended and restated through November 8, 2007 (incorporated by reference to Exhibit 3.1 to the Com</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Current Report on Form 8-K dated November 14, 2007).</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4.1</w:t>
            </w:r>
          </w:p>
        </w:tc>
        <w:tc>
          <w:tcPr>
            <w:tcW w:w="9580" w:type="dxa"/>
            <w:vAlign w:val="bottom"/>
          </w:tcPr>
          <w:p>
            <w:pPr>
              <w:ind w:left="460"/>
              <w:spacing w:after="0"/>
              <w:rPr>
                <w:sz w:val="20"/>
                <w:szCs w:val="20"/>
                <w:color w:val="auto"/>
              </w:rPr>
            </w:pPr>
            <w:r>
              <w:rPr>
                <w:rFonts w:ascii="Arial" w:cs="Arial" w:eastAsia="Arial" w:hAnsi="Arial"/>
                <w:sz w:val="16"/>
                <w:szCs w:val="16"/>
                <w:color w:val="auto"/>
                <w:w w:val="97"/>
              </w:rPr>
              <w:t>Second Supplemental Indenture dated January 30, 2009, between the Company and The Bank of New York Mellon Trust Company</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as successor to The First National Bank of Chicago, as Trustee (incorporated by reference to Exhibit 10.2 to the Company’s Curren</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Report on Form 8-K dated January 30, 2009).</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4.2</w:t>
            </w:r>
          </w:p>
        </w:tc>
        <w:tc>
          <w:tcPr>
            <w:tcW w:w="9580" w:type="dxa"/>
            <w:vAlign w:val="bottom"/>
          </w:tcPr>
          <w:p>
            <w:pPr>
              <w:ind w:left="460"/>
              <w:spacing w:after="0"/>
              <w:rPr>
                <w:sz w:val="20"/>
                <w:szCs w:val="20"/>
                <w:color w:val="auto"/>
              </w:rPr>
            </w:pPr>
            <w:r>
              <w:rPr>
                <w:rFonts w:ascii="Arial" w:cs="Arial" w:eastAsia="Arial" w:hAnsi="Arial"/>
                <w:sz w:val="16"/>
                <w:szCs w:val="16"/>
                <w:color w:val="auto"/>
                <w:w w:val="98"/>
              </w:rPr>
              <w:t>Four-Year Credit Agreement, dated as of June 17, 2011, among the Company, JPMorgan Chase Bank, N.A., J.P. Morgan Australia</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7"/>
              </w:rPr>
              <w:t>Limited, Wells Fargo Bank, N.A, The Royal Bank of Scotland PLC, HSBC Bank USA, The Bank of New York Mellon, PNC Bank, Na</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Association, Bank of America, N.A., Citibank, N.A., and The Northern Trust Company (incorporated by reference to Exhibit 10.1 to t</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Company’s Current Report on Form 8-K dated June 17, 2011).</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10.1</w:t>
            </w:r>
          </w:p>
        </w:tc>
        <w:tc>
          <w:tcPr>
            <w:tcW w:w="9580" w:type="dxa"/>
            <w:vAlign w:val="bottom"/>
          </w:tcPr>
          <w:p>
            <w:pPr>
              <w:ind w:left="460"/>
              <w:spacing w:after="0"/>
              <w:rPr>
                <w:sz w:val="20"/>
                <w:szCs w:val="20"/>
                <w:color w:val="auto"/>
              </w:rPr>
            </w:pPr>
            <w:r>
              <w:rPr>
                <w:rFonts w:ascii="Arial" w:cs="Arial" w:eastAsia="Arial" w:hAnsi="Arial"/>
                <w:sz w:val="16"/>
                <w:szCs w:val="16"/>
                <w:color w:val="auto"/>
                <w:w w:val="97"/>
              </w:rPr>
              <w:t>The Washington Post Company 2012 Incentive Compensation Plan, effective May 10, 2012 (incorporated by reference to Exhibit 10</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the Company’s Quarterly Report on Form 10-Q for the quarter ended June 30, 2012).</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10.2</w:t>
            </w:r>
          </w:p>
        </w:tc>
        <w:tc>
          <w:tcPr>
            <w:tcW w:w="9580" w:type="dxa"/>
            <w:vAlign w:val="bottom"/>
          </w:tcPr>
          <w:p>
            <w:pPr>
              <w:ind w:left="460"/>
              <w:spacing w:after="0"/>
              <w:rPr>
                <w:sz w:val="20"/>
                <w:szCs w:val="20"/>
                <w:color w:val="auto"/>
              </w:rPr>
            </w:pPr>
            <w:r>
              <w:rPr>
                <w:rFonts w:ascii="Arial" w:cs="Arial" w:eastAsia="Arial" w:hAnsi="Arial"/>
                <w:sz w:val="16"/>
                <w:szCs w:val="16"/>
                <w:color w:val="auto"/>
                <w:w w:val="98"/>
              </w:rPr>
              <w:t>The Washington Post Company Stock Option Plan as amended and restated effective May 31, 2003 (incorporated by reference to</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10.1 to the Company’s Quarterly Report on Form 10-Q for the quarter ended September 28, 2003).*</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10.3</w:t>
            </w:r>
          </w:p>
        </w:tc>
        <w:tc>
          <w:tcPr>
            <w:tcW w:w="9580" w:type="dxa"/>
            <w:vAlign w:val="bottom"/>
          </w:tcPr>
          <w:p>
            <w:pPr>
              <w:ind w:left="460"/>
              <w:spacing w:after="0"/>
              <w:rPr>
                <w:sz w:val="20"/>
                <w:szCs w:val="20"/>
                <w:color w:val="auto"/>
              </w:rPr>
            </w:pPr>
            <w:r>
              <w:rPr>
                <w:rFonts w:ascii="Arial" w:cs="Arial" w:eastAsia="Arial" w:hAnsi="Arial"/>
                <w:sz w:val="16"/>
                <w:szCs w:val="16"/>
                <w:color w:val="auto"/>
                <w:w w:val="99"/>
              </w:rPr>
              <w:t>The Washington Post Company Supplemental Executive Retirement Plan as amended and restated on September 10, 2008, and</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amended December 18, 2009 (incorporated by reference to Exhibit 10.3 to the Company’s Annual Report on Form 10-K for the fisc</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ended January 3, 2010).*</w:t>
            </w:r>
          </w:p>
        </w:tc>
      </w:tr>
      <w:tr>
        <w:trPr>
          <w:trHeight w:val="236"/>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10.4</w:t>
            </w:r>
          </w:p>
        </w:tc>
        <w:tc>
          <w:tcPr>
            <w:tcW w:w="9580" w:type="dxa"/>
            <w:vAlign w:val="bottom"/>
          </w:tcPr>
          <w:p>
            <w:pPr>
              <w:ind w:left="460"/>
              <w:spacing w:after="0"/>
              <w:rPr>
                <w:sz w:val="20"/>
                <w:szCs w:val="20"/>
                <w:color w:val="auto"/>
              </w:rPr>
            </w:pPr>
            <w:r>
              <w:rPr>
                <w:rFonts w:ascii="Arial" w:cs="Arial" w:eastAsia="Arial" w:hAnsi="Arial"/>
                <w:sz w:val="16"/>
                <w:szCs w:val="16"/>
                <w:color w:val="auto"/>
                <w:w w:val="98"/>
              </w:rPr>
              <w:t>The Washington Post Company Supplemental Executive Retirement Plan, amendments dated July 30, 2012 and December 31, 20</w:t>
            </w:r>
          </w:p>
        </w:tc>
      </w:tr>
      <w:tr>
        <w:trPr>
          <w:trHeight w:val="221"/>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10.5</w:t>
            </w:r>
          </w:p>
        </w:tc>
        <w:tc>
          <w:tcPr>
            <w:tcW w:w="9580" w:type="dxa"/>
            <w:vAlign w:val="bottom"/>
          </w:tcPr>
          <w:p>
            <w:pPr>
              <w:ind w:left="460"/>
              <w:spacing w:after="0"/>
              <w:rPr>
                <w:sz w:val="20"/>
                <w:szCs w:val="20"/>
                <w:color w:val="auto"/>
              </w:rPr>
            </w:pPr>
            <w:r>
              <w:rPr>
                <w:rFonts w:ascii="Arial" w:cs="Arial" w:eastAsia="Arial" w:hAnsi="Arial"/>
                <w:sz w:val="16"/>
                <w:szCs w:val="16"/>
                <w:color w:val="auto"/>
              </w:rPr>
              <w:t>The Washington Post Company Deferred Compensation Plan as amended and restated through December 2007 and amended</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September 23, 2010 (incorporated by reference to Exhibit 10.1 to the Company’s Quarterly Report on Form 10-Q for the quarter en</w:t>
            </w:r>
          </w:p>
        </w:tc>
      </w:tr>
      <w:tr>
        <w:trPr>
          <w:trHeight w:val="188"/>
        </w:trPr>
        <w:tc>
          <w:tcPr>
            <w:tcW w:w="1360" w:type="dxa"/>
            <w:vAlign w:val="bottom"/>
          </w:tcPr>
          <w:p>
            <w:pPr>
              <w:spacing w:after="0"/>
              <w:rPr>
                <w:sz w:val="16"/>
                <w:szCs w:val="16"/>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October 3, 2010).*</w:t>
            </w:r>
          </w:p>
        </w:tc>
      </w:tr>
      <w:tr>
        <w:trPr>
          <w:trHeight w:val="236"/>
        </w:trPr>
        <w:tc>
          <w:tcPr>
            <w:tcW w:w="1360" w:type="dxa"/>
            <w:vAlign w:val="bottom"/>
          </w:tcPr>
          <w:p>
            <w:pPr>
              <w:ind w:left="100"/>
              <w:spacing w:after="0"/>
              <w:rPr>
                <w:sz w:val="20"/>
                <w:szCs w:val="20"/>
                <w:color w:val="auto"/>
              </w:rPr>
            </w:pPr>
            <w:r>
              <w:rPr>
                <w:rFonts w:ascii="Arial" w:cs="Arial" w:eastAsia="Arial" w:hAnsi="Arial"/>
                <w:sz w:val="16"/>
                <w:szCs w:val="16"/>
                <w:color w:val="auto"/>
              </w:rPr>
              <w:t>21</w:t>
            </w:r>
          </w:p>
        </w:tc>
        <w:tc>
          <w:tcPr>
            <w:tcW w:w="9580" w:type="dxa"/>
            <w:vAlign w:val="bottom"/>
          </w:tcPr>
          <w:p>
            <w:pPr>
              <w:ind w:left="460"/>
              <w:spacing w:after="0"/>
              <w:rPr>
                <w:sz w:val="20"/>
                <w:szCs w:val="20"/>
                <w:color w:val="auto"/>
              </w:rPr>
            </w:pPr>
            <w:r>
              <w:rPr>
                <w:rFonts w:ascii="Arial" w:cs="Arial" w:eastAsia="Arial" w:hAnsi="Arial"/>
                <w:sz w:val="16"/>
                <w:szCs w:val="16"/>
                <w:color w:val="auto"/>
              </w:rPr>
              <w:t>List of subsidiaries of the Company.</w:t>
            </w:r>
          </w:p>
        </w:tc>
      </w:tr>
      <w:tr>
        <w:trPr>
          <w:trHeight w:val="236"/>
        </w:trPr>
        <w:tc>
          <w:tcPr>
            <w:tcW w:w="1360" w:type="dxa"/>
            <w:vAlign w:val="bottom"/>
          </w:tcPr>
          <w:p>
            <w:pPr>
              <w:ind w:left="100"/>
              <w:spacing w:after="0"/>
              <w:rPr>
                <w:sz w:val="20"/>
                <w:szCs w:val="20"/>
                <w:color w:val="auto"/>
              </w:rPr>
            </w:pPr>
            <w:r>
              <w:rPr>
                <w:rFonts w:ascii="Arial" w:cs="Arial" w:eastAsia="Arial" w:hAnsi="Arial"/>
                <w:sz w:val="16"/>
                <w:szCs w:val="16"/>
                <w:color w:val="auto"/>
              </w:rPr>
              <w:t>23</w:t>
            </w:r>
          </w:p>
        </w:tc>
        <w:tc>
          <w:tcPr>
            <w:tcW w:w="9580" w:type="dxa"/>
            <w:vAlign w:val="bottom"/>
          </w:tcPr>
          <w:p>
            <w:pPr>
              <w:ind w:left="460"/>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236"/>
        </w:trPr>
        <w:tc>
          <w:tcPr>
            <w:tcW w:w="1360" w:type="dxa"/>
            <w:vAlign w:val="bottom"/>
          </w:tcPr>
          <w:p>
            <w:pPr>
              <w:ind w:left="100"/>
              <w:spacing w:after="0"/>
              <w:rPr>
                <w:sz w:val="20"/>
                <w:szCs w:val="20"/>
                <w:color w:val="auto"/>
              </w:rPr>
            </w:pPr>
            <w:r>
              <w:rPr>
                <w:rFonts w:ascii="Arial" w:cs="Arial" w:eastAsia="Arial" w:hAnsi="Arial"/>
                <w:sz w:val="16"/>
                <w:szCs w:val="16"/>
                <w:color w:val="auto"/>
              </w:rPr>
              <w:t>24</w:t>
            </w:r>
          </w:p>
        </w:tc>
        <w:tc>
          <w:tcPr>
            <w:tcW w:w="9580" w:type="dxa"/>
            <w:vAlign w:val="bottom"/>
          </w:tcPr>
          <w:p>
            <w:pPr>
              <w:ind w:left="460"/>
              <w:spacing w:after="0"/>
              <w:rPr>
                <w:sz w:val="20"/>
                <w:szCs w:val="20"/>
                <w:color w:val="auto"/>
              </w:rPr>
            </w:pPr>
            <w:r>
              <w:rPr>
                <w:rFonts w:ascii="Arial" w:cs="Arial" w:eastAsia="Arial" w:hAnsi="Arial"/>
                <w:sz w:val="16"/>
                <w:szCs w:val="16"/>
                <w:color w:val="auto"/>
              </w:rPr>
              <w:t>Power of attorney dated February 21, 2013.</w:t>
            </w:r>
          </w:p>
        </w:tc>
      </w:tr>
      <w:tr>
        <w:trPr>
          <w:trHeight w:val="236"/>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31.1</w:t>
            </w:r>
          </w:p>
        </w:tc>
        <w:tc>
          <w:tcPr>
            <w:tcW w:w="9580" w:type="dxa"/>
            <w:vAlign w:val="bottom"/>
          </w:tcPr>
          <w:p>
            <w:pPr>
              <w:ind w:left="460"/>
              <w:spacing w:after="0"/>
              <w:rPr>
                <w:sz w:val="20"/>
                <w:szCs w:val="20"/>
                <w:color w:val="auto"/>
              </w:rPr>
            </w:pPr>
            <w:r>
              <w:rPr>
                <w:rFonts w:ascii="Arial" w:cs="Arial" w:eastAsia="Arial" w:hAnsi="Arial"/>
                <w:sz w:val="16"/>
                <w:szCs w:val="16"/>
                <w:color w:val="auto"/>
              </w:rPr>
              <w:t>Rule 13a-14(a)/15d-14(a) Certification of the Chief Executive Officer.</w:t>
            </w:r>
          </w:p>
        </w:tc>
      </w:tr>
      <w:tr>
        <w:trPr>
          <w:trHeight w:val="236"/>
        </w:trPr>
        <w:tc>
          <w:tcPr>
            <w:tcW w:w="1360" w:type="dxa"/>
            <w:vAlign w:val="bottom"/>
          </w:tcPr>
          <w:p>
            <w:pPr>
              <w:jc w:val="right"/>
              <w:ind w:right="862"/>
              <w:spacing w:after="0"/>
              <w:rPr>
                <w:sz w:val="20"/>
                <w:szCs w:val="20"/>
                <w:color w:val="auto"/>
              </w:rPr>
            </w:pPr>
            <w:r>
              <w:rPr>
                <w:rFonts w:ascii="Arial" w:cs="Arial" w:eastAsia="Arial" w:hAnsi="Arial"/>
                <w:sz w:val="16"/>
                <w:szCs w:val="16"/>
                <w:color w:val="auto"/>
              </w:rPr>
              <w:t>31.2</w:t>
            </w:r>
          </w:p>
        </w:tc>
        <w:tc>
          <w:tcPr>
            <w:tcW w:w="9580" w:type="dxa"/>
            <w:vAlign w:val="bottom"/>
          </w:tcPr>
          <w:p>
            <w:pPr>
              <w:ind w:left="460"/>
              <w:spacing w:after="0"/>
              <w:rPr>
                <w:sz w:val="20"/>
                <w:szCs w:val="20"/>
                <w:color w:val="auto"/>
              </w:rPr>
            </w:pPr>
            <w:r>
              <w:rPr>
                <w:rFonts w:ascii="Arial" w:cs="Arial" w:eastAsia="Arial" w:hAnsi="Arial"/>
                <w:sz w:val="16"/>
                <w:szCs w:val="16"/>
                <w:color w:val="auto"/>
              </w:rPr>
              <w:t>Rule 13a-14(a)/15d-14(a) Certification of the Chief Financial Officer.</w:t>
            </w:r>
          </w:p>
        </w:tc>
      </w:tr>
      <w:tr>
        <w:trPr>
          <w:trHeight w:val="236"/>
        </w:trPr>
        <w:tc>
          <w:tcPr>
            <w:tcW w:w="1360" w:type="dxa"/>
            <w:vAlign w:val="bottom"/>
          </w:tcPr>
          <w:p>
            <w:pPr>
              <w:ind w:left="100"/>
              <w:spacing w:after="0"/>
              <w:rPr>
                <w:sz w:val="20"/>
                <w:szCs w:val="20"/>
                <w:color w:val="auto"/>
              </w:rPr>
            </w:pPr>
            <w:r>
              <w:rPr>
                <w:rFonts w:ascii="Arial" w:cs="Arial" w:eastAsia="Arial" w:hAnsi="Arial"/>
                <w:sz w:val="16"/>
                <w:szCs w:val="16"/>
                <w:color w:val="auto"/>
              </w:rPr>
              <w:t>32</w:t>
            </w:r>
          </w:p>
        </w:tc>
        <w:tc>
          <w:tcPr>
            <w:tcW w:w="9580" w:type="dxa"/>
            <w:vAlign w:val="bottom"/>
          </w:tcPr>
          <w:p>
            <w:pPr>
              <w:ind w:left="460"/>
              <w:spacing w:after="0"/>
              <w:rPr>
                <w:sz w:val="20"/>
                <w:szCs w:val="20"/>
                <w:color w:val="auto"/>
              </w:rPr>
            </w:pPr>
            <w:r>
              <w:rPr>
                <w:rFonts w:ascii="Arial" w:cs="Arial" w:eastAsia="Arial" w:hAnsi="Arial"/>
                <w:sz w:val="16"/>
                <w:szCs w:val="16"/>
                <w:color w:val="auto"/>
              </w:rPr>
              <w:t>Section 1350 Certification of the Chief Executive Officer and the Chief Financial Officer.</w:t>
            </w:r>
          </w:p>
        </w:tc>
      </w:tr>
      <w:tr>
        <w:trPr>
          <w:trHeight w:val="234"/>
        </w:trPr>
        <w:tc>
          <w:tcPr>
            <w:tcW w:w="1360" w:type="dxa"/>
            <w:vAlign w:val="bottom"/>
          </w:tcPr>
          <w:p>
            <w:pPr>
              <w:ind w:left="100"/>
              <w:spacing w:after="0"/>
              <w:rPr>
                <w:sz w:val="20"/>
                <w:szCs w:val="20"/>
                <w:color w:val="auto"/>
              </w:rPr>
            </w:pPr>
            <w:r>
              <w:rPr>
                <w:rFonts w:ascii="Arial" w:cs="Arial" w:eastAsia="Arial" w:hAnsi="Arial"/>
                <w:sz w:val="16"/>
                <w:szCs w:val="16"/>
                <w:color w:val="auto"/>
              </w:rPr>
              <w:t>101</w:t>
            </w:r>
          </w:p>
        </w:tc>
        <w:tc>
          <w:tcPr>
            <w:tcW w:w="9580" w:type="dxa"/>
            <w:vAlign w:val="bottom"/>
          </w:tcPr>
          <w:p>
            <w:pPr>
              <w:ind w:left="460"/>
              <w:spacing w:after="0"/>
              <w:rPr>
                <w:sz w:val="20"/>
                <w:szCs w:val="20"/>
                <w:color w:val="auto"/>
              </w:rPr>
            </w:pPr>
            <w:r>
              <w:rPr>
                <w:rFonts w:ascii="Arial" w:cs="Arial" w:eastAsia="Arial" w:hAnsi="Arial"/>
                <w:sz w:val="16"/>
                <w:szCs w:val="16"/>
                <w:color w:val="auto"/>
                <w:w w:val="97"/>
              </w:rPr>
              <w:t>The following financial information from The Washington Post Company Annual Report on Form 10-K for the year ended December</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2012, formatted in Extensible Business Reporting Language (XBRL): (i) Consolidated Statements of Operations for the fiscal years</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December 31, 2012 and 2011, and January 2, 2011; (ii) Consolidated Statements of Comprehensive Income for the fiscal years en</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rPr>
              <w:t>December 31, 2012 and 2011, and January 2, 2011; (iii) Consolidated Balance Sheets as of December 31, 2012 and 2011; (iv)</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Consolidated Statements of Cash Flows for the fiscal years ended December 31, 2012 and 2011, and January 2, 2011; (v) Consoli</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8"/>
              </w:rPr>
              <w:t>Statements of Changes in Common Shareholders’ Equity for the fiscal years ended December 31, 2012 and 2011, and January 2,</w:t>
            </w:r>
          </w:p>
        </w:tc>
      </w:tr>
      <w:tr>
        <w:trPr>
          <w:trHeight w:val="174"/>
        </w:trPr>
        <w:tc>
          <w:tcPr>
            <w:tcW w:w="1360" w:type="dxa"/>
            <w:vAlign w:val="bottom"/>
          </w:tcPr>
          <w:p>
            <w:pPr>
              <w:spacing w:after="0"/>
              <w:rPr>
                <w:sz w:val="15"/>
                <w:szCs w:val="15"/>
                <w:color w:val="auto"/>
              </w:rPr>
            </w:pPr>
          </w:p>
        </w:tc>
        <w:tc>
          <w:tcPr>
            <w:tcW w:w="9580" w:type="dxa"/>
            <w:vAlign w:val="bottom"/>
          </w:tcPr>
          <w:p>
            <w:pPr>
              <w:ind w:left="460"/>
              <w:spacing w:after="0" w:line="174" w:lineRule="exact"/>
              <w:rPr>
                <w:sz w:val="20"/>
                <w:szCs w:val="20"/>
                <w:color w:val="auto"/>
              </w:rPr>
            </w:pPr>
            <w:r>
              <w:rPr>
                <w:rFonts w:ascii="Arial" w:cs="Arial" w:eastAsia="Arial" w:hAnsi="Arial"/>
                <w:sz w:val="16"/>
                <w:szCs w:val="16"/>
                <w:color w:val="auto"/>
                <w:w w:val="97"/>
              </w:rPr>
              <w:t>and (vi) Notes to Consolidated Financial Statements. Pursuant to Rule 406T of Regulation S-T, these interactive data files are deem</w:t>
            </w:r>
          </w:p>
        </w:tc>
      </w:tr>
    </w:tbl>
    <w:p>
      <w:pPr>
        <w:jc w:val="both"/>
        <w:ind w:left="1820" w:right="40"/>
        <w:spacing w:after="0" w:line="231" w:lineRule="auto"/>
        <w:rPr>
          <w:sz w:val="20"/>
          <w:szCs w:val="20"/>
          <w:color w:val="auto"/>
        </w:rPr>
      </w:pPr>
      <w:r>
        <w:rPr>
          <w:rFonts w:ascii="Arial" w:cs="Arial" w:eastAsia="Arial" w:hAnsi="Arial"/>
          <w:sz w:val="16"/>
          <w:szCs w:val="16"/>
          <w:color w:val="auto"/>
        </w:rPr>
        <w:t>“furnished” and not “filed” or part of a registration statement or prospectus for purposes of Sections 11 or 12 of the Securities Act of are deemed “furnished” and not “filed” for purposes of Section 18 of the Securities Exchange Act of 1934, and otherwise are not su liability under these sections.</w:t>
      </w:r>
    </w:p>
    <w:p>
      <w:pPr>
        <w:spacing w:after="0"/>
        <w:rPr>
          <w:sz w:val="20"/>
          <w:szCs w:val="20"/>
          <w:color w:val="auto"/>
        </w:rPr>
      </w:pPr>
      <w:r>
        <w:rPr>
          <w:rFonts w:ascii="Arial" w:cs="Arial" w:eastAsia="Arial" w:hAnsi="Arial"/>
          <w:sz w:val="5"/>
          <w:szCs w:val="5"/>
          <w:color w:val="auto"/>
        </w:rPr>
        <w:t>___________________________________________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12"/>
          <w:szCs w:val="12"/>
          <w:color w:val="auto"/>
        </w:rPr>
        <w:t>* A management contract or compensatory plan or arrangement required to be included as an exhibit hereto pursuant to Item 15(b) of Form 10-K.</w:t>
      </w:r>
    </w:p>
    <w:p>
      <w:pPr>
        <w:spacing w:after="0" w:line="247" w:lineRule="exact"/>
        <w:rPr>
          <w:sz w:val="20"/>
          <w:szCs w:val="20"/>
          <w:color w:val="auto"/>
        </w:rPr>
      </w:pPr>
    </w:p>
    <w:p>
      <w:pPr>
        <w:jc w:val="center"/>
        <w:ind w:left="110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8" w:right="139" w:bottom="1440" w:gutter="0" w:footer="0" w:header="0"/>
        </w:sectPr>
      </w:pPr>
    </w:p>
    <w:bookmarkStart w:id="132" w:name="page133"/>
    <w:bookmarkEnd w:id="13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color w:val="auto"/>
        </w:rPr>
        <w:t>EXHIBI</w:t>
      </w:r>
    </w:p>
    <w:p>
      <w:pPr>
        <w:spacing w:after="0" w:line="157"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Statement of Amendment Number Two</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To The Washington Post Company</w:t>
      </w:r>
    </w:p>
    <w:p>
      <w:pPr>
        <w:jc w:val="center"/>
        <w:ind w:left="1160"/>
        <w:spacing w:after="0"/>
        <w:rPr>
          <w:sz w:val="20"/>
          <w:szCs w:val="20"/>
          <w:color w:val="auto"/>
        </w:rPr>
      </w:pPr>
      <w:r>
        <w:rPr>
          <w:rFonts w:ascii="Arial" w:cs="Arial" w:eastAsia="Arial" w:hAnsi="Arial"/>
          <w:sz w:val="17"/>
          <w:szCs w:val="17"/>
          <w:b w:val="1"/>
          <w:bCs w:val="1"/>
          <w:color w:val="auto"/>
        </w:rPr>
        <w:t>Supplemental Executive Retirement Plan</w:t>
      </w:r>
    </w:p>
    <w:p>
      <w:pPr>
        <w:spacing w:after="0" w:line="202" w:lineRule="exact"/>
        <w:rPr>
          <w:sz w:val="20"/>
          <w:szCs w:val="20"/>
          <w:color w:val="auto"/>
        </w:rPr>
      </w:pPr>
    </w:p>
    <w:p>
      <w:pPr>
        <w:spacing w:after="0" w:line="307" w:lineRule="auto"/>
        <w:rPr>
          <w:sz w:val="20"/>
          <w:szCs w:val="20"/>
          <w:color w:val="auto"/>
        </w:rPr>
      </w:pPr>
      <w:r>
        <w:rPr>
          <w:rFonts w:ascii="Arial" w:cs="Arial" w:eastAsia="Arial" w:hAnsi="Arial"/>
          <w:sz w:val="17"/>
          <w:szCs w:val="17"/>
          <w:color w:val="auto"/>
        </w:rPr>
        <w:t>The Washington Post Company Supplemental Executive Retirement Plan, as amended and restated September 2008 (the “Plan”), is hereby amended follows:</w:t>
      </w:r>
    </w:p>
    <w:p>
      <w:pPr>
        <w:spacing w:after="0" w:line="28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January 1, 2012, Section 3(a) of the Plan is amended by adding the following new paragraph (ix) at the end thereof:</w:t>
      </w:r>
    </w:p>
    <w:p>
      <w:pPr>
        <w:spacing w:after="0" w:line="301" w:lineRule="exact"/>
        <w:rPr>
          <w:sz w:val="20"/>
          <w:szCs w:val="20"/>
          <w:color w:val="auto"/>
        </w:rPr>
      </w:pPr>
    </w:p>
    <w:p>
      <w:pPr>
        <w:ind w:left="580" w:firstLine="602"/>
        <w:spacing w:after="0" w:line="305" w:lineRule="auto"/>
        <w:tabs>
          <w:tab w:leader="none" w:pos="1773"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case of a Participant who elects to participate in the 2012 Voluntary Retirement Incentive Program (the “2012 VRIP”) contained in the Post-Newsweek Media Cash Balance Retirement Benefits Schedule to the Statement of Basic Cash Balance Provisions of T Retirement Plan for Washington Post Companies, such Participant’s Supplemental Retirement Benefits shall be determined based on the term the Retirement Plans, including the 2012 VRIP.</w:t>
      </w:r>
    </w:p>
    <w:p>
      <w:pPr>
        <w:spacing w:after="0" w:line="247"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July 1, 2012, Section 3(a) of the Plan is amended by adding the following new paragraph (x) to the end thereof:</w:t>
      </w:r>
    </w:p>
    <w:p>
      <w:pPr>
        <w:spacing w:after="0" w:line="301" w:lineRule="exact"/>
        <w:rPr>
          <w:sz w:val="20"/>
          <w:szCs w:val="20"/>
          <w:color w:val="auto"/>
        </w:rPr>
      </w:pPr>
    </w:p>
    <w:p>
      <w:pPr>
        <w:ind w:left="580" w:firstLine="602"/>
        <w:spacing w:after="0" w:line="306" w:lineRule="auto"/>
        <w:tabs>
          <w:tab w:leader="none" w:pos="1736" w:val="left"/>
        </w:tabs>
        <w:numPr>
          <w:ilvl w:val="0"/>
          <w:numId w:val="78"/>
        </w:numPr>
        <w:rPr>
          <w:rFonts w:ascii="Arial" w:cs="Arial" w:eastAsia="Arial" w:hAnsi="Arial"/>
          <w:sz w:val="17"/>
          <w:szCs w:val="17"/>
          <w:color w:val="auto"/>
        </w:rPr>
      </w:pPr>
      <w:r>
        <w:rPr>
          <w:rFonts w:ascii="Arial" w:cs="Arial" w:eastAsia="Arial" w:hAnsi="Arial"/>
          <w:sz w:val="17"/>
          <w:szCs w:val="17"/>
          <w:color w:val="auto"/>
        </w:rPr>
        <w:t>Notwithstanding the foregoing, effective July 1, 2012, the Supplemental Retirement Benefits shall be determined excluding the Secure Retirement Account (a Cash Balance Retirement Benefits Schedule in the Retirement Plans) from both the benefit paid under the Retirement Plans and from the Unrestricted Benefit.</w:t>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3.</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July 1, 2012, Section 4 of the Plan is amended by adding the following new subsection (h) to the end thereof:</w:t>
      </w:r>
    </w:p>
    <w:p>
      <w:pPr>
        <w:spacing w:after="0" w:line="53" w:lineRule="exact"/>
        <w:rPr>
          <w:sz w:val="20"/>
          <w:szCs w:val="20"/>
          <w:color w:val="auto"/>
        </w:rPr>
      </w:pPr>
    </w:p>
    <w:p>
      <w:pPr>
        <w:ind w:left="580" w:firstLine="602"/>
        <w:spacing w:after="0" w:line="305" w:lineRule="auto"/>
        <w:tabs>
          <w:tab w:leader="none" w:pos="1745"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Notwithstanding the foregoing, effective July 1, 2012, the Supplemental Basic Contribution and the matching under Section 4( above shall be determined as if the matching provision in the applicable Savings Plan were as follows: (i) the maximum employee contribution percentage that is treated as matched (for this purpose) shall be the actual percentage under the applicable Savings Plan, plus the multiplier ( the Secure Retirement Account Cash Balance Retirement Benefits Schedule) divided by 100; and (ii) the matching employer contribution percentage shall be 100%. As an example of the foregoing, if the maximum employee contribution percentage that is matched is 1% and the multiplier is 3, then for purposes of Section 4(a), the Supplemental Basic Contribution and matching contribution shall be determined as if the applicable Savings Plan match is equal to 100% of the employee’s contribution of up to 4% of Base Salary. Notwithstanding the above, if the multiplier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44450</wp:posOffset>
            </wp:positionV>
            <wp:extent cx="7278370"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561" w:right="139" w:bottom="1440" w:gutter="0" w:footer="0" w:header="0"/>
        </w:sectPr>
      </w:pPr>
    </w:p>
    <w:bookmarkStart w:id="134" w:name="page135"/>
    <w:bookmarkEnd w:id="134"/>
    <w:p>
      <w:pPr>
        <w:ind w:left="1160"/>
        <w:spacing w:after="0"/>
        <w:rPr>
          <w:sz w:val="20"/>
          <w:szCs w:val="20"/>
          <w:color w:val="auto"/>
        </w:rPr>
      </w:pPr>
      <w:r>
        <w:rPr>
          <w:rFonts w:ascii="Arial" w:cs="Arial" w:eastAsia="Arial" w:hAnsi="Arial"/>
          <w:sz w:val="16"/>
          <w:szCs w:val="16"/>
          <w:color w:val="auto"/>
        </w:rPr>
        <w:t>4.2, then the Supplemental Basic Contribution and matching contribution shall be determined as if the applicable Savings Plan match is equal</w:t>
      </w:r>
    </w:p>
    <w:p>
      <w:pPr>
        <w:spacing w:after="0" w:line="64"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130% of the employee’s contribution of up to 4% of Base Salary.</w:t>
      </w:r>
    </w:p>
    <w:p>
      <w:pPr>
        <w:spacing w:after="0" w:line="30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w:t>
      </w:r>
    </w:p>
    <w:p>
      <w:pPr>
        <w:spacing w:after="0" w:line="53" w:lineRule="exact"/>
        <w:rPr>
          <w:sz w:val="20"/>
          <w:szCs w:val="20"/>
          <w:color w:val="auto"/>
        </w:rPr>
      </w:pPr>
    </w:p>
    <w:p>
      <w:pPr>
        <w:ind w:left="580"/>
        <w:spacing w:after="0" w:line="307" w:lineRule="auto"/>
        <w:rPr>
          <w:sz w:val="20"/>
          <w:szCs w:val="20"/>
          <w:color w:val="auto"/>
        </w:rPr>
      </w:pPr>
      <w:r>
        <w:rPr>
          <w:rFonts w:ascii="Arial" w:cs="Arial" w:eastAsia="Arial" w:hAnsi="Arial"/>
          <w:sz w:val="17"/>
          <w:szCs w:val="17"/>
          <w:color w:val="auto"/>
        </w:rPr>
        <w:t xml:space="preserve">The foregoing amendment to the Supplemental Executive Retirement Plan is hereby adopted, approved, ratified and confirmed on this </w:t>
      </w:r>
      <w:r>
        <w:rPr>
          <w:rFonts w:ascii="Arial" w:cs="Arial" w:eastAsia="Arial" w:hAnsi="Arial"/>
          <w:sz w:val="17"/>
          <w:szCs w:val="17"/>
          <w:u w:val="single" w:color="auto"/>
          <w:color w:val="auto"/>
        </w:rPr>
        <w:t>30th</w:t>
      </w:r>
      <w:r>
        <w:rPr>
          <w:rFonts w:ascii="Arial" w:cs="Arial" w:eastAsia="Arial" w:hAnsi="Arial"/>
          <w:sz w:val="17"/>
          <w:szCs w:val="17"/>
          <w:color w:val="auto"/>
        </w:rPr>
        <w:t xml:space="preserve"> day of J 2012.</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80" w:type="dxa"/>
            <w:vAlign w:val="bottom"/>
          </w:tcPr>
          <w:p>
            <w:pPr>
              <w:ind w:left="3920"/>
              <w:spacing w:after="0"/>
              <w:rPr>
                <w:sz w:val="20"/>
                <w:szCs w:val="20"/>
                <w:color w:val="auto"/>
              </w:rPr>
            </w:pPr>
            <w:r>
              <w:rPr>
                <w:rFonts w:ascii="Arial" w:cs="Arial" w:eastAsia="Arial" w:hAnsi="Arial"/>
                <w:sz w:val="17"/>
                <w:szCs w:val="17"/>
                <w:color w:val="auto"/>
              </w:rPr>
              <w:t>THE WASHINGTON POST COMPANY</w:t>
            </w:r>
          </w:p>
        </w:tc>
        <w:tc>
          <w:tcPr>
            <w:tcW w:w="3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7780" w:type="dxa"/>
            <w:vAlign w:val="bottom"/>
          </w:tcPr>
          <w:p>
            <w:pPr>
              <w:ind w:left="6040"/>
              <w:spacing w:after="0"/>
              <w:rPr>
                <w:sz w:val="20"/>
                <w:szCs w:val="20"/>
                <w:color w:val="auto"/>
              </w:rPr>
            </w:pPr>
            <w:r>
              <w:rPr>
                <w:rFonts w:ascii="Arial" w:cs="Arial" w:eastAsia="Arial" w:hAnsi="Arial"/>
                <w:sz w:val="17"/>
                <w:szCs w:val="17"/>
                <w:color w:val="auto"/>
              </w:rPr>
              <w:t>By:</w:t>
            </w:r>
          </w:p>
        </w:tc>
        <w:tc>
          <w:tcPr>
            <w:tcW w:w="37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7"/>
                <w:szCs w:val="17"/>
                <w:color w:val="auto"/>
                <w:w w:val="96"/>
              </w:rPr>
              <w:t>/s/ Ann L. McDaniel</w:t>
            </w:r>
          </w:p>
        </w:tc>
      </w:tr>
      <w:tr>
        <w:trPr>
          <w:trHeight w:val="365"/>
        </w:trPr>
        <w:tc>
          <w:tcPr>
            <w:tcW w:w="7780" w:type="dxa"/>
            <w:vAlign w:val="bottom"/>
          </w:tcPr>
          <w:p>
            <w:pPr>
              <w:ind w:left="6040"/>
              <w:spacing w:after="0"/>
              <w:rPr>
                <w:sz w:val="20"/>
                <w:szCs w:val="20"/>
                <w:color w:val="auto"/>
              </w:rPr>
            </w:pPr>
            <w:r>
              <w:rPr>
                <w:rFonts w:ascii="Arial" w:cs="Arial" w:eastAsia="Arial" w:hAnsi="Arial"/>
                <w:sz w:val="17"/>
                <w:szCs w:val="17"/>
                <w:color w:val="auto"/>
              </w:rPr>
              <w:t>Title:</w:t>
            </w:r>
          </w:p>
        </w:tc>
        <w:tc>
          <w:tcPr>
            <w:tcW w:w="37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7"/>
                <w:szCs w:val="17"/>
                <w:color w:val="auto"/>
                <w:w w:val="96"/>
              </w:rPr>
              <w:t>Senior Vice President</w:t>
            </w:r>
          </w:p>
        </w:tc>
      </w:tr>
      <w:tr>
        <w:trPr>
          <w:trHeight w:val="895"/>
        </w:trPr>
        <w:tc>
          <w:tcPr>
            <w:tcW w:w="778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387" w:right="139" w:bottom="1440" w:gutter="0" w:footer="0" w:header="0"/>
        </w:sectPr>
      </w:pPr>
    </w:p>
    <w:bookmarkStart w:id="135" w:name="page136"/>
    <w:bookmarkEnd w:id="135"/>
    <w:p>
      <w:pPr>
        <w:jc w:val="center"/>
        <w:ind w:left="1160"/>
        <w:spacing w:after="0"/>
        <w:rPr>
          <w:sz w:val="20"/>
          <w:szCs w:val="20"/>
          <w:color w:val="auto"/>
        </w:rPr>
      </w:pPr>
      <w:r>
        <w:rPr>
          <w:rFonts w:ascii="Arial" w:cs="Arial" w:eastAsia="Arial" w:hAnsi="Arial"/>
          <w:sz w:val="17"/>
          <w:szCs w:val="17"/>
          <w:b w:val="1"/>
          <w:bCs w:val="1"/>
          <w:color w:val="auto"/>
        </w:rPr>
        <w:t>Statement of Amendment Number Three</w:t>
      </w:r>
    </w:p>
    <w:p>
      <w:pPr>
        <w:spacing w:after="0" w:line="152"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To The Washington Post Company</w:t>
      </w:r>
    </w:p>
    <w:p>
      <w:pPr>
        <w:spacing w:after="0" w:line="164" w:lineRule="exact"/>
        <w:rPr>
          <w:sz w:val="20"/>
          <w:szCs w:val="20"/>
          <w:color w:val="auto"/>
        </w:rPr>
      </w:pPr>
    </w:p>
    <w:p>
      <w:pPr>
        <w:jc w:val="center"/>
        <w:ind w:left="1160"/>
        <w:spacing w:after="0"/>
        <w:rPr>
          <w:sz w:val="20"/>
          <w:szCs w:val="20"/>
          <w:color w:val="auto"/>
        </w:rPr>
      </w:pPr>
      <w:r>
        <w:rPr>
          <w:rFonts w:ascii="Arial" w:cs="Arial" w:eastAsia="Arial" w:hAnsi="Arial"/>
          <w:sz w:val="17"/>
          <w:szCs w:val="17"/>
          <w:b w:val="1"/>
          <w:bCs w:val="1"/>
          <w:color w:val="auto"/>
        </w:rPr>
        <w:t>Supplemental Executive Retirement Plan</w:t>
      </w:r>
    </w:p>
    <w:p>
      <w:pPr>
        <w:spacing w:after="0" w:line="200" w:lineRule="exact"/>
        <w:rPr>
          <w:sz w:val="20"/>
          <w:szCs w:val="20"/>
          <w:color w:val="auto"/>
        </w:rPr>
      </w:pPr>
    </w:p>
    <w:p>
      <w:pPr>
        <w:spacing w:after="0" w:line="344" w:lineRule="exact"/>
        <w:rPr>
          <w:sz w:val="20"/>
          <w:szCs w:val="20"/>
          <w:color w:val="auto"/>
        </w:rPr>
      </w:pPr>
    </w:p>
    <w:p>
      <w:pPr>
        <w:ind w:left="580"/>
        <w:spacing w:after="0" w:line="307" w:lineRule="auto"/>
        <w:rPr>
          <w:sz w:val="20"/>
          <w:szCs w:val="20"/>
          <w:color w:val="auto"/>
        </w:rPr>
      </w:pPr>
      <w:r>
        <w:rPr>
          <w:rFonts w:ascii="Arial" w:cs="Arial" w:eastAsia="Arial" w:hAnsi="Arial"/>
          <w:sz w:val="17"/>
          <w:szCs w:val="17"/>
          <w:color w:val="auto"/>
        </w:rPr>
        <w:t>The Washington Post Company Supplemental Executive Retirement Plan, as amended and restated September 2008 (the “Plan”), is hereby amended follows:</w:t>
      </w:r>
    </w:p>
    <w:p>
      <w:pPr>
        <w:spacing w:after="0" w:line="207"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1.</w:t>
      </w:r>
    </w:p>
    <w:p>
      <w:pPr>
        <w:spacing w:after="0" w:line="22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Subsection 2(g) of the Plan (definition of “Compensation”) is amended by adding the following new paragraph to the end thereof:</w:t>
      </w:r>
    </w:p>
    <w:p>
      <w:pPr>
        <w:spacing w:after="0" w:line="200" w:lineRule="exact"/>
        <w:rPr>
          <w:sz w:val="20"/>
          <w:szCs w:val="20"/>
          <w:color w:val="auto"/>
        </w:rPr>
      </w:pPr>
    </w:p>
    <w:p>
      <w:pPr>
        <w:spacing w:after="0" w:line="312" w:lineRule="exact"/>
        <w:rPr>
          <w:sz w:val="20"/>
          <w:szCs w:val="20"/>
          <w:color w:val="auto"/>
        </w:rPr>
      </w:pPr>
    </w:p>
    <w:p>
      <w:pPr>
        <w:jc w:val="both"/>
        <w:ind w:left="1160" w:firstLine="596"/>
        <w:spacing w:after="0" w:line="245" w:lineRule="auto"/>
        <w:rPr>
          <w:sz w:val="20"/>
          <w:szCs w:val="20"/>
          <w:color w:val="auto"/>
        </w:rPr>
      </w:pPr>
      <w:r>
        <w:rPr>
          <w:rFonts w:ascii="Arial" w:cs="Arial" w:eastAsia="Arial" w:hAnsi="Arial"/>
          <w:sz w:val="16"/>
          <w:szCs w:val="16"/>
          <w:u w:val="single" w:color="auto"/>
          <w:color w:val="auto"/>
        </w:rPr>
        <w:t>Special Rule for Bonuses Effective January 1, 2013</w:t>
      </w:r>
      <w:r>
        <w:rPr>
          <w:rFonts w:ascii="Arial" w:cs="Arial" w:eastAsia="Arial" w:hAnsi="Arial"/>
          <w:sz w:val="16"/>
          <w:szCs w:val="16"/>
          <w:color w:val="auto"/>
        </w:rPr>
        <w:t>. The rule in this paragraph shall apply solely for purposes of Section 3, and shall effective January 1, 2013. Each Bonus includible in Compensation under the previous paragraph (“Bonus” or “Bonuses”) shall be included in Compensation in the year following the year in which the Bonus was earned (which, for avoidance of ambiguity, is normally the year in which s Bonus is paid). Notwithstanding the above, in the event a Participant’s benefit under Section 3 would be greater, every Bonus for the Participa shall be included in Compensation in the year in which such Bonus was earned. The rule in this paragraph shall apply to all Bonuses, includin Bonuses earned before January 1, 2013. Notwithstanding the above, the Participant’s benefit under Section 3 hereof shall be no less than the benefit computed as of December 31, 2012 taking into account only service and compensation before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w:t>
      </w:r>
    </w:p>
    <w:p>
      <w:pPr>
        <w:spacing w:after="0" w:line="214" w:lineRule="exact"/>
        <w:rPr>
          <w:sz w:val="20"/>
          <w:szCs w:val="20"/>
          <w:color w:val="auto"/>
        </w:rPr>
      </w:pPr>
    </w:p>
    <w:p>
      <w:pPr>
        <w:ind w:left="580" w:right="60"/>
        <w:spacing w:after="0" w:line="307" w:lineRule="auto"/>
        <w:rPr>
          <w:sz w:val="20"/>
          <w:szCs w:val="20"/>
          <w:color w:val="auto"/>
        </w:rPr>
      </w:pPr>
      <w:r>
        <w:rPr>
          <w:rFonts w:ascii="Arial" w:cs="Arial" w:eastAsia="Arial" w:hAnsi="Arial"/>
          <w:sz w:val="17"/>
          <w:szCs w:val="17"/>
          <w:color w:val="auto"/>
        </w:rPr>
        <w:t>The foregoing amendment to the Supplemental Executive Retirement Plan is hereby adopted, approved, ratified and confirmed on this 31st day of December,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6621145</wp:posOffset>
            </wp:positionH>
            <wp:positionV relativeFrom="paragraph">
              <wp:posOffset>-213995</wp:posOffset>
            </wp:positionV>
            <wp:extent cx="34417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4170" cy="7620"/>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780" w:type="dxa"/>
            <w:vAlign w:val="bottom"/>
          </w:tcPr>
          <w:p>
            <w:pPr>
              <w:ind w:left="3920"/>
              <w:spacing w:after="0"/>
              <w:rPr>
                <w:sz w:val="20"/>
                <w:szCs w:val="20"/>
                <w:color w:val="auto"/>
              </w:rPr>
            </w:pPr>
            <w:r>
              <w:rPr>
                <w:rFonts w:ascii="Arial" w:cs="Arial" w:eastAsia="Arial" w:hAnsi="Arial"/>
                <w:sz w:val="17"/>
                <w:szCs w:val="17"/>
                <w:color w:val="auto"/>
              </w:rPr>
              <w:t>THE WASHINGTON POST COMPANY</w:t>
            </w:r>
          </w:p>
        </w:tc>
        <w:tc>
          <w:tcPr>
            <w:tcW w:w="3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0"/>
        </w:trPr>
        <w:tc>
          <w:tcPr>
            <w:tcW w:w="7780" w:type="dxa"/>
            <w:vAlign w:val="bottom"/>
          </w:tcPr>
          <w:p>
            <w:pPr>
              <w:ind w:left="6040"/>
              <w:spacing w:after="0"/>
              <w:rPr>
                <w:sz w:val="20"/>
                <w:szCs w:val="20"/>
                <w:color w:val="auto"/>
              </w:rPr>
            </w:pPr>
            <w:r>
              <w:rPr>
                <w:rFonts w:ascii="Arial" w:cs="Arial" w:eastAsia="Arial" w:hAnsi="Arial"/>
                <w:sz w:val="17"/>
                <w:szCs w:val="17"/>
                <w:color w:val="auto"/>
              </w:rPr>
              <w:t>By:</w:t>
            </w:r>
          </w:p>
        </w:tc>
        <w:tc>
          <w:tcPr>
            <w:tcW w:w="37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7"/>
                <w:szCs w:val="17"/>
                <w:color w:val="auto"/>
                <w:w w:val="97"/>
              </w:rPr>
              <w:t>/s/ Veronica Dillon</w:t>
            </w:r>
          </w:p>
        </w:tc>
      </w:tr>
      <w:tr>
        <w:trPr>
          <w:trHeight w:val="365"/>
        </w:trPr>
        <w:tc>
          <w:tcPr>
            <w:tcW w:w="7780" w:type="dxa"/>
            <w:vAlign w:val="bottom"/>
          </w:tcPr>
          <w:p>
            <w:pPr>
              <w:ind w:left="6040"/>
              <w:spacing w:after="0"/>
              <w:rPr>
                <w:sz w:val="20"/>
                <w:szCs w:val="20"/>
                <w:color w:val="auto"/>
              </w:rPr>
            </w:pPr>
            <w:r>
              <w:rPr>
                <w:rFonts w:ascii="Arial" w:cs="Arial" w:eastAsia="Arial" w:hAnsi="Arial"/>
                <w:sz w:val="17"/>
                <w:szCs w:val="17"/>
                <w:color w:val="auto"/>
              </w:rPr>
              <w:t>Title:</w:t>
            </w:r>
          </w:p>
        </w:tc>
        <w:tc>
          <w:tcPr>
            <w:tcW w:w="37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7"/>
                <w:szCs w:val="17"/>
                <w:color w:val="auto"/>
                <w:w w:val="96"/>
              </w:rPr>
              <w:t>Senior Vice President</w:t>
            </w:r>
          </w:p>
        </w:tc>
      </w:tr>
      <w:tr>
        <w:trPr>
          <w:trHeight w:val="559"/>
        </w:trPr>
        <w:tc>
          <w:tcPr>
            <w:tcW w:w="7780" w:type="dxa"/>
            <w:vAlign w:val="bottom"/>
            <w:tcBorders>
              <w:bottom w:val="single" w:sz="8" w:color="808080"/>
            </w:tcBorders>
          </w:tcPr>
          <w:p>
            <w:pPr>
              <w:spacing w:after="0"/>
              <w:rPr>
                <w:sz w:val="24"/>
                <w:szCs w:val="24"/>
                <w:color w:val="auto"/>
              </w:rPr>
            </w:pPr>
          </w:p>
        </w:tc>
        <w:tc>
          <w:tcPr>
            <w:tcW w:w="36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764" w:right="139" w:bottom="1440" w:gutter="0" w:footer="0" w:header="0"/>
        </w:sectPr>
      </w:pPr>
    </w:p>
    <w:bookmarkStart w:id="136" w:name="page137"/>
    <w:bookmarkEnd w:id="1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98"/>
        </w:trPr>
        <w:tc>
          <w:tcPr>
            <w:tcW w:w="7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EXHIBIT 2</w:t>
            </w:r>
          </w:p>
        </w:tc>
      </w:tr>
      <w:tr>
        <w:trPr>
          <w:trHeight w:val="361"/>
        </w:trPr>
        <w:tc>
          <w:tcPr>
            <w:tcW w:w="7120" w:type="dxa"/>
            <w:vAlign w:val="bottom"/>
          </w:tcPr>
          <w:p>
            <w:pPr>
              <w:spacing w:after="0"/>
              <w:rPr>
                <w:sz w:val="24"/>
                <w:szCs w:val="24"/>
                <w:color w:val="auto"/>
              </w:rPr>
            </w:pPr>
          </w:p>
        </w:tc>
        <w:tc>
          <w:tcPr>
            <w:tcW w:w="2540" w:type="dxa"/>
            <w:vAlign w:val="bottom"/>
          </w:tcPr>
          <w:p>
            <w:pPr>
              <w:jc w:val="right"/>
              <w:ind w:right="477"/>
              <w:spacing w:after="0"/>
              <w:rPr>
                <w:sz w:val="20"/>
                <w:szCs w:val="20"/>
                <w:color w:val="auto"/>
              </w:rPr>
            </w:pPr>
            <w:r>
              <w:rPr>
                <w:rFonts w:ascii="Arial" w:cs="Arial" w:eastAsia="Arial" w:hAnsi="Arial"/>
                <w:sz w:val="17"/>
                <w:szCs w:val="17"/>
                <w:color w:val="auto"/>
              </w:rPr>
              <w:t>Jurisdiction</w:t>
            </w:r>
          </w:p>
        </w:tc>
        <w:tc>
          <w:tcPr>
            <w:tcW w:w="1280" w:type="dxa"/>
            <w:vAlign w:val="bottom"/>
          </w:tcPr>
          <w:p>
            <w:pPr>
              <w:jc w:val="right"/>
              <w:spacing w:after="0"/>
              <w:rPr>
                <w:sz w:val="20"/>
                <w:szCs w:val="20"/>
                <w:color w:val="auto"/>
              </w:rPr>
            </w:pPr>
            <w:r>
              <w:rPr>
                <w:rFonts w:ascii="Arial" w:cs="Arial" w:eastAsia="Arial" w:hAnsi="Arial"/>
                <w:sz w:val="17"/>
                <w:szCs w:val="17"/>
                <w:color w:val="auto"/>
              </w:rPr>
              <w:t>% of Voting</w:t>
            </w:r>
          </w:p>
        </w:tc>
      </w:tr>
      <w:tr>
        <w:trPr>
          <w:trHeight w:val="186"/>
        </w:trPr>
        <w:tc>
          <w:tcPr>
            <w:tcW w:w="7120" w:type="dxa"/>
            <w:vAlign w:val="bottom"/>
          </w:tcPr>
          <w:p>
            <w:pPr>
              <w:spacing w:after="0"/>
              <w:rPr>
                <w:sz w:val="16"/>
                <w:szCs w:val="16"/>
                <w:color w:val="auto"/>
              </w:rPr>
            </w:pPr>
          </w:p>
        </w:tc>
        <w:tc>
          <w:tcPr>
            <w:tcW w:w="2540" w:type="dxa"/>
            <w:vAlign w:val="bottom"/>
          </w:tcPr>
          <w:p>
            <w:pPr>
              <w:jc w:val="right"/>
              <w:ind w:right="317"/>
              <w:spacing w:after="0" w:line="186" w:lineRule="exact"/>
              <w:rPr>
                <w:sz w:val="20"/>
                <w:szCs w:val="20"/>
                <w:color w:val="auto"/>
              </w:rPr>
            </w:pPr>
            <w:r>
              <w:rPr>
                <w:rFonts w:ascii="Arial" w:cs="Arial" w:eastAsia="Arial" w:hAnsi="Arial"/>
                <w:sz w:val="17"/>
                <w:szCs w:val="17"/>
                <w:color w:val="auto"/>
              </w:rPr>
              <w:t>of Incorporation</w:t>
            </w:r>
          </w:p>
        </w:tc>
        <w:tc>
          <w:tcPr>
            <w:tcW w:w="1280" w:type="dxa"/>
            <w:vAlign w:val="bottom"/>
          </w:tcPr>
          <w:p>
            <w:pPr>
              <w:jc w:val="right"/>
              <w:spacing w:after="0" w:line="186" w:lineRule="exact"/>
              <w:rPr>
                <w:sz w:val="20"/>
                <w:szCs w:val="20"/>
                <w:color w:val="auto"/>
              </w:rPr>
            </w:pPr>
            <w:r>
              <w:rPr>
                <w:rFonts w:ascii="Arial" w:cs="Arial" w:eastAsia="Arial" w:hAnsi="Arial"/>
                <w:sz w:val="17"/>
                <w:szCs w:val="17"/>
                <w:color w:val="auto"/>
              </w:rPr>
              <w:t>Equity Own</w:t>
            </w:r>
          </w:p>
        </w:tc>
      </w:tr>
      <w:tr>
        <w:trPr>
          <w:trHeight w:val="187"/>
        </w:trPr>
        <w:tc>
          <w:tcPr>
            <w:tcW w:w="7120" w:type="dxa"/>
            <w:vAlign w:val="bottom"/>
            <w:tcBorders>
              <w:bottom w:val="single" w:sz="8" w:color="auto"/>
            </w:tcBorders>
          </w:tcPr>
          <w:p>
            <w:pPr>
              <w:spacing w:after="0" w:line="187" w:lineRule="exact"/>
              <w:rPr>
                <w:sz w:val="20"/>
                <w:szCs w:val="20"/>
                <w:color w:val="auto"/>
              </w:rPr>
            </w:pPr>
            <w:r>
              <w:rPr>
                <w:rFonts w:ascii="Arial" w:cs="Arial" w:eastAsia="Arial" w:hAnsi="Arial"/>
                <w:sz w:val="17"/>
                <w:szCs w:val="17"/>
                <w:color w:val="auto"/>
              </w:rPr>
              <w:t>Name of Subsidiary</w:t>
            </w:r>
          </w:p>
        </w:tc>
        <w:tc>
          <w:tcPr>
            <w:tcW w:w="2540" w:type="dxa"/>
            <w:vAlign w:val="bottom"/>
            <w:tcBorders>
              <w:bottom w:val="single" w:sz="8" w:color="auto"/>
            </w:tcBorders>
          </w:tcPr>
          <w:p>
            <w:pPr>
              <w:jc w:val="right"/>
              <w:ind w:right="317"/>
              <w:spacing w:after="0" w:line="187" w:lineRule="exact"/>
              <w:rPr>
                <w:sz w:val="20"/>
                <w:szCs w:val="20"/>
                <w:color w:val="auto"/>
              </w:rPr>
            </w:pPr>
            <w:r>
              <w:rPr>
                <w:rFonts w:ascii="Arial" w:cs="Arial" w:eastAsia="Arial" w:hAnsi="Arial"/>
                <w:sz w:val="17"/>
                <w:szCs w:val="17"/>
                <w:color w:val="auto"/>
              </w:rPr>
              <w:t>or Organization</w:t>
            </w:r>
          </w:p>
        </w:tc>
        <w:tc>
          <w:tcPr>
            <w:tcW w:w="128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by Parent</w:t>
            </w:r>
          </w:p>
        </w:tc>
      </w:tr>
      <w:tr>
        <w:trPr>
          <w:trHeight w:val="388"/>
        </w:trPr>
        <w:tc>
          <w:tcPr>
            <w:tcW w:w="7120" w:type="dxa"/>
            <w:vAlign w:val="bottom"/>
          </w:tcPr>
          <w:p>
            <w:pPr>
              <w:spacing w:after="0"/>
              <w:rPr>
                <w:sz w:val="20"/>
                <w:szCs w:val="20"/>
                <w:color w:val="auto"/>
              </w:rPr>
            </w:pPr>
            <w:r>
              <w:rPr>
                <w:rFonts w:ascii="Arial" w:cs="Arial" w:eastAsia="Arial" w:hAnsi="Arial"/>
                <w:sz w:val="17"/>
                <w:szCs w:val="17"/>
                <w:color w:val="auto"/>
              </w:rPr>
              <w:t>Cable One,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PCH,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240"/>
              <w:spacing w:after="0"/>
              <w:rPr>
                <w:sz w:val="20"/>
                <w:szCs w:val="20"/>
                <w:color w:val="auto"/>
              </w:rPr>
            </w:pPr>
            <w:r>
              <w:rPr>
                <w:rFonts w:ascii="Arial" w:cs="Arial" w:eastAsia="Arial" w:hAnsi="Arial"/>
                <w:sz w:val="17"/>
                <w:szCs w:val="17"/>
                <w:color w:val="auto"/>
              </w:rPr>
              <w:t>Celtic Healthcare,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Nevada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Healthcare of Carlisle,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Living Assistance Services, LLC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Homecare,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Support Services,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Rehabilitation Services,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Healthcare of NE PA,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Healthcare of Westmoreland, LLC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Geriatric Care Management,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Hospice &amp; Palliative Care Services of Carlisle,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Healthcare of NE Ohio,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Ohio</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Community Services of NE Ohio,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Ohio</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Healthcare of Maryland,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Maryland</w:t>
            </w:r>
          </w:p>
        </w:tc>
        <w:tc>
          <w:tcPr>
            <w:tcW w:w="12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Hospice &amp; Palliative Care Services, LLC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Celtic Hospice &amp; Palliative Care Services of Westmoreland, LLC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Pennsylvania</w:t>
            </w:r>
          </w:p>
        </w:tc>
        <w:tc>
          <w:tcPr>
            <w:tcW w:w="12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The Daily Herald Company</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Washington</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spacing w:after="0"/>
              <w:rPr>
                <w:sz w:val="20"/>
                <w:szCs w:val="20"/>
                <w:color w:val="auto"/>
              </w:rPr>
            </w:pPr>
            <w:r>
              <w:rPr>
                <w:rFonts w:ascii="Arial" w:cs="Arial" w:eastAsia="Arial" w:hAnsi="Arial"/>
                <w:sz w:val="17"/>
                <w:szCs w:val="17"/>
                <w:color w:val="auto"/>
              </w:rPr>
              <w:t>El Tiempo Latino LLC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Express Publications Company, LCC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spacing w:after="0"/>
              <w:rPr>
                <w:sz w:val="20"/>
                <w:szCs w:val="20"/>
                <w:color w:val="auto"/>
              </w:rPr>
            </w:pPr>
            <w:r>
              <w:rPr>
                <w:rFonts w:ascii="Arial" w:cs="Arial" w:eastAsia="Arial" w:hAnsi="Arial"/>
                <w:sz w:val="17"/>
                <w:szCs w:val="17"/>
                <w:color w:val="auto"/>
              </w:rPr>
              <w:t>Greater Washington Publishing, LLC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iCurrent,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Kaplan,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99.44</w:t>
            </w: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Kaplan Netherlands B.V.</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The Netherlands</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460"/>
              <w:spacing w:after="0"/>
              <w:rPr>
                <w:sz w:val="20"/>
                <w:szCs w:val="20"/>
                <w:color w:val="auto"/>
              </w:rPr>
            </w:pPr>
            <w:r>
              <w:rPr>
                <w:rFonts w:ascii="Arial" w:cs="Arial" w:eastAsia="Arial" w:hAnsi="Arial"/>
                <w:sz w:val="17"/>
                <w:szCs w:val="17"/>
                <w:color w:val="auto"/>
              </w:rPr>
              <w:t>Kaplan Holdings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Hong Kong</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680"/>
              <w:spacing w:after="0"/>
              <w:rPr>
                <w:sz w:val="20"/>
                <w:szCs w:val="20"/>
                <w:color w:val="auto"/>
              </w:rPr>
            </w:pPr>
            <w:r>
              <w:rPr>
                <w:rFonts w:ascii="Arial" w:cs="Arial" w:eastAsia="Arial" w:hAnsi="Arial"/>
                <w:sz w:val="17"/>
                <w:szCs w:val="17"/>
                <w:color w:val="auto"/>
              </w:rPr>
              <w:t>Kaplan Financial (HK)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Hong Kong</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900"/>
              <w:spacing w:after="0"/>
              <w:rPr>
                <w:sz w:val="20"/>
                <w:szCs w:val="20"/>
                <w:color w:val="auto"/>
              </w:rPr>
            </w:pPr>
            <w:r>
              <w:rPr>
                <w:rFonts w:ascii="Arial" w:cs="Arial" w:eastAsia="Arial" w:hAnsi="Arial"/>
                <w:sz w:val="17"/>
                <w:szCs w:val="17"/>
                <w:color w:val="auto"/>
              </w:rPr>
              <w:t>Kaplan Language Training (HK)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Hong Kong</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680"/>
              <w:spacing w:after="0"/>
              <w:rPr>
                <w:sz w:val="20"/>
                <w:szCs w:val="20"/>
                <w:color w:val="auto"/>
              </w:rPr>
            </w:pPr>
            <w:r>
              <w:rPr>
                <w:rFonts w:ascii="Arial" w:cs="Arial" w:eastAsia="Arial" w:hAnsi="Arial"/>
                <w:sz w:val="17"/>
                <w:szCs w:val="17"/>
                <w:color w:val="auto"/>
              </w:rPr>
              <w:t>Kaplan Institute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Hong Kong</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Shanghai Kaplan Education Investment Consulting Co.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Kaplan Singapore Pte.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Singapore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Kaplan Professional Learning Pte.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Singapore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Kaplan Learning Institute Pte.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Singapore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720"/>
              <w:spacing w:after="0"/>
              <w:rPr>
                <w:sz w:val="20"/>
                <w:szCs w:val="20"/>
                <w:color w:val="auto"/>
              </w:rPr>
            </w:pPr>
            <w:r>
              <w:rPr>
                <w:rFonts w:ascii="Arial" w:cs="Arial" w:eastAsia="Arial" w:hAnsi="Arial"/>
                <w:sz w:val="17"/>
                <w:szCs w:val="17"/>
                <w:color w:val="auto"/>
              </w:rPr>
              <w:t>Kaplan Higher Education Institute Pte.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Singapore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Kaplan Higher Education (HK)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Hong Kong</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720"/>
              <w:spacing w:after="0"/>
              <w:rPr>
                <w:sz w:val="20"/>
                <w:szCs w:val="20"/>
                <w:color w:val="auto"/>
              </w:rPr>
            </w:pPr>
            <w:r>
              <w:rPr>
                <w:rFonts w:ascii="Arial" w:cs="Arial" w:eastAsia="Arial" w:hAnsi="Arial"/>
                <w:sz w:val="17"/>
                <w:szCs w:val="17"/>
                <w:color w:val="auto"/>
              </w:rPr>
              <w:t>Kaplan Higher Education Academy Pte.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Singapore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Lotus Advertising Pte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Singapore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Brightstar Investment and Education Joint Stock Company</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Vietnam</w:t>
            </w:r>
          </w:p>
        </w:tc>
        <w:tc>
          <w:tcPr>
            <w:tcW w:w="128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The Financial Training (Shanghai) Co.,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720"/>
              <w:spacing w:after="0"/>
              <w:rPr>
                <w:sz w:val="20"/>
                <w:szCs w:val="20"/>
                <w:color w:val="auto"/>
              </w:rPr>
            </w:pPr>
            <w:r>
              <w:rPr>
                <w:rFonts w:ascii="Arial" w:cs="Arial" w:eastAsia="Arial" w:hAnsi="Arial"/>
                <w:sz w:val="17"/>
                <w:szCs w:val="17"/>
                <w:color w:val="auto"/>
              </w:rPr>
              <w:t>Shanghai Kai Bo Education Investment Management Co.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36"/>
        </w:trPr>
        <w:tc>
          <w:tcPr>
            <w:tcW w:w="7120" w:type="dxa"/>
            <w:vAlign w:val="bottom"/>
          </w:tcPr>
          <w:p>
            <w:pPr>
              <w:ind w:left="900"/>
              <w:spacing w:after="0"/>
              <w:rPr>
                <w:sz w:val="20"/>
                <w:szCs w:val="20"/>
                <w:color w:val="auto"/>
              </w:rPr>
            </w:pPr>
            <w:r>
              <w:rPr>
                <w:rFonts w:ascii="Arial" w:cs="Arial" w:eastAsia="Arial" w:hAnsi="Arial"/>
                <w:sz w:val="17"/>
                <w:szCs w:val="17"/>
                <w:color w:val="auto"/>
              </w:rPr>
              <w:t>Shanghai Kai Chuang Educational Consulting Co.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7120" w:type="dxa"/>
            <w:vAlign w:val="bottom"/>
          </w:tcPr>
          <w:p>
            <w:pPr>
              <w:ind w:left="1160"/>
              <w:spacing w:after="0"/>
              <w:rPr>
                <w:sz w:val="20"/>
                <w:szCs w:val="20"/>
                <w:color w:val="auto"/>
              </w:rPr>
            </w:pPr>
            <w:r>
              <w:rPr>
                <w:rFonts w:ascii="Arial" w:cs="Arial" w:eastAsia="Arial" w:hAnsi="Arial"/>
                <w:sz w:val="17"/>
                <w:szCs w:val="17"/>
                <w:color w:val="auto"/>
              </w:rPr>
              <w:t>Shanghai Kai Bo School</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920"/>
              <w:spacing w:after="0"/>
              <w:rPr>
                <w:sz w:val="20"/>
                <w:szCs w:val="20"/>
                <w:color w:val="auto"/>
              </w:rPr>
            </w:pPr>
            <w:r>
              <w:rPr>
                <w:rFonts w:ascii="Arial" w:cs="Arial" w:eastAsia="Arial" w:hAnsi="Arial"/>
                <w:sz w:val="17"/>
                <w:szCs w:val="17"/>
                <w:color w:val="auto"/>
              </w:rPr>
              <w:t>Zhejiang Kaplan Shinyway Education Investment Management  Co.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42.5</w:t>
            </w:r>
          </w:p>
        </w:tc>
      </w:tr>
      <w:tr>
        <w:trPr>
          <w:trHeight w:val="236"/>
        </w:trPr>
        <w:tc>
          <w:tcPr>
            <w:tcW w:w="7120" w:type="dxa"/>
            <w:vAlign w:val="bottom"/>
          </w:tcPr>
          <w:p>
            <w:pPr>
              <w:ind w:left="920"/>
              <w:spacing w:after="0"/>
              <w:rPr>
                <w:sz w:val="20"/>
                <w:szCs w:val="20"/>
                <w:color w:val="auto"/>
              </w:rPr>
            </w:pPr>
            <w:r>
              <w:rPr>
                <w:rFonts w:ascii="Arial" w:cs="Arial" w:eastAsia="Arial" w:hAnsi="Arial"/>
                <w:sz w:val="17"/>
                <w:szCs w:val="17"/>
                <w:color w:val="auto"/>
              </w:rPr>
              <w:t>Suzhou Overseas Education Training Centre</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59.5</w:t>
            </w:r>
          </w:p>
        </w:tc>
      </w:tr>
      <w:tr>
        <w:trPr>
          <w:trHeight w:val="223"/>
        </w:trPr>
        <w:tc>
          <w:tcPr>
            <w:tcW w:w="7120" w:type="dxa"/>
            <w:vAlign w:val="bottom"/>
          </w:tcPr>
          <w:p>
            <w:pPr>
              <w:ind w:left="920"/>
              <w:spacing w:after="0"/>
              <w:rPr>
                <w:sz w:val="20"/>
                <w:szCs w:val="20"/>
                <w:color w:val="auto"/>
              </w:rPr>
            </w:pPr>
            <w:r>
              <w:rPr>
                <w:rFonts w:ascii="Arial" w:cs="Arial" w:eastAsia="Arial" w:hAnsi="Arial"/>
                <w:sz w:val="17"/>
                <w:szCs w:val="17"/>
                <w:color w:val="auto"/>
              </w:rPr>
              <w:t>Chongqing Shapingpa Kai Bo Education Training School</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7120" w:type="dxa"/>
            <w:vAlign w:val="bottom"/>
          </w:tcPr>
          <w:p>
            <w:pPr>
              <w:ind w:left="920"/>
              <w:spacing w:after="0"/>
              <w:rPr>
                <w:sz w:val="20"/>
                <w:szCs w:val="20"/>
                <w:color w:val="auto"/>
              </w:rPr>
            </w:pPr>
            <w:r>
              <w:rPr>
                <w:rFonts w:ascii="Arial" w:cs="Arial" w:eastAsia="Arial" w:hAnsi="Arial"/>
                <w:sz w:val="17"/>
                <w:szCs w:val="17"/>
                <w:color w:val="auto"/>
              </w:rPr>
              <w:t>Chengdu Kai Bo Training School</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7120" w:type="dxa"/>
            <w:vAlign w:val="bottom"/>
          </w:tcPr>
          <w:p>
            <w:pPr>
              <w:ind w:left="920"/>
              <w:spacing w:after="0"/>
              <w:rPr>
                <w:sz w:val="20"/>
                <w:szCs w:val="20"/>
                <w:color w:val="auto"/>
              </w:rPr>
            </w:pPr>
            <w:r>
              <w:rPr>
                <w:rFonts w:ascii="Arial" w:cs="Arial" w:eastAsia="Arial" w:hAnsi="Arial"/>
                <w:sz w:val="17"/>
                <w:szCs w:val="17"/>
                <w:color w:val="auto"/>
              </w:rPr>
              <w:t>Qingdao Kai Bo Education Investment Consulting Company</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7120" w:type="dxa"/>
            <w:vAlign w:val="bottom"/>
          </w:tcPr>
          <w:p>
            <w:pPr>
              <w:ind w:left="1160"/>
              <w:spacing w:after="0"/>
              <w:rPr>
                <w:sz w:val="20"/>
                <w:szCs w:val="20"/>
                <w:color w:val="auto"/>
              </w:rPr>
            </w:pPr>
            <w:r>
              <w:rPr>
                <w:rFonts w:ascii="Arial" w:cs="Arial" w:eastAsia="Arial" w:hAnsi="Arial"/>
                <w:sz w:val="17"/>
                <w:szCs w:val="17"/>
                <w:color w:val="auto"/>
              </w:rPr>
              <w:t>Qingdao Kai Bo Foundation Education School</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36"/>
        </w:trPr>
        <w:tc>
          <w:tcPr>
            <w:tcW w:w="7120" w:type="dxa"/>
            <w:vAlign w:val="bottom"/>
          </w:tcPr>
          <w:p>
            <w:pPr>
              <w:ind w:left="1160"/>
              <w:spacing w:after="0"/>
              <w:rPr>
                <w:sz w:val="20"/>
                <w:szCs w:val="20"/>
                <w:color w:val="auto"/>
              </w:rPr>
            </w:pPr>
            <w:r>
              <w:rPr>
                <w:rFonts w:ascii="Arial" w:cs="Arial" w:eastAsia="Arial" w:hAnsi="Arial"/>
                <w:sz w:val="17"/>
                <w:szCs w:val="17"/>
                <w:color w:val="auto"/>
              </w:rPr>
              <w:t>Qingdao Kai Bo International Education Exchange</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China (PR)</w:t>
            </w:r>
          </w:p>
        </w:tc>
        <w:tc>
          <w:tcPr>
            <w:tcW w:w="128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Coxcourt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460"/>
              <w:spacing w:after="0"/>
              <w:rPr>
                <w:sz w:val="20"/>
                <w:szCs w:val="20"/>
                <w:color w:val="auto"/>
              </w:rPr>
            </w:pPr>
            <w:r>
              <w:rPr>
                <w:rFonts w:ascii="Arial" w:cs="Arial" w:eastAsia="Arial" w:hAnsi="Arial"/>
                <w:sz w:val="17"/>
                <w:szCs w:val="17"/>
                <w:color w:val="auto"/>
              </w:rPr>
              <w:t>Accountancy &amp; Business College Holdings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720"/>
              <w:spacing w:after="0"/>
              <w:rPr>
                <w:sz w:val="20"/>
                <w:szCs w:val="20"/>
                <w:color w:val="auto"/>
              </w:rPr>
            </w:pPr>
            <w:r>
              <w:rPr>
                <w:rFonts w:ascii="Arial" w:cs="Arial" w:eastAsia="Arial" w:hAnsi="Arial"/>
                <w:sz w:val="17"/>
                <w:szCs w:val="17"/>
                <w:color w:val="auto"/>
              </w:rPr>
              <w:t>Accountancy &amp; Business College (Ireland)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920"/>
              <w:spacing w:after="0"/>
              <w:rPr>
                <w:sz w:val="20"/>
                <w:szCs w:val="20"/>
                <w:color w:val="auto"/>
              </w:rPr>
            </w:pPr>
            <w:r>
              <w:rPr>
                <w:rFonts w:ascii="Arial" w:cs="Arial" w:eastAsia="Arial" w:hAnsi="Arial"/>
                <w:sz w:val="17"/>
                <w:szCs w:val="17"/>
                <w:color w:val="auto"/>
              </w:rPr>
              <w:t>Methley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1160"/>
              <w:spacing w:after="0"/>
              <w:rPr>
                <w:sz w:val="20"/>
                <w:szCs w:val="20"/>
                <w:color w:val="auto"/>
              </w:rPr>
            </w:pPr>
            <w:r>
              <w:rPr>
                <w:rFonts w:ascii="Arial" w:cs="Arial" w:eastAsia="Arial" w:hAnsi="Arial"/>
                <w:sz w:val="17"/>
                <w:szCs w:val="17"/>
                <w:color w:val="auto"/>
              </w:rPr>
              <w:t>Kitagarth Services</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7120" w:type="dxa"/>
            <w:vAlign w:val="bottom"/>
          </w:tcPr>
          <w:p>
            <w:pPr>
              <w:ind w:left="720"/>
              <w:spacing w:after="0"/>
              <w:rPr>
                <w:sz w:val="20"/>
                <w:szCs w:val="20"/>
                <w:color w:val="auto"/>
              </w:rPr>
            </w:pPr>
            <w:r>
              <w:rPr>
                <w:rFonts w:ascii="Arial" w:cs="Arial" w:eastAsia="Arial" w:hAnsi="Arial"/>
                <w:sz w:val="17"/>
                <w:szCs w:val="17"/>
                <w:color w:val="auto"/>
              </w:rPr>
              <w:t>European Business School (Ireland)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LSB College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720"/>
              <w:spacing w:after="0"/>
              <w:rPr>
                <w:sz w:val="20"/>
                <w:szCs w:val="20"/>
                <w:color w:val="auto"/>
              </w:rPr>
            </w:pPr>
            <w:r>
              <w:rPr>
                <w:rFonts w:ascii="Arial" w:cs="Arial" w:eastAsia="Arial" w:hAnsi="Arial"/>
                <w:sz w:val="17"/>
                <w:szCs w:val="17"/>
                <w:color w:val="auto"/>
              </w:rPr>
              <w:t>The Dublin Business School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Ireland</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Kaplan International,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KPE LLC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Delaware</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180"/>
              <w:spacing w:after="0"/>
              <w:rPr>
                <w:sz w:val="20"/>
                <w:szCs w:val="20"/>
                <w:color w:val="auto"/>
              </w:rPr>
            </w:pPr>
            <w:r>
              <w:rPr>
                <w:rFonts w:ascii="Arial" w:cs="Arial" w:eastAsia="Arial" w:hAnsi="Arial"/>
                <w:sz w:val="17"/>
                <w:szCs w:val="17"/>
                <w:color w:val="auto"/>
              </w:rPr>
              <w:t>Kaplan Test Prep and Admissions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England &amp; Wales</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Kaplan (Canada) Ltd.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Ontario</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460"/>
              <w:spacing w:after="0"/>
              <w:rPr>
                <w:sz w:val="20"/>
                <w:szCs w:val="20"/>
                <w:color w:val="auto"/>
              </w:rPr>
            </w:pPr>
            <w:r>
              <w:rPr>
                <w:rFonts w:ascii="Arial" w:cs="Arial" w:eastAsia="Arial" w:hAnsi="Arial"/>
                <w:sz w:val="17"/>
                <w:szCs w:val="17"/>
                <w:color w:val="auto"/>
              </w:rPr>
              <w:t>U.S. CPA ExamPrep, Inc.</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Ontario</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220"/>
              <w:spacing w:after="0"/>
              <w:rPr>
                <w:sz w:val="20"/>
                <w:szCs w:val="20"/>
                <w:color w:val="auto"/>
              </w:rPr>
            </w:pPr>
            <w:r>
              <w:rPr>
                <w:rFonts w:ascii="Arial" w:cs="Arial" w:eastAsia="Arial" w:hAnsi="Arial"/>
                <w:sz w:val="17"/>
                <w:szCs w:val="17"/>
                <w:color w:val="auto"/>
              </w:rPr>
              <w:t>Kaplan Educational Services de Mexico, S. de R.L. de C.V.</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Mexico</w:t>
            </w:r>
          </w:p>
        </w:tc>
        <w:tc>
          <w:tcPr>
            <w:tcW w:w="12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3"/>
        </w:trPr>
        <w:tc>
          <w:tcPr>
            <w:tcW w:w="7120" w:type="dxa"/>
            <w:vAlign w:val="bottom"/>
          </w:tcPr>
          <w:p>
            <w:pPr>
              <w:ind w:left="180"/>
              <w:spacing w:after="0"/>
              <w:rPr>
                <w:sz w:val="20"/>
                <w:szCs w:val="20"/>
                <w:color w:val="auto"/>
              </w:rPr>
            </w:pPr>
            <w:r>
              <w:rPr>
                <w:rFonts w:ascii="Arial" w:cs="Arial" w:eastAsia="Arial" w:hAnsi="Arial"/>
                <w:sz w:val="17"/>
                <w:szCs w:val="17"/>
                <w:color w:val="auto"/>
              </w:rPr>
              <w:t>Education HR Services Mexico, S. de R.L. de C.V.</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Mexico</w:t>
            </w:r>
          </w:p>
        </w:tc>
        <w:tc>
          <w:tcPr>
            <w:tcW w:w="128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3"/>
        </w:trPr>
        <w:tc>
          <w:tcPr>
            <w:tcW w:w="7120" w:type="dxa"/>
            <w:vAlign w:val="bottom"/>
          </w:tcPr>
          <w:p>
            <w:pPr>
              <w:ind w:left="180"/>
              <w:spacing w:after="0"/>
              <w:rPr>
                <w:sz w:val="20"/>
                <w:szCs w:val="20"/>
                <w:color w:val="auto"/>
              </w:rPr>
            </w:pPr>
            <w:r>
              <w:rPr>
                <w:rFonts w:ascii="Arial" w:cs="Arial" w:eastAsia="Arial" w:hAnsi="Arial"/>
                <w:sz w:val="17"/>
                <w:szCs w:val="17"/>
                <w:color w:val="auto"/>
              </w:rPr>
              <w:t>Kaplan English Colleges Pty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Australia</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Kaplan Aspect Cairns Pty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Australia</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7120" w:type="dxa"/>
            <w:vAlign w:val="bottom"/>
          </w:tcPr>
          <w:p>
            <w:pPr>
              <w:ind w:left="480"/>
              <w:spacing w:after="0"/>
              <w:rPr>
                <w:sz w:val="20"/>
                <w:szCs w:val="20"/>
                <w:color w:val="auto"/>
              </w:rPr>
            </w:pPr>
            <w:r>
              <w:rPr>
                <w:rFonts w:ascii="Arial" w:cs="Arial" w:eastAsia="Arial" w:hAnsi="Arial"/>
                <w:sz w:val="17"/>
                <w:szCs w:val="17"/>
                <w:color w:val="auto"/>
              </w:rPr>
              <w:t>Access Learning Institutes Pty Limited</w:t>
            </w:r>
          </w:p>
        </w:tc>
        <w:tc>
          <w:tcPr>
            <w:tcW w:w="2540" w:type="dxa"/>
            <w:vAlign w:val="bottom"/>
          </w:tcPr>
          <w:p>
            <w:pPr>
              <w:jc w:val="right"/>
              <w:ind w:right="337"/>
              <w:spacing w:after="0"/>
              <w:rPr>
                <w:sz w:val="20"/>
                <w:szCs w:val="20"/>
                <w:color w:val="auto"/>
              </w:rPr>
            </w:pPr>
            <w:r>
              <w:rPr>
                <w:rFonts w:ascii="Arial" w:cs="Arial" w:eastAsia="Arial" w:hAnsi="Arial"/>
                <w:sz w:val="17"/>
                <w:szCs w:val="17"/>
                <w:color w:val="auto"/>
              </w:rPr>
              <w:t>Australia</w:t>
            </w:r>
          </w:p>
        </w:tc>
        <w:tc>
          <w:tcPr>
            <w:tcW w:w="1280" w:type="dxa"/>
            <w:vAlign w:val="bottom"/>
          </w:tcPr>
          <w:p>
            <w:pPr>
              <w:jc w:val="right"/>
              <w:spacing w:after="0"/>
              <w:rPr>
                <w:sz w:val="20"/>
                <w:szCs w:val="20"/>
                <w:color w:val="auto"/>
              </w:rPr>
            </w:pPr>
            <w:r>
              <w:rPr>
                <w:rFonts w:ascii="Arial" w:cs="Arial" w:eastAsia="Arial" w:hAnsi="Arial"/>
                <w:sz w:val="17"/>
                <w:szCs w:val="17"/>
                <w:color w:val="auto"/>
              </w:rPr>
              <w:t>100</w:t>
            </w:r>
          </w:p>
        </w:tc>
      </w:tr>
    </w:tbl>
    <w:p>
      <w:pPr>
        <w:sectPr>
          <w:pgSz w:w="11900" w:h="16838" w:orient="portrait"/>
          <w:cols w:equalWidth="0" w:num="1">
            <w:col w:w="10940"/>
          </w:cols>
          <w:pgMar w:left="820" w:top="536" w:right="139" w:bottom="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00" w:type="dxa"/>
            <w:vAlign w:val="bottom"/>
          </w:tcPr>
          <w:p>
            <w:pPr>
              <w:spacing w:after="0"/>
              <w:rPr>
                <w:sz w:val="20"/>
                <w:szCs w:val="20"/>
                <w:color w:val="auto"/>
              </w:rPr>
            </w:pPr>
            <w:r>
              <w:rPr>
                <w:rFonts w:ascii="Arial" w:cs="Arial" w:eastAsia="Arial" w:hAnsi="Arial"/>
                <w:sz w:val="17"/>
                <w:szCs w:val="17"/>
                <w:color w:val="auto"/>
              </w:rPr>
              <w:t>Kaplan Higher Education,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199"/>
        </w:trPr>
        <w:tc>
          <w:tcPr>
            <w:tcW w:w="6600" w:type="dxa"/>
            <w:vAlign w:val="bottom"/>
          </w:tcPr>
          <w:p>
            <w:pPr>
              <w:ind w:left="300"/>
              <w:spacing w:after="0"/>
              <w:rPr>
                <w:sz w:val="20"/>
                <w:szCs w:val="20"/>
                <w:color w:val="auto"/>
              </w:rPr>
            </w:pPr>
            <w:r>
              <w:rPr>
                <w:rFonts w:ascii="Arial" w:cs="Arial" w:eastAsia="Arial" w:hAnsi="Arial"/>
                <w:sz w:val="17"/>
                <w:szCs w:val="17"/>
                <w:color w:val="auto"/>
              </w:rPr>
              <w:t>Andon Colleges,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California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DEST Education Corporation</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California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California Academy of Merchandising, Art &amp; Design,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CHI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Computer Hardware Service Company,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Pennsylvania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Denver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Educational Ventures (Texas),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Texas Educational Ventures, LLP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Texas</w:t>
            </w:r>
          </w:p>
        </w:tc>
        <w:tc>
          <w:tcPr>
            <w:tcW w:w="1120" w:type="dxa"/>
            <w:vAlign w:val="bottom"/>
          </w:tcPr>
          <w:p>
            <w:pPr>
              <w:jc w:val="right"/>
              <w:spacing w:after="0"/>
              <w:rPr>
                <w:sz w:val="20"/>
                <w:szCs w:val="20"/>
                <w:color w:val="auto"/>
              </w:rPr>
            </w:pPr>
            <w:r>
              <w:rPr>
                <w:rFonts w:ascii="Arial" w:cs="Arial" w:eastAsia="Arial" w:hAnsi="Arial"/>
                <w:sz w:val="17"/>
                <w:szCs w:val="17"/>
                <w:color w:val="auto"/>
              </w:rPr>
              <w:t>99</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Heritage-KHEC,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Nevada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ICM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Iowa College Acquisition,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20"/>
              <w:spacing w:after="0"/>
              <w:rPr>
                <w:sz w:val="20"/>
                <w:szCs w:val="20"/>
                <w:color w:val="auto"/>
              </w:rPr>
            </w:pPr>
            <w:r>
              <w:rPr>
                <w:rFonts w:ascii="Arial" w:cs="Arial" w:eastAsia="Arial" w:hAnsi="Arial"/>
                <w:sz w:val="17"/>
                <w:szCs w:val="17"/>
                <w:color w:val="auto"/>
              </w:rPr>
              <w:t>DF Institute,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Illinois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760"/>
              <w:spacing w:after="0"/>
              <w:rPr>
                <w:sz w:val="20"/>
                <w:szCs w:val="20"/>
                <w:color w:val="auto"/>
              </w:rPr>
            </w:pPr>
            <w:r>
              <w:rPr>
                <w:rFonts w:ascii="Arial" w:cs="Arial" w:eastAsia="Arial" w:hAnsi="Arial"/>
                <w:sz w:val="17"/>
                <w:szCs w:val="17"/>
                <w:color w:val="auto"/>
              </w:rPr>
              <w:t>J.Y. Monk Real Estate Training Center,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North Carolina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Insight Schools,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Oregon</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University PTY LTD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Australia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MTSX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Maric Learning Systems</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California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New Hampshire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Hesser,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New Hampshire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OIOPT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Palo Vista College of Nursing &amp; Allied Health Sciences,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California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Quest Ventures,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RETS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Massachusetts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SACMD Acquisition Corp.</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Sawyer-KHEC,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Indiana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Sawyer College,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Indiana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220"/>
              <w:spacing w:after="0"/>
              <w:rPr>
                <w:sz w:val="20"/>
                <w:szCs w:val="20"/>
                <w:color w:val="auto"/>
              </w:rPr>
            </w:pPr>
            <w:r>
              <w:rPr>
                <w:rFonts w:ascii="Arial" w:cs="Arial" w:eastAsia="Arial" w:hAnsi="Arial"/>
                <w:sz w:val="17"/>
                <w:szCs w:val="17"/>
                <w:color w:val="auto"/>
              </w:rPr>
              <w:t>Scottsdale Educational Center for Allied Health Careers, Incorporated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Arizona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StudentAdvisor,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Tesst-Kap,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Thompson Education,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40"/>
              <w:spacing w:after="0"/>
              <w:rPr>
                <w:sz w:val="20"/>
                <w:szCs w:val="20"/>
                <w:color w:val="auto"/>
              </w:rPr>
            </w:pPr>
            <w:r>
              <w:rPr>
                <w:rFonts w:ascii="Arial" w:cs="Arial" w:eastAsia="Arial" w:hAnsi="Arial"/>
                <w:sz w:val="17"/>
                <w:szCs w:val="17"/>
                <w:color w:val="auto"/>
              </w:rPr>
              <w:t>Kaplan Lifelong Learning,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40"/>
              <w:spacing w:after="0"/>
              <w:rPr>
                <w:sz w:val="20"/>
                <w:szCs w:val="20"/>
                <w:color w:val="auto"/>
              </w:rPr>
            </w:pPr>
            <w:r>
              <w:rPr>
                <w:rFonts w:ascii="Arial" w:cs="Arial" w:eastAsia="Arial" w:hAnsi="Arial"/>
                <w:sz w:val="17"/>
                <w:szCs w:val="17"/>
                <w:color w:val="auto"/>
              </w:rPr>
              <w:t>Kaplan VC,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Mexico Holdings,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Kaplan (India) Private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India</w:t>
            </w:r>
          </w:p>
        </w:tc>
        <w:tc>
          <w:tcPr>
            <w:tcW w:w="1120" w:type="dxa"/>
            <w:vAlign w:val="bottom"/>
          </w:tcPr>
          <w:p>
            <w:pPr>
              <w:jc w:val="right"/>
              <w:spacing w:after="0"/>
              <w:rPr>
                <w:sz w:val="20"/>
                <w:szCs w:val="20"/>
                <w:color w:val="auto"/>
              </w:rPr>
            </w:pPr>
            <w:r>
              <w:rPr>
                <w:rFonts w:ascii="Arial" w:cs="Arial" w:eastAsia="Arial" w:hAnsi="Arial"/>
                <w:sz w:val="17"/>
                <w:szCs w:val="17"/>
                <w:color w:val="auto"/>
              </w:rPr>
              <w:t>95.65</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(PR)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Puerto Rico</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MG Prep,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New York</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Manhattan GMAT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K12 Learning Services,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Test Prep International,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California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60"/>
              <w:spacing w:after="0"/>
              <w:rPr>
                <w:sz w:val="20"/>
                <w:szCs w:val="20"/>
                <w:color w:val="auto"/>
              </w:rPr>
            </w:pPr>
            <w:r>
              <w:rPr>
                <w:rFonts w:ascii="Arial" w:cs="Arial" w:eastAsia="Arial" w:hAnsi="Arial"/>
                <w:sz w:val="17"/>
                <w:szCs w:val="17"/>
                <w:color w:val="auto"/>
              </w:rPr>
              <w:t>Kaplan International North America,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California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200"/>
              <w:spacing w:after="0"/>
              <w:rPr>
                <w:sz w:val="20"/>
                <w:szCs w:val="20"/>
                <w:color w:val="auto"/>
              </w:rPr>
            </w:pPr>
            <w:r>
              <w:rPr>
                <w:rFonts w:ascii="Arial" w:cs="Arial" w:eastAsia="Arial" w:hAnsi="Arial"/>
                <w:sz w:val="17"/>
                <w:szCs w:val="17"/>
                <w:color w:val="auto"/>
              </w:rPr>
              <w:t>Kaplan Global Solutions, LLC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Delaware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Aspect Education Sydney Pty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Australia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Aspect ILA Sydney Pty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Australia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Aspect ILA Perth Pty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Australia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International Language Academies Education (NZ)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New Zealand</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ILA South Pacific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New Zealand</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Hands On Consulting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Hong Kong</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Hands On Education Consultants Co., Ltd.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Thailand</w:t>
            </w:r>
          </w:p>
        </w:tc>
        <w:tc>
          <w:tcPr>
            <w:tcW w:w="1120" w:type="dxa"/>
            <w:vAlign w:val="bottom"/>
          </w:tcPr>
          <w:p>
            <w:pPr>
              <w:jc w:val="right"/>
              <w:spacing w:after="0"/>
              <w:rPr>
                <w:sz w:val="20"/>
                <w:szCs w:val="20"/>
                <w:color w:val="auto"/>
              </w:rPr>
            </w:pPr>
            <w:r>
              <w:rPr>
                <w:rFonts w:ascii="Arial" w:cs="Arial" w:eastAsia="Arial" w:hAnsi="Arial"/>
                <w:sz w:val="17"/>
                <w:szCs w:val="17"/>
                <w:color w:val="auto"/>
              </w:rPr>
              <w:t>50.996</w:t>
            </w:r>
          </w:p>
        </w:tc>
      </w:tr>
      <w:tr>
        <w:trPr>
          <w:trHeight w:val="223"/>
        </w:trPr>
        <w:tc>
          <w:tcPr>
            <w:tcW w:w="6600" w:type="dxa"/>
            <w:vAlign w:val="bottom"/>
          </w:tcPr>
          <w:p>
            <w:pPr>
              <w:spacing w:after="0"/>
              <w:rPr>
                <w:sz w:val="20"/>
                <w:szCs w:val="20"/>
                <w:color w:val="auto"/>
              </w:rPr>
            </w:pPr>
            <w:r>
              <w:rPr>
                <w:rFonts w:ascii="Arial" w:cs="Arial" w:eastAsia="Arial" w:hAnsi="Arial"/>
                <w:sz w:val="17"/>
                <w:szCs w:val="17"/>
                <w:color w:val="auto"/>
              </w:rPr>
              <w:t>Kaplan U.K.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300"/>
              <w:spacing w:after="0"/>
              <w:rPr>
                <w:sz w:val="20"/>
                <w:szCs w:val="20"/>
                <w:color w:val="auto"/>
              </w:rPr>
            </w:pPr>
            <w:r>
              <w:rPr>
                <w:rFonts w:ascii="Arial" w:cs="Arial" w:eastAsia="Arial" w:hAnsi="Arial"/>
                <w:sz w:val="17"/>
                <w:szCs w:val="17"/>
                <w:color w:val="auto"/>
              </w:rPr>
              <w:t>Aspect Education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BEO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Hong Kong</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BEO KK</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Japan</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BEO UK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Aspect (Beijing) Education Information Consulting Co. Ltd.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China (PR)</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Pacific Language Institute, Inc.</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British Columbia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Aspect Education UK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Aspect Educational Services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00"/>
              <w:spacing w:after="0"/>
              <w:rPr>
                <w:sz w:val="20"/>
                <w:szCs w:val="20"/>
                <w:color w:val="auto"/>
              </w:rPr>
            </w:pPr>
            <w:r>
              <w:rPr>
                <w:rFonts w:ascii="Arial" w:cs="Arial" w:eastAsia="Arial" w:hAnsi="Arial"/>
                <w:sz w:val="17"/>
                <w:szCs w:val="17"/>
                <w:color w:val="auto"/>
              </w:rPr>
              <w:t>Aspect International Language Academies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00"/>
              <w:spacing w:after="0"/>
              <w:rPr>
                <w:sz w:val="20"/>
                <w:szCs w:val="20"/>
                <w:color w:val="auto"/>
              </w:rPr>
            </w:pPr>
            <w:r>
              <w:rPr>
                <w:rFonts w:ascii="Arial" w:cs="Arial" w:eastAsia="Arial" w:hAnsi="Arial"/>
                <w:sz w:val="17"/>
                <w:szCs w:val="17"/>
                <w:color w:val="auto"/>
              </w:rPr>
              <w:t>Aspect International Language Schools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Ireland</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00"/>
              <w:spacing w:after="0"/>
              <w:rPr>
                <w:sz w:val="20"/>
                <w:szCs w:val="20"/>
                <w:color w:val="auto"/>
              </w:rPr>
            </w:pPr>
            <w:r>
              <w:rPr>
                <w:rFonts w:ascii="Arial" w:cs="Arial" w:eastAsia="Arial" w:hAnsi="Arial"/>
                <w:sz w:val="17"/>
                <w:szCs w:val="17"/>
                <w:color w:val="auto"/>
              </w:rPr>
              <w:t>Aspect Internationale Sprachschule GmbH</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Germany</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00"/>
              <w:spacing w:after="0"/>
              <w:rPr>
                <w:sz w:val="20"/>
                <w:szCs w:val="20"/>
                <w:color w:val="auto"/>
              </w:rPr>
            </w:pPr>
            <w:r>
              <w:rPr>
                <w:rFonts w:ascii="Arial" w:cs="Arial" w:eastAsia="Arial" w:hAnsi="Arial"/>
                <w:sz w:val="17"/>
                <w:szCs w:val="17"/>
                <w:color w:val="auto"/>
              </w:rPr>
              <w:t>Aspect Language Schools Limitada</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Columbia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00"/>
              <w:spacing w:after="0"/>
              <w:rPr>
                <w:sz w:val="20"/>
                <w:szCs w:val="20"/>
                <w:color w:val="auto"/>
              </w:rPr>
            </w:pPr>
            <w:r>
              <w:rPr>
                <w:rFonts w:ascii="Arial" w:cs="Arial" w:eastAsia="Arial" w:hAnsi="Arial"/>
                <w:sz w:val="17"/>
                <w:szCs w:val="17"/>
                <w:color w:val="auto"/>
              </w:rPr>
              <w:t>Aspect Language Schools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Switzerland</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00"/>
              <w:spacing w:after="0"/>
              <w:rPr>
                <w:sz w:val="20"/>
                <w:szCs w:val="20"/>
                <w:color w:val="auto"/>
              </w:rPr>
            </w:pPr>
            <w:r>
              <w:rPr>
                <w:rFonts w:ascii="Arial" w:cs="Arial" w:eastAsia="Arial" w:hAnsi="Arial"/>
                <w:sz w:val="17"/>
                <w:szCs w:val="17"/>
                <w:color w:val="auto"/>
              </w:rPr>
              <w:t>Aspect S.A.R.L. France</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France</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00"/>
              <w:spacing w:after="0"/>
              <w:rPr>
                <w:sz w:val="20"/>
                <w:szCs w:val="20"/>
                <w:color w:val="auto"/>
              </w:rPr>
            </w:pPr>
            <w:r>
              <w:rPr>
                <w:rFonts w:ascii="Arial" w:cs="Arial" w:eastAsia="Arial" w:hAnsi="Arial"/>
                <w:sz w:val="17"/>
                <w:szCs w:val="17"/>
                <w:color w:val="auto"/>
              </w:rPr>
              <w:t>Aspect Education (Hong Kong)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Hong Kong</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International Colleges, C.A.</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Venezuela</w:t>
            </w:r>
          </w:p>
        </w:tc>
        <w:tc>
          <w:tcPr>
            <w:tcW w:w="1120" w:type="dxa"/>
            <w:vAlign w:val="bottom"/>
          </w:tcPr>
          <w:p>
            <w:pPr>
              <w:jc w:val="right"/>
              <w:spacing w:after="0"/>
              <w:rPr>
                <w:sz w:val="20"/>
                <w:szCs w:val="20"/>
                <w:color w:val="auto"/>
              </w:rPr>
            </w:pPr>
            <w:r>
              <w:rPr>
                <w:rFonts w:ascii="Arial" w:cs="Arial" w:eastAsia="Arial" w:hAnsi="Arial"/>
                <w:sz w:val="17"/>
                <w:szCs w:val="17"/>
                <w:color w:val="auto"/>
              </w:rPr>
              <w:t>95</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Pro Linguis</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Switzerland</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West of England Language Services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The Salisbury School of English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740"/>
              <w:spacing w:after="0"/>
              <w:rPr>
                <w:sz w:val="20"/>
                <w:szCs w:val="20"/>
                <w:color w:val="auto"/>
              </w:rPr>
            </w:pPr>
            <w:r>
              <w:rPr>
                <w:rFonts w:ascii="Arial" w:cs="Arial" w:eastAsia="Arial" w:hAnsi="Arial"/>
                <w:sz w:val="17"/>
                <w:szCs w:val="17"/>
                <w:color w:val="auto"/>
              </w:rPr>
              <w:t>WELS (Australia) Pty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Australia</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200"/>
              <w:spacing w:after="0"/>
              <w:rPr>
                <w:sz w:val="20"/>
                <w:szCs w:val="20"/>
                <w:color w:val="auto"/>
              </w:rPr>
            </w:pPr>
            <w:r>
              <w:rPr>
                <w:rFonts w:ascii="Arial" w:cs="Arial" w:eastAsia="Arial" w:hAnsi="Arial"/>
                <w:sz w:val="17"/>
                <w:szCs w:val="17"/>
                <w:color w:val="auto"/>
              </w:rPr>
              <w:t>Kaplan International Holdings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Kaplan Higher Education Limited</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England &amp; Wales</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540"/>
              <w:spacing w:after="0"/>
              <w:rPr>
                <w:sz w:val="20"/>
                <w:szCs w:val="20"/>
                <w:color w:val="auto"/>
              </w:rPr>
            </w:pPr>
            <w:r>
              <w:rPr>
                <w:rFonts w:ascii="Arial" w:cs="Arial" w:eastAsia="Arial" w:hAnsi="Arial"/>
                <w:sz w:val="17"/>
                <w:szCs w:val="17"/>
                <w:color w:val="auto"/>
              </w:rPr>
              <w:t>Tecnologias Servicios Logisticos y Aplicaciones, S.A.</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Spain</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600" w:type="dxa"/>
            <w:vAlign w:val="bottom"/>
          </w:tcPr>
          <w:p>
            <w:pPr>
              <w:ind w:left="720"/>
              <w:spacing w:after="0"/>
              <w:rPr>
                <w:sz w:val="20"/>
                <w:szCs w:val="20"/>
                <w:color w:val="auto"/>
              </w:rPr>
            </w:pPr>
            <w:r>
              <w:rPr>
                <w:rFonts w:ascii="Arial" w:cs="Arial" w:eastAsia="Arial" w:hAnsi="Arial"/>
                <w:sz w:val="17"/>
                <w:szCs w:val="17"/>
                <w:color w:val="auto"/>
              </w:rPr>
              <w:t>Soluciones Integrales de Formacion y Gestion Structuralia, S.A.</w:t>
            </w:r>
          </w:p>
        </w:tc>
        <w:tc>
          <w:tcPr>
            <w:tcW w:w="3040" w:type="dxa"/>
            <w:vAlign w:val="bottom"/>
          </w:tcPr>
          <w:p>
            <w:pPr>
              <w:jc w:val="right"/>
              <w:ind w:right="497"/>
              <w:spacing w:after="0"/>
              <w:rPr>
                <w:sz w:val="20"/>
                <w:szCs w:val="20"/>
                <w:color w:val="auto"/>
              </w:rPr>
            </w:pPr>
            <w:r>
              <w:rPr>
                <w:rFonts w:ascii="Arial" w:cs="Arial" w:eastAsia="Arial" w:hAnsi="Arial"/>
                <w:sz w:val="17"/>
                <w:szCs w:val="17"/>
                <w:color w:val="auto"/>
              </w:rPr>
              <w:t>Spain</w:t>
            </w:r>
          </w:p>
        </w:tc>
        <w:tc>
          <w:tcPr>
            <w:tcW w:w="1120" w:type="dxa"/>
            <w:vAlign w:val="bottom"/>
          </w:tcPr>
          <w:p>
            <w:pPr>
              <w:jc w:val="right"/>
              <w:spacing w:after="0"/>
              <w:rPr>
                <w:sz w:val="20"/>
                <w:szCs w:val="20"/>
                <w:color w:val="auto"/>
              </w:rPr>
            </w:pPr>
            <w:r>
              <w:rPr>
                <w:rFonts w:ascii="Arial" w:cs="Arial" w:eastAsia="Arial" w:hAnsi="Arial"/>
                <w:sz w:val="17"/>
                <w:szCs w:val="17"/>
                <w:color w:val="auto"/>
              </w:rPr>
              <w:t>100</w:t>
            </w:r>
          </w:p>
        </w:tc>
      </w:tr>
    </w:tbl>
    <w:p>
      <w:pPr>
        <w:sectPr>
          <w:pgSz w:w="11900" w:h="16838" w:orient="portrait"/>
          <w:cols w:equalWidth="0" w:num="1">
            <w:col w:w="10760"/>
          </w:cols>
          <w:pgMar w:left="1000" w:top="140" w:right="139" w:bottom="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ind w:left="1720"/>
              <w:spacing w:after="0"/>
              <w:rPr>
                <w:sz w:val="20"/>
                <w:szCs w:val="20"/>
                <w:color w:val="auto"/>
              </w:rPr>
            </w:pPr>
            <w:r>
              <w:rPr>
                <w:rFonts w:ascii="Arial" w:cs="Arial" w:eastAsia="Arial" w:hAnsi="Arial"/>
                <w:sz w:val="17"/>
                <w:szCs w:val="17"/>
                <w:color w:val="auto"/>
              </w:rPr>
              <w:t>Sociedad de Capacitacion Structuralia Chile Limitada</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Chile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99</w:t>
            </w:r>
          </w:p>
        </w:tc>
      </w:tr>
      <w:tr>
        <w:trPr>
          <w:trHeight w:val="199"/>
        </w:trPr>
        <w:tc>
          <w:tcPr>
            <w:tcW w:w="6980" w:type="dxa"/>
            <w:vAlign w:val="bottom"/>
          </w:tcPr>
          <w:p>
            <w:pPr>
              <w:ind w:left="1300"/>
              <w:spacing w:after="0"/>
              <w:rPr>
                <w:sz w:val="20"/>
                <w:szCs w:val="20"/>
                <w:color w:val="auto"/>
              </w:rPr>
            </w:pPr>
            <w:r>
              <w:rPr>
                <w:rFonts w:ascii="Arial" w:cs="Arial" w:eastAsia="Arial" w:hAnsi="Arial"/>
                <w:sz w:val="17"/>
                <w:szCs w:val="17"/>
                <w:color w:val="auto"/>
              </w:rPr>
              <w:t>Kaplan Financial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Altior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740"/>
              <w:spacing w:after="0"/>
              <w:rPr>
                <w:sz w:val="20"/>
                <w:szCs w:val="20"/>
                <w:color w:val="auto"/>
              </w:rPr>
            </w:pPr>
            <w:r>
              <w:rPr>
                <w:rFonts w:ascii="Arial" w:cs="Arial" w:eastAsia="Arial" w:hAnsi="Arial"/>
                <w:sz w:val="17"/>
                <w:szCs w:val="17"/>
                <w:color w:val="auto"/>
              </w:rPr>
              <w:t>Altior Consulting &amp; Training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Hawksmere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260"/>
              <w:spacing w:after="0"/>
              <w:rPr>
                <w:sz w:val="20"/>
                <w:szCs w:val="20"/>
                <w:color w:val="auto"/>
              </w:rPr>
            </w:pPr>
            <w:r>
              <w:rPr>
                <w:rFonts w:ascii="Arial" w:cs="Arial" w:eastAsia="Arial" w:hAnsi="Arial"/>
                <w:sz w:val="17"/>
                <w:szCs w:val="17"/>
                <w:color w:val="auto"/>
              </w:rPr>
              <w:t>Holborn College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Kaplan International Colleges U.K.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Colleges Private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India</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International Colleges (Private)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Pakistan</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Glasgow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International Colleges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Nigeria</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Liverpool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NT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US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International College London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Brighton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UWE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Kaplan Law School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Kaplan Open Learning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Open Learning (Essex)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Kaplan Publishing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Kaplan Professional Awards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England &amp; Wales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800"/>
              <w:spacing w:after="0"/>
              <w:rPr>
                <w:sz w:val="20"/>
                <w:szCs w:val="20"/>
                <w:color w:val="auto"/>
              </w:rPr>
            </w:pPr>
            <w:r>
              <w:rPr>
                <w:rFonts w:ascii="Arial" w:cs="Arial" w:eastAsia="Arial" w:hAnsi="Arial"/>
                <w:sz w:val="17"/>
                <w:szCs w:val="17"/>
                <w:color w:val="auto"/>
              </w:rPr>
              <w:t>Kaplan Australia Holdings Pty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060"/>
              <w:spacing w:after="0"/>
              <w:rPr>
                <w:sz w:val="20"/>
                <w:szCs w:val="20"/>
                <w:color w:val="auto"/>
              </w:rPr>
            </w:pPr>
            <w:r>
              <w:rPr>
                <w:rFonts w:ascii="Arial" w:cs="Arial" w:eastAsia="Arial" w:hAnsi="Arial"/>
                <w:sz w:val="17"/>
                <w:szCs w:val="17"/>
                <w:color w:val="auto"/>
              </w:rPr>
              <w:t>Kaplan Australia Pty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280"/>
              <w:spacing w:after="0"/>
              <w:rPr>
                <w:sz w:val="20"/>
                <w:szCs w:val="20"/>
                <w:color w:val="auto"/>
              </w:rPr>
            </w:pPr>
            <w:r>
              <w:rPr>
                <w:rFonts w:ascii="Arial" w:cs="Arial" w:eastAsia="Arial" w:hAnsi="Arial"/>
                <w:sz w:val="17"/>
                <w:szCs w:val="17"/>
                <w:color w:val="auto"/>
              </w:rPr>
              <w:t>Kaplan Carrick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480"/>
              <w:spacing w:after="0"/>
              <w:rPr>
                <w:sz w:val="20"/>
                <w:szCs w:val="20"/>
                <w:color w:val="auto"/>
              </w:rPr>
            </w:pPr>
            <w:r>
              <w:rPr>
                <w:rFonts w:ascii="Arial" w:cs="Arial" w:eastAsia="Arial" w:hAnsi="Arial"/>
                <w:sz w:val="17"/>
                <w:szCs w:val="17"/>
                <w:color w:val="auto"/>
              </w:rPr>
              <w:t>Carrick Institute of Education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700"/>
              <w:spacing w:after="0"/>
              <w:rPr>
                <w:sz w:val="20"/>
                <w:szCs w:val="20"/>
                <w:color w:val="auto"/>
              </w:rPr>
            </w:pPr>
            <w:r>
              <w:rPr>
                <w:rFonts w:ascii="Arial" w:cs="Arial" w:eastAsia="Arial" w:hAnsi="Arial"/>
                <w:sz w:val="17"/>
                <w:szCs w:val="17"/>
                <w:color w:val="auto"/>
              </w:rPr>
              <w:t>Carrick Higher Education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940"/>
              <w:spacing w:after="0"/>
              <w:rPr>
                <w:sz w:val="20"/>
                <w:szCs w:val="20"/>
                <w:color w:val="auto"/>
              </w:rPr>
            </w:pPr>
            <w:r>
              <w:rPr>
                <w:rFonts w:ascii="Arial" w:cs="Arial" w:eastAsia="Arial" w:hAnsi="Arial"/>
                <w:sz w:val="17"/>
                <w:szCs w:val="17"/>
                <w:color w:val="auto"/>
              </w:rPr>
              <w:t>CMC – Training at Work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700"/>
              <w:spacing w:after="0"/>
              <w:rPr>
                <w:sz w:val="20"/>
                <w:szCs w:val="20"/>
                <w:color w:val="auto"/>
              </w:rPr>
            </w:pPr>
            <w:r>
              <w:rPr>
                <w:rFonts w:ascii="Arial" w:cs="Arial" w:eastAsia="Arial" w:hAnsi="Arial"/>
                <w:sz w:val="17"/>
                <w:szCs w:val="17"/>
                <w:color w:val="auto"/>
              </w:rPr>
              <w:t>Carrick Education Group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Asia Pacific Finance Institute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Kaplan Higher Education Pty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AUFP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Business School Pty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740"/>
              <w:spacing w:after="0"/>
              <w:rPr>
                <w:sz w:val="20"/>
                <w:szCs w:val="20"/>
                <w:color w:val="auto"/>
              </w:rPr>
            </w:pPr>
            <w:r>
              <w:rPr>
                <w:rFonts w:ascii="Arial" w:cs="Arial" w:eastAsia="Arial" w:hAnsi="Arial"/>
                <w:sz w:val="17"/>
                <w:szCs w:val="17"/>
                <w:color w:val="auto"/>
              </w:rPr>
              <w:t>Bradford College Australia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Tribeca Learning Pty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00"/>
              <w:spacing w:after="0"/>
              <w:rPr>
                <w:sz w:val="20"/>
                <w:szCs w:val="20"/>
                <w:color w:val="auto"/>
              </w:rPr>
            </w:pPr>
            <w:r>
              <w:rPr>
                <w:rFonts w:ascii="Arial" w:cs="Arial" w:eastAsia="Arial" w:hAnsi="Arial"/>
                <w:sz w:val="17"/>
                <w:szCs w:val="17"/>
                <w:color w:val="auto"/>
              </w:rPr>
              <w:t>Kaplan Education Pty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300"/>
              <w:spacing w:after="0"/>
              <w:rPr>
                <w:sz w:val="20"/>
                <w:szCs w:val="20"/>
                <w:color w:val="auto"/>
              </w:rPr>
            </w:pPr>
            <w:r>
              <w:rPr>
                <w:rFonts w:ascii="Arial" w:cs="Arial" w:eastAsia="Arial" w:hAnsi="Arial"/>
                <w:sz w:val="17"/>
                <w:szCs w:val="17"/>
                <w:color w:val="auto"/>
              </w:rPr>
              <w:t>Franklyn Scholar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20"/>
              <w:spacing w:after="0"/>
              <w:rPr>
                <w:sz w:val="20"/>
                <w:szCs w:val="20"/>
                <w:color w:val="auto"/>
              </w:rPr>
            </w:pPr>
            <w:r>
              <w:rPr>
                <w:rFonts w:ascii="Arial" w:cs="Arial" w:eastAsia="Arial" w:hAnsi="Arial"/>
                <w:sz w:val="17"/>
                <w:szCs w:val="17"/>
                <w:color w:val="auto"/>
              </w:rPr>
              <w:t>Franklyn Scholar (Victoria)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20"/>
              <w:spacing w:after="0"/>
              <w:rPr>
                <w:sz w:val="20"/>
                <w:szCs w:val="20"/>
                <w:color w:val="auto"/>
              </w:rPr>
            </w:pPr>
            <w:r>
              <w:rPr>
                <w:rFonts w:ascii="Arial" w:cs="Arial" w:eastAsia="Arial" w:hAnsi="Arial"/>
                <w:sz w:val="17"/>
                <w:szCs w:val="17"/>
                <w:color w:val="auto"/>
              </w:rPr>
              <w:t>Franklyn Scholar (Australia)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520"/>
              <w:spacing w:after="0"/>
              <w:rPr>
                <w:sz w:val="20"/>
                <w:szCs w:val="20"/>
                <w:color w:val="auto"/>
              </w:rPr>
            </w:pPr>
            <w:r>
              <w:rPr>
                <w:rFonts w:ascii="Arial" w:cs="Arial" w:eastAsia="Arial" w:hAnsi="Arial"/>
                <w:sz w:val="17"/>
                <w:szCs w:val="17"/>
                <w:color w:val="auto"/>
              </w:rPr>
              <w:t>Academy Holdings Nominees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740"/>
              <w:spacing w:after="0"/>
              <w:rPr>
                <w:sz w:val="20"/>
                <w:szCs w:val="20"/>
                <w:color w:val="auto"/>
              </w:rPr>
            </w:pPr>
            <w:r>
              <w:rPr>
                <w:rFonts w:ascii="Arial" w:cs="Arial" w:eastAsia="Arial" w:hAnsi="Arial"/>
                <w:sz w:val="17"/>
                <w:szCs w:val="17"/>
                <w:color w:val="auto"/>
              </w:rPr>
              <w:t>Academy Blue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740"/>
              <w:spacing w:after="0"/>
              <w:rPr>
                <w:sz w:val="20"/>
                <w:szCs w:val="20"/>
                <w:color w:val="auto"/>
              </w:rPr>
            </w:pPr>
            <w:r>
              <w:rPr>
                <w:rFonts w:ascii="Arial" w:cs="Arial" w:eastAsia="Arial" w:hAnsi="Arial"/>
                <w:sz w:val="17"/>
                <w:szCs w:val="17"/>
                <w:color w:val="auto"/>
              </w:rPr>
              <w:t>Sustainable Learning Australasia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740"/>
              <w:spacing w:after="0"/>
              <w:rPr>
                <w:sz w:val="20"/>
                <w:szCs w:val="20"/>
                <w:color w:val="auto"/>
              </w:rPr>
            </w:pPr>
            <w:r>
              <w:rPr>
                <w:rFonts w:ascii="Arial" w:cs="Arial" w:eastAsia="Arial" w:hAnsi="Arial"/>
                <w:sz w:val="17"/>
                <w:szCs w:val="17"/>
                <w:color w:val="auto"/>
              </w:rPr>
              <w:t>Academy Holdings Pty Ltd.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Australia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760"/>
              <w:spacing w:after="0"/>
              <w:rPr>
                <w:sz w:val="20"/>
                <w:szCs w:val="20"/>
                <w:color w:val="auto"/>
              </w:rPr>
            </w:pPr>
            <w:r>
              <w:rPr>
                <w:rFonts w:ascii="Arial" w:cs="Arial" w:eastAsia="Arial" w:hAnsi="Arial"/>
                <w:sz w:val="17"/>
                <w:szCs w:val="17"/>
                <w:color w:val="auto"/>
              </w:rPr>
              <w:t>Score! Learning,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95.85</w:t>
            </w:r>
          </w:p>
        </w:tc>
      </w:tr>
      <w:tr>
        <w:trPr>
          <w:trHeight w:val="223"/>
        </w:trPr>
        <w:tc>
          <w:tcPr>
            <w:tcW w:w="6980" w:type="dxa"/>
            <w:vAlign w:val="bottom"/>
          </w:tcPr>
          <w:p>
            <w:pPr>
              <w:ind w:left="1060"/>
              <w:spacing w:after="0"/>
              <w:rPr>
                <w:sz w:val="20"/>
                <w:szCs w:val="20"/>
                <w:color w:val="auto"/>
              </w:rPr>
            </w:pPr>
            <w:r>
              <w:rPr>
                <w:rFonts w:ascii="Arial" w:cs="Arial" w:eastAsia="Arial" w:hAnsi="Arial"/>
                <w:sz w:val="17"/>
                <w:szCs w:val="17"/>
                <w:color w:val="auto"/>
              </w:rPr>
              <w:t>eScore.com.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1060"/>
              <w:spacing w:after="0"/>
              <w:rPr>
                <w:sz w:val="20"/>
                <w:szCs w:val="20"/>
                <w:color w:val="auto"/>
              </w:rPr>
            </w:pPr>
            <w:r>
              <w:rPr>
                <w:rFonts w:ascii="Arial" w:cs="Arial" w:eastAsia="Arial" w:hAnsi="Arial"/>
                <w:sz w:val="17"/>
                <w:szCs w:val="17"/>
                <w:color w:val="auto"/>
              </w:rPr>
              <w:t>Score! Educational Centers,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California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760"/>
              <w:spacing w:after="0"/>
              <w:rPr>
                <w:sz w:val="20"/>
                <w:szCs w:val="20"/>
                <w:color w:val="auto"/>
              </w:rPr>
            </w:pPr>
            <w:r>
              <w:rPr>
                <w:rFonts w:ascii="Arial" w:cs="Arial" w:eastAsia="Arial" w:hAnsi="Arial"/>
                <w:sz w:val="17"/>
                <w:szCs w:val="17"/>
                <w:color w:val="auto"/>
              </w:rPr>
              <w:t>Washington Post/Kaplan IC Limited Company</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Cyprus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760"/>
              <w:spacing w:after="0"/>
              <w:rPr>
                <w:sz w:val="20"/>
                <w:szCs w:val="20"/>
                <w:color w:val="auto"/>
              </w:rPr>
            </w:pPr>
            <w:r>
              <w:rPr>
                <w:rFonts w:ascii="Arial" w:cs="Arial" w:eastAsia="Arial" w:hAnsi="Arial"/>
                <w:sz w:val="17"/>
                <w:szCs w:val="17"/>
                <w:color w:val="auto"/>
              </w:rPr>
              <w:t>Wise Tactic Holdings Limited</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British Virgin Islands</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85</w:t>
            </w:r>
          </w:p>
        </w:tc>
      </w:tr>
      <w:tr>
        <w:trPr>
          <w:trHeight w:val="223"/>
        </w:trPr>
        <w:tc>
          <w:tcPr>
            <w:tcW w:w="6980" w:type="dxa"/>
            <w:vAlign w:val="bottom"/>
          </w:tcPr>
          <w:p>
            <w:pPr>
              <w:ind w:left="580"/>
              <w:spacing w:after="0"/>
              <w:rPr>
                <w:sz w:val="20"/>
                <w:szCs w:val="20"/>
                <w:color w:val="auto"/>
              </w:rPr>
            </w:pPr>
            <w:r>
              <w:rPr>
                <w:rFonts w:ascii="Arial" w:cs="Arial" w:eastAsia="Arial" w:hAnsi="Arial"/>
                <w:sz w:val="17"/>
                <w:szCs w:val="17"/>
                <w:color w:val="auto"/>
              </w:rPr>
              <w:t>Post NW, LLC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New York</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580"/>
              <w:spacing w:after="0"/>
              <w:rPr>
                <w:sz w:val="20"/>
                <w:szCs w:val="20"/>
                <w:color w:val="auto"/>
              </w:rPr>
            </w:pPr>
            <w:r>
              <w:rPr>
                <w:rFonts w:ascii="Arial" w:cs="Arial" w:eastAsia="Arial" w:hAnsi="Arial"/>
                <w:sz w:val="17"/>
                <w:szCs w:val="17"/>
                <w:color w:val="auto"/>
              </w:rPr>
              <w:t>Post-Newsweek Media,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Maryland</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580"/>
              <w:spacing w:after="0"/>
              <w:rPr>
                <w:sz w:val="20"/>
                <w:szCs w:val="20"/>
                <w:color w:val="auto"/>
              </w:rPr>
            </w:pPr>
            <w:r>
              <w:rPr>
                <w:rFonts w:ascii="Arial" w:cs="Arial" w:eastAsia="Arial" w:hAnsi="Arial"/>
                <w:sz w:val="17"/>
                <w:szCs w:val="17"/>
                <w:color w:val="auto"/>
              </w:rPr>
              <w:t>Post-Newsweek Stations,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800"/>
              <w:spacing w:after="0"/>
              <w:rPr>
                <w:sz w:val="20"/>
                <w:szCs w:val="20"/>
                <w:color w:val="auto"/>
              </w:rPr>
            </w:pPr>
            <w:r>
              <w:rPr>
                <w:rFonts w:ascii="Arial" w:cs="Arial" w:eastAsia="Arial" w:hAnsi="Arial"/>
                <w:sz w:val="17"/>
                <w:szCs w:val="17"/>
                <w:color w:val="auto"/>
              </w:rPr>
              <w:t>Post-Newsweek Stations, Florida,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Florida</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800"/>
              <w:spacing w:after="0"/>
              <w:rPr>
                <w:sz w:val="20"/>
                <w:szCs w:val="20"/>
                <w:color w:val="auto"/>
              </w:rPr>
            </w:pPr>
            <w:r>
              <w:rPr>
                <w:rFonts w:ascii="Arial" w:cs="Arial" w:eastAsia="Arial" w:hAnsi="Arial"/>
                <w:sz w:val="17"/>
                <w:szCs w:val="17"/>
                <w:color w:val="auto"/>
              </w:rPr>
              <w:t>Post-Newsweek Stations, Houston,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800"/>
              <w:spacing w:after="0"/>
              <w:rPr>
                <w:sz w:val="20"/>
                <w:szCs w:val="20"/>
                <w:color w:val="auto"/>
              </w:rPr>
            </w:pPr>
            <w:r>
              <w:rPr>
                <w:rFonts w:ascii="Arial" w:cs="Arial" w:eastAsia="Arial" w:hAnsi="Arial"/>
                <w:sz w:val="17"/>
                <w:szCs w:val="17"/>
                <w:color w:val="auto"/>
              </w:rPr>
              <w:t>Post-Newsweek Stations, Michigan,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800"/>
              <w:spacing w:after="0"/>
              <w:rPr>
                <w:sz w:val="20"/>
                <w:szCs w:val="20"/>
                <w:color w:val="auto"/>
              </w:rPr>
            </w:pPr>
            <w:r>
              <w:rPr>
                <w:rFonts w:ascii="Arial" w:cs="Arial" w:eastAsia="Arial" w:hAnsi="Arial"/>
                <w:sz w:val="17"/>
                <w:szCs w:val="17"/>
                <w:color w:val="auto"/>
              </w:rPr>
              <w:t>Post-Newsweek Stations, Orlando,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800"/>
              <w:spacing w:after="0"/>
              <w:rPr>
                <w:sz w:val="20"/>
                <w:szCs w:val="20"/>
                <w:color w:val="auto"/>
              </w:rPr>
            </w:pPr>
            <w:r>
              <w:rPr>
                <w:rFonts w:ascii="Arial" w:cs="Arial" w:eastAsia="Arial" w:hAnsi="Arial"/>
                <w:sz w:val="17"/>
                <w:szCs w:val="17"/>
                <w:color w:val="auto"/>
              </w:rPr>
              <w:t>Post-Newsweek Stations, San Antonio, Inc.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580"/>
              <w:spacing w:after="0"/>
              <w:rPr>
                <w:sz w:val="20"/>
                <w:szCs w:val="20"/>
                <w:color w:val="auto"/>
              </w:rPr>
            </w:pPr>
            <w:r>
              <w:rPr>
                <w:rFonts w:ascii="Arial" w:cs="Arial" w:eastAsia="Arial" w:hAnsi="Arial"/>
                <w:sz w:val="17"/>
                <w:szCs w:val="17"/>
                <w:color w:val="auto"/>
              </w:rPr>
              <w:t>Robinson Terminal Warehouse, LLC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580"/>
              <w:spacing w:after="0"/>
              <w:rPr>
                <w:sz w:val="20"/>
                <w:szCs w:val="20"/>
                <w:color w:val="auto"/>
              </w:rPr>
            </w:pPr>
            <w:r>
              <w:rPr>
                <w:rFonts w:ascii="Arial" w:cs="Arial" w:eastAsia="Arial" w:hAnsi="Arial"/>
                <w:sz w:val="17"/>
                <w:szCs w:val="17"/>
                <w:color w:val="auto"/>
              </w:rPr>
              <w:t>Social Code LLC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580"/>
              <w:spacing w:after="0"/>
              <w:rPr>
                <w:sz w:val="20"/>
                <w:szCs w:val="20"/>
                <w:color w:val="auto"/>
              </w:rPr>
            </w:pPr>
            <w:r>
              <w:rPr>
                <w:rFonts w:ascii="Arial" w:cs="Arial" w:eastAsia="Arial" w:hAnsi="Arial"/>
                <w:sz w:val="17"/>
                <w:szCs w:val="17"/>
                <w:color w:val="auto"/>
              </w:rPr>
              <w:t>The Slate Group, LLC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3"/>
        </w:trPr>
        <w:tc>
          <w:tcPr>
            <w:tcW w:w="6980" w:type="dxa"/>
            <w:vAlign w:val="bottom"/>
          </w:tcPr>
          <w:p>
            <w:pPr>
              <w:ind w:left="580"/>
              <w:spacing w:after="0"/>
              <w:rPr>
                <w:sz w:val="20"/>
                <w:szCs w:val="20"/>
                <w:color w:val="auto"/>
              </w:rPr>
            </w:pPr>
            <w:r>
              <w:rPr>
                <w:rFonts w:ascii="Arial" w:cs="Arial" w:eastAsia="Arial" w:hAnsi="Arial"/>
                <w:sz w:val="17"/>
                <w:szCs w:val="17"/>
                <w:color w:val="auto"/>
              </w:rPr>
              <w:t>WP Company LLC</w:t>
            </w:r>
          </w:p>
        </w:tc>
        <w:tc>
          <w:tcPr>
            <w:tcW w:w="3480" w:type="dxa"/>
            <w:vAlign w:val="bottom"/>
          </w:tcPr>
          <w:p>
            <w:pPr>
              <w:jc w:val="right"/>
              <w:ind w:right="557"/>
              <w:spacing w:after="0"/>
              <w:rPr>
                <w:sz w:val="20"/>
                <w:szCs w:val="20"/>
                <w:color w:val="auto"/>
              </w:rPr>
            </w:pPr>
            <w:r>
              <w:rPr>
                <w:rFonts w:ascii="Arial" w:cs="Arial" w:eastAsia="Arial" w:hAnsi="Arial"/>
                <w:sz w:val="17"/>
                <w:szCs w:val="17"/>
                <w:color w:val="auto"/>
              </w:rPr>
              <w:t>Delaware</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519"/>
        </w:trPr>
        <w:tc>
          <w:tcPr>
            <w:tcW w:w="698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140" w:right="139" w:bottom="1440" w:gutter="0" w:footer="0" w:header="0"/>
        </w:sectPr>
      </w:pPr>
    </w:p>
    <w:bookmarkStart w:id="140" w:name="page141"/>
    <w:bookmarkEnd w:id="140"/>
    <w:p>
      <w:pPr>
        <w:jc w:val="both"/>
        <w:ind w:left="800" w:hanging="405"/>
        <w:spacing w:after="0" w:line="228"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514350</wp:posOffset>
            </wp:positionH>
            <wp:positionV relativeFrom="page">
              <wp:posOffset>593090</wp:posOffset>
            </wp:positionV>
            <wp:extent cx="234061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40610" cy="7620"/>
                    </a:xfrm>
                    <a:prstGeom prst="rect">
                      <a:avLst/>
                    </a:prstGeom>
                    <a:noFill/>
                  </pic:spPr>
                </pic:pic>
              </a:graphicData>
            </a:graphic>
          </wp:anchor>
        </w:drawing>
        <w:t>Shanghai Kaplan Education Investment Consulting Co. Ltd also owns 45% stock in Shanghai Kai Bo Education Investment Management C Limited. The combined ownership of The Financial Training (Shanghai) Co., Ltd and Shanghai Kaplan Education Investment Consulting Co in Shanghai Kai Bo Education Investment Management Co. Limited is 85%.</w:t>
      </w:r>
    </w:p>
    <w:p>
      <w:pPr>
        <w:spacing w:after="0" w:line="1" w:lineRule="exact"/>
        <w:rPr>
          <w:rFonts w:ascii="Arial" w:cs="Arial" w:eastAsia="Arial" w:hAnsi="Arial"/>
          <w:sz w:val="17"/>
          <w:szCs w:val="17"/>
          <w:color w:val="auto"/>
        </w:rPr>
      </w:pPr>
    </w:p>
    <w:p>
      <w:pPr>
        <w:ind w:left="800" w:hanging="405"/>
        <w:spacing w:after="0" w:line="228"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Coxcourt Limited also owns 43.11% voting stock in Accountancy &amp; Business College Holdings Limited. The combined stock ownership of K Netherlands B.V. and Coxcourt Limited in Accountancy &amp; Business College Holdings Limited is 100%.</w:t>
      </w:r>
    </w:p>
    <w:p>
      <w:pPr>
        <w:ind w:left="800" w:hanging="405"/>
        <w:spacing w:after="0" w:line="228" w:lineRule="auto"/>
        <w:tabs>
          <w:tab w:leader="none" w:pos="771" w:val="left"/>
        </w:tabs>
        <w:numPr>
          <w:ilvl w:val="0"/>
          <w:numId w:val="80"/>
        </w:numPr>
        <w:rPr>
          <w:rFonts w:ascii="Arial" w:cs="Arial" w:eastAsia="Arial" w:hAnsi="Arial"/>
          <w:sz w:val="17"/>
          <w:szCs w:val="17"/>
          <w:color w:val="auto"/>
        </w:rPr>
      </w:pPr>
      <w:r>
        <w:rPr>
          <w:rFonts w:ascii="Arial" w:cs="Arial" w:eastAsia="Arial" w:hAnsi="Arial"/>
          <w:sz w:val="17"/>
          <w:szCs w:val="17"/>
          <w:color w:val="auto"/>
        </w:rPr>
        <w:t>Kaplan Mexico Holdings, LLC also owns 1% stock in Kaplan Educational Services de Mexico, S. de R.L. de C.V. and Education HR Service Mexico, S. de R.L. de C.V. The combined ownership of Kaplan, Inc. and Kaplan Mexico Holdings, LLC in Kaplan Educational Services de Mexico, S. de R.L. de C.V. and Education HR Services Mexico, S. de R.L. de C.V. is 100%.</w:t>
      </w:r>
    </w:p>
    <w:p>
      <w:pPr>
        <w:spacing w:after="0" w:line="1" w:lineRule="exact"/>
        <w:rPr>
          <w:rFonts w:ascii="Arial" w:cs="Arial" w:eastAsia="Arial" w:hAnsi="Arial"/>
          <w:sz w:val="17"/>
          <w:szCs w:val="17"/>
          <w:color w:val="auto"/>
        </w:rPr>
      </w:pPr>
    </w:p>
    <w:p>
      <w:pPr>
        <w:ind w:left="800" w:hanging="405"/>
        <w:spacing w:after="0" w:line="228"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Quest Ventures, LLC is a Limited Partner of Texas Educational Ventures, LLP. The combined ownership of Educational Ventures (Texas), In and Quest Ventures, LLC in Texas Educational Ventures, LLP is 100%.</w:t>
      </w:r>
    </w:p>
    <w:p>
      <w:pPr>
        <w:ind w:left="800" w:right="20" w:hanging="405"/>
        <w:spacing w:after="0" w:line="228"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Kaplan Colleges Private Limited also owns 4.35% stock in Kaplan (India) Private Limited. The combined ownership of Kaplan Mexico Holdi LLC and Kaplan Colleges Private Limited in Kaplan (India) Private Limited is 100%.</w:t>
      </w:r>
    </w:p>
    <w:p>
      <w:pPr>
        <w:ind w:left="800" w:hanging="405"/>
        <w:spacing w:after="0" w:line="235" w:lineRule="auto"/>
        <w:tabs>
          <w:tab w:leader="none" w:pos="7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Aspect Educational Services Limited also owns 5% stock in Kaplan International Colleges, C.A. The combined ownership of Aspect Educat Services Limited and Aspect Education Limited in Kaplan International Colleges, C.A. is 100%.</w:t>
      </w:r>
    </w:p>
    <w:p>
      <w:pPr>
        <w:spacing w:after="0" w:line="6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As permitted by Item 601(b)(21) of Regulation S-K, the foregoing list omits certain subsidiaries which, if considered in the aggregate as a single subsid would not constitute a “significant subsidiary” as that term is defined in Rule 1-02(w) of Regulation 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448310</wp:posOffset>
            </wp:positionV>
            <wp:extent cx="7278370"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45" w:right="139" w:bottom="1440" w:gutter="0" w:footer="0" w:header="0"/>
        </w:sectPr>
      </w:pPr>
    </w:p>
    <w:bookmarkStart w:id="141" w:name="page142"/>
    <w:bookmarkEnd w:id="1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color w:val="auto"/>
        </w:rPr>
        <w:t>EXHI</w:t>
      </w:r>
    </w:p>
    <w:p>
      <w:pPr>
        <w:spacing w:after="0" w:line="12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ind w:left="1160"/>
        <w:spacing w:after="0" w:line="228" w:lineRule="auto"/>
        <w:rPr>
          <w:sz w:val="20"/>
          <w:szCs w:val="20"/>
          <w:color w:val="auto"/>
        </w:rPr>
      </w:pPr>
      <w:r>
        <w:rPr>
          <w:rFonts w:ascii="Arial" w:cs="Arial" w:eastAsia="Arial" w:hAnsi="Arial"/>
          <w:sz w:val="17"/>
          <w:szCs w:val="17"/>
          <w:color w:val="auto"/>
        </w:rPr>
        <w:t>OFFICER</w:t>
      </w:r>
    </w:p>
    <w:p>
      <w:pPr>
        <w:jc w:val="center"/>
        <w:ind w:left="1160"/>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ind w:left="9" w:right="80"/>
        <w:spacing w:after="0" w:line="232" w:lineRule="auto"/>
        <w:rPr>
          <w:sz w:val="20"/>
          <w:szCs w:val="20"/>
          <w:color w:val="auto"/>
        </w:rPr>
      </w:pPr>
      <w:r>
        <w:rPr>
          <w:rFonts w:ascii="Arial" w:cs="Arial" w:eastAsia="Arial" w:hAnsi="Arial"/>
          <w:sz w:val="17"/>
          <w:szCs w:val="17"/>
          <w:color w:val="auto"/>
        </w:rPr>
        <w:t>In connection with the Annual Report of The Washington Post Company (the “Company”) on Form 10-K for the fiscal year ended December 31, 2012 “Report”), Donald E. Graham, Chief Executive Officer (principal executive officer) of the Company and Hal S. Jones, Senior Vice President-Finance (principal financial officer) of the Company, each hereby certifies, pursuant to 18 U.S.C. § 1350, as adopted pursuant to § 906 of the Sarbanes-Oxley 2002, that:</w:t>
      </w:r>
    </w:p>
    <w:p>
      <w:pPr>
        <w:spacing w:after="0" w:line="138" w:lineRule="exact"/>
        <w:rPr>
          <w:sz w:val="20"/>
          <w:szCs w:val="20"/>
          <w:color w:val="auto"/>
        </w:rPr>
      </w:pPr>
    </w:p>
    <w:p>
      <w:pPr>
        <w:ind w:left="249" w:hanging="249"/>
        <w:spacing w:after="0"/>
        <w:tabs>
          <w:tab w:leader="none" w:pos="24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9" w:hanging="249"/>
        <w:spacing w:after="0"/>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478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44780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February 27, 2013</w:t>
      </w:r>
    </w:p>
    <w:p>
      <w:pPr>
        <w:spacing w:after="0" w:line="354"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75704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ind w:left="9"/>
        <w:spacing w:after="0" w:line="228" w:lineRule="auto"/>
        <w:rPr>
          <w:sz w:val="20"/>
          <w:szCs w:val="20"/>
          <w:color w:val="auto"/>
        </w:rPr>
      </w:pPr>
      <w:r>
        <w:rPr>
          <w:rFonts w:ascii="Arial" w:cs="Arial" w:eastAsia="Arial" w:hAnsi="Arial"/>
          <w:sz w:val="17"/>
          <w:szCs w:val="17"/>
          <w:color w:val="auto"/>
        </w:rPr>
        <w:t>Hal S. Jones</w:t>
      </w:r>
    </w:p>
    <w:p>
      <w:pPr>
        <w:ind w:left="9"/>
        <w:spacing w:after="0" w:line="229"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February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314960</wp:posOffset>
            </wp:positionV>
            <wp:extent cx="727837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40" w:right="139" w:bottom="1440" w:gutter="0" w:footer="0" w:header="0"/>
        </w:sectPr>
      </w:pPr>
    </w:p>
    <w:bookmarkStart w:id="143" w:name="page144"/>
    <w:bookmarkEnd w:id="1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4" w:name="page145"/>
    <w:bookmarkEnd w:id="144"/>
    <w:p>
      <w:pPr>
        <w:ind w:left="10540"/>
        <w:spacing w:after="0"/>
        <w:rPr>
          <w:sz w:val="20"/>
          <w:szCs w:val="20"/>
          <w:color w:val="auto"/>
        </w:rPr>
      </w:pPr>
      <w:r>
        <w:rPr>
          <w:rFonts w:ascii="Arial" w:cs="Arial" w:eastAsia="Arial" w:hAnsi="Arial"/>
          <w:sz w:val="17"/>
          <w:szCs w:val="17"/>
          <w:color w:val="auto"/>
        </w:rPr>
        <w:t>EXHI</w:t>
      </w:r>
    </w:p>
    <w:p>
      <w:pPr>
        <w:spacing w:after="0" w:line="129" w:lineRule="exact"/>
        <w:rPr>
          <w:sz w:val="20"/>
          <w:szCs w:val="20"/>
          <w:color w:val="auto"/>
        </w:rPr>
      </w:pPr>
    </w:p>
    <w:p>
      <w:pPr>
        <w:jc w:val="center"/>
        <w:ind w:left="1160"/>
        <w:spacing w:after="0"/>
        <w:rPr>
          <w:sz w:val="20"/>
          <w:szCs w:val="20"/>
          <w:color w:val="auto"/>
        </w:rPr>
      </w:pPr>
      <w:r>
        <w:rPr>
          <w:rFonts w:ascii="Arial" w:cs="Arial" w:eastAsia="Arial" w:hAnsi="Arial"/>
          <w:sz w:val="17"/>
          <w:szCs w:val="17"/>
          <w:u w:val="single" w:color="auto"/>
          <w:color w:val="auto"/>
        </w:rPr>
        <w:t>Power of Attorney</w:t>
      </w:r>
    </w:p>
    <w:p>
      <w:pPr>
        <w:jc w:val="center"/>
        <w:ind w:left="1160"/>
        <w:spacing w:after="0"/>
        <w:rPr>
          <w:sz w:val="20"/>
          <w:szCs w:val="20"/>
          <w:color w:val="auto"/>
        </w:rPr>
      </w:pPr>
      <w:r>
        <w:rPr>
          <w:rFonts w:ascii="Arial" w:cs="Arial" w:eastAsia="Arial" w:hAnsi="Arial"/>
          <w:sz w:val="17"/>
          <w:szCs w:val="17"/>
          <w:u w:val="single" w:color="auto"/>
          <w:color w:val="auto"/>
        </w:rPr>
        <w:t>Reports Under the Securities Exchange Act of 1934</w:t>
      </w:r>
    </w:p>
    <w:p>
      <w:pPr>
        <w:spacing w:after="0" w:line="140" w:lineRule="exact"/>
        <w:rPr>
          <w:sz w:val="20"/>
          <w:szCs w:val="20"/>
          <w:color w:val="auto"/>
        </w:rPr>
      </w:pPr>
    </w:p>
    <w:p>
      <w:pPr>
        <w:ind w:left="9520"/>
        <w:spacing w:after="0"/>
        <w:rPr>
          <w:sz w:val="20"/>
          <w:szCs w:val="20"/>
          <w:color w:val="auto"/>
        </w:rPr>
      </w:pPr>
      <w:r>
        <w:rPr>
          <w:rFonts w:ascii="Arial" w:cs="Arial" w:eastAsia="Arial" w:hAnsi="Arial"/>
          <w:sz w:val="17"/>
          <w:szCs w:val="17"/>
          <w:color w:val="auto"/>
        </w:rPr>
        <w:t>February 21, 2013</w:t>
      </w:r>
    </w:p>
    <w:p>
      <w:pPr>
        <w:spacing w:after="0" w:line="14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KNOW ALL MEN BY THESE PRESENTS that each of the undersigned directors and officers of The Washington Post Company, a Delaware corporati (hereinafter called the "Company"), hereby constitutes and appoints DONALD E. GRAHAM, HAL S. JONES and VERONICA DILLON, and each of the or her true and lawful attorneys-in-fact and agents with full power to act without the others and with full power of substitution and resubstitution, for him her and in his or her name, place and stead, in any and all capacities, to sign my name to an Annual Report on Form 10-K of the Company for the fisc year ended December 31, 2012, and any and all reports required to be filed by the Company pursuant to the Securities Exchange Act of 1934, as ame and any and all amendments thereto and other documents in connection therewith, and to file, or cause to be filed, the same with all exhibits thereto (including this power of attorney), with the Securities and Exchange Commission, granting unto said attorneys-in-fact and agents, and each of them, fu power and authority to do and perform each and every act and thing requisite and necessary to be done in and about the premises as fully and to all i and purposes as he or she might or could do in person, hereby ratifying and confirming all that said attorneys-in-fact and agents or any of them, or the his or her substitute or substitutes, may lawfully do or cause to be done by virtue hereof.</w:t>
      </w:r>
    </w:p>
    <w:p>
      <w:pPr>
        <w:sectPr>
          <w:pgSz w:w="11900" w:h="16838" w:orient="portrait"/>
          <w:cols w:equalWidth="0" w:num="1">
            <w:col w:w="10940"/>
          </w:cols>
          <w:pgMar w:left="820" w:top="140" w:right="139" w:bottom="1440" w:gutter="0" w:footer="0" w:header="0"/>
        </w:sect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34912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ind w:right="560"/>
        <w:spacing w:after="0"/>
        <w:rPr>
          <w:sz w:val="20"/>
          <w:szCs w:val="20"/>
          <w:color w:val="auto"/>
        </w:rPr>
      </w:pPr>
      <w:r>
        <w:rPr>
          <w:rFonts w:ascii="Arial" w:cs="Arial" w:eastAsia="Arial" w:hAnsi="Arial"/>
          <w:sz w:val="17"/>
          <w:szCs w:val="17"/>
          <w:color w:val="auto"/>
        </w:rPr>
        <w:t>Donald E. Graham, Chairman of the Board and Chief Executive Officer (Principal Executive Officer) and Director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349123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160"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color w:val="auto"/>
        </w:rPr>
        <w:t>Hal S. Jones, Senior Vice President - Finance (Principal Financial Officer) /s/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49123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ind w:right="260"/>
        <w:spacing w:after="0" w:line="235" w:lineRule="auto"/>
        <w:rPr>
          <w:sz w:val="20"/>
          <w:szCs w:val="20"/>
          <w:color w:val="auto"/>
        </w:rPr>
      </w:pPr>
      <w:r>
        <w:rPr>
          <w:rFonts w:ascii="Arial" w:cs="Arial" w:eastAsia="Arial" w:hAnsi="Arial"/>
          <w:sz w:val="17"/>
          <w:szCs w:val="17"/>
          <w:color w:val="auto"/>
        </w:rPr>
        <w:t>Wallace R. Cooney, Vice President - Finance (Principal Accounting Officer) /s/ Lee C. Bollinger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49123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0" w:lineRule="auto"/>
        <w:rPr>
          <w:sz w:val="20"/>
          <w:szCs w:val="20"/>
          <w:color w:val="auto"/>
        </w:rPr>
      </w:pPr>
      <w:r>
        <w:rPr>
          <w:rFonts w:ascii="Arial" w:cs="Arial" w:eastAsia="Arial" w:hAnsi="Arial"/>
          <w:sz w:val="17"/>
          <w:szCs w:val="17"/>
          <w:color w:val="auto"/>
        </w:rPr>
        <w:t>Lee C. Bollinger, Director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 Christopher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34912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Christopher C. Davis, Director</w:t>
      </w:r>
    </w:p>
    <w:p>
      <w:pPr>
        <w:spacing w:after="0"/>
        <w:rPr>
          <w:sz w:val="20"/>
          <w:szCs w:val="20"/>
          <w:color w:val="auto"/>
        </w:rPr>
      </w:pPr>
      <w:r>
        <w:rPr>
          <w:rFonts w:ascii="Arial" w:cs="Arial" w:eastAsia="Arial" w:hAnsi="Arial"/>
          <w:sz w:val="17"/>
          <w:szCs w:val="17"/>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34912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Barry Diller, Director</w:t>
      </w:r>
    </w:p>
    <w:p>
      <w:pPr>
        <w:spacing w:after="0"/>
        <w:rPr>
          <w:sz w:val="20"/>
          <w:szCs w:val="20"/>
          <w:color w:val="auto"/>
        </w:rPr>
      </w:pPr>
      <w:r>
        <w:rPr>
          <w:rFonts w:ascii="Arial" w:cs="Arial" w:eastAsia="Arial" w:hAnsi="Arial"/>
          <w:sz w:val="17"/>
          <w:szCs w:val="17"/>
          <w:color w:val="auto"/>
        </w:rPr>
        <w:t>/s/ Thomas S. Gayner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wp:posOffset>
            </wp:positionV>
            <wp:extent cx="34912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91230"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Thomas S. Gayner, Director</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86995</wp:posOffset>
            </wp:positionV>
            <wp:extent cx="727837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color w:val="auto"/>
        </w:rPr>
        <w:t>/s/ David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09943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09943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David Goldberg, Director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/s/ Anne M. Mulcahy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09943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099435"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Anne M. Mulcahy, Director</w:t>
      </w:r>
    </w:p>
    <w:p>
      <w:pPr>
        <w:spacing w:after="0"/>
        <w:rPr>
          <w:sz w:val="20"/>
          <w:szCs w:val="20"/>
          <w:color w:val="auto"/>
        </w:rPr>
      </w:pPr>
      <w:r>
        <w:rPr>
          <w:rFonts w:ascii="Arial" w:cs="Arial" w:eastAsia="Arial" w:hAnsi="Arial"/>
          <w:sz w:val="17"/>
          <w:szCs w:val="17"/>
          <w:color w:val="auto"/>
        </w:rPr>
        <w:t>/s/ Ronald L.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09943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099435"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Ronald L. Olson, Director</w:t>
      </w:r>
    </w:p>
    <w:p>
      <w:pPr>
        <w:spacing w:after="0"/>
        <w:rPr>
          <w:sz w:val="20"/>
          <w:szCs w:val="20"/>
          <w:color w:val="auto"/>
        </w:rPr>
      </w:pPr>
      <w:r>
        <w:rPr>
          <w:rFonts w:ascii="Arial" w:cs="Arial" w:eastAsia="Arial" w:hAnsi="Arial"/>
          <w:sz w:val="17"/>
          <w:szCs w:val="17"/>
          <w:color w:val="auto"/>
        </w:rPr>
        <w:t>/s/ Larry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0994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99435" cy="762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Larry D. Thompson, Director</w:t>
      </w:r>
    </w:p>
    <w:p>
      <w:pPr>
        <w:spacing w:after="0"/>
        <w:rPr>
          <w:sz w:val="20"/>
          <w:szCs w:val="20"/>
          <w:color w:val="auto"/>
        </w:rPr>
      </w:pPr>
      <w:r>
        <w:rPr>
          <w:rFonts w:ascii="Arial" w:cs="Arial" w:eastAsia="Arial" w:hAnsi="Arial"/>
          <w:sz w:val="17"/>
          <w:szCs w:val="17"/>
          <w:color w:val="auto"/>
        </w:rPr>
        <w:t>/s/ G. Richard Wagoner,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09943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994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G. Richard Wagoner, Jr., Director</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 Katharine Weymouth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309943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99435" cy="762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Katharine Weymouth, Director</w:t>
      </w:r>
    </w:p>
    <w:p>
      <w:pPr>
        <w:sectPr>
          <w:pgSz w:w="11900" w:h="16838" w:orient="portrait"/>
          <w:cols w:equalWidth="0" w:num="2">
            <w:col w:w="5720" w:space="340"/>
            <w:col w:w="4880"/>
          </w:cols>
          <w:pgMar w:left="820" w:top="140" w:right="139" w:bottom="1440" w:gutter="0" w:footer="0" w:header="0"/>
          <w:type w:val="continuous"/>
        </w:sectPr>
      </w:pPr>
    </w:p>
    <w:bookmarkStart w:id="145" w:name="page146"/>
    <w:bookmarkEnd w:id="1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color w:val="auto"/>
        </w:rPr>
        <w:t>EXHIBI</w:t>
      </w:r>
    </w:p>
    <w:p>
      <w:pPr>
        <w:spacing w:after="0" w:line="13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EXECUTIVE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Donald E. Graham, Chief Executive Officer (principal executive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8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1"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60" w:lineRule="auto"/>
        <w:tabs>
          <w:tab w:leader="none" w:pos="7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qu that has materially affected, or is reasonably likely to materially affect, the Registrant’s internal control over financial reporting; and</w:t>
      </w:r>
    </w:p>
    <w:p>
      <w:pPr>
        <w:spacing w:after="0" w:line="122" w:lineRule="exact"/>
        <w:rPr>
          <w:rFonts w:ascii="Arial" w:cs="Arial" w:eastAsia="Arial" w:hAnsi="Arial"/>
          <w:sz w:val="16"/>
          <w:szCs w:val="16"/>
          <w:color w:val="auto"/>
        </w:rPr>
      </w:pPr>
    </w:p>
    <w:p>
      <w:pPr>
        <w:ind w:left="9" w:right="80" w:hanging="9"/>
        <w:spacing w:after="0" w:line="235" w:lineRule="auto"/>
        <w:tabs>
          <w:tab w:leader="none" w:pos="193"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163"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09728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9728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February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362585</wp:posOffset>
            </wp:positionV>
            <wp:extent cx="727837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809" w:right="139" w:bottom="1440" w:gutter="0" w:footer="0" w:header="0"/>
        </w:sectPr>
      </w:pPr>
    </w:p>
    <w:bookmarkStart w:id="147" w:name="page148"/>
    <w:bookmarkEnd w:id="14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color w:val="auto"/>
        </w:rPr>
        <w:t>EXHIBI</w:t>
      </w:r>
    </w:p>
    <w:p>
      <w:pPr>
        <w:spacing w:after="0" w:line="13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FINANCIAL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Hal S. Jones, Senior Vice President-Finance (principal financial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8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1"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60" w:lineRule="auto"/>
        <w:tabs>
          <w:tab w:leader="none" w:pos="79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fourth qu that has materially affected, or is reasonably likely to materially affect, the Registrant’s internal control over financial reporting; and</w:t>
      </w:r>
    </w:p>
    <w:p>
      <w:pPr>
        <w:spacing w:after="0" w:line="122" w:lineRule="exact"/>
        <w:rPr>
          <w:rFonts w:ascii="Arial" w:cs="Arial" w:eastAsia="Arial" w:hAnsi="Arial"/>
          <w:sz w:val="16"/>
          <w:szCs w:val="16"/>
          <w:color w:val="auto"/>
        </w:rPr>
      </w:pPr>
    </w:p>
    <w:p>
      <w:pPr>
        <w:ind w:left="9" w:right="80" w:hanging="9"/>
        <w:spacing w:after="0" w:line="235" w:lineRule="auto"/>
        <w:tabs>
          <w:tab w:leader="none" w:pos="193"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49"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0652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0652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February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362585</wp:posOffset>
            </wp:positionV>
            <wp:extent cx="727837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809" w:right="139" w:bottom="1440" w:gutter="0" w:footer="0" w:header="0"/>
        </w:sectPr>
      </w:pPr>
    </w:p>
    <w:bookmarkStart w:id="149" w:name="page150"/>
    <w:bookmarkEnd w:id="14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color w:val="auto"/>
        </w:rPr>
        <w:t>EXHI</w:t>
      </w:r>
    </w:p>
    <w:p>
      <w:pPr>
        <w:spacing w:after="0" w:line="12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ind w:left="1160"/>
        <w:spacing w:after="0" w:line="228" w:lineRule="auto"/>
        <w:rPr>
          <w:sz w:val="20"/>
          <w:szCs w:val="20"/>
          <w:color w:val="auto"/>
        </w:rPr>
      </w:pPr>
      <w:r>
        <w:rPr>
          <w:rFonts w:ascii="Arial" w:cs="Arial" w:eastAsia="Arial" w:hAnsi="Arial"/>
          <w:sz w:val="17"/>
          <w:szCs w:val="17"/>
          <w:color w:val="auto"/>
        </w:rPr>
        <w:t>OFFICER</w:t>
      </w:r>
    </w:p>
    <w:p>
      <w:pPr>
        <w:jc w:val="center"/>
        <w:ind w:left="1160"/>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ind w:left="9" w:right="80"/>
        <w:spacing w:after="0" w:line="232" w:lineRule="auto"/>
        <w:rPr>
          <w:sz w:val="20"/>
          <w:szCs w:val="20"/>
          <w:color w:val="auto"/>
        </w:rPr>
      </w:pPr>
      <w:r>
        <w:rPr>
          <w:rFonts w:ascii="Arial" w:cs="Arial" w:eastAsia="Arial" w:hAnsi="Arial"/>
          <w:sz w:val="17"/>
          <w:szCs w:val="17"/>
          <w:color w:val="auto"/>
        </w:rPr>
        <w:t>In connection with the Annual Report of The Washington Post Company (the “Company”) on Form 10-K for the fiscal year ended December 31, 2012 “Report”), Donald E. Graham, Chief Executive Officer (principal executive officer) of the Company and Hal S. Jones, Senior Vice President-Finance (principal financial officer) of the Company, each hereby certifies, pursuant to 18 U.S.C. § 1350, as adopted pursuant to § 906 of the Sarbanes-Oxley 2002, that:</w:t>
      </w:r>
    </w:p>
    <w:p>
      <w:pPr>
        <w:spacing w:after="0" w:line="138" w:lineRule="exact"/>
        <w:rPr>
          <w:sz w:val="20"/>
          <w:szCs w:val="20"/>
          <w:color w:val="auto"/>
        </w:rPr>
      </w:pPr>
    </w:p>
    <w:p>
      <w:pPr>
        <w:ind w:left="249" w:hanging="249"/>
        <w:spacing w:after="0"/>
        <w:tabs>
          <w:tab w:leader="none" w:pos="249"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9" w:hanging="249"/>
        <w:spacing w:after="0"/>
        <w:tabs>
          <w:tab w:leader="none" w:pos="24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478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44780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February 27, 2013</w:t>
      </w:r>
    </w:p>
    <w:p>
      <w:pPr>
        <w:spacing w:after="0" w:line="354"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75704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57045" cy="7620"/>
                    </a:xfrm>
                    <a:prstGeom prst="rect">
                      <a:avLst/>
                    </a:prstGeom>
                    <a:noFill/>
                  </pic:spPr>
                </pic:pic>
              </a:graphicData>
            </a:graphic>
          </wp:anchor>
        </w:drawing>
      </w:r>
    </w:p>
    <w:p>
      <w:pPr>
        <w:ind w:left="9"/>
        <w:spacing w:after="0" w:line="228" w:lineRule="auto"/>
        <w:rPr>
          <w:sz w:val="20"/>
          <w:szCs w:val="20"/>
          <w:color w:val="auto"/>
        </w:rPr>
      </w:pPr>
      <w:r>
        <w:rPr>
          <w:rFonts w:ascii="Arial" w:cs="Arial" w:eastAsia="Arial" w:hAnsi="Arial"/>
          <w:sz w:val="17"/>
          <w:szCs w:val="17"/>
          <w:color w:val="auto"/>
        </w:rPr>
        <w:t>Hal S. Jones</w:t>
      </w:r>
    </w:p>
    <w:p>
      <w:pPr>
        <w:ind w:left="9"/>
        <w:spacing w:after="0" w:line="229"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February 27,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314960</wp:posOffset>
            </wp:positionV>
            <wp:extent cx="7278370" cy="20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140" w:right="1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lowerLetter"/>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1)"/>
      <w:numFmt w:val="decimal"/>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1."/>
      <w:numFmt w:val="decimal"/>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lowerRoman"/>
      <w:start w:val="3"/>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decimal"/>
      <w:start w:val="103"/>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3"/>
    </w:lvl>
  </w:abstractNum>
  <w:abstractNum w:abstractNumId="55">
    <w:nsid w:val="5F5E7FD0"/>
    <w:multiLevelType w:val="hybridMultilevel"/>
    <w:lvl w:ilvl="0">
      <w:lvlJc w:val="left"/>
      <w:lvlText w:val="%1."/>
      <w:numFmt w:val="decimal"/>
      <w:start w:val="4"/>
    </w:lvl>
  </w:abstractNum>
  <w:abstractNum w:abstractNumId="56">
    <w:nsid w:val="98A3148"/>
    <w:multiLevelType w:val="hybridMultilevel"/>
    <w:lvl w:ilvl="0">
      <w:lvlJc w:val="left"/>
      <w:lvlText w:val="%1."/>
      <w:numFmt w:val="decimal"/>
      <w:start w:val="5"/>
    </w:lvl>
  </w:abstractNum>
  <w:abstractNum w:abstractNumId="57">
    <w:nsid w:val="799D0247"/>
    <w:multiLevelType w:val="hybridMultilevel"/>
    <w:lvl w:ilvl="0">
      <w:lvlJc w:val="left"/>
      <w:lvlText w:val="%1."/>
      <w:numFmt w:val="decimal"/>
      <w:start w:val="8"/>
    </w:lvl>
  </w:abstractNum>
  <w:abstractNum w:abstractNumId="58">
    <w:nsid w:val="6B94764"/>
    <w:multiLevelType w:val="hybridMultilevel"/>
    <w:lvl w:ilvl="0">
      <w:lvlJc w:val="left"/>
      <w:lvlText w:val="%1."/>
      <w:numFmt w:val="decimal"/>
      <w:start w:val="10"/>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decimal"/>
      <w:start w:val="12"/>
    </w:lvl>
  </w:abstractNum>
  <w:abstractNum w:abstractNumId="61">
    <w:nsid w:val="1EBA5D23"/>
    <w:multiLevelType w:val="hybridMultilevel"/>
    <w:lvl w:ilvl="0">
      <w:lvlJc w:val="left"/>
      <w:lvlText w:val="%1."/>
      <w:numFmt w:val="decimal"/>
      <w:start w:val="13"/>
    </w:lvl>
  </w:abstractNum>
  <w:abstractNum w:abstractNumId="62">
    <w:nsid w:val="661E3F1E"/>
    <w:multiLevelType w:val="hybridMultilevel"/>
    <w:lvl w:ilvl="0">
      <w:lvlJc w:val="left"/>
      <w:lvlText w:val="(%1)"/>
      <w:numFmt w:val="lowerRoman"/>
      <w:start w:val="2"/>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decimal"/>
      <w:start w:val="14"/>
    </w:lvl>
  </w:abstractNum>
  <w:abstractNum w:abstractNumId="65">
    <w:nsid w:val="7BD3EE7B"/>
    <w:multiLevelType w:val="hybridMultilevel"/>
    <w:lvl w:ilvl="0">
      <w:lvlJc w:val="left"/>
      <w:lvlText w:val="%1."/>
      <w:numFmt w:val="decimal"/>
      <w:start w:val="15"/>
    </w:lvl>
  </w:abstractNum>
  <w:abstractNum w:abstractNumId="66">
    <w:nsid w:val="51D9C564"/>
    <w:multiLevelType w:val="hybridMultilevel"/>
    <w:lvl w:ilvl="0">
      <w:lvlJc w:val="left"/>
      <w:lvlText w:val="%1."/>
      <w:numFmt w:val="decimal"/>
      <w:start w:val="16"/>
    </w:lvl>
  </w:abstractNum>
  <w:abstractNum w:abstractNumId="67">
    <w:nsid w:val="613EFDC5"/>
    <w:multiLevelType w:val="hybridMultilevel"/>
    <w:lvl w:ilvl="0">
      <w:lvlJc w:val="left"/>
      <w:lvlText w:val="%1."/>
      <w:numFmt w:val="decimal"/>
      <w:start w:val="17"/>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decimal"/>
      <w:start w:val="18"/>
    </w:lvl>
  </w:abstractNum>
  <w:abstractNum w:abstractNumId="70">
    <w:nsid w:val="42963E5A"/>
    <w:multiLevelType w:val="hybridMultilevel"/>
    <w:lvl w:ilvl="0">
      <w:lvlJc w:val="left"/>
      <w:lvlText w:val="%1."/>
      <w:numFmt w:val="decimal"/>
      <w:start w:val="19"/>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1)"/>
      <w:numFmt w:val="lowerRoman"/>
      <w:start w:val="9"/>
    </w:lvl>
  </w:abstractNum>
  <w:abstractNum w:abstractNumId="77">
    <w:nsid w:val="60B6DF70"/>
    <w:multiLevelType w:val="hybridMultilevel"/>
    <w:lvl w:ilvl="0">
      <w:lvlJc w:val="left"/>
      <w:lvlText w:val="(%1)"/>
      <w:numFmt w:val="lowerRoman"/>
      <w:start w:val="10"/>
    </w:lvl>
  </w:abstractNum>
  <w:abstractNum w:abstractNumId="78">
    <w:nsid w:val="6A5EE64"/>
    <w:multiLevelType w:val="hybridMultilevel"/>
    <w:lvl w:ilvl="0">
      <w:lvlJc w:val="left"/>
      <w:lvlText w:val="(%1)"/>
      <w:numFmt w:val="lowerLetter"/>
      <w:start w:val="8"/>
    </w:lvl>
  </w:abstractNum>
  <w:abstractNum w:abstractNumId="79">
    <w:nsid w:val="14330624"/>
    <w:multiLevelType w:val="hybridMultilevel"/>
    <w:lvl w:ilvl="0">
      <w:lvlJc w:val="left"/>
      <w:lvlText w:val="(%1)"/>
      <w:numFmt w:val="lowerLetter"/>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lvl w:ilvl="1">
      <w:lvlJc w:val="left"/>
      <w:lvlText w:val="(%2)"/>
      <w:numFmt w:val="lowerLetter"/>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2019-12-05T16:56:40Z</dcterms:created>
  <dcterms:modified xsi:type="dcterms:W3CDTF">2019-12-05T16:56:40Z</dcterms:modified>
</cp:coreProperties>
</file>