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4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1-6714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4" w:lineRule="exact"/>
        <w:rPr>
          <w:sz w:val="24"/>
          <w:szCs w:val="24"/>
          <w:color w:val="auto"/>
        </w:rPr>
      </w:pPr>
    </w:p>
    <w:tbl>
      <w:tblPr>
        <w:tblLayout w:type="fixed"/>
        <w:tblInd w:w="740" w:type="dxa"/>
        <w:tblCellMar>
          <w:top w:w="0" w:type="dxa"/>
          <w:left w:w="0" w:type="dxa"/>
          <w:bottom w:w="0" w:type="dxa"/>
          <w:right w:w="0" w:type="dxa"/>
        </w:tblCellMar>
      </w:tblPr>
      <w:tr>
        <w:trPr>
          <w:trHeight w:val="217"/>
        </w:trPr>
        <w:tc>
          <w:tcPr>
            <w:tcW w:w="5460" w:type="dxa"/>
            <w:vAlign w:val="bottom"/>
          </w:tcPr>
          <w:p>
            <w:pPr>
              <w:jc w:val="center"/>
              <w:ind w:right="1174"/>
              <w:spacing w:after="0"/>
              <w:rPr>
                <w:sz w:val="20"/>
                <w:szCs w:val="20"/>
                <w:color w:val="auto"/>
              </w:rPr>
            </w:pPr>
            <w:r>
              <w:rPr>
                <w:rFonts w:ascii="Arial" w:cs="Arial" w:eastAsia="Arial" w:hAnsi="Arial"/>
                <w:sz w:val="18"/>
                <w:szCs w:val="18"/>
                <w:color w:val="auto"/>
                <w:w w:val="99"/>
              </w:rPr>
              <w:t>Delaware</w:t>
            </w:r>
          </w:p>
        </w:tc>
        <w:tc>
          <w:tcPr>
            <w:tcW w:w="3760" w:type="dxa"/>
            <w:vAlign w:val="bottom"/>
          </w:tcPr>
          <w:p>
            <w:pPr>
              <w:jc w:val="right"/>
              <w:ind w:right="674"/>
              <w:spacing w:after="0"/>
              <w:rPr>
                <w:sz w:val="20"/>
                <w:szCs w:val="20"/>
                <w:color w:val="auto"/>
              </w:rPr>
            </w:pPr>
            <w:r>
              <w:rPr>
                <w:rFonts w:ascii="Arial" w:cs="Arial" w:eastAsia="Arial" w:hAnsi="Arial"/>
                <w:sz w:val="18"/>
                <w:szCs w:val="18"/>
                <w:color w:val="auto"/>
              </w:rPr>
              <w:t>53-0182885</w:t>
            </w:r>
          </w:p>
        </w:tc>
      </w:tr>
      <w:tr>
        <w:trPr>
          <w:trHeight w:val="251"/>
        </w:trPr>
        <w:tc>
          <w:tcPr>
            <w:tcW w:w="5460" w:type="dxa"/>
            <w:vAlign w:val="bottom"/>
          </w:tcPr>
          <w:p>
            <w:pPr>
              <w:jc w:val="center"/>
              <w:ind w:right="1194"/>
              <w:spacing w:after="0"/>
              <w:rPr>
                <w:sz w:val="20"/>
                <w:szCs w:val="20"/>
                <w:color w:val="auto"/>
              </w:rPr>
            </w:pPr>
            <w:r>
              <w:rPr>
                <w:rFonts w:ascii="Arial" w:cs="Arial" w:eastAsia="Arial" w:hAnsi="Arial"/>
                <w:sz w:val="16"/>
                <w:szCs w:val="16"/>
                <w:color w:val="auto"/>
              </w:rPr>
              <w:t>(State or other jurisdiction of incorporation or organization)</w:t>
            </w:r>
          </w:p>
        </w:tc>
        <w:tc>
          <w:tcPr>
            <w:tcW w:w="3760" w:type="dxa"/>
            <w:vAlign w:val="bottom"/>
          </w:tcPr>
          <w:p>
            <w:pPr>
              <w:jc w:val="center"/>
              <w:ind w:left="1194"/>
              <w:spacing w:after="0"/>
              <w:rPr>
                <w:sz w:val="20"/>
                <w:szCs w:val="20"/>
                <w:color w:val="auto"/>
              </w:rPr>
            </w:pPr>
            <w:r>
              <w:rPr>
                <w:rFonts w:ascii="Arial" w:cs="Arial" w:eastAsia="Arial" w:hAnsi="Arial"/>
                <w:sz w:val="16"/>
                <w:szCs w:val="16"/>
                <w:color w:val="auto"/>
              </w:rPr>
              <w:t>(I.R.S. Employer Identification No.)</w:t>
            </w:r>
          </w:p>
        </w:tc>
      </w:tr>
      <w:tr>
        <w:trPr>
          <w:trHeight w:val="398"/>
        </w:trPr>
        <w:tc>
          <w:tcPr>
            <w:tcW w:w="5460" w:type="dxa"/>
            <w:vAlign w:val="bottom"/>
          </w:tcPr>
          <w:p>
            <w:pPr>
              <w:jc w:val="center"/>
              <w:ind w:right="1194"/>
              <w:spacing w:after="0"/>
              <w:rPr>
                <w:sz w:val="20"/>
                <w:szCs w:val="20"/>
                <w:color w:val="auto"/>
              </w:rPr>
            </w:pPr>
            <w:r>
              <w:rPr>
                <w:rFonts w:ascii="Arial" w:cs="Arial" w:eastAsia="Arial" w:hAnsi="Arial"/>
                <w:sz w:val="18"/>
                <w:szCs w:val="18"/>
                <w:color w:val="auto"/>
              </w:rPr>
              <w:t>1300 North 17th Street, Arlington, Virginia</w:t>
            </w:r>
          </w:p>
        </w:tc>
        <w:tc>
          <w:tcPr>
            <w:tcW w:w="3760" w:type="dxa"/>
            <w:vAlign w:val="bottom"/>
          </w:tcPr>
          <w:p>
            <w:pPr>
              <w:jc w:val="right"/>
              <w:ind w:right="914"/>
              <w:spacing w:after="0"/>
              <w:rPr>
                <w:sz w:val="20"/>
                <w:szCs w:val="20"/>
                <w:color w:val="auto"/>
              </w:rPr>
            </w:pPr>
            <w:r>
              <w:rPr>
                <w:rFonts w:ascii="Arial" w:cs="Arial" w:eastAsia="Arial" w:hAnsi="Arial"/>
                <w:sz w:val="18"/>
                <w:szCs w:val="18"/>
                <w:color w:val="auto"/>
              </w:rPr>
              <w:t>22209</w:t>
            </w:r>
          </w:p>
        </w:tc>
      </w:tr>
      <w:tr>
        <w:trPr>
          <w:trHeight w:val="251"/>
        </w:trPr>
        <w:tc>
          <w:tcPr>
            <w:tcW w:w="5460" w:type="dxa"/>
            <w:vAlign w:val="bottom"/>
          </w:tcPr>
          <w:p>
            <w:pPr>
              <w:jc w:val="center"/>
              <w:ind w:right="1194"/>
              <w:spacing w:after="0"/>
              <w:rPr>
                <w:sz w:val="20"/>
                <w:szCs w:val="20"/>
                <w:color w:val="auto"/>
              </w:rPr>
            </w:pPr>
            <w:r>
              <w:rPr>
                <w:rFonts w:ascii="Arial" w:cs="Arial" w:eastAsia="Arial" w:hAnsi="Arial"/>
                <w:sz w:val="16"/>
                <w:szCs w:val="16"/>
                <w:color w:val="auto"/>
              </w:rPr>
              <w:t>(Address of principal executive offices)</w:t>
            </w:r>
          </w:p>
        </w:tc>
        <w:tc>
          <w:tcPr>
            <w:tcW w:w="3760" w:type="dxa"/>
            <w:vAlign w:val="bottom"/>
          </w:tcPr>
          <w:p>
            <w:pPr>
              <w:jc w:val="center"/>
              <w:ind w:left="1194"/>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19"/>
                <w:szCs w:val="19"/>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9"/>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Class B Common Stock, par value</w:t>
            </w:r>
          </w:p>
        </w:tc>
        <w:tc>
          <w:tcPr>
            <w:tcW w:w="53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17"/>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$1.00 per share</w:t>
            </w:r>
          </w:p>
        </w:tc>
        <w:tc>
          <w:tcPr>
            <w:tcW w:w="5340" w:type="dxa"/>
            <w:vAlign w:val="bottom"/>
          </w:tcPr>
          <w:p>
            <w:pPr>
              <w:spacing w:after="0"/>
              <w:rPr>
                <w:sz w:val="18"/>
                <w:szCs w:val="18"/>
                <w:color w:val="auto"/>
              </w:rPr>
            </w:pPr>
          </w:p>
        </w:tc>
      </w:tr>
    </w:tbl>
    <w:p>
      <w:pPr>
        <w:spacing w:after="0" w:line="48" w:lineRule="exact"/>
        <w:rPr>
          <w:sz w:val="24"/>
          <w:szCs w:val="24"/>
          <w:color w:val="auto"/>
        </w:rPr>
      </w:pPr>
    </w:p>
    <w:p>
      <w:pPr>
        <w:ind w:right="1000"/>
        <w:spacing w:after="0" w:line="27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60"/>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5"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02" w:lineRule="exact"/>
        <w:rPr>
          <w:sz w:val="24"/>
          <w:szCs w:val="24"/>
          <w:color w:val="auto"/>
        </w:rPr>
      </w:pPr>
    </w:p>
    <w:p>
      <w:pPr>
        <w:ind w:right="740" w:firstLine="41"/>
        <w:spacing w:after="0" w:line="290"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Aggregate market value of the registrant’s common equity held by non-affiliates on June 30, 2015, based on the closing price for the Company’s Class B Common Stock on the New York Stock Exchange on such date: approximately $5,200,000,000. (The aggregate market value of the registrant’s common equity held by non-affiliates on July 1, 2015, immediately following the completion of the spin-off of Cable One, Inc., was approximately $3,000,000,000.)</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23, 2016: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 – 4,672,230 shares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20" w:right="2360" w:firstLine="77"/>
        <w:spacing w:after="0" w:line="291" w:lineRule="auto"/>
        <w:rPr>
          <w:sz w:val="20"/>
          <w:szCs w:val="20"/>
          <w:color w:val="auto"/>
        </w:rPr>
      </w:pPr>
      <w:r>
        <w:rPr>
          <w:rFonts w:ascii="Arial" w:cs="Arial" w:eastAsia="Arial" w:hAnsi="Arial"/>
          <w:sz w:val="17"/>
          <w:szCs w:val="17"/>
          <w:color w:val="auto"/>
        </w:rPr>
        <w:t>Definitive Proxy Statement for the registrant’s 2016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137160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876" w:right="25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2015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Management’s Report on Internal Control Over Financial Reporting</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right="3380"/>
        <w:spacing w:after="0" w:line="300" w:lineRule="auto"/>
        <w:rPr>
          <w:sz w:val="20"/>
          <w:szCs w:val="20"/>
          <w:color w:val="auto"/>
        </w:rPr>
      </w:pPr>
      <w:r>
        <w:rPr>
          <w:rFonts w:ascii="Arial" w:cs="Arial" w:eastAsia="Arial" w:hAnsi="Arial"/>
          <w:sz w:val="15"/>
          <w:szCs w:val="15"/>
          <w:color w:val="auto"/>
        </w:rPr>
        <w:t>Consolidated Statements of Operations for the Three Years Ended December 31, 2015 Consolidated Statements of Comprehensive Income for the Three Years Ended December 31, 2015 Consolidated Balance Sheets at December 31, 2015 and 2014</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2015</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2015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14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15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27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37</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56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57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58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59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60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61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63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12">
        <w:r>
          <w:rPr>
            <w:rFonts w:ascii="Arial" w:cs="Arial" w:eastAsia="Arial" w:hAnsi="Arial"/>
            <w:sz w:val="15"/>
            <w:szCs w:val="15"/>
            <w:u w:val="single" w:color="auto"/>
            <w:color w:val="0000EE"/>
          </w:rPr>
          <w:t>108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13">
        <w:r>
          <w:rPr>
            <w:rFonts w:ascii="Arial" w:cs="Arial" w:eastAsia="Arial" w:hAnsi="Arial"/>
            <w:sz w:val="15"/>
            <w:szCs w:val="15"/>
            <w:u w:val="single" w:color="auto"/>
            <w:color w:val="0000EE"/>
          </w:rPr>
          <w:t>109</w:t>
        </w:r>
      </w:hyperlink>
    </w:p>
    <w:p>
      <w:pPr>
        <w:sectPr>
          <w:pgSz w:w="11900" w:h="16838" w:orient="portrait"/>
          <w:cols w:equalWidth="0" w:num="2">
            <w:col w:w="10380" w:space="720"/>
            <w:col w:w="260"/>
          </w:cols>
          <w:pgMar w:left="280" w:top="76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Graham Holdings Company (the Company) is primarily a diversified education and media company. The Company’s Kaplan subsidiary provides a wide variety of educational services, both domestically and outside the United States. The Company’s media operations comprise the ownership and operation of television broadcasting (through the ownership and operation of five television broadcast stations), plus Slate and Foreign Policy magazines. The Company’s Other Businesses segment includes two home health and hospice providers, three industrial companies and Social Code LLC, a marketing solutions provider. The Company divested its cable division on July 1, 2015, upon completion of the spin-off of Cable One, Inc. (Cable ONE).</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35"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2015, 2014 and 2013, these operations accounted for approximately 26%, 26% and 25%, respectively, of the Company’s consolidated revenues, and the identifiable assets attributable to non-U.S. operations represented approximately 18% and 14% of the Company’s consolidated assets at December 31, 2015 and 2014,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Kaplan conducts its operations through three segments: Kaplan Higher Education, Kaplan Test Preparation and Kaplan International. In addition, the results of the Kaplan Corporate segment include investment activities, identifying and investing in high-growth-potential education technology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849,625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1,010,058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1,080,908</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301,607</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304,662</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293,201</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770,273</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840,915</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783,588</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4,782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6,037</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1,927,521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2,160,417</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2,163,734</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6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Higher Education (KHE) provides a wide array of certificate, diploma and degree programs designed to meet the needs of students seeking to advance their education and career goals.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2015, Kaplan’s U.S.-based KHE division included the following businesses: Kaplan University and KHE Campuses. On September 3, 2015, Kaplan sold substantially all of the assets of its KHE Campuses business to Education Corporation of America (ECA), consisting of 38 nationally accredited ground campuses and certain related assets, in exchange for a preferred equity interest in ECA. Kaplan’s Bauder College campus in Atlanta and Mount Washington College in New Hampshire were not part of this sale, however, these schools ceased enrollment in 2014 and 2015, respectively, and are expected to be fully closed in 2016, following the teach-out of current students. As a result, the KHE segment currently consists primarily of Kaplan University.</w:t>
      </w:r>
    </w:p>
    <w:p>
      <w:pPr>
        <w:spacing w:after="0" w:line="11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 xml:space="preserve">Kaplan University. </w:t>
      </w:r>
      <w:r>
        <w:rPr>
          <w:rFonts w:ascii="Arial" w:cs="Arial" w:eastAsia="Arial" w:hAnsi="Arial"/>
          <w:sz w:val="18"/>
          <w:szCs w:val="18"/>
          <w:color w:val="auto"/>
        </w:rPr>
        <w:t>Kaplan University specializes in online education, is accredited by the Higher Learning Commission of the North Central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of Colleges and Schools (HLC), a regional accreditor approved by the U.S. Secretary of Education, and holds other programmatic accreditations. Most of Kaplan University’s programs are offered online, while some are offered in a traditional classroom format at 14 campuses in Iowa, Indiana, Maine, Maryland, Missouri, Nebraska and Wisconsin and a Kaplan University Learning Center in Maryland. Kaplan University also includes Concord Law School, a fully online law school. At year-end 2015, Kaplan University had approximately 33,000 students enrolled in online programs and approximately 6,800 students enrolled in its classroom-based programs.</w:t>
      </w:r>
    </w:p>
    <w:p>
      <w:pPr>
        <w:spacing w:after="0" w:line="139"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Also residing within Kaplan University is the School of Professional and Continuing Education (PACE). PACE offers a wide range of education solutions to assist professionals in advancing their careers by obtaining professional licenses, designations and certifications. This includes solutions for insurance, securities, mortgage and appraisal licensing exams and for advanced designations, such as CFA</w:t>
      </w:r>
      <w:r>
        <w:rPr>
          <w:rFonts w:ascii="Arial" w:cs="Arial" w:eastAsia="Arial" w:hAnsi="Arial"/>
          <w:sz w:val="10"/>
          <w:szCs w:val="10"/>
          <w:color w:val="auto"/>
        </w:rPr>
        <w:t>®</w:t>
      </w:r>
      <w:r>
        <w:rPr>
          <w:rFonts w:ascii="Arial" w:cs="Arial" w:eastAsia="Arial" w:hAnsi="Arial"/>
          <w:sz w:val="18"/>
          <w:szCs w:val="18"/>
          <w:color w:val="auto"/>
        </w:rPr>
        <w:t xml:space="preserve"> and CPA exams. PACE serves more than 3,200</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8" w:right="239" w:bottom="1440" w:gutter="0" w:footer="0" w:header="0"/>
        </w:sectPr>
      </w:pPr>
    </w:p>
    <w:bookmarkStart w:id="3" w:name="page4"/>
    <w:bookmarkEnd w:id="3"/>
    <w:p>
      <w:pPr>
        <w:ind w:right="860"/>
        <w:spacing w:after="0" w:line="235" w:lineRule="auto"/>
        <w:rPr>
          <w:sz w:val="20"/>
          <w:szCs w:val="20"/>
          <w:color w:val="auto"/>
        </w:rPr>
      </w:pPr>
      <w:r>
        <w:rPr>
          <w:rFonts w:ascii="Arial" w:cs="Arial" w:eastAsia="Arial" w:hAnsi="Arial"/>
          <w:sz w:val="18"/>
          <w:szCs w:val="18"/>
          <w:color w:val="auto"/>
        </w:rPr>
        <w:t>business-to-business clients, including more than 66 Fortune 500 companies. In 2015, close to 500,000 students used PACE’s exam preparation offerings.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offers certificate and degree programs in a variety of subject areas. Among them are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Certificate</w:t>
            </w: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Associate’s</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Bachelor’s</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Master’s</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Arts and Sciences</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80"/>
              <w:spacing w:after="0"/>
              <w:rPr>
                <w:sz w:val="20"/>
                <w:szCs w:val="20"/>
                <w:color w:val="auto"/>
              </w:rPr>
            </w:pPr>
            <w:r>
              <w:rPr>
                <w:rFonts w:ascii="Arial" w:cs="Arial" w:eastAsia="Arial" w:hAnsi="Arial"/>
                <w:sz w:val="14"/>
                <w:szCs w:val="14"/>
                <w:color w:val="auto"/>
              </w:rPr>
              <w:t>Arts and Sciences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4"/>
                <w:szCs w:val="14"/>
                <w:color w:val="auto"/>
              </w:rPr>
              <w:t>• Criminal Justice~</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Business/Management</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Business/Management</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Business/Management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Education Studies*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Criminal Justice</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Criminal Justice</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Criminal Justice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Health Sciences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Fire Safety and Emergency</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Fire Safety and Emergency</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Health Sciences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  Information Systems and Technology*+</w:t>
            </w:r>
          </w:p>
        </w:tc>
        <w:tc>
          <w:tcPr>
            <w:tcW w:w="180" w:type="dxa"/>
            <w:vAlign w:val="bottom"/>
          </w:tcPr>
          <w:p>
            <w:pPr>
              <w:spacing w:after="0"/>
              <w:rPr>
                <w:sz w:val="14"/>
                <w:szCs w:val="14"/>
                <w:color w:val="auto"/>
              </w:rPr>
            </w:pPr>
          </w:p>
        </w:tc>
        <w:tc>
          <w:tcPr>
            <w:tcW w:w="256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4"/>
                <w:szCs w:val="14"/>
                <w:color w:val="auto"/>
              </w:rPr>
            </w:pP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Management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color w:val="auto"/>
              </w:rPr>
              <w:t>Education Studies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Health Sciences</w:t>
            </w:r>
          </w:p>
        </w:tc>
        <w:tc>
          <w:tcPr>
            <w:tcW w:w="22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  Legal and Paralegal Studies+</w:t>
            </w:r>
          </w:p>
        </w:tc>
        <w:tc>
          <w:tcPr>
            <w:tcW w:w="18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00" w:type="dxa"/>
            <w:vAlign w:val="bottom"/>
            <w:gridSpan w:val="5"/>
            <w:vMerge w:val="restart"/>
          </w:tcPr>
          <w:p>
            <w:pPr>
              <w:ind w:left="140"/>
              <w:spacing w:after="0"/>
              <w:rPr>
                <w:sz w:val="20"/>
                <w:szCs w:val="20"/>
                <w:color w:val="auto"/>
              </w:rPr>
            </w:pPr>
            <w:r>
              <w:rPr>
                <w:rFonts w:ascii="Arial" w:cs="Arial" w:eastAsia="Arial" w:hAnsi="Arial"/>
                <w:sz w:val="14"/>
                <w:szCs w:val="14"/>
                <w:color w:val="auto"/>
              </w:rPr>
              <w:t>•  Information Systems and Technology</w:t>
            </w: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4"/>
                <w:szCs w:val="14"/>
                <w:color w:val="auto"/>
              </w:rPr>
              <w:t>•  Information Systems and Technology</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Information Systems and Technology</w:t>
            </w:r>
          </w:p>
        </w:tc>
        <w:tc>
          <w:tcPr>
            <w:tcW w:w="3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740" w:type="dxa"/>
            <w:vAlign w:val="bottom"/>
            <w:gridSpan w:val="2"/>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2380" w:type="dxa"/>
            <w:vAlign w:val="bottom"/>
            <w:gridSpan w:val="3"/>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4"/>
                <w:szCs w:val="14"/>
                <w:color w:val="auto"/>
              </w:rPr>
              <w:t>•  Legal and Paralegal Studies</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23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auto"/>
                <w:w w:val="99"/>
              </w:rPr>
              <w:t>Nursing</w:t>
            </w: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Nursing</w:t>
            </w:r>
          </w:p>
        </w:tc>
        <w:tc>
          <w:tcPr>
            <w:tcW w:w="2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~certificate/diploma</w:t>
            </w:r>
          </w:p>
        </w:tc>
        <w:tc>
          <w:tcPr>
            <w:tcW w:w="18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380" w:type="dxa"/>
            <w:vAlign w:val="bottom"/>
            <w:gridSpan w:val="3"/>
            <w:vMerge w:val="restart"/>
          </w:tcPr>
          <w:p>
            <w:pPr>
              <w:ind w:left="140"/>
              <w:spacing w:after="0"/>
              <w:rPr>
                <w:sz w:val="20"/>
                <w:szCs w:val="20"/>
                <w:color w:val="auto"/>
              </w:rPr>
            </w:pPr>
            <w:r>
              <w:rPr>
                <w:rFonts w:ascii="Arial" w:cs="Arial" w:eastAsia="Arial" w:hAnsi="Arial"/>
                <w:sz w:val="14"/>
                <w:szCs w:val="14"/>
                <w:color w:val="auto"/>
              </w:rPr>
              <w:t>•  Public and Environmental Policy</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Public Administration</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Political Science and Public</w:t>
            </w:r>
          </w:p>
        </w:tc>
        <w:tc>
          <w:tcPr>
            <w:tcW w:w="23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78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560" w:type="dxa"/>
            <w:vAlign w:val="bottom"/>
            <w:vMerge w:val="continue"/>
          </w:tcPr>
          <w:p>
            <w:pPr>
              <w:spacing w:after="0"/>
              <w:rPr>
                <w:sz w:val="7"/>
                <w:szCs w:val="7"/>
                <w:color w:val="auto"/>
              </w:rPr>
            </w:pPr>
          </w:p>
        </w:tc>
        <w:tc>
          <w:tcPr>
            <w:tcW w:w="28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*graduate certificate</w:t>
            </w:r>
          </w:p>
        </w:tc>
        <w:tc>
          <w:tcPr>
            <w:tcW w:w="18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and Environmental Policy</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+post-baccalaureate certificate</w:t>
            </w:r>
          </w:p>
        </w:tc>
        <w:tc>
          <w:tcPr>
            <w:tcW w:w="1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8320" w:type="dxa"/>
            <w:vAlign w:val="bottom"/>
            <w:gridSpan w:val="7"/>
          </w:tcPr>
          <w:p>
            <w:pPr>
              <w:spacing w:after="0"/>
              <w:rPr>
                <w:sz w:val="20"/>
                <w:szCs w:val="20"/>
                <w:color w:val="auto"/>
              </w:rPr>
            </w:pPr>
            <w:r>
              <w:rPr>
                <w:rFonts w:ascii="Arial" w:cs="Arial" w:eastAsia="Arial" w:hAnsi="Arial"/>
                <w:sz w:val="18"/>
                <w:szCs w:val="18"/>
                <w:color w:val="auto"/>
                <w:w w:val="99"/>
              </w:rPr>
              <w:t>Kaplan University</w:t>
            </w:r>
            <w:r>
              <w:rPr>
                <w:rFonts w:ascii="Arial" w:cs="Arial" w:eastAsia="Arial" w:hAnsi="Arial"/>
                <w:sz w:val="14"/>
                <w:szCs w:val="14"/>
                <w:b w:val="1"/>
                <w:bCs w:val="1"/>
                <w:color w:val="auto"/>
                <w:w w:val="99"/>
              </w:rPr>
              <w:t>’</w:t>
            </w:r>
            <w:r>
              <w:rPr>
                <w:rFonts w:ascii="Arial" w:cs="Arial" w:eastAsia="Arial" w:hAnsi="Arial"/>
                <w:sz w:val="18"/>
                <w:szCs w:val="18"/>
                <w:color w:val="auto"/>
                <w:w w:val="99"/>
              </w:rPr>
              <w:t>s higher education enrollments by certificate and degree programs are set forth below:</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At December 31</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2015</w:t>
            </w:r>
          </w:p>
        </w:tc>
        <w:tc>
          <w:tcPr>
            <w:tcW w:w="15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Certificate</w:t>
            </w:r>
          </w:p>
        </w:tc>
        <w:tc>
          <w:tcPr>
            <w:tcW w:w="1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color w:val="auto"/>
              </w:rPr>
              <w:t>4.4%</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2.3%</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Associate</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color w:val="auto"/>
              </w:rPr>
              <w:t>25.0%</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29.6%</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Bachelor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color w:val="auto"/>
              </w:rPr>
              <w:t>48.4%</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44.3%</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83"/>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Master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22.2%</w:t>
            </w: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23.8%</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67"/>
        </w:trPr>
        <w:tc>
          <w:tcPr>
            <w:tcW w:w="140" w:type="dxa"/>
            <w:vAlign w:val="bottom"/>
          </w:tcPr>
          <w:p>
            <w:pPr>
              <w:spacing w:after="0"/>
              <w:rPr>
                <w:sz w:val="23"/>
                <w:szCs w:val="23"/>
                <w:color w:val="auto"/>
              </w:rPr>
            </w:pPr>
          </w:p>
        </w:tc>
        <w:tc>
          <w:tcPr>
            <w:tcW w:w="2640" w:type="dxa"/>
            <w:vAlign w:val="bottom"/>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100.0%</w:t>
            </w: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100.0%</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Funds provided under the U.S. Federal student financial aid programs that have been created under Title IV of the U.S. Federal Higher Education Act of 1965, as amended (Higher Education Act), historically have been responsible for a majority of KHE revenues. During 2015, funds received under Title IV programs accounted for approximately $628 million, or approximately 74%, of total KHE revenues, and 32.6% of Kaplan, Inc. revenues. The Company estimates that funds received from students borrowing under third-party private loan programs comprised approximately 0.3% of KHE revenues. Direct student payments, funds received under various state and federal agency grant programs and corporate reimbursement under tuition assistance programs accounted for most of the remaining 2015 KHE revenues. The significant role of Title IV funding in the operations of KHE is expected to continue.</w:t>
      </w:r>
    </w:p>
    <w:p>
      <w:pPr>
        <w:spacing w:after="0" w:line="139"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Title IV programs encompass various forms of student loans and non-repayable grants. In some cases, the U.S. Federal government subsidizes a portion of the student interest expense of Title IV loans. Subsidized loans and grants are only available to students who can demonstrate financial need. During 2015, about 81.5% of the approximate $628 million of Title IV funds received by KHE came from student loans, and approximately 18.5% of such funds came from grants.</w:t>
      </w:r>
    </w:p>
    <w:p>
      <w:pPr>
        <w:spacing w:after="0" w:line="113"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U.S. Department of Education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our campuses are grouped into institutions consisting of a main campus and, if applicable, additional campus locations. In turn, each overall institution is assigned its own identification number, known as an OPEID number for the purpose of determining compliance with certain Title IV requirements. As a result, as of the end of 2015, the schools in KHE consist of a total of three institutions or OPEID numbers. No assurance can be given that our institutions or their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6" w:right="239" w:bottom="1440" w:gutter="0" w:footer="0" w:header="0"/>
        </w:sectPr>
      </w:pPr>
    </w:p>
    <w:bookmarkStart w:id="4" w:name="page5"/>
    <w:bookmarkEnd w:id="4"/>
    <w:p>
      <w:pPr>
        <w:ind w:right="120"/>
        <w:spacing w:after="0" w:line="235" w:lineRule="auto"/>
        <w:rPr>
          <w:sz w:val="20"/>
          <w:szCs w:val="20"/>
          <w:color w:val="auto"/>
        </w:rPr>
      </w:pPr>
      <w:r>
        <w:rPr>
          <w:rFonts w:ascii="Arial" w:cs="Arial" w:eastAsia="Arial" w:hAnsi="Arial"/>
          <w:sz w:val="18"/>
          <w:szCs w:val="18"/>
          <w:color w:val="auto"/>
        </w:rPr>
        <w:t>individual programs will maintain their Title IV eligibility, accreditation and state authorization in the future or that the ED might not successfully assert that one or more of the institutions has previously failed to comply with Title IV requirements.</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ED may place a school on provisional certification status under certain circumstances, including, but not limited to, failure to satisfy certain standards of financial responsibility or administrative capability, or upon a change in ownership resulting in a change of control. Provisional certification status carries fewer due process protections than full certification.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program change. Provisional certification does not otherwise limit access to Title IV program funds by students attending the institution. On December 17, 2015, Kaplan University received notice from the ED that it had been placed on provisional certification status until September 30, 2018, in connection with an open and ongoing ED program review. The ED has not notified Kaplan University of any negative findings. However, at this time we cannot predict the outcome of the program review. During the period of provisional certification, Kaplan University must obtain prior ED approval to open a new location, add an educational program, acquire another school or make any other significant change.</w:t>
      </w:r>
    </w:p>
    <w:p>
      <w:pPr>
        <w:spacing w:after="0" w:line="138"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addition, if the ED finds that a school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a lawsuit, program review or otherwise. This list is not exhaustive. There may be other actions the ED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12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specified rates, referred to as “cohort default rates.” The ED calculates a cohort default rate for each OPEID number. Kaplan University will be the only OPEID unit that will be continuing operations through 2016.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exceeds 40% for any single year, it will lose its eligibility to participate in the Direct Loan programs for at least two fiscal years, effective 30 days after notification from the ED.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equals or exceeds 30% for three consecutive years, it will lose its Title IV eligibility to participate in the Direct Loan and U.S. Federal Pell Grant programs effective 30 days after notification from the ED and will remain ineligible for at least two fiscal years.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equals or exceeds 30% in two of the three most recent fiscal years for which rates have been issued by the ED, it may be placed on provisional certification by the ED.</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three-year cohort default rates for Kaplan University, the only OPEID unit that will be continuing operation through the end of 2016, for the U.S. Federal fiscal years ending September 30, 2012, 2011 and 2010, were 12.9%, 20.4% and 26.2%, respectively.</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Because KHE receives a significantly lower level of taxpayer-funded grants and subsidies than community colleges, state schools and not-for-profit schools, KHE’s schools are more dependent on tuition, and its students are more dependent on loans.</w:t>
      </w:r>
    </w:p>
    <w:p>
      <w:pPr>
        <w:spacing w:after="0" w:line="135"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In addition, Kaplan implemented the Kaplan Commitment program in 2010, which provides first-time undergraduate students with a risk-free trial period. Students who withdraw or are subject to dismissal during the risk-free trial period do not incur any significant financial obligation. However, no assurances can be given that these resources or programs will enable Kaplan’s schools to maintain cohort default rates below the thresholds for sanctions.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Recent Federal Rulemaking</w:t>
      </w:r>
    </w:p>
    <w:p>
      <w:pPr>
        <w:spacing w:after="0" w:line="144"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b w:val="1"/>
          <w:bCs w:val="1"/>
          <w:i w:val="1"/>
          <w:iCs w:val="1"/>
          <w:color w:val="auto"/>
        </w:rPr>
        <w:t xml:space="preserve">New Regulatory Initiative. </w:t>
      </w:r>
      <w:r>
        <w:rPr>
          <w:rFonts w:ascii="Arial" w:cs="Arial" w:eastAsia="Arial" w:hAnsi="Arial"/>
          <w:sz w:val="18"/>
          <w:szCs w:val="18"/>
          <w:color w:val="auto"/>
        </w:rPr>
        <w:t>In August 2015, the ED announced its intent to begin a new regulatory initiative to determine the acts or omissions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 postsecondary institution that may be used by a borrower as a defense to repayment of certain Title IV loans and the consequences of such borrower defenses for borrowers, institutions, and the ED. In October 2015, the ED solicited nominees for negotiators to serve on a negotiated rulemaking committee to develop proposed regulations to address (1) the procedures to be used by a borrower to establish a defense to repayment; (2) the criteria that the ED will use to identify acts or omissions of an institution that constitute defenses to repayment of Federal Direct Loans, including the creation of a Federal standard; (3) the standards and procedures that the ED will use to determine the liability of the institution for amounts based on borrower defenses; (4) the effect of borrower defenses on institutional capability assessments; and (5) other loan discharges. In addition, the committee may also consider if and how these issues will affect loans made under the Federal Family Education Loan Program. The negotiated rulemaking committee began a series of meetings in January 2016 that are expected to conclude in the spring of 2016. The ED is expected to publish proposed regulations that would be subject to notice and public comment and to publish final regulations by November 2016 that would take effect the following year. The regulations could include provisions that result in standards and procedures for determining institutional liabilities for discharged loans and for imposing other sanctions on institutions. The Company cannot predict the ultimate scope and content of the regulations, nor can it predict their impact on KHE.</w:t>
      </w:r>
    </w:p>
    <w:p>
      <w:pPr>
        <w:spacing w:after="0" w:line="1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Final Regulations. </w:t>
      </w:r>
      <w:r>
        <w:rPr>
          <w:rFonts w:ascii="Arial" w:cs="Arial" w:eastAsia="Arial" w:hAnsi="Arial"/>
          <w:sz w:val="18"/>
          <w:szCs w:val="18"/>
          <w:color w:val="auto"/>
        </w:rPr>
        <w:t>In 2015, the ED issued final regulations that focused on Program Integrity and Improvement requirements in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areas:</w:t>
      </w:r>
    </w:p>
    <w:p>
      <w:pPr>
        <w:spacing w:after="0" w:line="14" w:lineRule="exact"/>
        <w:rPr>
          <w:sz w:val="20"/>
          <w:szCs w:val="20"/>
          <w:color w:val="auto"/>
        </w:rPr>
      </w:pPr>
    </w:p>
    <w:p>
      <w:pPr>
        <w:ind w:left="340" w:right="140" w:hanging="332"/>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management of funds provided under the Title IV Federal student aid programs, including the use of debit cards and the handling of Title IV credit balances;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Clock to credit-hour conversion;</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Books and supplies; and</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application of the repeat coursework provisions to graduate and undergraduate programs.</w:t>
      </w:r>
    </w:p>
    <w:p>
      <w:pPr>
        <w:spacing w:after="0" w:line="122"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Higher Education Act, certain education programs are required to lead to gainful employment (GE)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occupation in order to be eligible to participate in the Title IV programs. In June 2011, the ED issued final regulations that tie an education program’s Title IV eligibility to whether the program leads to gainful employment. On June 30, 2012, the U.S. District Court for the District of Columbia vacated most of these final regulations.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ED convened a negotiated rulemaking committee in September 2013 to develop new proposed GE regulations. The final regulations were released on October 31, 2014, and generally became effective July 1, 2015. Among other requirements, each program subject to the GE regulations must meet one of two debt-to-earnings rates, which compare Title IV-aided graduates’ payments on debt incurred to attend the program to their annual earnings and discretionary income as defined and calculated in the regulations. The ED will calculate the debt-to-earnings rates using income information obtained from the Social Security Administration, federal Title IV loan debt information gathered from its own records and private loan and institutional debt data provided by schools. If a program’s graduates’ median debt payments exceed 8% of the graduates’ mean and median annual earnings and 20% of the graduates’ mean and median discretionary income, the program will be placed on a warning status (referred to by the ED as “zone” status). If a program’s graduates’ median debt payments exceed 12% of the graduates’ mean and median annual earnings and 30% of the graduates’ mean and median discretionary income, the program will fail the debt-to-earnings rates metric. If a program fails the test two times within three years, it will become ineligible to participate in the Title IV programs for a period of three years. If a program fails the test or is in the zone for four consecutive years, it will become ineligible to participate in the Title IV programs for a period of three years. In addition, the regulation requires an institution to provide to current and prospective students prescribed warnings of the potential ineligibility of the program in any year for which the program could become ineligible based on a rate for the next year that is in the zone or failing.</w:t>
      </w:r>
    </w:p>
    <w:p>
      <w:pPr>
        <w:spacing w:after="0" w:line="141"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regulations also include revised requirements for public disclosure of program information and certain outcomes (including graduation, placement, and repayment rates, and other consumer information); these new disclosure requirements take effect on January 1, 2017. Until such time, schools must continue to make disclosures pursuant to the disclosure provisions of the June 2011 final regulations, which remain in effect. The regulations also contain reporting requirements under which schools must annually provide the ED with certain information needed to compute the debt-to-earnings rates and several of the other disclosure elements. On October 9, 2015, Kaplan University received a letter from the ED indicating that it had failed to report data on a significant number of programs that were listed as active in the ED’s system. The letter stated that until the issue is resolved, Kaplan University cannot start any new programs and failure to resolve the issue could result in material administrative actions. Kaplan University has corrected the issue, but no assurances can be made that the ED will accept those corrections, will not find additional issues or will not take further action against Kaplan University.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24" w:right="259" w:bottom="1440" w:gutter="0" w:footer="0" w:header="0"/>
        </w:sectPr>
      </w:pPr>
    </w:p>
    <w:bookmarkStart w:id="6" w:name="page7"/>
    <w:bookmarkEnd w:id="6"/>
    <w:p>
      <w:pPr>
        <w:ind w:right="20"/>
        <w:spacing w:after="0" w:line="221" w:lineRule="auto"/>
        <w:rPr>
          <w:sz w:val="20"/>
          <w:szCs w:val="20"/>
          <w:color w:val="auto"/>
        </w:rPr>
      </w:pPr>
      <w:r>
        <w:rPr>
          <w:rFonts w:ascii="Arial" w:cs="Arial" w:eastAsia="Arial" w:hAnsi="Arial"/>
          <w:sz w:val="18"/>
          <w:szCs w:val="18"/>
          <w:color w:val="auto"/>
        </w:rPr>
        <w:t>In addition, the regulations include a “certification” requirement that each program subject to the regulations (i) be approved by an accrediting agency recognized by the ED, (ii) have programmatic accreditation if required by a governmental entity in a state in which the school is located or otherwise required to obtain state authorization under ED’s regulations, and (iii) for each state in which the school is located or otherwise required to obtain state authorization under the ED’s regulations, meet applicable educational prerequisites for professional licensure or certification requirements in such state(s) so that graduates qualify to take any licensure or certification exam that is needed for such graduates to practice or find employment in such state(s) in an occupation that the program prepares graduates to enter. In addition, a school will be required to certify that any new Title IV-eligible education program it establishes is not “substantially similar” (as defined in the GE regulations) to a program that is ineligible under the regulations. This “certification” requirement has had a material negative impact on Kaplan University’s Concord Law School’s Juris Doctor program, which accounted for less than 1% of KHE’s 2015 revenue. Because it is completely online, that program does not have accreditation necessary to allow graduates to become licensed to practice law upon graduation and qualify to take the bar exam in any state other than California. Accordingly, because the ED has not provided guidance that narrows the rule as written, in 2015 Concord Law School was required to cease enrollments in multiple states. Changes in the state authorization law, discussed below, may extend the certification requirement to other states and further impact our schools.</w:t>
      </w:r>
    </w:p>
    <w:p>
      <w:pPr>
        <w:spacing w:after="0" w:line="14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Some of the data needed to compute the debt-to-earnings rates and project their impact on program eligibility under the GE regulations are not accessible to the Company, including graduate earnings information that will be compiled by the Social Security Administration. In addition, the continuing eligibility of programs for Title IV funding may be affected by factors beyond Kaplan’s control, such as changes in the actual or deemed earnings level of its graduates, changes in student borrowing levels, increases in interest rates, changes in the U.S. Federal poverty income level relevant for calculating one of the proposed debt-to-earnings rates and other factors. As a result, the ultimate outcome of the GE regulations and their impact on Kaplan’s operations are still uncertain. Kaplan is continuing efforts to mitigate the potential negative impact of GE.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can be no guarantee that these measures will be adequate to prevent a material number of programs from either failing the debt-to-earnings rates or being put on warning status. This has caused Kaplan to eliminate or limit enrollments in certain educational programs at some or all of its schools; may result in the loss of student access to Title IV programs; and has had a material adverse effect on KHE</w:t>
      </w:r>
      <w:r>
        <w:rPr>
          <w:rFonts w:ascii="Arial" w:cs="Arial" w:eastAsia="Arial" w:hAnsi="Arial"/>
          <w:sz w:val="14"/>
          <w:szCs w:val="14"/>
          <w:b w:val="1"/>
          <w:bCs w:val="1"/>
          <w:color w:val="auto"/>
        </w:rPr>
        <w:t>’</w:t>
      </w:r>
      <w:r>
        <w:rPr>
          <w:rFonts w:ascii="Arial" w:cs="Arial" w:eastAsia="Arial" w:hAnsi="Arial"/>
          <w:sz w:val="18"/>
          <w:szCs w:val="18"/>
          <w:color w:val="auto"/>
        </w:rPr>
        <w:t>s revenues, operating income, cash flows and the estimated fair value of the reporting unit. The ED has indicated that the first debt-to-earnings rates to be calculated under the new regulations are expected to be issued first in draft form later in 2016 and then in final form later in 2016 or in early 2017.</w:t>
      </w:r>
    </w:p>
    <w:p>
      <w:pPr>
        <w:spacing w:after="0" w:line="11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b w:val="1"/>
          <w:bCs w:val="1"/>
          <w:i w:val="1"/>
          <w:iCs w:val="1"/>
          <w:color w:val="auto"/>
        </w:rPr>
        <w:t>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incentive compensation rules as revised in 2011, an institution participating in Title IV programs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any commission, bonus or other incentive payment based directly or indirectly on success in securing enrollments or financial aid to any person or entity engaged in any student recruiting or admission activities or in making decisions regarding the awarding of Title IV funds. Kaplan has taken steps to comply fully with these rules and the related guidance. Among the actions taken, Kaplan revised its compensation plans for admissions personnel and eliminated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the ED will interpret and enforce all aspects of the revised incentive compensation rule in the future.</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Kaplan University derived less than 79% and less than 81% of its receipts from Title IV programs in 2015 and 2014, respectively.</w:t>
      </w:r>
    </w:p>
    <w:p>
      <w:pPr>
        <w:spacing w:after="0" w:line="13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KHE is taking various measures to reduce the percentage of its receipts attributable to Title IV funds, including modifying student payment options; emphasizing direct-pay and employer-paid education programs; encouraging students to evaluate carefully the amount of their Title IV borrowing; eliminating some programs; cash-matching; and developing and offering additional non-Title IV-eligible certificate preparation, professional development and continuing education programs. Kaplan has taken steps to ensure that revenue from programs acquired by Kaplan University is eligible to be counted in that campus’s 90/10 calculation. However, there can be no guarantee that the ED will not challenge the inclusion of revenue from any acquired program in KHE’s 90/10 calculations or will not issue an interpretation of the 90/10 rule that would exclude such revenue from the calculation. There can be no guarantee that these measures will be adequate to prevent the 90/10 ratio at Kaplan University from exceeding 90% in the future. In addition, certain legislators have proposed amendments to the Higher Education Act that would lower the threshold percentage in the 90/10 rule to 85%, treat non-Title IV federal funds as Title IV funds in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7" w:name="page8"/>
    <w:bookmarkEnd w:id="7"/>
    <w:p>
      <w:pPr>
        <w:ind w:right="220"/>
        <w:spacing w:after="0" w:line="235" w:lineRule="auto"/>
        <w:rPr>
          <w:sz w:val="20"/>
          <w:szCs w:val="20"/>
          <w:color w:val="auto"/>
        </w:rPr>
      </w:pPr>
      <w:r>
        <w:rPr>
          <w:rFonts w:ascii="Arial" w:cs="Arial" w:eastAsia="Arial" w:hAnsi="Arial"/>
          <w:sz w:val="18"/>
          <w:szCs w:val="18"/>
          <w:color w:val="auto"/>
        </w:rPr>
        <w:t>the 90/10 calculation and make other refinements to the calculation. If these proposals or similar laws or regulations are adopted, they would make it more difficult for KHE institutions to comply with the 90/10 rule.</w:t>
      </w:r>
    </w:p>
    <w:p>
      <w:pPr>
        <w:spacing w:after="0" w:line="11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an institution experiences a change of control under the standards of applicable state agencies, accrediting agencies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ED, the institution must seek the approval of the relevant agencies. An institution that undergoes a change of control, which may include a change of control of the institution’s parent corporation or other owners, must be reviewed and recertified by the ED and obtain approvals from certain state agencies and accrediting bodies, in some cases prior to the change of control. The standards pertaining to a change of control are not uniform and are subject to interpretation by the respective agencies. Certifications obtained from the ED following a change in control are granted on a provisional basis that permits the institution to continue participating in Title IV programs, but provides fewer procedural protections than full certifications.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w:t>
      </w:r>
    </w:p>
    <w:p>
      <w:pPr>
        <w:spacing w:after="0" w:line="117"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Standards of Financial Responsibility. </w:t>
      </w:r>
      <w:r>
        <w:rPr>
          <w:rFonts w:ascii="Arial" w:cs="Arial" w:eastAsia="Arial" w:hAnsi="Arial"/>
          <w:sz w:val="18"/>
          <w:szCs w:val="18"/>
          <w:color w:val="auto"/>
        </w:rPr>
        <w:t>An institution participating in Title IV programs must maintain a certain level of financial responsibility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under the Higher Education Act and under ED regulations. The ED measures an institution’s financial responsibility by compiling a composite score, ranging from -0.1 to 3.0, pursuant to a formula that incorporates various financial data from annual financial statements submitted to the ED. If an institution fails to achieve a composite score of at least 1.5 or fails to comply with other financial responsibility standards, the ED may place conditions on the institution’s participation in Title IV programs, impose monitoring and reporting requirements, transfer the institution from the advance system of Title IV payment to a heightened cash-monitoring or reimbursement system of payment, and may require the institution to submit to the ED a letter of credit in an amount equal to at least 10% of the institution’s annual Title IV program funds received by the institution during its most recently completed fiscal year, although the ED could require a letter of credit based on a higher percentage than 50% of the total Title IV program funds. The ED historically has evaluated the financial responsibility of the KHE institutions based on the financial results of KHE. For the 2015 fiscal year, Kaplan expects KHE to have a composite score of 2.97, based on its own assessment using ED methodology. However, the ED will make its determination once it receives and reviews KHE’s audited financial statements for the 2015 fiscal year.</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The Higher Education Act, as reauthorized, directs the ED to assess the administrative capability of each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participate in Title IV programs. The failure of an institution to satisfy any of the criteria used to assess administrative capability may cause the ED to determine that the institution lacks administrative capability and subject the institution to additional scrutiny, deny eligibility for Title IV programs or impose other sanctions. To meet the administrative capability standards, an institution must, among other things:</w:t>
      </w:r>
    </w:p>
    <w:p>
      <w:pPr>
        <w:spacing w:after="0" w:line="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36" w:lineRule="exact"/>
        <w:rPr>
          <w:rFonts w:ascii="Arial" w:cs="Arial" w:eastAsia="Arial" w:hAnsi="Arial"/>
          <w:sz w:val="18"/>
          <w:szCs w:val="18"/>
          <w:color w:val="auto"/>
        </w:rPr>
      </w:pPr>
    </w:p>
    <w:p>
      <w:pPr>
        <w:ind w:left="340" w:right="260" w:hanging="332"/>
        <w:spacing w:after="0" w:line="23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U.S. Federal contracting or engaging in activity that is cause for debarment or suspension;</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adequate financial aid counseling to its students;</w:t>
      </w:r>
    </w:p>
    <w:p>
      <w:pPr>
        <w:spacing w:after="0" w:line="36" w:lineRule="exact"/>
        <w:rPr>
          <w:rFonts w:ascii="Arial" w:cs="Arial" w:eastAsia="Arial" w:hAnsi="Arial"/>
          <w:sz w:val="18"/>
          <w:szCs w:val="18"/>
          <w:color w:val="auto"/>
        </w:rPr>
      </w:pPr>
    </w:p>
    <w:p>
      <w:pPr>
        <w:ind w:left="340" w:right="280" w:hanging="332"/>
        <w:spacing w:after="0" w:line="23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Refer to the ED’s Office of the Inspector General any credible information indicating that any applicant, student, parent, employee, third-party servicer or other agent of the institution has engaged in any fraud or other illegal conduct involving Title IV programs;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 in a timely way all required reports and financial statements; and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58"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ED or other agencies or upon judicial review.</w:t>
      </w:r>
    </w:p>
    <w:p>
      <w:pPr>
        <w:spacing w:after="0" w:line="115"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i w:val="1"/>
          <w:iCs w:val="1"/>
          <w:color w:val="auto"/>
        </w:rPr>
        <w:t xml:space="preserve">State Authorization. </w:t>
      </w:r>
      <w:r>
        <w:rPr>
          <w:rFonts w:ascii="Arial" w:cs="Arial" w:eastAsia="Arial" w:hAnsi="Arial"/>
          <w:sz w:val="18"/>
          <w:szCs w:val="18"/>
          <w:color w:val="auto"/>
        </w:rPr>
        <w:t>Kaplan’s institutions and programs are subject to state-level regulation and oversight by state licensing agencies, whose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is necessary to allow an institution to operate and grant degrees or diplomas in the state. State laws may establish standards for instruction, qualifications of faculty, location and nature of facilities, financial policies and responsibility and other operational matters. Institutions that participate in Title IV programs must be legally authorized to operate in the state in which the institution is physically located or is otherwise subject to state authorization requirements.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6" w:right="259" w:bottom="1440" w:gutter="0" w:footer="0" w:header="0"/>
        </w:sectPr>
      </w:pPr>
    </w:p>
    <w:bookmarkStart w:id="8" w:name="page9"/>
    <w:bookmarkEnd w:id="8"/>
    <w:p>
      <w:pPr>
        <w:ind w:right="60"/>
        <w:spacing w:after="0" w:line="224"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not be able to recruit or enroll students in that state and may have to cease providing services in that state.</w:t>
      </w:r>
    </w:p>
    <w:p>
      <w:pPr>
        <w:spacing w:after="0" w:line="13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ED regulations that became effective on July 1, 2011, expanded the requirements for an institution to be considered legally authorized in the state in which it is physically located for Title IV purposes. In some cases, the regulations required states to revise their current requirements and/or to license schools in order for institutions to be deemed legally authorized in those states and, in turn, to participate in the Title IV programs. If a state’s requirements are found not to be in compliance with these ED regulations or if KHE institutions do not receive state approvals where necessary, the institutions could be deemed to lack the state authorization necessary to participate in the Title IV programs and be subject to loss of Title IV eligibility, repayment obligations and other sanctions. Due to an exemption, Kaplan University’s home state of Iowa does not require Kaplan University to be registered in Iowa. However, to comply with the law, Kaplan University was granted affirmative registration in Iowa. Kaplan believes that all of Kaplan University’s campuses currently meet the ED requirements to be considered legally authorized to provide the programs they offer in the states in which the campuses are located. The ED has stated that it will not publish a list of states that meet, or fail to meet, the state authorization requirements, and it is uncertain how the ED will interpret these requirements in each state.</w:t>
      </w:r>
    </w:p>
    <w:p>
      <w:pPr>
        <w:spacing w:after="0" w:line="1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the ED regulations that took effect on July 1, 2011, required institutions offering postsecondary education to students through distance education in a state in which the institution is not physically located, or in which it is otherwise subject to state jurisdiction as determined by the state, to meet any applicable state requirements for it to be legally offering postsecondary distance education in that state. In June 2012, the U.S. Court of Appeals for the District of Columbia vacated the regulations with respect to distance education. Between February and May 2014, the ED convened a negotiated rulemaking committee to develop proposed regulations on a variety of topics that included state authorization for programs offered through distance education or correspondence education. The ED paused the negotiated rulemaking process without publishing new regulations on this topic. The ED may resume this process in the future and publish new distance-education state authorization requirements that may require Kaplan University to be registered in additional states. If Kaplan is unable to obtain the required approvals for distance-education programs, then Kaplan students residing in the state for which approval was not obtained may be unable to receive Title IV funds, which could have a material adverse effect on Kaplan’s business and operations.</w:t>
      </w:r>
    </w:p>
    <w:p>
      <w:pPr>
        <w:spacing w:after="0" w:line="11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i w:val="1"/>
          <w:iCs w:val="1"/>
          <w:color w:val="auto"/>
        </w:rPr>
        <w:t xml:space="preserve">Congressional Reauthorization of Title IV Programs. </w:t>
      </w:r>
      <w:r>
        <w:rPr>
          <w:rFonts w:ascii="Arial" w:cs="Arial" w:eastAsia="Arial" w:hAnsi="Arial"/>
          <w:sz w:val="18"/>
          <w:szCs w:val="18"/>
          <w:color w:val="auto"/>
        </w:rPr>
        <w:t>All of the Title IV programs are subject to periodic legislative review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U.S. Federal appropriations process. Congress also can make changes in the laws affecting Title IV programs in those annual appropriations bills and in other laws it enacts between Higher Education Act reauthorizations. The Higher Education Act was reauthorized through September 2014 and has continued to receive annual appropriations. The Senate Health, Education, Labor and Pensions Committee (HELP) and the House Education and the Workforce Committee have held a series of hearings on reauthorization of the Higher Education Act, but it is not known when Congress will make changes to that statute or to other laws affecting U.S. Federal student aid.</w:t>
      </w:r>
    </w:p>
    <w:p>
      <w:pPr>
        <w:spacing w:after="0" w:line="137" w:lineRule="exact"/>
        <w:rPr>
          <w:sz w:val="20"/>
          <w:szCs w:val="20"/>
          <w:color w:val="auto"/>
        </w:rPr>
      </w:pPr>
    </w:p>
    <w:p>
      <w:pPr>
        <w:ind w:right="440"/>
        <w:spacing w:after="0" w:line="225"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KHE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11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i w:val="1"/>
          <w:iCs w:val="1"/>
          <w:color w:val="auto"/>
        </w:rPr>
        <w:t xml:space="preserve">U.S. Senate Committee Review. </w:t>
      </w:r>
      <w:r>
        <w:rPr>
          <w:rFonts w:ascii="Arial" w:cs="Arial" w:eastAsia="Arial" w:hAnsi="Arial"/>
          <w:sz w:val="18"/>
          <w:szCs w:val="18"/>
          <w:color w:val="auto"/>
        </w:rPr>
        <w:t>In the summer of 2010, the Chairman of the HELP Committee commenced an industry-wide review of for-profit higher education institutions. The institutions owned and operated by KHE were included in the scope of this industry-wide review. In July 2012, the majority staff of the Committee issued a final report to conclude the review that included observations and recommendations for federal policy, but did not include or endorse any specific proposed legislation or regulations.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Other committees of Congress have also held hearings addressing, among other things, the standards and procedures of accrediting agencies, credit hours and program length and the portion of U.S. Federal student financial aid going to for-profit institutions, and enrollment of active-duty military personnel and veterans. In addition, concerns generated by congressional or other activity or media reports may adversely affect enrollment in for-profit educational institutions.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9" w:name="page10"/>
    <w:bookmarkEnd w:id="9"/>
    <w:p>
      <w:pPr>
        <w:ind w:right="320"/>
        <w:spacing w:after="0" w:line="227"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Program Reviews, Audits and Investigations. </w:t>
      </w:r>
      <w:r>
        <w:rPr>
          <w:rFonts w:ascii="Arial" w:cs="Arial" w:eastAsia="Arial" w:hAnsi="Arial"/>
          <w:sz w:val="18"/>
          <w:szCs w:val="18"/>
          <w:color w:val="auto"/>
        </w:rPr>
        <w:t>Kaplan’s schools are subject to audits or program compliance reviews by various external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including the ED, its Office of the Inspector General, other federal agencies including the Department of Defense and the Department of Veterans Affairs, and state accrediting agencies. While program reviews may be undertaken for a variety of reasons, they are performed routinely as part of regulatory oversight of institutions that participate in Title IV or federal or state student funding programs. If the ED or another regulatory agency determines that an institution has improperly disbursed Title IV or other federal or state program funds or violated a provision of the Higher Education Act or other federal or state law or regulations, the affected institution may be required to repay funds to the ED or the appropriate federal or state agency or lender and may be assessed an administrative fine and be subject to other sanctions. Although Kaplan endeavors to comply with all U.S. Federal and state laws and regulations, Kaplan cannot guarantee that its interpretation of the relevant rules will be upheld by the ED or other agencies or upon judicial review.</w:t>
      </w:r>
    </w:p>
    <w:p>
      <w:pPr>
        <w:spacing w:after="0" w:line="13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and Higher Education Act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3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there are four open program reviews at campuses that were part of the KHE Campuses business, including the ED’s final reports on the program reviews at KHE’s Broomall, PA, and Pittsburgh, PA, locations. Kaplan retains responsibility for any financial obligation resulting from the ED program reviews at the KHE Campuses business that were open at the time of sale of the campuses to ECA.</w:t>
      </w:r>
    </w:p>
    <w:p>
      <w:pPr>
        <w:spacing w:after="0" w:line="11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b w:val="1"/>
          <w:bCs w:val="1"/>
          <w:i w:val="1"/>
          <w:iCs w:val="1"/>
          <w:color w:val="auto"/>
        </w:rPr>
        <w:t xml:space="preserve">Institutional and Programmatic Accreditation. </w:t>
      </w:r>
      <w:r>
        <w:rPr>
          <w:rFonts w:ascii="Arial" w:cs="Arial" w:eastAsia="Arial" w:hAnsi="Arial"/>
          <w:sz w:val="18"/>
          <w:szCs w:val="18"/>
          <w:color w:val="auto"/>
        </w:rPr>
        <w:t>Accreditation is a process through which an institution submits itself to qualitative review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organization of peer institutions. Pursuant to the Higher Education Act, the ED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ED. Kaplan’s schools are subject to reviews by the accrediting agencies that accredit them and their educational programs. Kaplan University’s regional accreditation by the HLC is required to be reaffirmed in 2016. As part of this process, in the second quarter of 2016, the HLC will conduct reaffirmation site visits at multiple Kaplan University campuses as well as a broad review of Kaplan University’s academics and policies. Although we cannot at this time predict the outcome of this process, Kaplan University expects this process to be complete by the end of 2016.</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 Kaplan University programs maintain a variety of programmatic accreditations that KHE believes are appropriate to ensure the quality of the programs or to enable students to seek necessary credentials upon graduation.</w:t>
      </w:r>
    </w:p>
    <w:p>
      <w:pPr>
        <w:spacing w:after="0" w:line="115"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Return of Title IV Funds. </w:t>
      </w:r>
      <w:r>
        <w:rPr>
          <w:rFonts w:ascii="Arial" w:cs="Arial" w:eastAsia="Arial" w:hAnsi="Arial"/>
          <w:sz w:val="18"/>
          <w:szCs w:val="18"/>
          <w:color w:val="auto"/>
        </w:rPr>
        <w:t>ED regulations require schools participating in Title IV programs to calculate correctly and return on a timely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Office of the Inspector General (OIG) audit, could result in a requirement that the school post a letter of credit in an amount equal to 25% of its prior-year returns of Title IV program funds. Currently, none of KHE’s schools is required to post a letter of credit. If unearned funds are not properly calculated and returned in a timely manner, an institution is subject to monetary liabilities, fines or other sanctions.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Test Preparation</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2015, Kaplan Test Preparation (KTP) included test preparation businesses in pre-college, graduate, health and bar review, as well as new businesses in new economy skills training (NEST) and in career advising. KTP also published test preparation and other books through its Kaplan Publishing business. Each of these businesses is discussed below.</w:t>
      </w:r>
    </w:p>
    <w:p>
      <w:pPr>
        <w:spacing w:after="0" w:line="11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pre-college and graduate businesses prepare students for a broad range of college and graduate school admissions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examinations, including the SAT, ACT, LSAT, GMAT, MCAT and GRE. KTP’s health business prepares students for medical and nursing licensure exams, including the USMLE and NCLEX. Kaplan Bar Review offers full-service bar review in 50 states and the District of Columbia, as well as review for the multistate portion of the bar exam nationwide.</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KTP delivers courses at numerous venues throughout the U.S., Canada, Puerto Rico, Mexico and London. These courses are taught at more than 70 KTP-branded locations and at numerous other locations such as hotels, high schools and universities. KTP also offers courses online, typically in a live online classroom or a self-study format. Private tutoring services are provided in person in select markets and online throughout the U.S. In addition, KTP licenses material for certain of its courses to third parties and to a Kaplan affiliate, which, during 2015, delivered courses at 31 locations in 50 countries outside the U.S. KTP also offers college admissions examination preparation courses and materials directly to high schools and school districts.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During 2015, KTP enrolled over 360,000 students in its courses, including more than 155,000 enrolled in online programs.</w:t>
      </w:r>
    </w:p>
    <w:p>
      <w:pPr>
        <w:spacing w:after="0" w:line="13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 xml:space="preserve">New Economy Skills Training. </w:t>
      </w:r>
      <w:r>
        <w:rPr>
          <w:rFonts w:ascii="Arial" w:cs="Arial" w:eastAsia="Arial" w:hAnsi="Arial"/>
          <w:sz w:val="17"/>
          <w:szCs w:val="17"/>
          <w:color w:val="auto"/>
        </w:rPr>
        <w:t>In 2015, KTP entered the NEST market in New York, California and Illinois with two offerings. The 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Dev Bootcamp established KTP as a leader in software developer bootcamps, which are programs that provide students with job-ready computer coding skills. KTP also launched Metis, which offers data science and plans to offer marketing and other NEST programs.</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print test preparation resources sold through retail channels. At the end of 2015, Kaplan Publishing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close to 300 products available in print and digital formats, including more than 100 digital products.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(KI) operates businesses in Europe and the Asia Pacific region. Each of these businesses is discussed below.</w:t>
      </w:r>
    </w:p>
    <w:p>
      <w:pPr>
        <w:spacing w:after="0" w:line="122"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Kaplan International operates the following businesses, all of which are based in the U.K. and Ireland: Kaplan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Kaplan International Colleges (KIC) and a set of higher education institutions.</w:t>
      </w:r>
    </w:p>
    <w:p>
      <w:pPr>
        <w:spacing w:after="0" w:line="121"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The Kaplan UK business in Europe is a provider of training, test preparation services and degrees for accounting and financial services professionals, including those studying for ACCA, CIMA and ICAEW qualifications. In addition, Kaplan UK provides professional training. In 2015, Kaplan UK provided courses to over 48,500 students in accountancy and financial services. Kaplan UK is headquartered in London, England, and has 24 training centers located throughout the U.K.</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KIC business comprises a university pathways business and an English-language training business. The university pathways business offers academic preparation programs especially designed for international students who wish to study in English-speaking countries. In 2015, university preparation programs were being delivered in Australia, China, Nigeria, Singapore, the U.K. and the U.S., serving 12,000 students in partnership with 44 universities.</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English-language business provides English-language training, academic preparation programs and test preparation for English proficiency exams, principally for students wishing to study and travel in English-speaking countries. KIC operates a total of 41 English-language schools, with 22 located in the U.K., Ireland, Australia, New Zealand and Canada, and 19 located in the U.S., where they operate under the name Kaplan International Centers. During 2015, the English-language business served approximately 53,500 students for in-class English-language instruction provided by Kaplan.</w:t>
      </w:r>
    </w:p>
    <w:p>
      <w:pPr>
        <w:spacing w:after="0" w:line="13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Kaplan also operates two higher education institutions in Europe, located in the U.K. and Ireland. These institutions are Dublin Business School and Kaplan Open Learning. At the end of 2015, these institutions enrolled an aggregate of approximately 5,400 students. During 2015, Kaplan closed a higher education institution in Europe, Holborn College.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24" w:right="259" w:bottom="1440" w:gutter="0" w:footer="0" w:header="0"/>
        </w:sectPr>
      </w:pPr>
    </w:p>
    <w:bookmarkStart w:id="11" w:name="page12"/>
    <w:bookmarkEnd w:id="11"/>
    <w:p>
      <w:pPr>
        <w:ind w:right="360"/>
        <w:spacing w:after="0" w:line="224" w:lineRule="auto"/>
        <w:rPr>
          <w:sz w:val="20"/>
          <w:szCs w:val="20"/>
          <w:color w:val="auto"/>
        </w:rPr>
      </w:pPr>
      <w:r>
        <w:rPr>
          <w:rFonts w:ascii="Arial" w:cs="Arial" w:eastAsia="Arial" w:hAnsi="Arial"/>
          <w:sz w:val="18"/>
          <w:szCs w:val="18"/>
          <w:color w:val="auto"/>
        </w:rPr>
        <w:t>Certain Kaplan International businesses serve a significant number of international students; therefore, the ability to sponsor students from outside the European Economic Area (EEA) and Switzerland to come to the U.K. is critical to these businesses. Pursuant to regulations administered by the United Kingdom Visa and Immigration Department (UKVI), KIC’s university pathways business and Kaplan Financial Limited are required to hold or operate Tier 4 sponsorship licenses to permit international students to come to the U.K. to study the courses they deliver. All of KIC’s UK English-language schools also have Tier 4 licenses to enable them to teach international students, although, in general, students studying the English language can choose to enter the U.K. on a student visitor visa as opposed to a Tier 4 visa.</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Tier 4 license holder is also required to ensure that it has passed the Basic Compliance Assessment (BCA) and holds Educational Oversight accreditation. Without these criteria being met, Kaplan International’s U.K. schools would not be permitted to issue a Confirmation for Acceptance of Studies (CAS) to potential incoming international students, which is a prerequisite to a student obtaining a Tier 4 student visa. The revised immigration rules also require all private institutions to obtain Educational Oversight accreditation. Educational Oversight requires a current and satisfactory full inspection, audit or review by the appropriate academic standards body. Failure to comply with these new rules has the potential to adversely impact the number of international students studying through Kaplan International.</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For Kaplan UK, Kaplan Financial Limited currently holds Tier 4 license status under a Kaplan master license enabling it to sponsor international students. Kaplan UK met the UKVI requirements throughout 2015.</w:t>
      </w:r>
    </w:p>
    <w:p>
      <w:pPr>
        <w:spacing w:after="0" w:line="135"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With respect to KIC’s businesses in the U.K., the pathways group of colleges continues to retain Tier 4 sponsor status and Educational Oversight accreditation, and all gained the status of “commendable progress” in the Quality Assurance Agency Educational Oversight Annual Monitoring. One of the most recent embedded pathways colleges within the University of the West of England, which obtained Educational Oversight in 2014, was granted a full Tier 4 sponsor license in 2015. The pathway colleges at the University of Brighton and Bournemouth University have also gained their own Tier 4 sponsor licenses.</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April 2015, the UKVI replaced the previous requirement that each Tier 4 license holder have Highly Trusted Sponsor (HTS) status with one overall Tier 4 status requirement. Ten of the Kaplan colleges subsequently completed their Tier 4 renewal in 2015. With the restructuring of the Tier 4 licenses, the next Tier 4 renewal submissions will be due in July/August 2016, with one exception, the Pathway College in Brighton, whose renewal will be due in March 2016.</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All of the English-language schools presently have Tier 4 sponsor status and have completed annual monitoring achieving “extended expectations” from the Independent Schools Inspectorate. The Kaplan International English-language business is considering a consolidation of its Tier 4 licenses from June 2016 so that only four UK English-language schools will remain on the Kaplan Tier 4 master license. As noted above, students studying the English language can choose to enter the U.K. on a student visitor visa as opposed to a Tier 4 visa.</w:t>
      </w:r>
    </w:p>
    <w:p>
      <w:pPr>
        <w:spacing w:after="0" w:line="135"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Changes continue to be made to U.K. immigration rules. The UKVI continues to tighten the regulations around sponsoring students from outside the EEA and Switzerland. Changes over the past three years have included the introduction of a rule that restricts to five years the time a sponsored student can spend studying at or above degree level in the U.K. The post-study work visa, which permitted postgraduate students to work in the U.K. without being sponsored, was closed to new applicants. In addition, sponsored students who do not attend an institution that qualifies as a Higher Educational Institution (HEI), which includes students attending Kaplan UK’s colleges, are no longer permitted to work part time while studying. In 2013, the biggest change was the introduction of a new screening process called a “Credibility Check” for potential students. This interview process can affect the number of visa refusals Kaplan International’s businesses receive, which is a risk factor for loss of the relevant license. However, Kaplan International has not experienced a significant increase in visa refusals. Since the introduction of the Points-Based System in 2009, all Tier 4 students are subject to strict checks pre and post arrival, including verification that their qualifications are genuine, confirmation that the students maintain a good attendance record and that they can be contacted at all times, and verification that they have academic progression and that their visa is valid at all times while they are present in the U.K. Failure to meet these requirements obliges Kaplan International to withdraw sponsorship and report these students to the UKVI. In 2014, there were additional changes to the UKVI rules, including a significant tightening of the core measurable with respect to visa refusals. Effective November 1, 2014, no more than 10% of the students to whom a CAS is issued by a Tier 4 license sponsor can have their visa refused. Formerly, the limit was set at 20%. In 2015, the Tier 4 licenses for Kaplan Financial, KIC’s London College and all of KI</w:t>
      </w:r>
      <w:r>
        <w:rPr>
          <w:rFonts w:ascii="Arial" w:cs="Arial" w:eastAsia="Arial" w:hAnsi="Arial"/>
          <w:sz w:val="14"/>
          <w:szCs w:val="14"/>
          <w:b w:val="1"/>
          <w:bCs w:val="1"/>
          <w:color w:val="auto"/>
        </w:rPr>
        <w:t>’</w:t>
      </w:r>
      <w:r>
        <w:rPr>
          <w:rFonts w:ascii="Arial" w:cs="Arial" w:eastAsia="Arial" w:hAnsi="Arial"/>
          <w:sz w:val="18"/>
          <w:szCs w:val="18"/>
          <w:color w:val="auto"/>
        </w:rPr>
        <w:t>s English-language colleges were consolidated into one single “master” license. If this license were lost, all of these colleges would lose the ability to sponsor international students. Furthermore, students applying to another education provider after completing their studies at these colleges are now required to return home to apply for a second visa. All of KI’s colleges dedicated to working with one university partner that held their own individual sponsor license before the introduction of the master license have retained their individual licenses. Academic service providers are required to have rigorous processes to verify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2" w:name="page13"/>
    <w:bookmarkEnd w:id="12"/>
    <w:p>
      <w:pPr>
        <w:ind w:right="440"/>
        <w:spacing w:after="0" w:line="235" w:lineRule="auto"/>
        <w:rPr>
          <w:sz w:val="20"/>
          <w:szCs w:val="20"/>
          <w:color w:val="auto"/>
        </w:rPr>
      </w:pPr>
      <w:r>
        <w:rPr>
          <w:rFonts w:ascii="Arial" w:cs="Arial" w:eastAsia="Arial" w:hAnsi="Arial"/>
          <w:sz w:val="18"/>
          <w:szCs w:val="18"/>
          <w:color w:val="auto"/>
        </w:rPr>
        <w:t>all English-language test certificates. The introduction of revised immigration rules has negatively impacted Kaplan UK’s enrollment rate in relation to students from outside the EEA and Switzerland.</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No assurance can be given that each Kaplan International business in the U.K. will be able to maintain its Tier 4 BCA status and Educational Oversight accreditation. Maintenance of each of these approvals requires compliance with several core metrics that may be difficult to attain. Loss of either Tier 4 BCA status or Educational Oversight accreditation would have a material adverse effect on Kaplan Europe’s operating results.</w:t>
      </w:r>
    </w:p>
    <w:p>
      <w:pPr>
        <w:spacing w:after="0" w:line="135"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January 2016, Kaplan International acquired Mander Portman Woodward (MPW), a U.K. independent sixth-form college which prepares domestic and international students for A-level examinations that control admission to U.K. universities. MPW operates three colleges in London, Cambridge and Birmingham.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Hong Kong and China.</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2015, the Higher Education and Financial divisions served more than 20,000 students from Singapore and 4,000 students from other countries throughout Asia and Western Europe. Kaplan Professional provided short courses to approximately 21,000 professionals, managers, executives and businesspeople in 2015.</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and the U.K. In addition, this division offers pre-university and diploma programs.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Workforce Development Agency Continuing Education Training (CET) Centre, provides professionals with various skills training to help them rejoin the workforce, shift to new careers or catch up with changes that occur in the workplace.</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2015, these businesses provided courses to approximately 11,000 students through classroom programs and to more than 31,000 students through online or distance-learning programs.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Australia’s English-language business is part of KIC, which operates across seven locations in Australia and one location in New Zealand, teaching more than 7,000 students per year. The Kaplan Australia Pathways business is also part of KIC. It consists of Murdoch Institute of Technology and Bradford College and offers pathways and foundational education to approximately 1,200 students wishing to enter Murdoch University in Perth and the University of Adelaide, respectively.</w:t>
      </w:r>
    </w:p>
    <w:p>
      <w:pPr>
        <w:spacing w:after="0" w:line="135"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In 2015, Kaplan sold its Franklyn Scholar business that offered a wide range of custom-developed programs to corporate clients at the vocational education level.</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Hong Kong, Kaplan operates three business units: Kaplan Financial, Kaplan Language Training and Kaplan Higher Education, serving more than 9,000 students annually.</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Kaplan Hong Kong’s Financial division delivers preparatory courses to more than 7,000 students and business executives wishing to take professional qualifications in accountancy, including HKICPA, ACCA and CPA, and financial markets designations, including CFA, LE, FRM and CIAI.</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Hong Kong’s Language Training division offers both test preparation for overseas study and college applications including TOEFL, IELTS, SAT and GMAT, to approximately 1,000 students.</w:t>
      </w:r>
    </w:p>
    <w:p>
      <w:pPr>
        <w:spacing w:after="0" w:line="135"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Kaplan Hong Kong Higher Education division offers both full-time and part-time programs to more than 1,000 students studying for degrees from leading Western universities. Students gain doctorate, master’s and bachelor’s degrees in Hong Kong. Kaplan also offers a proprietary pre-college diploma program through Kaplan Business and Accountancy School.</w:t>
      </w:r>
    </w:p>
    <w:p>
      <w:pPr>
        <w:spacing w:after="0" w:line="137"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In August 2014, Kaplan entered into an agreement in China to sell both its ACCA training programs business and four schools that deliver university preparation programs. Final local transfer mechanics were completed in January 2015. Kaplan continues to retain franchise arrangements with third parties in China to deliver programs.</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June 2014, Kaplan Holdings Limited (Hong Kong) signed a joint venture agreement with CITIC Press Corporation. Under the terms of the agreement, the parties have now incorporated a joint venture company, Kaplan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ind w:right="160"/>
        <w:spacing w:after="0" w:line="235" w:lineRule="auto"/>
        <w:rPr>
          <w:sz w:val="20"/>
          <w:szCs w:val="20"/>
          <w:color w:val="auto"/>
        </w:rPr>
      </w:pPr>
      <w:r>
        <w:rPr>
          <w:rFonts w:ascii="Arial" w:cs="Arial" w:eastAsia="Arial" w:hAnsi="Arial"/>
          <w:sz w:val="18"/>
          <w:szCs w:val="18"/>
          <w:color w:val="auto"/>
        </w:rPr>
        <w:t>CITIC Education Co. Limited, which is 49% owned by Kaplan Holdings Limited. The joint venture company will undertake training consultancy and related businesses in China.</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be able to comply with foreign regulations, and failure to do so could materially and adversely affect Kaplan</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Graham Media Group, Inc. (GMG), a subsidiary of the Company, owns five television stations, located in Houston, TX; Detroit, MI; Orlando, FL; San Antonio, TX; and Jacksonville, FL. as well as SocialNewsDesk, a provider of social-media, management tools designed to connect newsrooms with their users. The following table sets forth certain information with respect to each of the Company’s television stations: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National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Stations</w:t>
            </w:r>
          </w:p>
        </w:tc>
      </w:tr>
      <w:tr>
        <w:trPr>
          <w:trHeight w:val="19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License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8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in DMA (b)</w:t>
            </w:r>
          </w:p>
        </w:tc>
      </w:tr>
      <w:tr>
        <w:trPr>
          <w:trHeight w:val="223"/>
        </w:trPr>
        <w:tc>
          <w:tcPr>
            <w:tcW w:w="3340" w:type="dxa"/>
            <w:vAlign w:val="bottom"/>
          </w:tcPr>
          <w:p>
            <w:pPr>
              <w:ind w:left="40"/>
              <w:spacing w:after="0"/>
              <w:rPr>
                <w:sz w:val="20"/>
                <w:szCs w:val="20"/>
                <w:color w:val="auto"/>
              </w:rPr>
            </w:pPr>
            <w:r>
              <w:rPr>
                <w:rFonts w:ascii="Arial" w:cs="Arial" w:eastAsia="Arial" w:hAnsi="Arial"/>
                <w:sz w:val="16"/>
                <w:szCs w:val="16"/>
                <w:color w:val="auto"/>
              </w:rPr>
              <w:t>KPRC, Houston, TX, 1949</w:t>
            </w:r>
          </w:p>
        </w:tc>
        <w:tc>
          <w:tcPr>
            <w:tcW w:w="1580" w:type="dxa"/>
            <w:vAlign w:val="bottom"/>
          </w:tcPr>
          <w:p>
            <w:pPr>
              <w:jc w:val="center"/>
              <w:spacing w:after="0"/>
              <w:rPr>
                <w:sz w:val="20"/>
                <w:szCs w:val="20"/>
                <w:color w:val="auto"/>
              </w:rPr>
            </w:pPr>
            <w:r>
              <w:rPr>
                <w:rFonts w:ascii="Arial" w:cs="Arial" w:eastAsia="Arial" w:hAnsi="Arial"/>
                <w:sz w:val="16"/>
                <w:szCs w:val="16"/>
                <w:color w:val="auto"/>
              </w:rPr>
              <w:t>10th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14</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WDIV, Detroit, MI,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13th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Oct.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8</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WKMG, Orlando, FL, 1954</w:t>
            </w:r>
          </w:p>
        </w:tc>
        <w:tc>
          <w:tcPr>
            <w:tcW w:w="1580" w:type="dxa"/>
            <w:vAlign w:val="bottom"/>
          </w:tcPr>
          <w:p>
            <w:pPr>
              <w:jc w:val="center"/>
              <w:spacing w:after="0"/>
              <w:rPr>
                <w:sz w:val="20"/>
                <w:szCs w:val="20"/>
                <w:color w:val="auto"/>
              </w:rPr>
            </w:pPr>
            <w:r>
              <w:rPr>
                <w:rFonts w:ascii="Arial" w:cs="Arial" w:eastAsia="Arial" w:hAnsi="Arial"/>
                <w:sz w:val="16"/>
                <w:szCs w:val="16"/>
                <w:color w:val="auto"/>
              </w:rPr>
              <w:t>19th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April 6, 2019</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12</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6"/>
                <w:szCs w:val="16"/>
                <w:color w:val="auto"/>
              </w:rPr>
              <w:t>32nd</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2021</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12</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WJXT, Jacksonville, FL,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47th</w:t>
            </w:r>
          </w:p>
        </w:tc>
        <w:tc>
          <w:tcPr>
            <w:tcW w:w="1400" w:type="dxa"/>
            <w:vAlign w:val="bottom"/>
          </w:tcPr>
          <w:p>
            <w:pPr>
              <w:jc w:val="center"/>
              <w:spacing w:after="0"/>
              <w:rPr>
                <w:sz w:val="20"/>
                <w:szCs w:val="20"/>
                <w:color w:val="auto"/>
              </w:rPr>
            </w:pPr>
            <w:r>
              <w:rPr>
                <w:rFonts w:ascii="Arial" w:cs="Arial" w:eastAsia="Arial" w:hAnsi="Arial"/>
                <w:sz w:val="16"/>
                <w:szCs w:val="16"/>
                <w:color w:val="auto"/>
              </w:rPr>
              <w:t>None</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134"/>
        </w:trPr>
        <w:tc>
          <w:tcPr>
            <w:tcW w:w="3340" w:type="dxa"/>
            <w:vAlign w:val="bottom"/>
          </w:tcPr>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tc>
        <w:tc>
          <w:tcPr>
            <w:tcW w:w="1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27"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Source: 2015/2016 DMA Market Rankings, Nielsen Media Research, fall 2015, based on television homes in DMA (see note (b) below).</w:t>
      </w: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Designated Market Area (DMA) is a market designation of A.C. Nielsen that defines each television market exclusive of another, based on measured viewing patterns.</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2015, advertising revenue accounted for 77%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w:t>
      </w:r>
    </w:p>
    <w:p>
      <w:pPr>
        <w:spacing w:after="0" w:line="11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multiple channels of standard-definition television programming (multicasting) and subchannels of programming designed for reception by mobile devices (mobile DTV).</w:t>
      </w:r>
    </w:p>
    <w:p>
      <w:pPr>
        <w:spacing w:after="0" w:line="1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Congress has authorized reallocation of spectrum for use by wireless broadband providers, including substantial amounts of spectrum currently in the television broadcast band. Congress has authorized incentive auctions whereby the FCC would auction spectrum relinquished by broadcast television stations in exchange for a share of the auction revenues. The FCC has adopted rules, and is expected to continue adopting rules, addressing, among other things, how the incentive auction process will work and how the FCC will conduct a “repacking,” whereby the FCC will require certain stations to move to new channel allotments so as to free up a nationwide block of spectrum for wireless broadband use. The repacking and incentive auction processes are subject to certain requirements established by Congress in legislation enacted in February 2012. The incentive auction is currently scheduled to begin in March 2016. On January 12, 2016, stations wishing to remain eligible to bid to relinquish some or all of their current spectrum rights must submit their initial applications to the FCC. On the same date, a “quiet period” established by the FCC</w:t>
      </w:r>
      <w:r>
        <w:rPr>
          <w:rFonts w:ascii="Arial" w:cs="Arial" w:eastAsia="Arial" w:hAnsi="Arial"/>
          <w:sz w:val="14"/>
          <w:szCs w:val="14"/>
          <w:b w:val="1"/>
          <w:bCs w:val="1"/>
          <w:color w:val="auto"/>
        </w:rPr>
        <w:t>’</w:t>
      </w:r>
      <w:r>
        <w:rPr>
          <w:rFonts w:ascii="Arial" w:cs="Arial" w:eastAsia="Arial" w:hAnsi="Arial"/>
          <w:sz w:val="18"/>
          <w:szCs w:val="18"/>
          <w:color w:val="auto"/>
        </w:rPr>
        <w:t>s auction anti-collusion rules goes into effect and continues until the FCC publicly announces the results of the incentive auction. During this quiet period, broadcast television licensees eligible to participate in the reverse-auction phase of the incentive auction may not directly or indirectly communicate with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p>
      <w:pPr>
        <w:jc w:val="both"/>
        <w:ind w:right="180"/>
        <w:spacing w:after="0" w:line="224" w:lineRule="auto"/>
        <w:rPr>
          <w:sz w:val="20"/>
          <w:szCs w:val="20"/>
          <w:color w:val="auto"/>
        </w:rPr>
      </w:pPr>
      <w:r>
        <w:rPr>
          <w:rFonts w:ascii="Arial" w:cs="Arial" w:eastAsia="Arial" w:hAnsi="Arial"/>
          <w:sz w:val="18"/>
          <w:szCs w:val="18"/>
          <w:color w:val="auto"/>
        </w:rPr>
        <w:t>each other or with forward-auction applicants regarding licensees</w:t>
      </w:r>
      <w:r>
        <w:rPr>
          <w:rFonts w:ascii="Arial" w:cs="Arial" w:eastAsia="Arial" w:hAnsi="Arial"/>
          <w:sz w:val="14"/>
          <w:szCs w:val="14"/>
          <w:b w:val="1"/>
          <w:bCs w:val="1"/>
          <w:color w:val="auto"/>
        </w:rPr>
        <w:t>’</w:t>
      </w:r>
      <w:r>
        <w:rPr>
          <w:rFonts w:ascii="Arial" w:cs="Arial" w:eastAsia="Arial" w:hAnsi="Arial"/>
          <w:sz w:val="18"/>
          <w:szCs w:val="18"/>
          <w:color w:val="auto"/>
        </w:rPr>
        <w:t xml:space="preserve"> bids or bidding strategies. The repacking and incentive auction processes could have an adverse effect on GMG. For example, a repacking could result in GMG stations having smaller service areas and/or receiving more interference than they do currently. Stations moving to new channels also could incur significant expense. The legislation requires that stations be compensated for the expenses of moving to a new channel from spectrum auction proceeds, from a $1.75 billion reimbursement fund. The Company cannot predict what effect a repacking will have on the GMG stations’ coverage or whether the GMG stations will be fully compensated for expenses that they incur in connection with a repacking.</w:t>
      </w:r>
    </w:p>
    <w:p>
      <w:pPr>
        <w:spacing w:after="0" w:line="11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w:t>
      </w:r>
    </w:p>
    <w:p>
      <w:pPr>
        <w:spacing w:after="0" w:line="139"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Stations that elect retransmission consent may negotiate for compensation from cable or DBS systems in exchange for the right to carry their signals. Each of GMG’s television stations is being carried on all of the major cable and DBS systems serving each station’s respective local market, pursuant to retransmission consent agreements.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March 2011, the FCC initiated a rulemaking seeking comments on changes to the FCC’s retransmission consent and exclusivity rules, many of which had been proposed by cable and DBS operators, such as authorization for “interim carriage” of a broadcaster’s signal by cable and DBS operators after the broadcaster’s grant of retransmission consent has expired. Broadcasters opposed many of the proposed rule changes. In March 2014, the FCC adopted a rule prohibiting certain practices in the negotiation of retransmission consent agreements and seeking additional comments on possible changes to the exclusivity rules. In the STELA Reauthorization Act (STELAR), enacted in December 2014, Congress directed the FCC to undertake additional rulemakings concerning retransmission consent issues. For example, the FCC has adopted new rules required by STELAR prohibiting same-market television broadcast stations from coordinating or jointly negotiating for retransmission consent unless such stations are under common control. The FCC also has commenced a rulemaking required by STELAR reviewing the Commission</w:t>
      </w:r>
      <w:r>
        <w:rPr>
          <w:rFonts w:ascii="Arial" w:cs="Arial" w:eastAsia="Arial" w:hAnsi="Arial"/>
          <w:sz w:val="14"/>
          <w:szCs w:val="14"/>
          <w:b w:val="1"/>
          <w:bCs w:val="1"/>
          <w:color w:val="auto"/>
        </w:rPr>
        <w:t>’</w:t>
      </w:r>
      <w:r>
        <w:rPr>
          <w:rFonts w:ascii="Arial" w:cs="Arial" w:eastAsia="Arial" w:hAnsi="Arial"/>
          <w:sz w:val="18"/>
          <w:szCs w:val="18"/>
          <w:color w:val="auto"/>
        </w:rPr>
        <w:t>s “totality of the circumstances” test for good faith retransmission consent negotiations. In addition, the FCC has solicited comments on a proposal to eliminate its network non-duplication and syndicated exclusivity rules. If such a proposal were adopted, cable operators, direct broadcast satellite systems and other distributors classified by the FCC as multichannel video programming distributors (MVPDS) might be permitted to import the signals of out-of-market television stations with duplicating programming during retransmission consent disputes or otherwise. Further changes to the retransmission consent and/or exclusivity rules could materially affect the GMG stations’ bargaining leverage in future retransmission consent negotiations, and the Company cannot predict the net effect that such an order would have. Congress may also pass additional legislation that would affect the must-carry/retransmission consent regime.</w:t>
      </w:r>
    </w:p>
    <w:p>
      <w:pPr>
        <w:spacing w:after="0" w:line="13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Under STELAR, the statutory copyright license for satellite carriage of distant broadcast television signals was extended through December 31, 2019. The Company cannot predict whether this distant signal copyright will be extended again, nor can it predict whether or how Congress may otherwise change the communications or copyright regimes. The net effect that changes to these regimes would have on the Company’s broadcast operations, or on the Company overall, cannot be predicted.</w:t>
      </w:r>
    </w:p>
    <w:p>
      <w:pPr>
        <w:spacing w:after="0" w:line="113"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i w:val="1"/>
          <w:iCs w:val="1"/>
          <w:color w:val="auto"/>
        </w:rPr>
        <w:t xml:space="preserve">Ownership Limits. </w:t>
      </w:r>
      <w:r>
        <w:rPr>
          <w:rFonts w:ascii="Arial" w:cs="Arial" w:eastAsia="Arial" w:hAnsi="Arial"/>
          <w:sz w:val="17"/>
          <w:szCs w:val="17"/>
          <w:color w:val="auto"/>
        </w:rPr>
        <w:t>The Communications Act and the FCC’s rules limit the number and types of media outlets in which a single person or 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have an attributable interest. Among other restrictions, the FCC’s local television ownership rule generally prohibits one company from owning two television stations in the same market unless there would remain at least eight independently owned full-power television stations in that market, and at least one of the commonly owned stations is not among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 In April 2014, the Commission released a report and order determining that certain television joint sales agreements (JSAs) are attributable in calculating compliance with the ownership limits. Pursuant to the Consolidated Appropriations Act of</w:t>
      </w:r>
    </w:p>
    <w:p>
      <w:pPr>
        <w:spacing w:after="0" w:line="3"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2016 through September 30, 2025, the new JSA attribution standard will not apply to JSAs that were in effect as of March 31, 2014, and any party to such a JSA will not be considered in violation of the FCC’s ownership rules by reason of the application of the new JSA attribution standard. GMG stations are not parties to JSAs, but the FCC</w:t>
      </w:r>
      <w:r>
        <w:rPr>
          <w:rFonts w:ascii="Arial" w:cs="Arial" w:eastAsia="Arial" w:hAnsi="Arial"/>
          <w:sz w:val="14"/>
          <w:szCs w:val="14"/>
          <w:b w:val="1"/>
          <w:bCs w:val="1"/>
          <w:color w:val="auto"/>
        </w:rPr>
        <w:t>’</w:t>
      </w:r>
      <w:r>
        <w:rPr>
          <w:rFonts w:ascii="Arial" w:cs="Arial" w:eastAsia="Arial" w:hAnsi="Arial"/>
          <w:sz w:val="18"/>
          <w:szCs w:val="18"/>
          <w:color w:val="auto"/>
        </w:rPr>
        <w:t>s rule change could limit GMG’s ability to enter into possible transactions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FCC also restricts so-called “cross-ownership” of newspapers and broadcast stations within a market.</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April 2014, the FCC released a notice of proposed rulemaking, proposing to retain the local television ownership rule, seeking comment on a possible waiver standard for smaller markets and proposing a modest relaxation of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5" w:name="page16"/>
    <w:bookmarkEnd w:id="15"/>
    <w:p>
      <w:pPr>
        <w:jc w:val="both"/>
        <w:ind w:right="580"/>
        <w:spacing w:after="0" w:line="229" w:lineRule="auto"/>
        <w:rPr>
          <w:sz w:val="20"/>
          <w:szCs w:val="20"/>
          <w:color w:val="auto"/>
        </w:rPr>
      </w:pPr>
      <w:r>
        <w:rPr>
          <w:rFonts w:ascii="Arial" w:cs="Arial" w:eastAsia="Arial" w:hAnsi="Arial"/>
          <w:sz w:val="18"/>
          <w:szCs w:val="18"/>
          <w:color w:val="auto"/>
        </w:rPr>
        <w:t>newspaper/broadcast rule. The notice also addresses the FCC’s radio ownership and radio/television cross-ownership rules, and it asks whether the FCC should require disclosure of shared service agreements. The proceeding is pending, and it is not possible to predict its outcome or ramifications.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Separately, in March 2014, the FCC released a Public Notice, characterized as “guidance,” that the FCC will “closely scrutinize” any transaction that involves both a sharing agreement and certain kinds of financial interests.</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Four of GMG’s five stations are affiliated with one or more of the national television networks, which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these affiliation agreements are set forth at the beginning of the Television Broadcasting section. GMG’s Jacksonville station, WJXT, has operated as an independent station since 2002. In addition, each of the Company’s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GMG’s operations.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serve the educational and informational needs of children and to complete reports on a quarterly basis concerning children’s programming. In addition, the FCC requires stations to limit the amount of advertising that appears during certain children’s programs.</w:t>
      </w:r>
    </w:p>
    <w:p>
      <w:pPr>
        <w:spacing w:after="0" w:line="12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April 2012, the FCC adopted a rule that requires television stations to submit electronically most of their public inspection files to the FCC for hosting on the FCC</w:t>
      </w:r>
      <w:r>
        <w:rPr>
          <w:rFonts w:ascii="Arial" w:cs="Arial" w:eastAsia="Arial" w:hAnsi="Arial"/>
          <w:sz w:val="14"/>
          <w:szCs w:val="14"/>
          <w:b w:val="1"/>
          <w:bCs w:val="1"/>
          <w:color w:val="auto"/>
        </w:rPr>
        <w:t>’</w:t>
      </w:r>
      <w:r>
        <w:rPr>
          <w:rFonts w:ascii="Arial" w:cs="Arial" w:eastAsia="Arial" w:hAnsi="Arial"/>
          <w:sz w:val="18"/>
          <w:szCs w:val="18"/>
          <w:color w:val="auto"/>
        </w:rPr>
        <w:t>s website. Compliance with the rule, which has taken effect, could affect GMG’s operations and regulatory compliance costs.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11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The application of these regulations may limit the advertising revenues of GMG’s television stations during the periods preceding elections.</w:t>
      </w:r>
    </w:p>
    <w:p>
      <w:pPr>
        <w:spacing w:after="0" w:line="1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regularly imposes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This ruling could result in additional regulatory risks. The FCC is currently reconsidering its indecency policies.</w:t>
      </w:r>
    </w:p>
    <w:p>
      <w:pPr>
        <w:spacing w:after="0" w:line="137"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proceedings and other matters described in this section could adversely affect the profitability of GMG’s television broadcasting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24 million unique visitors per month and averaged more than 100 million page views per month across desktop and mobile platforms in 2015. The Slate Group also owns Panoply, an ad-supported podcast network that creates original audio programming in partnership with leading publishers and thinkers. In addition to producing and marketing podcasts, Panoply also licenses a proprietary SAAS platform that provides content management services to podcasters.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FP Group</w:t>
      </w:r>
    </w:p>
    <w:p>
      <w:pPr>
        <w:spacing w:after="0" w:line="148"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Social Code LLC (SocialCode) is a technology and insights company that manages digital advertising for leading brands. SocialCode decodes human needs to deliver actionable consumer insights and efficient media delivery on advertising platforms such as Facebook, Twitter, Instagram and Pinterest. SocialCode offers a social marketing platform that combines automation with a strategic services group.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Celtic Healthcare</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Celtic Healthcare, Inc. (Celtic) is a Medicare-certified provider of home health and hospice services headquartered in Mars, PA. Through its subsidiaries, Celtic is licensed to provide home health and hospice services throughout Pennsylvania, Maryland, Missouri and Illinois. These services include skilled nursing, physical therapy, occupational therapy, speech therapy, social work, nutrition, chaplain and aid services. In addition, Celtic provides virtual care services to patients throughout its service territories. Celtic derives 74.7% of its revenue from Medicare; the remaining sources of revenue are Medicaid, commercial insurance and private payers.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Healthcare Group</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Residential Healthcare Group (Residential) is headquartered in Troy, MI, and provides care to patients across Michigan and in the western suburbs of Chicago, IL. Services and support are offered in a variety of settings, including patients’ homes, nursing facilities and hospitals. Residential’s Home Health operation is Medicare-certified and ACHC-accredited. It has developed a number of innovative, evidence-based clinical programs to reduce avoidable hospital readmissions, particularly for chronically ill seniors. Service offerings include in-home nursing and therapy. Residential’s Hospice subsidiary is CHAP-accredited. It provides patients a full spectrum of hospice care to maintain their personal dignity, safety and quality of life. Residential derives 92% of its revenue from Medicare; the remaining sources of revenue are Medicaid, commercial insurance and private payers.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Group Dekko Inc. (Group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Group Dekko, founded in 1952, is headquartered in Garrett, IN, and operates seven facilities in three states and Mexico. The Company acquired Group Dekko in November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CyberVista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launched CyberVista LLC in 2015. CyberVista develops cybersecurity training and workforce development education programs.</w:t>
      </w:r>
    </w:p>
    <w:p>
      <w:pPr>
        <w:spacing w:after="0" w:line="1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Kaplan’s businesses operate in fragmented and competitive markets. KHE competes with both facilities-based and other distance-learning providers of similar educational services, including not-for-profit colleges and universities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4" w:right="239" w:bottom="1440" w:gutter="0" w:footer="0" w:header="0"/>
        </w:sectPr>
      </w:pPr>
    </w:p>
    <w:bookmarkStart w:id="17" w:name="page18"/>
    <w:bookmarkEnd w:id="17"/>
    <w:p>
      <w:pPr>
        <w:ind w:right="20"/>
        <w:spacing w:after="0" w:line="224" w:lineRule="auto"/>
        <w:rPr>
          <w:sz w:val="20"/>
          <w:szCs w:val="20"/>
          <w:color w:val="auto"/>
        </w:rPr>
      </w:pPr>
      <w:r>
        <w:rPr>
          <w:rFonts w:ascii="Arial" w:cs="Arial" w:eastAsia="Arial" w:hAnsi="Arial"/>
          <w:sz w:val="18"/>
          <w:szCs w:val="18"/>
          <w:color w:val="auto"/>
        </w:rPr>
        <w:t>and for-profit businesses. PACE competes in each of its professional lines with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Kaplan’s businesses competes with other for-profit companies and, in certain instances, with government-supported schools and institutions that provide similar training and educational programs. Students choose among providers based on program offerings, convenience, quality of instruction, reputation, placement rates, student services and cost.</w:t>
      </w:r>
    </w:p>
    <w:p>
      <w:pPr>
        <w:spacing w:after="0" w:line="137"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color w:val="auto"/>
        </w:rPr>
        <w:t xml:space="preserve">GMG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In addition, movies and television programming are available free of charge on the websites of the major TV networks, as well as on the advertising-supported website </w:t>
      </w:r>
      <w:r>
        <w:rPr>
          <w:rFonts w:ascii="Arial" w:cs="Arial" w:eastAsia="Arial" w:hAnsi="Arial"/>
          <w:sz w:val="18"/>
          <w:szCs w:val="18"/>
          <w:i w:val="1"/>
          <w:iCs w:val="1"/>
          <w:color w:val="auto"/>
        </w:rPr>
        <w:t>Hulu</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rPr>
          <w:sz w:val="20"/>
          <w:szCs w:val="20"/>
          <w:color w:val="auto"/>
        </w:rPr>
      </w:pPr>
      <w:r>
        <w:rPr>
          <w:rFonts w:ascii="Arial" w:cs="Arial" w:eastAsia="Arial" w:hAnsi="Arial"/>
          <w:sz w:val="18"/>
          <w:szCs w:val="18"/>
          <w:color w:val="auto"/>
        </w:rPr>
        <w:t>Celtic and Residential compete primarily with privately owned and hospital-operated home health and hospice service providers.</w:t>
      </w:r>
    </w:p>
    <w:p>
      <w:pPr>
        <w:spacing w:after="0" w:line="12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Donald E. Graham, age 70,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333333"/>
        </w:rPr>
        <w:t xml:space="preserve">Timothy J. O’Shaughnessy, 34, became Chief Executive Officer in November 2015. From November 2014 until November 2015, he served as President of the Company. He was elected to the Board of Directors in November 2014. From 2007 to August 2014, Mr. O’Shaughnessy served as chief executive officer of LivingSocial, an </w:t>
      </w:r>
      <w:r>
        <w:rPr>
          <w:rFonts w:ascii="Arial" w:cs="Arial" w:eastAsia="Arial" w:hAnsi="Arial"/>
          <w:sz w:val="18"/>
          <w:szCs w:val="18"/>
          <w:color w:val="000000"/>
        </w:rPr>
        <w:t>e-commerce and marketing company that</w:t>
      </w:r>
      <w:r>
        <w:rPr>
          <w:rFonts w:ascii="Arial" w:cs="Arial" w:eastAsia="Arial" w:hAnsi="Arial"/>
          <w:sz w:val="18"/>
          <w:szCs w:val="18"/>
          <w:color w:val="333333"/>
        </w:rPr>
        <w:t xml:space="preserve"> he co-founded in 2007. Mr. O’Shaughnessy is the son-in-law of Donald E. Graham, Chairman of the Company.</w:t>
      </w:r>
    </w:p>
    <w:p>
      <w:pPr>
        <w:spacing w:after="0" w:line="150"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Hal S. Jones, age 63, became Chief Financial Officer of the Company in January 2009 and Senior Vice President–Finance of the Company in November 2008. He had most recently been Chief Executive Officer of Kaplan Professional, responsible for Kaplan’s professional businesses in financial services, real estate, technology and engineering in the U.S. and the U.K. Mr. Jones has spent 25 years at the Company and Kaplan, serving in a variety of senior management positions with a focus on finance, auditing and accounting.</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Wallace R. Cooney, age 53, became Vice President–Finance and Chief Accounting Officer of the Company in June 2008. Mr. Cooney joined the Company in 2001 as Controller and prior to that had been with Gannett Co., Inc. and Price Waterhouse LLP.</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Denise Demeter, age 55, became Vice President–Chief Human Resources Officer of the Company in September 2014. Ms. Demeter joined the Company in 1986 and has served in a variety of roles, including Vice President, Human Resources, and Senior Director, Pension &amp; Savings Plans.</w:t>
      </w:r>
    </w:p>
    <w:p>
      <w:pPr>
        <w:spacing w:after="0" w:line="137"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Jacob M. Maas, age 39,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Nicole M. Maddrey, 51 became Senior Vice President, General Counsel and Secretary of the Company in April 2015. Ms. Maddrey joined the Company in 2007 as Associate General Counsel.</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Gerald M. Rosberg, age 69, became Senior Vice President–Planning and Development of the Company in June 2008 and was formerly Vice President–Planning and Development of the Company since February 1999. He had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8" w:name="page19"/>
    <w:bookmarkEnd w:id="18"/>
    <w:p>
      <w:pPr>
        <w:ind w:right="520"/>
        <w:spacing w:after="0" w:line="251" w:lineRule="auto"/>
        <w:rPr>
          <w:sz w:val="20"/>
          <w:szCs w:val="20"/>
          <w:color w:val="auto"/>
        </w:rPr>
      </w:pPr>
      <w:r>
        <w:rPr>
          <w:rFonts w:ascii="Arial" w:cs="Arial" w:eastAsia="Arial" w:hAnsi="Arial"/>
          <w:sz w:val="18"/>
          <w:szCs w:val="18"/>
          <w:color w:val="auto"/>
        </w:rPr>
        <w:t xml:space="preserve">previously served as Vice President–Affiliates at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 position he assumed in November 1997. Mr. Rosberg joined the Company in January 1996 as the </w:t>
      </w:r>
      <w:r>
        <w:rPr>
          <w:rFonts w:ascii="Arial" w:cs="Arial" w:eastAsia="Arial" w:hAnsi="Arial"/>
          <w:sz w:val="18"/>
          <w:szCs w:val="18"/>
          <w:i w:val="1"/>
          <w:iCs w:val="1"/>
          <w:color w:val="auto"/>
        </w:rPr>
        <w:t>Post</w:t>
      </w:r>
      <w:r>
        <w:rPr>
          <w:rFonts w:ascii="Arial" w:cs="Arial" w:eastAsia="Arial" w:hAnsi="Arial"/>
          <w:sz w:val="18"/>
          <w:szCs w:val="18"/>
          <w:color w:val="auto"/>
        </w:rPr>
        <w:t>’s Director of Affiliate Relations.</w:t>
      </w:r>
    </w:p>
    <w:p>
      <w:pPr>
        <w:spacing w:after="0" w:line="125"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 xml:space="preserve">Andrew S. Rosen, 55, became Executive Vice President of the Company and Chairman of Kaplan, Inc. in April 2014 and Chief Executive Officer of Kaplan, Inc. in August 2015. Mr. Rosen has spent 30 years at the Company and its affiliates. He joined the Company in 1986 as a staff attorney with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Newsweek. He moved to Kaplan in 1992 and held numerous leadership positions there before being named CEO in November 2008.</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11,500 people on a full-time basis.</w:t>
      </w:r>
    </w:p>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Worldwide, Kaplan employs approximately 7,400 people on a full-time basis. Kaplan also employs substantial numbers of part-time employees who serve in instructional and administrative capacities. During peak seasonal periods, Kaplan’s part-time workforce is approximately 9,500 employees. Collectively, in the U.S., U.K. and Canada, 198 Kaplan employees are represented by a union.</w:t>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GMG has approximately 825 full-time employees, of whom about 109 are represented by a union. Of the six collective-bargaining agreements covering union-represented employees, one has expired and is being renegotiated. Four collective-bargaining agreements will expire in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including Panoply, has approximately 129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Celtic has approximately 553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Residential has approximately 703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167 full-time employees, of whom 61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Joyce/Dayton has approximately 140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has approximately 205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Group Dekko has approximately 1,249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FP Group and CyberVista each employ fewer than 100 people,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114 full-time employees, none of whom is represented by a union.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2015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28" w:right="259" w:bottom="1440" w:gutter="0" w:footer="0" w:header="0"/>
        </w:sectPr>
      </w:pPr>
    </w:p>
    <w:bookmarkStart w:id="19" w:name="page20"/>
    <w:bookmarkEnd w:id="19"/>
    <w:p>
      <w:pPr>
        <w:ind w:right="40"/>
        <w:spacing w:after="0" w:line="227"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 Also, the public may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1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Statutory and Regulatory Requirements Could Result in Loss of Access to U.S. Federal Student Loans and Grants Under Title IV, a Requirement to Pay Fines or Monetary Liabilities or Other Sanctions</w:t>
      </w:r>
    </w:p>
    <w:p>
      <w:pPr>
        <w:spacing w:after="0" w:line="6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To maintain Title IV eligibility, each group of schools combined into an OPEID unit must comply with the extensive statutory and regulatory requirements of the Higher Education Act and other laws relating to its financial aid management, educational programs, financial strength, facilities, recruiting practices, representations made by the school and various other matters. Failure to comply with these requirements could result in the loss or limitation of the eligibility of one or more of the KHE schools to participate in Title IV programs; a requirement to pay fines or to repay Title IV program funds; a denial or refusal by the ED to consider a school’s application for renewal of its certification to participate in the Title IV programs or for approval to add a new campus or educational program; a requirement to submit a letter of credit, the imposition of civil or criminal penalties; or other sanctions. On December 17, 2015, Kaplan University received notice from the ED that it had been placed on provisional certification status until September 30, 2018. During the period of provisional certification, Kaplan University must obtain prior ED approval to open a new location, add an educational program, acquire another school or make any other significant change. Provisional certification status carries fewer due process protections than full certification. As a result, the ED may withdraw an institution’s provisional certification more easily than if it is fully certified. Provisional certification does not otherwise limit access to Title IV program funds by students attending the institution.</w:t>
      </w:r>
    </w:p>
    <w:p>
      <w:pPr>
        <w:spacing w:after="0" w:line="144"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No assurance can be given that the Kaplan schools and programs currently participating in Title IV programs will maintain their Title IV eligibility, accreditation and state authorization in the future or that the ED might not successfully assert that one or more of such schools or programs have previously failed to comply with Title IV requirements. The loss of Title IV eligibility by Kaplan University would have a material adverse effect on Kaplan’s operating results.</w:t>
      </w:r>
    </w:p>
    <w:p>
      <w:pPr>
        <w:spacing w:after="0" w:line="113" w:lineRule="exact"/>
        <w:rPr>
          <w:sz w:val="20"/>
          <w:szCs w:val="20"/>
          <w:color w:val="auto"/>
        </w:rPr>
      </w:pPr>
    </w:p>
    <w:p>
      <w:pPr>
        <w:ind w:left="260" w:right="18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6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KHE schools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or in other federal or state financial assistance programs. Certain KHE schools are the subject of ongoing compliance reviews and lawsuits related to their compliance with statutory and regulatory requirements and may be subject to future compliance reviews. Although substantially all of the assets of KHE on-ground schools were sold on September 3, 2015, Kaplan retained liability for pre-sale conduct of those schools.</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KHE schools also have been, and may in the future be, subject to complaints and lawsuits by present or former students or employees or other people related to compliance with statutory, common law and regulatory requirements that, if successful, could result in monetary liabilities or fines or other sanctions.</w:t>
      </w:r>
    </w:p>
    <w:p>
      <w:pPr>
        <w:spacing w:after="0" w:line="115" w:lineRule="exact"/>
        <w:rPr>
          <w:sz w:val="20"/>
          <w:szCs w:val="20"/>
          <w:color w:val="auto"/>
        </w:rPr>
      </w:pPr>
    </w:p>
    <w:p>
      <w:pPr>
        <w:ind w:left="260" w:right="100" w:hanging="252"/>
        <w:spacing w:after="0" w:line="228"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the Amount of Funds Available to Students, Including Under Title IV Programs, in KHE Schools, Changes in the Terms on Which Such Funds Are Made Available or Loss or Limitation of Eligibility to Receive Such Funds Could Have a Material Adverse Effect on Kaplan’s Business and Operations</w:t>
      </w:r>
    </w:p>
    <w:p>
      <w:pPr>
        <w:spacing w:after="0" w:line="67"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color w:val="auto"/>
        </w:rPr>
        <w:t>During the Company’s 2015 fiscal year, funds provided under the student financial aid programs created under Title IV accounted for approximately $628 million of the revenues of the schools in KHE. Any legislative, regulatory or</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746" w:right="279" w:bottom="1440" w:gutter="0" w:footer="0" w:header="0"/>
        </w:sectPr>
      </w:pPr>
    </w:p>
    <w:bookmarkStart w:id="20" w:name="page21"/>
    <w:bookmarkEnd w:id="20"/>
    <w:p>
      <w:pPr>
        <w:ind w:right="40"/>
        <w:spacing w:after="0" w:line="227" w:lineRule="auto"/>
        <w:rPr>
          <w:sz w:val="20"/>
          <w:szCs w:val="20"/>
          <w:color w:val="auto"/>
        </w:rPr>
      </w:pPr>
      <w:r>
        <w:rPr>
          <w:rFonts w:ascii="Arial" w:cs="Arial" w:eastAsia="Arial" w:hAnsi="Arial"/>
          <w:sz w:val="18"/>
          <w:szCs w:val="18"/>
          <w:color w:val="auto"/>
        </w:rPr>
        <w:t>other development that has the effect of materially reducing the amount of Title IV financial assistance or other funds available to the students of those schools would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1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Changes Could Have a Material Adverse Effect on Kaplan’s Business and Operations</w:t>
      </w:r>
    </w:p>
    <w:p>
      <w:pPr>
        <w:spacing w:after="0" w:line="9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implementation of new Title IV and other regulations required Kaplan to change its practices to comply with new requirements and has increased its administrative costs and overall risk. The changes to its practices or its inability to comply with the final regulations could have a material adverse effect on Kaplan’s business and results of operations. Moreover, the ED or other U.S. or international regulatory bodies could implement new regulations or amend existing regulations in a manner that could have a material adverse effect on Kaplan’s business and results of operations.</w:t>
      </w:r>
    </w:p>
    <w:p>
      <w:pPr>
        <w:spacing w:after="0" w:line="115" w:lineRule="exact"/>
        <w:rPr>
          <w:sz w:val="20"/>
          <w:szCs w:val="20"/>
          <w:color w:val="auto"/>
        </w:rPr>
      </w:pPr>
    </w:p>
    <w:p>
      <w:pPr>
        <w:ind w:left="260" w:right="74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Regulations Regarding Incentive Compensation Make It Difficult for Kaplan to Attract Students and Retain Qualified Personnel and Add Compliance Risk</w:t>
      </w:r>
    </w:p>
    <w:p>
      <w:pPr>
        <w:spacing w:after="0" w:line="6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On July 1, 2011, regulations went into effect that amended the incentive compensation rule by reducing the scope of permissible payments under the rule and expanding the scope of payments and employees subject to the rule. KHE modified some of its compensation practices as a result of the revisions to the incentive compensation rule. Due to a lack of clear guidance from the ED, KHE cannot assure that these modifications will in all cases be found to be in compliance with the ED’s interpretation of the regulations. Additionally, these changes to compensation arrangements make it difficult to attract students and to provide adequate incentives to promote superior job performance and retain qualified personnel. The Company believes that this change in Kaplan’s approach to recruiting has adversely impacted, and will continue to adversely impact, Kaplan’s enrollment rates, operating costs, business and results of operations. The Company cannot predict how the ED will interpret and enforce all aspects of the revised incentive compensation rule in the future, and any changes in this regard could have a material adverse effect on Kaplan’s business and results of operations.</w:t>
      </w:r>
    </w:p>
    <w:p>
      <w:pPr>
        <w:spacing w:after="0" w:line="12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Gainful Employment Could Have a Material Adverse Effect on Kaplan’s Business and Operations</w:t>
      </w:r>
    </w:p>
    <w:p>
      <w:pPr>
        <w:spacing w:after="0" w:line="99"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October 2014, the ED issued final regulations that tie an education program’s Title IV eligibility to whether the program leads to gainful employment. Among other requirements, each program subject to the GE regulations must meet one of two debt-to-earnings rates.</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Under the regulation, which was effective July 1, 2015, if a program’s graduates’ median debt payments exceed 8% of the graduates’ mean and median annual earnings and 20% of the graduates’ mean and median discretionary income, the program will be placed on a warning status (referred to by the ED as “zone” status). In addition, if a program’s graduates’ median debt payments exceed 12% of the graduates’ mean and median annual earnings and 30% of the graduates’ mean and median discretionary income, the program will fail the debt-to-earnings metric. If a program fails the test two times within three years, it will become ineligible for Federal aid Title IV participation for a period of three years. If a program fails the test or is in the zone for four consecutive years, it will become ineligible to participate in the Title IV programs for a period of three years. In addition, the regulation requires an institution to provide to current and prospective students prescribed warnings of the potential ineligibility of the program in any year for which the program could become ineligible based on a rate for the next year that is in the zone or failing.</w:t>
      </w:r>
    </w:p>
    <w:p>
      <w:pPr>
        <w:spacing w:after="0" w:line="14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ultimate outcome of the GE regulations and their impact on Kaplan</w:t>
      </w:r>
      <w:r>
        <w:rPr>
          <w:rFonts w:ascii="Arial" w:cs="Arial" w:eastAsia="Arial" w:hAnsi="Arial"/>
          <w:sz w:val="14"/>
          <w:szCs w:val="14"/>
          <w:b w:val="1"/>
          <w:bCs w:val="1"/>
          <w:color w:val="auto"/>
        </w:rPr>
        <w:t>’</w:t>
      </w:r>
      <w:r>
        <w:rPr>
          <w:rFonts w:ascii="Arial" w:cs="Arial" w:eastAsia="Arial" w:hAnsi="Arial"/>
          <w:sz w:val="18"/>
          <w:szCs w:val="18"/>
          <w:color w:val="auto"/>
        </w:rPr>
        <w:t>s operations are still uncertain. Although Kaplan is taking steps to address compliance with GE regulations, there can be no guarantee that these measures will be adequate to prevent a material number of programs from either failing the debt-to-earnings rates or being put on warning status. This has caused Kaplan to eliminate or limit enrollments in certain educational programs at some or all of its schools, which may result in the loss of student access to Title IV programs and could have a material adverse effect on KHE</w:t>
      </w:r>
      <w:r>
        <w:rPr>
          <w:rFonts w:ascii="Arial" w:cs="Arial" w:eastAsia="Arial" w:hAnsi="Arial"/>
          <w:sz w:val="14"/>
          <w:szCs w:val="14"/>
          <w:b w:val="1"/>
          <w:bCs w:val="1"/>
          <w:color w:val="auto"/>
        </w:rPr>
        <w:t>’</w:t>
      </w:r>
      <w:r>
        <w:rPr>
          <w:rFonts w:ascii="Arial" w:cs="Arial" w:eastAsia="Arial" w:hAnsi="Arial"/>
          <w:sz w:val="18"/>
          <w:szCs w:val="18"/>
          <w:color w:val="auto"/>
        </w:rPr>
        <w:t>s operating results. The ED has indicated that the first debt-to-earnings rates to be calculated under the new regulations are expected to be issued first in draft form in 2016 and then in final form later in 2016 or in early 2017.</w:t>
      </w:r>
    </w:p>
    <w:p>
      <w:pPr>
        <w:spacing w:after="0" w:line="13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regulations also contain requirements related to public disclosure of program information and outcomes, reporting data to the ED, including the debt-to-earnings rates, and certification requirements. On October 9, 2015, Kaplan University received a letter from the ED indicating that it had failed to report data on a significant number of programs that were listed as active in the ED’s system. The letter stated that until this issue is resolved, Kaplan University cannot start any new programs and failure to resolve the issue could result in material administrative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21" w:name="page22"/>
    <w:bookmarkEnd w:id="21"/>
    <w:p>
      <w:pPr>
        <w:ind w:right="500"/>
        <w:spacing w:after="0" w:line="235" w:lineRule="auto"/>
        <w:rPr>
          <w:sz w:val="20"/>
          <w:szCs w:val="20"/>
          <w:color w:val="auto"/>
        </w:rPr>
      </w:pPr>
      <w:r>
        <w:rPr>
          <w:rFonts w:ascii="Arial" w:cs="Arial" w:eastAsia="Arial" w:hAnsi="Arial"/>
          <w:sz w:val="18"/>
          <w:szCs w:val="18"/>
          <w:color w:val="auto"/>
        </w:rPr>
        <w:t>actions. Kaplan University has corrected the issue, but no assurances can be made that the ED will accept those corrections, will not find additional issues, or will not take further action against Kaplan University.</w:t>
      </w:r>
    </w:p>
    <w:p>
      <w:pPr>
        <w:spacing w:after="0" w:line="113" w:lineRule="exact"/>
        <w:rPr>
          <w:sz w:val="20"/>
          <w:szCs w:val="20"/>
          <w:color w:val="auto"/>
        </w:rPr>
      </w:pPr>
    </w:p>
    <w:p>
      <w:pPr>
        <w:ind w:left="260" w:right="18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Congressional Examination of For-Profit Education Could Lead to Legislation or Other Governmental Action That May Materially and Adversely Affect Kaplan’s Business and Operations</w:t>
      </w:r>
    </w:p>
    <w:p>
      <w:pPr>
        <w:spacing w:after="0" w:line="6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There has been increased attention by Congress on the role that for-profit educational institutions 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 The implications of the HELP Committee review to the operation of KHE’s institutions remains unknown.</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Other committees of Congress have also held hearings into, among other things, the standards and procedures of accrediting agencies, credit hours and program length and the portion of U.S. Federal student financial aid going to for-profit institutions. Several legislators have requested the U.S. Government Accountability Office to review and make recommendations regarding, 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This increased activity, and other current and future activity, may result in legislation, further rulemaking and other governmental actions affecting participation in Title IV programs or the amount of student financial assistance for which Kaplan’s students are eligible. In addition, concerns generated by congressional or other activity, or negative media reports, may adversely affect enrollment in for-profit educational institutions.</w:t>
      </w:r>
    </w:p>
    <w:p>
      <w:pPr>
        <w:spacing w:after="0" w:line="136"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1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Kaplan Commitment Is Expected to Continue to Impact Operating Results</w:t>
      </w:r>
    </w:p>
    <w:p>
      <w:pPr>
        <w:spacing w:after="0" w:line="9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the fourth quarter of 2010, KHE phased in a program called the Kaplan Commitment. Under this program, new undergraduate students of Kaplan University enroll in classes for several weeks and assess whether their educational experience meets their needs and expectations before they incur any significant financial obligation. Students who choose to withdraw from the program during the risk-free period do not have to pay for the coursework. The Kaplan Commitment program and related initiatives have negatively impacted, and could continue to negatively impact, the future operations of KHE, including student enrollments and retention, tuition revenues, operating income and cash flow.</w:t>
      </w:r>
    </w:p>
    <w:p>
      <w:pPr>
        <w:spacing w:after="0" w:line="11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Student Loan Defaults Could Result in Loss of Eligibility to Participate in Title IV Programs</w:t>
      </w:r>
    </w:p>
    <w:p>
      <w:pPr>
        <w:spacing w:after="0" w:line="9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ED calculates a cohort default rate for each of KHE’s OPEID numbers. The schools in an OPEID number whose cohort default rate exceeds 40% for any single year lose their eligibility to participate in the Direct Loan programs for at least two fiscal years, effective 30 days after notification from the ED. The schools in an OPEID number whose cohort default rate equals or exceeds 30% for three consecutive years lose their Title IV eligibility to participate in the Direct Loan and U.S. Federal Pell Grant programs effective 30 days after notification from the ED and for at least two fiscal years. The schools in an OPEID number whose cohort default rate equals or exceeds 30% in two of the three most recent fiscal years for which rates have been issued by the ED may be placed on provisional certification by the ED.</w:t>
      </w:r>
    </w:p>
    <w:p>
      <w:pPr>
        <w:spacing w:after="0" w:line="13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loss of Title IV eligibility by Kaplan University due to cohort default rates that exceed specified rates would have a material adverse effect on Kaplan’s operating results.</w:t>
      </w:r>
    </w:p>
    <w:p>
      <w:pPr>
        <w:spacing w:after="0" w:line="11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Title IV Revenues in Excess of U.S. Federally Set Percentage Could Lead to Loss of Eligibility to Participate in Title IV Programs</w:t>
      </w:r>
    </w:p>
    <w:p>
      <w:pPr>
        <w:spacing w:after="0" w:line="9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Under regulations referred to as the 90/10 rule, an institution could lose its eligibility to participate in Title IV programs if it derives more than 90% of its receipts from Title IV programs, as calculated on a cash basis in accordance with the Higher Education Act and applicable ED regulations, in each of two consecutive fiscal years. Any institution with Title IV receipts exceeding 90% for a single fiscal year would be placed on provisional certification and may be subject to other enforcement measures. The enactment of the U.S. Federal Ensuring Continued Access to Student Loans Act of 2008 increased student loan limits and the maximum amount of Pell Grants, which resulted in an increase in the percentage of KHE’s receipts from Title IV programs. These increases,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2" w:name="page23"/>
    <w:bookmarkEnd w:id="22"/>
    <w:p>
      <w:pPr>
        <w:ind w:right="800"/>
        <w:spacing w:after="0" w:line="235" w:lineRule="auto"/>
        <w:rPr>
          <w:sz w:val="20"/>
          <w:szCs w:val="20"/>
          <w:color w:val="auto"/>
        </w:rPr>
      </w:pPr>
      <w:r>
        <w:rPr>
          <w:rFonts w:ascii="Arial" w:cs="Arial" w:eastAsia="Arial" w:hAnsi="Arial"/>
          <w:sz w:val="18"/>
          <w:szCs w:val="18"/>
          <w:color w:val="auto"/>
        </w:rPr>
        <w:t>and any future increases or changes in the 90/10 calculation formula or any ED interpretation of what revenue may be included in the calculation, make it more difficult for institutions to comply with the 90/10 rule.</w:t>
      </w:r>
    </w:p>
    <w:p>
      <w:pPr>
        <w:spacing w:after="0" w:line="135" w:lineRule="exact"/>
        <w:rPr>
          <w:sz w:val="20"/>
          <w:szCs w:val="20"/>
          <w:color w:val="auto"/>
        </w:rPr>
      </w:pPr>
    </w:p>
    <w:p>
      <w:pPr>
        <w:jc w:val="both"/>
        <w:ind w:right="240"/>
        <w:spacing w:after="0" w:line="227" w:lineRule="auto"/>
        <w:rPr>
          <w:sz w:val="20"/>
          <w:szCs w:val="20"/>
          <w:color w:val="auto"/>
        </w:rPr>
      </w:pPr>
      <w:r>
        <w:rPr>
          <w:rFonts w:ascii="Arial" w:cs="Arial" w:eastAsia="Arial" w:hAnsi="Arial"/>
          <w:sz w:val="18"/>
          <w:szCs w:val="18"/>
          <w:color w:val="auto"/>
        </w:rPr>
        <w:t>Kaplan has taken steps to ensure that revenue from programs acquired by Kaplan University is eligible to be counted in that campus</w:t>
      </w:r>
      <w:r>
        <w:rPr>
          <w:rFonts w:ascii="Arial" w:cs="Arial" w:eastAsia="Arial" w:hAnsi="Arial"/>
          <w:sz w:val="14"/>
          <w:szCs w:val="14"/>
          <w:b w:val="1"/>
          <w:bCs w:val="1"/>
          <w:color w:val="auto"/>
        </w:rPr>
        <w:t>’</w:t>
      </w:r>
      <w:r>
        <w:rPr>
          <w:rFonts w:ascii="Arial" w:cs="Arial" w:eastAsia="Arial" w:hAnsi="Arial"/>
          <w:sz w:val="18"/>
          <w:szCs w:val="18"/>
          <w:color w:val="auto"/>
        </w:rPr>
        <w:t>s 90/10 calculation. However, there can be no guarantee that the ED will not challenge the inclusion of revenue from any acquired program in KHE’s 90/10 calculations or will not issue an interpretation of the 90/10 rule that would exclude such revenue from the calculation. There can be no guarantee that these measures will be adequate to prevent the 90/10 ratio at Kaplan University from exceeding 90% in the future.</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certain legislators have proposed amendments to the Higher Education Act that would lower the threshold percentage in the 90/10 rule to 85%, treat non-Title IV federal funds as Title IV funds in the 90/10 calculation, and make other refinements to the calculation. If these proposals or similar laws or regulations are adopted, they would make it more difficult for KHE institutions to comply with the 90/10 rule.</w:t>
      </w:r>
    </w:p>
    <w:p>
      <w:pPr>
        <w:spacing w:after="0" w:line="137"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The loss of Title IV eligibility by Kaplan University due to a violation of the 90/10 rule would have a material adverse effect on Kaplan’s operating results.</w:t>
      </w:r>
    </w:p>
    <w:p>
      <w:pPr>
        <w:spacing w:after="0" w:line="11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Institutional Accreditation Could Lead to Loss of Ability to Participate in Title IV Programs</w:t>
      </w:r>
    </w:p>
    <w:p>
      <w:pPr>
        <w:spacing w:after="0" w:line="9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University’s online university and all of its ground campuses are institutionally accredited by a regional accreditor recognized by the ED. Accreditation by an accrediting agency recognized by the ED is required for an institution to become and remain eligible to participate in Title IV programs. Kaplan University’s institutional accreditor conducts program reviews from time to time for a variety of reasons. Failure to resolve any concerns that may arise during such reviews could result in a loss of accreditation at the school. The loss of accreditation would, among other things, render the affected school and programs ineligible to participate in Title IV programs and would have a material adverse effect on Kaplan</w:t>
      </w:r>
      <w:r>
        <w:rPr>
          <w:rFonts w:ascii="Arial" w:cs="Arial" w:eastAsia="Arial" w:hAnsi="Arial"/>
          <w:sz w:val="14"/>
          <w:szCs w:val="14"/>
          <w:b w:val="1"/>
          <w:bCs w:val="1"/>
          <w:color w:val="auto"/>
        </w:rPr>
        <w:t>’</w:t>
      </w:r>
      <w:r>
        <w:rPr>
          <w:rFonts w:ascii="Arial" w:cs="Arial" w:eastAsia="Arial" w:hAnsi="Arial"/>
          <w:sz w:val="18"/>
          <w:szCs w:val="18"/>
          <w:color w:val="auto"/>
        </w:rPr>
        <w:t>s business and operations.</w:t>
      </w:r>
    </w:p>
    <w:p>
      <w:pPr>
        <w:spacing w:after="0" w:line="115" w:lineRule="exact"/>
        <w:rPr>
          <w:sz w:val="20"/>
          <w:szCs w:val="20"/>
          <w:color w:val="auto"/>
        </w:rPr>
      </w:pPr>
    </w:p>
    <w:p>
      <w:pPr>
        <w:ind w:left="260" w:right="14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Programmatic Accreditation Could Lead to Loss of Ability to Provide Certain Education Programs and Failure to Obtain Programmatic Accreditation May Lead to Declines in Enrollments in Unaccredited Programs</w:t>
      </w:r>
    </w:p>
    <w:p>
      <w:pPr>
        <w:spacing w:after="0" w:line="6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w:t>
      </w:r>
      <w:r>
        <w:rPr>
          <w:rFonts w:ascii="Arial" w:cs="Arial" w:eastAsia="Arial" w:hAnsi="Arial"/>
          <w:sz w:val="18"/>
          <w:szCs w:val="18"/>
          <w:color w:val="1F497D"/>
        </w:rPr>
        <w:t>-</w:t>
      </w:r>
      <w:r>
        <w:rPr>
          <w:rFonts w:ascii="Arial" w:cs="Arial" w:eastAsia="Arial" w:hAnsi="Arial"/>
          <w:sz w:val="18"/>
          <w:szCs w:val="18"/>
          <w:color w:val="auto"/>
        </w:rPr>
        <w:t>specific and program</w:t>
      </w:r>
      <w:r>
        <w:rPr>
          <w:rFonts w:ascii="Arial" w:cs="Arial" w:eastAsia="Arial" w:hAnsi="Arial"/>
          <w:sz w:val="18"/>
          <w:szCs w:val="18"/>
          <w:color w:val="1F497D"/>
        </w:rPr>
        <w:t>-</w:t>
      </w:r>
      <w:r>
        <w:rPr>
          <w:rFonts w:ascii="Arial" w:cs="Arial" w:eastAsia="Arial" w:hAnsi="Arial"/>
          <w:sz w:val="18"/>
          <w:szCs w:val="18"/>
          <w:color w:val="auto"/>
        </w:rPr>
        <w:t>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115" w:lineRule="exact"/>
        <w:rPr>
          <w:sz w:val="20"/>
          <w:szCs w:val="20"/>
          <w:color w:val="auto"/>
        </w:rPr>
      </w:pPr>
    </w:p>
    <w:p>
      <w:pPr>
        <w:ind w:left="260" w:right="32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State Authorizations Could Cause Loss of Ability to Operate and to Participate in Title IV Programs in Some States</w:t>
      </w:r>
    </w:p>
    <w:p>
      <w:pPr>
        <w:spacing w:after="0" w:line="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Kaplan’s institutions and programs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university from offering postsecondary education and render students ineligible to participate in Title IV programs. Loss of authorization at campus locations, or, in states that require it, for Kaplan University’s online programs, would have a material adverse effect on KHE’s business and operations.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Some states have sought to assert jurisdiction over online education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not be able to recruit or enroll students in that state and may have to cease providing services and recruiting in that state.</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ED regulations that went into effect on July 1, 2011, expanded the requirements for an institution to be considered legally authorized in the state in which it is physically located for Title IV purposes. In some cases, the regulations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requirements, the institution could be deemed to lack the state authorization necessary to participate in the Title IV programs, which would have a material adverse effect on Kaplan’s business and operations.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3" w:name="page24"/>
    <w:bookmarkEnd w:id="23"/>
    <w:p>
      <w:pPr>
        <w:ind w:right="140"/>
        <w:spacing w:after="0" w:line="223" w:lineRule="auto"/>
        <w:rPr>
          <w:sz w:val="20"/>
          <w:szCs w:val="20"/>
          <w:color w:val="auto"/>
        </w:rPr>
      </w:pPr>
      <w:r>
        <w:rPr>
          <w:rFonts w:ascii="Arial" w:cs="Arial" w:eastAsia="Arial" w:hAnsi="Arial"/>
          <w:sz w:val="18"/>
          <w:szCs w:val="18"/>
          <w:color w:val="auto"/>
        </w:rPr>
        <w:t>In addition, the ED may resume the negotiated rulemaking process in the future to publish new rules to require institutions offering postsecondary education to students through distance education in a state in which the institution is not physically located or in which it is otherwise subject to state jurisdiction, as determined by the state, to meet any state requirements for it to legally offer postsecondary distance education in that state. Kaplan believes that this will ultimately result in new distance-education state authorization requirements that may require some distance-education programs to obtain additional or revised state authorizations. If KHE is unable to obtain the required approvals, its students in the affected programs may be unable to receive Title IV funds, which could have a material adverse effect on Kaplan’s business and operations.</w:t>
      </w:r>
    </w:p>
    <w:p>
      <w:pPr>
        <w:spacing w:after="0" w:line="117" w:lineRule="exact"/>
        <w:rPr>
          <w:sz w:val="20"/>
          <w:szCs w:val="20"/>
          <w:color w:val="auto"/>
        </w:rPr>
      </w:pPr>
    </w:p>
    <w:p>
      <w:pPr>
        <w:ind w:left="260" w:right="3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Correctly Calculate or Timely Return Title IV Funds for Students Who Withdraw Prior to Completing Programs Could Result in a Requirement to Post a Letter of Credit or Other Sanctions</w:t>
      </w:r>
    </w:p>
    <w:p>
      <w:pPr>
        <w:spacing w:after="0" w:line="6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OIG audit, could result in a requirement that the school post a letter of credit in an amount equal to 25% of its prior-year returns of Title IV program funds. If unearned funds are not properly calculated and returned in a timely manner, an institution may be subject to monetary liabilities, fines or other sanctions by the ED that could have a material adverse effect on Kaplan’s results of operations.</w:t>
      </w:r>
    </w:p>
    <w:p>
      <w:pPr>
        <w:spacing w:after="0" w:line="117" w:lineRule="exact"/>
        <w:rPr>
          <w:sz w:val="20"/>
          <w:szCs w:val="20"/>
          <w:color w:val="auto"/>
        </w:rPr>
      </w:pPr>
    </w:p>
    <w:p>
      <w:pPr>
        <w:ind w:left="260" w:right="50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Financial Responsibility Could Result in a Requirement to Submit Letters of Credit to the ED, Loss of Eligibility to Participate in Title IV Programs or Other Sanctions</w:t>
      </w:r>
    </w:p>
    <w:p>
      <w:pPr>
        <w:spacing w:after="0" w:line="6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An institution participating in the Title IV programs must comply with certain measures of financial responsibility under the Higher Education Act and under ED regulations. Among other things, the applicable regulations require an institution to achieve a composite score of at least 1.5, as calculated under ED regulations, based on data in annual financial statements submitted to the ED. If an institution fails to achieve a composite score of 1.5 or fails to comply with other financial responsibility standards, the ED may place conditions on the institution’s participation in the Title IV programs, impose monitoring and reporting requirements, transfer the institution from the advance system of Title IV payments to a heightened cash monitoring or reimbursement system of payment, and may require the institution to submit to the ED a letter of credit in an amount equal to at least 10% of the institution’s annual Title IV program funds received by the institution during its most recently completed fiscal year, although the ED could require a letter of credit based on a higher percentage than 50% of the total Title IV program funds. The ED historically has measured the financial responsibility of the KHE institutions based on the financial results of KHE. If KHE or the institutions fail to meet the composite score standard or any of the other financial responsibility standards, they may be required to post a letter of credit in favor of the ED and possibly may be subject to other sanctions, including limitation or termination of their participation in Title IV programs. A requirement to post a letter of credit or the imposition of any one or more other sanctions by the ED could have a material adverse effect on Kaplan’s results of operations.</w:t>
      </w:r>
    </w:p>
    <w:p>
      <w:pPr>
        <w:spacing w:after="0" w:line="120" w:lineRule="exact"/>
        <w:rPr>
          <w:sz w:val="20"/>
          <w:szCs w:val="20"/>
          <w:color w:val="auto"/>
        </w:rPr>
      </w:pPr>
    </w:p>
    <w:p>
      <w:pPr>
        <w:ind w:left="260" w:right="38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Administrative Capability Could Result in Loss of Eligibility to Participate in Title IV Programs or Other Sanctions</w:t>
      </w:r>
    </w:p>
    <w:p>
      <w:pPr>
        <w:spacing w:after="0" w:line="6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ED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of the eligibility of one or more of the schools in KHE to participate in the Title IV programs, a requirement to pay fines or to repay Title IV program funds, a denial or refusal by the ED to consider a school’s application for renewal of its certification to participate in the Title IV programs, civil or criminal penalties or other sanctions. Any one or more of these actions by the ED could have a material adverse effect on Kaplan’s results of operations.</w:t>
      </w:r>
    </w:p>
    <w:p>
      <w:pPr>
        <w:spacing w:after="0" w:line="114" w:lineRule="exact"/>
        <w:rPr>
          <w:sz w:val="20"/>
          <w:szCs w:val="20"/>
          <w:color w:val="auto"/>
        </w:rPr>
      </w:pPr>
    </w:p>
    <w:p>
      <w:pPr>
        <w:ind w:left="260" w:right="4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Obtain Regulatory Approval of Transactions Involving a Change of Control May Result in Loss of Ability to Operate Schools or to Participate in U.S. Federal Student Financial Aid Programs</w:t>
      </w:r>
    </w:p>
    <w:p>
      <w:pPr>
        <w:spacing w:after="0" w:line="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If one or more of KHE’s schools experience a change of control under the standards of applicable state agencies, accrediting agencies or the ED, the schools governed by such agencies must seek the approval of the relevant agencies. An institution that undergoes a change of control, which may include a change of control of the institution</w:t>
      </w:r>
      <w:r>
        <w:rPr>
          <w:rFonts w:ascii="Arial" w:cs="Arial" w:eastAsia="Arial" w:hAnsi="Arial"/>
          <w:sz w:val="14"/>
          <w:szCs w:val="14"/>
          <w:b w:val="1"/>
          <w:bCs w:val="1"/>
          <w:color w:val="auto"/>
        </w:rPr>
        <w:t>’</w:t>
      </w:r>
      <w:r>
        <w:rPr>
          <w:rFonts w:ascii="Arial" w:cs="Arial" w:eastAsia="Arial" w:hAnsi="Arial"/>
          <w:sz w:val="18"/>
          <w:szCs w:val="18"/>
          <w:color w:val="auto"/>
        </w:rPr>
        <w:t>s parent corporation or other owners, must be reviewed and recertified by the ED and obtain approvals from certain state agencies and accrediting bodies, in some cases prior to the change of control. Failure of any of KHE’s schools to reestablish its state authorization, accreditation or ED certification following a change of control as defined by the applicable agency could result in a suspension of operating authority or suspension or loss of U.S.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46"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Federal student financial aid funding, which could have a material adverse effect on KHE’s student population and revenue.</w:t>
      </w:r>
    </w:p>
    <w:p>
      <w:pPr>
        <w:spacing w:after="0" w:line="122" w:lineRule="exact"/>
        <w:rPr>
          <w:sz w:val="20"/>
          <w:szCs w:val="20"/>
          <w:color w:val="auto"/>
        </w:rPr>
      </w:pPr>
    </w:p>
    <w:p>
      <w:pPr>
        <w:ind w:left="260" w:right="4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Actions of Other Postsecondary Education Institutions and Related Media Coverage May Negatively Influence the Regulatory Environment and Kaplan’s Reputation</w:t>
      </w:r>
    </w:p>
    <w:p>
      <w:pPr>
        <w:spacing w:after="0" w:line="6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HELP Committee hearings and various state Attorneys General’s actions, along with other recent investigations and lawsuits, have included allegations against various for-profit schools of, among other things, deceptive trade practices, false claims against the U.S. and noncompliance with state and ED regulations. These allegations have attracted significant negative media coverage. Allegations against the overall student lending and postsecondary education sectors may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117" w:lineRule="exact"/>
        <w:rPr>
          <w:sz w:val="20"/>
          <w:szCs w:val="20"/>
          <w:color w:val="auto"/>
        </w:rPr>
      </w:pPr>
    </w:p>
    <w:p>
      <w:pPr>
        <w:ind w:left="260" w:right="12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15" w:lineRule="exact"/>
        <w:rPr>
          <w:sz w:val="20"/>
          <w:szCs w:val="20"/>
          <w:color w:val="auto"/>
        </w:rPr>
      </w:pPr>
    </w:p>
    <w:p>
      <w:pPr>
        <w:ind w:left="260" w:right="68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 Offerings</w:t>
      </w:r>
    </w:p>
    <w:p>
      <w:pPr>
        <w:spacing w:after="0" w:line="6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 substantial portion of PACE and Kaplan International’s revenue comes from preparing individuals for licensing or technical proficiency examinations in various fields. Any significant relaxation or elimination of licensing or technical proficiency requirements in those fields served by PACE and Kaplan International’s businesses could negatively impact Kaplan’s operating results.</w:t>
      </w:r>
    </w:p>
    <w:p>
      <w:pPr>
        <w:spacing w:after="0" w:line="11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9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Colombia, France, Germany, India, Ireland, Japan, Mexico, New Zealand, Nigeria, Singapore, the U.K. and Venezuela. Kaplan also conducts business in the Middle East.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Could Negatively Affect International Student Enrollments</w:t>
      </w:r>
    </w:p>
    <w:p>
      <w:pPr>
        <w:spacing w:after="0" w:line="99"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in English-speaking countries, principally the U.S., the U.K., Australia and Singapore. Kaplan International’s ability to enroll students in these programs is directly dependent on its ability to comply with complex regulatory environments. A recent example of this is the immigration regulatory changes in the U.K., which impose recruitment quotas and stringent progress criteria as requirements for the maintenance of certain overseas student recruitment licenses. The UKVI in the U.K. regularly reviews its Tier 4 sponsor guidance. Changes to this guidance could materially negatively impact the Kaplan businesses that hold a Tier 4 sponsor license. Any significant changes to the regulatory environment or a natural disaster or pandemic in either the students’ countries of origin or the countries to which they desire to travel or study could negatively affect Kaplan’s ability to attract and retain such students, which could negatively impact Kaplan’s operating results.</w:t>
      </w:r>
    </w:p>
    <w:p>
      <w:pPr>
        <w:spacing w:after="0" w:line="11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Regulations Applicable to International Operations Could Negatively Impact Kaplan’s Business</w:t>
      </w:r>
    </w:p>
    <w:p>
      <w:pPr>
        <w:spacing w:after="0" w:line="9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such as the U.S. Foreign Corrupt Practices Act, as well as the local regulatory schemes of the countries in which Kaplan operates.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46" w:right="259" w:bottom="1440" w:gutter="0" w:footer="0" w:header="0"/>
        </w:sectPr>
      </w:pPr>
    </w:p>
    <w:bookmarkStart w:id="25" w:name="page26"/>
    <w:bookmarkEnd w:id="25"/>
    <w:p>
      <w:pPr>
        <w:ind w:left="260" w:right="4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May Adversely Effect the Profitability of Television Broadcasting</w:t>
      </w:r>
    </w:p>
    <w:p>
      <w:pPr>
        <w:spacing w:after="0" w:line="6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will suffer.</w:t>
      </w:r>
    </w:p>
    <w:p>
      <w:pPr>
        <w:spacing w:after="0" w:line="115" w:lineRule="exact"/>
        <w:rPr>
          <w:sz w:val="20"/>
          <w:szCs w:val="20"/>
          <w:color w:val="auto"/>
        </w:rPr>
      </w:pPr>
    </w:p>
    <w:p>
      <w:pPr>
        <w:ind w:left="260" w:right="54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Could Adversely Affect the Company</w:t>
      </w:r>
      <w:r>
        <w:rPr>
          <w:rFonts w:ascii="Arial" w:cs="Arial" w:eastAsia="Arial" w:hAnsi="Arial"/>
          <w:sz w:val="14"/>
          <w:szCs w:val="14"/>
          <w:b w:val="1"/>
          <w:bCs w:val="1"/>
          <w:color w:val="auto"/>
        </w:rPr>
        <w:t>’</w:t>
      </w:r>
      <w:r>
        <w:rPr>
          <w:rFonts w:ascii="Arial" w:cs="Arial" w:eastAsia="Arial" w:hAnsi="Arial"/>
          <w:sz w:val="18"/>
          <w:szCs w:val="18"/>
          <w:b w:val="1"/>
          <w:bCs w:val="1"/>
          <w:color w:val="auto"/>
        </w:rPr>
        <w:t>s Operating Results</w:t>
      </w:r>
    </w:p>
    <w:p>
      <w:pPr>
        <w:spacing w:after="0" w:line="8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 The development and deployment of new technologies have the potential to negatively and significantly affect the Company’s media business in ways that cannot now be reliably predicted and that may have a material adverse effect on the Company’s operating results.</w:t>
      </w:r>
    </w:p>
    <w:p>
      <w:pPr>
        <w:spacing w:after="0" w:line="115" w:lineRule="exact"/>
        <w:rPr>
          <w:sz w:val="20"/>
          <w:szCs w:val="20"/>
          <w:color w:val="auto"/>
        </w:rPr>
      </w:pPr>
    </w:p>
    <w:p>
      <w:pPr>
        <w:ind w:left="260" w:right="400" w:hanging="252"/>
        <w:spacing w:after="0" w:line="256" w:lineRule="auto"/>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Nature and Extent of Government Regulations Could Adversely Affect the Company</w:t>
      </w:r>
      <w:r>
        <w:rPr>
          <w:rFonts w:ascii="Arial" w:cs="Arial" w:eastAsia="Arial" w:hAnsi="Arial"/>
          <w:sz w:val="14"/>
          <w:szCs w:val="14"/>
          <w:b w:val="1"/>
          <w:bCs w:val="1"/>
          <w:color w:val="auto"/>
        </w:rPr>
        <w:t>’</w:t>
      </w:r>
      <w:r>
        <w:rPr>
          <w:rFonts w:ascii="Arial" w:cs="Arial" w:eastAsia="Arial" w:hAnsi="Arial"/>
          <w:sz w:val="18"/>
          <w:szCs w:val="18"/>
          <w:b w:val="1"/>
          <w:bCs w:val="1"/>
          <w:color w:val="auto"/>
        </w:rPr>
        <w:t>s Television Broadcasting Business and Other Businesses</w:t>
      </w:r>
    </w:p>
    <w:p>
      <w:pPr>
        <w:spacing w:after="0" w:line="5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11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9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 Other parts of the Company’s business could also be subject to such claims. Addressing intellectual product claims is a time-consuming and expensive endeavor, regardless of the merits of the claims. In order to resolve such a claim, the Company could determine the need to change its method of doing business, enter into a licensing agreement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Privacy Laws or Regulations Could Have an Adverse Effect on the Company’s Business</w:t>
      </w:r>
    </w:p>
    <w:p>
      <w:pPr>
        <w:spacing w:after="0" w:line="9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for example, use of consumer data for marketing or advertising. Claims of failure to comply with the Company’s privacy policies or applicable laws or regulations could form the basis of governmental or private-party actions against the Company. Such claims and actions could cause damage to the Company’s reputation and could have an adverse effect on the Company’s business.</w:t>
      </w:r>
    </w:p>
    <w:p>
      <w:pPr>
        <w:spacing w:after="0" w:line="115" w:lineRule="exact"/>
        <w:rPr>
          <w:sz w:val="20"/>
          <w:szCs w:val="20"/>
          <w:color w:val="auto"/>
        </w:rPr>
      </w:pPr>
    </w:p>
    <w:p>
      <w:pPr>
        <w:ind w:left="260" w:right="24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Extensive Regulation of the Health Care Industry Could Adversely Affect the Company’s Health Care Businesses and Results of Operations</w:t>
      </w:r>
    </w:p>
    <w:p>
      <w:pPr>
        <w:spacing w:after="0" w:line="6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may not be predicted. Reimbursement for services by third-party payers, including Medicare, Medicaid and private health insurance providers, continues to decline, while authorization and compliance requirements continue to add to the cost of providing those services. Managed-care organizations, hospitals, physician practices and other third-party payers continue to consolidate in response to the evolving regulatory environment, thereby enhancing their ability to influence the delivery of health care services and decreasing the number of organizations serving patients. This consolidation could adversely impact Celtic’s and Residential’s businesses if they are unable to maintain their ability to participate in established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4" w:right="239" w:bottom="1440" w:gutter="0" w:footer="0" w:header="0"/>
        </w:sectPr>
      </w:pPr>
    </w:p>
    <w:bookmarkStart w:id="26" w:name="page27"/>
    <w:bookmarkEnd w:id="26"/>
    <w:p>
      <w:pPr>
        <w:ind w:right="80"/>
        <w:spacing w:after="0" w:line="235" w:lineRule="auto"/>
        <w:rPr>
          <w:sz w:val="20"/>
          <w:szCs w:val="20"/>
          <w:color w:val="auto"/>
        </w:rPr>
      </w:pPr>
      <w:r>
        <w:rPr>
          <w:rFonts w:ascii="Arial" w:cs="Arial" w:eastAsia="Arial" w:hAnsi="Arial"/>
          <w:sz w:val="18"/>
          <w:szCs w:val="18"/>
          <w:color w:val="auto"/>
        </w:rPr>
        <w:t>networks. Changes in existing laws or regulations, in their interpretation and enforcement, and the enactment of new laws or regulations could have a material adverse effect on the Company’s health care businesses’ operations.</w:t>
      </w:r>
    </w:p>
    <w:p>
      <w:pPr>
        <w:spacing w:after="0" w:line="113" w:lineRule="exact"/>
        <w:rPr>
          <w:sz w:val="20"/>
          <w:szCs w:val="20"/>
          <w:color w:val="auto"/>
        </w:rPr>
      </w:pPr>
    </w:p>
    <w:p>
      <w:pPr>
        <w:ind w:left="260" w:right="2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System Disruptions and Security Threats to the Company’s Technology Infrastructure Could Have a Material Adverse Effect on Its Businesses</w:t>
      </w:r>
    </w:p>
    <w:p>
      <w:pPr>
        <w:spacing w:after="0" w:line="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Kaplan’s reputation and ability to attract and retain students is highly dependent on the performance and reliability of its information technology platforms with respect to its online and campus-based education offerings. Kaplan’s delivery of these programs could be negatively affected due to events beyond its control, including natural disasters and network and telecommunications failures. Any such computer system error or failure could result in a significant outage that materially disrupts Kaplan’s online and on-ground operations and could have a material adverse effect on Kaplan’s business.</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Company’s computer networks may also be vulnerable to unauthorized access, computer hackers, computer viruses and other security threats. The Company has expended, and will continue to expend, significant resources to protect against the threat of security breaches, including unauthorized access to student and patient data and personally identifiable information, but its systems may still be vulnerable to these threats. A user who circumvents security measures could misappropriate proprietary information or cause disruptions or malfunctions in operations. Any of these events could have a material adverse effect on the Company’s business and results of operations.</w:t>
      </w:r>
    </w:p>
    <w:p>
      <w:pPr>
        <w:spacing w:after="0" w:line="115"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Successfully Assimilate Acquired Businesses Could Negatively Affect the Company’s Business</w:t>
      </w:r>
    </w:p>
    <w:p>
      <w:pPr>
        <w:spacing w:after="0" w:line="9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Kaplan completed one acquisition in 2015 and two in early 2016 and expects to continue to acquire businesses from time to time. In addition, during 2015, the Company completed the acquisition of Group Dekko.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9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As a result of continued declines in student enrollments at KHE and the challenging industry operating environment, Kaplan completed an interim impairment review of KHE’s remaining long-lived assets in the third quarter of 2015 that resulted in a $ 248.6 million goodwill impairment charge. This goodwill impairment charge followed long-lived asset impairment charges of $6.9 million and $13.6 million that were recorded in the second quarter of 2015 and fourth quarter of 2014, respectively, in connection with the KHE Campuses business. The Company’s businesses each face uncertainty in their business environment due to a variety of factors. The Company may experience unforeseen circumstances that adversely affect the value of the Company’s goodwill or intangible assets and trigger an evaluation of the amount of the recorded goodwill and intangible assets. Future write-offs of goodwill or other intangible assets as a result of an impairment in the business could adversely affect the Company’s results of operations and financial condition.</w:t>
      </w:r>
    </w:p>
    <w:p>
      <w:pPr>
        <w:spacing w:after="0" w:line="120"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Spin-Off of Cable ONE Could Result in Significant Tax Liability to the Company and Our Stockholders</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connection with our spin-off of Cable ONE, we received a written opinion of counsel to the effect that the distribution of Cable ONE common stock in the spin-off (Distribution) should qualify for non-recognition of gain and loss under Section 355 of the Internal Revenue Code.</w:t>
      </w:r>
    </w:p>
    <w:p>
      <w:pPr>
        <w:spacing w:after="0" w:line="12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opinion assumed that the spin-off was completed according to the terms of the transaction documents for the spin-off and relied on the facts as stated in those documents and a number of other documents. The opinion cannot be relied on if any of these assumptions or statements is incorrect, incomplete or inaccurate in any material respect. The opinion of counsel is not binding on the Internal Revenue Service or the courts, and there can be no assurance that the Internal Revenue Service or a court will not take a contrary position.</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If the Distribution were determined not to qualify for non-recognition of gain and loss, our stockholders could be subject to tax. In this case, each U.S. stockholder who received Cable ONE common stock in the Distribution would generally be treated as receiving a distribution in an amount equal to the fair market value of the Cable ONE</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746" w:right="279" w:bottom="1440" w:gutter="0" w:footer="0" w:header="0"/>
        </w:sectPr>
      </w:pPr>
    </w:p>
    <w:bookmarkStart w:id="27" w:name="page28"/>
    <w:bookmarkEnd w:id="27"/>
    <w:p>
      <w:pPr>
        <w:spacing w:after="0" w:line="225" w:lineRule="auto"/>
        <w:rPr>
          <w:sz w:val="20"/>
          <w:szCs w:val="20"/>
          <w:color w:val="auto"/>
        </w:rPr>
      </w:pPr>
      <w:r>
        <w:rPr>
          <w:rFonts w:ascii="Arial" w:cs="Arial" w:eastAsia="Arial" w:hAnsi="Arial"/>
          <w:sz w:val="18"/>
          <w:szCs w:val="18"/>
          <w:color w:val="auto"/>
        </w:rPr>
        <w:t>common stock received in the Distribution, which would generally result in (1) a taxable dividend to the holder to the extent of the holder’s pro rata share of our current and accumulated earnings and profits; (2) a reduction in the holder’s tax basis (but not below zero) in our common stock to the extent the amount received exceeds the holder’s share of our earnings and profits; and (3) a taxable gain from the exchange of our common stock to the extent the amount received exceeds the sum of the holder’s share of our earnings and profits and the holder’s tax basis in our common stock.</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addition, Section 355(e) of the Internal Revenue Code generally creates a presumption that the Distribution would be taxable to us, but not to our stockholders, if we, Cable ONE or any of our respective stockholders were to engage in transactions that result in a 50% or greater change by vote or value in the ownership of our stock or the stock of Cable ONE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us due to such a 50% or greater change in ownership, we would recognize a gain equal to the excess of the fair market value of the Cable ONE common stock distributed to our stockholders in the Distribution over our tax basis in the Cable ONE common stock. Any such tax liability could be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2015, the Company sold one property located along the Potomac River in Alexandria, VA. A second property in Alexandria is under contract for sale and is expected to close in 2016.</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Directly or through its subsidiaries, Kaplan owns a total of four properties: a 30,000-square-foot, six-story building located at 131 West 56th Street in New York City, used by KIC North America as an education center primarily for international students; a redeveloped 47,410-square-foot, four-story brick building in Lincoln, NE, used by Kaplan University; a 4,000-square-foot office condominium in Chapel Hill, NC, utilized by KTP; and a 15,000-square-foot, three-story building in Berkeley, CA, used by KTP and KIC North America.</w:t>
      </w:r>
    </w:p>
    <w:p>
      <w:pPr>
        <w:spacing w:after="0" w:line="135"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In the U.S., Kaplan, Inc. and KHE lease corporate offices, together with a data center, call center and employee-training facilities, in two 97,000-square-foot buildings located on adjacent lots in Fort Lauderdale, FL. Both of those leases will expire in 2018. Kaplan, Inc. and KHE share corporate office space in a 22,000-square-foot office building in Alpharetta, GA, under a lease that expires in 2016. KHE leases 62,500 square feet of corporate office space in Chicago, IL, under a lease that will expire in 2022. KHE also separately leases 76,500 square feet of office space in Chicago, IL; however, the location has been entirely subleased through the remainder of the lease term. In addition, KHE separately leases two corporate offices, totaling 64,128 square feet, in La Crosse, WI, under leases that will expire in 2022; a two-story,</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124,500-square-foot building in Orlando, FL, that is used as an additional support center (of which 12,300 square feet have been subleased to a third party), pursuant to a lease that will expire in 2021; and 88,800 square feet of corporate office space in Plantation, FL, for a term that expires in 2021. Kaplan, Inc. and KTP have signed a sublease for 84,500 square feet in New York (expiring in May 2021). Kaplan, Inc. and KTP also separately lease 159,540 square feet in New York; however, the location has been entirely subleased to two different parties through the remainder of the lease term</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addition, the KIC business maintains more than 50 leases in the U.S., comprising an aggregate of approximately 1.7 million square feet of instructional and dormitory space.</w:t>
      </w:r>
    </w:p>
    <w:p>
      <w:pPr>
        <w:spacing w:after="0" w:line="135"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Overseas, Dublin Business School’s facilities in Dublin, Ireland, are located in six buildings, aggregating approximately 83,000 square feet of space, that are rented under leases expiring between 2016 and 2029. Kaplan Publishing has an office and distribution warehouse in Wokingham, Berkshire, U.K., of 27,000 square feet, under a lease expiring in 2016. Kaplan Financial’s largest leaseholds are office and instructional spaces in London, U.K., of 33,000 square feet (expiring in 2033), 21,500 square feet (expiring in 2015) and 35,800 square feet (comprising seven separate leases, expiring in 2015), and one new location of 50,200 square feet (comprising two leases) obtained in January 2015 and expiring in 2030 to replace 61,750 square feet of space held under leases that will expire in 2015; office and instructional space in Birmingham, U.K., of 23,600 square feet (expiring in 2017); office and instructional space in Manchester, U.K., of 26,900 square feet (comprising five separate leases, expiring in 2022); office and instructional space in Wales, U.K., of 34,000 square feet (notice to terminate this lease has been served, to expire in December 2016); office and instructional space in Singapore of 162,000 square feet (comprising five separate leases, expiring between 2016 and 2021); and office and instructional space in Hong Kong of 30,850 square feet. Palace House in London, which was previously occupied by Kaplan Law School, with 20,200 square feet of space in London, U.K. (comprising four separate leases, expiring in 2017), is now primarily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right="40"/>
        <w:spacing w:after="0" w:line="222" w:lineRule="auto"/>
        <w:rPr>
          <w:sz w:val="20"/>
          <w:szCs w:val="20"/>
          <w:color w:val="auto"/>
        </w:rPr>
      </w:pPr>
      <w:r>
        <w:rPr>
          <w:rFonts w:ascii="Arial" w:cs="Arial" w:eastAsia="Arial" w:hAnsi="Arial"/>
          <w:sz w:val="18"/>
          <w:szCs w:val="18"/>
          <w:color w:val="auto"/>
        </w:rPr>
        <w:t>occupied by the KIC Pathways business. In addition, Kaplan has entered into two separate leases in Glasgow, Scotland, for 58,000 square feet and 22,400 square feet, respectively, of dormitory space that was constructed and opened to students in 2012. These leases will expire in 2032. In addition, Kaplan leases approximately 143,000 square feet of dormitory space as the main tenant of a new student residential building in Nottingham, U.K., that was completed in 2014. Kaplan has further entered into a lease agreement for a residential college in Bournemouth, England, which comprises approximately 175,000 square feet. In Australia, Carrick leases two locations in Melbourne, with an aggregate of approximately 87,623 square feet; one location in Sydney, of 13,024 square feet; and one location in Brisbane, of 39,000 square feet. These leases expire at various times, from 2016 through 2021. Bradford College, in Adelaide, Australia, leases three locations, with an aggregate of 38,890 square feet. These leases expire in 2016 and 2020. All other Kaplan facilities in the U.S. and overseas (including administrative offices and instructional locations) occupy leased premises that are for less space than those listed above.</w:t>
      </w:r>
    </w:p>
    <w:p>
      <w:pPr>
        <w:spacing w:after="0" w:line="141"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Celtic’s headquarters office is located in leased space in Mars, PA. This lease expires in 2017. In addition to its headquarters, Celtic leases 14 small office spaces in its various service territories: Carlisle, PA; Mechanicsburg, PA; Williamsport, PA; Harrisburg, PA; Kingston, PA; Milford, PA; Stroudsburg, PA; Rockville, MD; Owings Mills, MD; Shiloh, IL; Marion, IL; Mt. Carmel, IL; Mt. Vernon, IL; and Fenton, MO. Celtic also leases space for a hospice inpatient unit in Wilkes-Barre, PA. Celtic also owns a total of five properties located in Carlinville, IL; Centralia, IL; Murphysboro, IL; and Benton, IL.</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Residential’s Michigan headquarters offices are located in leased space in Troy, MI. Residential also leases office space in Grand Rapids, MI, and in Lansing, MI. In Illinois, Residential’s main office is located in Downer’s Grove, IL.</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Forney has 20,000 square feet of corporate office space in Addison, TX. That lease began in April 2014 and will expire in 2024. Forney’s manufacturing facility is located in Monterrey, Mexico, in a building that contains 78,500 square feet of office and manufacturing space under a lease that will expire in 2020. Forney also leases sales offices in Shanghai, Beijing and Singapore; the combined office space is less than 3,000 square feet, and the leases are renewable annually.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rPr>
          <w:sz w:val="20"/>
          <w:szCs w:val="20"/>
          <w:color w:val="auto"/>
        </w:rPr>
      </w:pPr>
      <w:r>
        <w:rPr>
          <w:rFonts w:ascii="Arial" w:cs="Arial" w:eastAsia="Arial" w:hAnsi="Arial"/>
          <w:sz w:val="18"/>
          <w:szCs w:val="18"/>
          <w:color w:val="auto"/>
        </w:rPr>
        <w:t>It also leases a manufacturing facility in West Hartford, CT.</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Group Dekko owns seven U.S. properties: a 200,600-square-foot headquarters office and manufacturing building in Garrett, IN; a 65,950-square-foot manufacturing building in Avilla, IN; 64,500 square feet of manufacturing and warehouse space in Ardmore, AL; 61,750 square feet of warehouse space in El Paso, TX; and a 22,500-square-foot new product development center in LaOtto, IN. In addition, Group Dekko owns 126,000 square feet of manufacturing and office space in Juarez, Mexico. In the U.S., Group Dekko leases 46,370 square feet of manufacturing and warehouse space in North Webster, IN, under a lease that expires in 2016; a 30,000-square-foot warehouse building in Kendallville, IN, pursuant to a month-to-month lease; and a data/training facility in Kendallville, IN, expiring 2020. Group Dekko also separately leases two office condominiums in Chicago, IL, and Grand Rapids, MI. Both of those leases will expire in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New York, NY, and Washington, DC.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leases office space in Washington, DC; New York, NY; San Francisco, CA; Los Angeles, CA; and Chicago, 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9" w:name="page30"/>
    <w:bookmarkEnd w:id="29"/>
    <w:p>
      <w:pPr>
        <w:ind w:right="80"/>
        <w:spacing w:after="0" w:line="222" w:lineRule="auto"/>
        <w:rPr>
          <w:sz w:val="20"/>
          <w:szCs w:val="20"/>
          <w:color w:val="auto"/>
        </w:rPr>
      </w:pPr>
      <w:r>
        <w:rPr>
          <w:rFonts w:ascii="Arial" w:cs="Arial" w:eastAsia="Arial" w:hAnsi="Arial"/>
          <w:sz w:val="18"/>
          <w:szCs w:val="18"/>
          <w:color w:val="auto"/>
        </w:rPr>
        <w:t>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3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37"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w:t>
      </w:r>
      <w:r>
        <w:rPr>
          <w:rFonts w:ascii="Arial" w:cs="Arial" w:eastAsia="Arial" w:hAnsi="Arial"/>
          <w:sz w:val="14"/>
          <w:szCs w:val="14"/>
          <w:b w:val="1"/>
          <w:bCs w:val="1"/>
          <w:color w:val="auto"/>
        </w:rPr>
        <w:t>’</w:t>
      </w:r>
      <w:r>
        <w:rPr>
          <w:rFonts w:ascii="Arial" w:cs="Arial" w:eastAsia="Arial" w:hAnsi="Arial"/>
          <w:sz w:val="18"/>
          <w:szCs w:val="18"/>
          <w:color w:val="auto"/>
        </w:rPr>
        <w:t>s claims and three of the four Diaz claims, but reversing and remanding on Diaz</w:t>
      </w:r>
      <w:r>
        <w:rPr>
          <w:rFonts w:ascii="Arial" w:cs="Arial" w:eastAsia="Arial" w:hAnsi="Arial"/>
          <w:sz w:val="14"/>
          <w:szCs w:val="14"/>
          <w:b w:val="1"/>
          <w:bCs w:val="1"/>
          <w:color w:val="auto"/>
        </w:rPr>
        <w:t>’</w:t>
      </w:r>
      <w:r>
        <w:rPr>
          <w:rFonts w:ascii="Arial" w:cs="Arial" w:eastAsia="Arial" w:hAnsi="Arial"/>
          <w:sz w:val="18"/>
          <w:szCs w:val="18"/>
          <w:color w:val="auto"/>
        </w:rPr>
        <w:t>s claim that incentive compensation for admissions representatives was improperly based solely on enrollment counts. Kaplan filed an answer to Diaz</w:t>
      </w:r>
      <w:r>
        <w:rPr>
          <w:rFonts w:ascii="Arial" w:cs="Arial" w:eastAsia="Arial" w:hAnsi="Arial"/>
          <w:sz w:val="14"/>
          <w:szCs w:val="14"/>
          <w:b w:val="1"/>
          <w:bCs w:val="1"/>
          <w:color w:val="auto"/>
        </w:rPr>
        <w:t>’</w:t>
      </w:r>
      <w:r>
        <w:rPr>
          <w:rFonts w:ascii="Arial" w:cs="Arial" w:eastAsia="Arial" w:hAnsi="Arial"/>
          <w:sz w:val="18"/>
          <w:szCs w:val="18"/>
          <w:color w:val="auto"/>
        </w:rPr>
        <w:t>s amended complaint on September 11, 2015. Kaplan filed a motion to dismiss, and a hearing was held on December 17, 2015. Based on a recent appellate court ruling, the judge requested further details on the pending motion related to the first-to-file bar to Diaz</w:t>
      </w:r>
      <w:r>
        <w:rPr>
          <w:rFonts w:ascii="Arial" w:cs="Arial" w:eastAsia="Arial" w:hAnsi="Arial"/>
          <w:sz w:val="14"/>
          <w:szCs w:val="14"/>
          <w:b w:val="1"/>
          <w:bCs w:val="1"/>
          <w:color w:val="auto"/>
        </w:rPr>
        <w:t>’</w:t>
      </w:r>
      <w:r>
        <w:rPr>
          <w:rFonts w:ascii="Arial" w:cs="Arial" w:eastAsia="Arial" w:hAnsi="Arial"/>
          <w:sz w:val="18"/>
          <w:szCs w:val="18"/>
          <w:color w:val="auto"/>
        </w:rPr>
        <w:t>s complaint. Pending a ruling on the motion, the court allowed discovery to proceed. Kaplan is preparing initial disclosures.</w:t>
      </w:r>
    </w:p>
    <w:p>
      <w:pPr>
        <w:spacing w:after="0" w:line="14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ongoing. Despite the sale of the nationally accredited Kaplan Higher Education Campuses business, Kaplan retains liability for these claims.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December 22, 2014, a former student representative filed a purported class- and collective-action lawsuit in the U.S. District Court for the Northern District of Illinois, in which she asserts claims under the Illinois Minimum Wage Law and the Fair Labor Standards Act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Freeman </w:t>
      </w:r>
      <w:r>
        <w:rPr>
          <w:rFonts w:ascii="Arial" w:cs="Arial" w:eastAsia="Arial" w:hAnsi="Arial"/>
          <w:sz w:val="18"/>
          <w:szCs w:val="18"/>
          <w:color w:val="auto"/>
        </w:rPr>
        <w:t>v</w:t>
      </w:r>
      <w:r>
        <w:rPr>
          <w:rFonts w:ascii="Arial" w:cs="Arial" w:eastAsia="Arial" w:hAnsi="Arial"/>
          <w:sz w:val="18"/>
          <w:szCs w:val="18"/>
          <w:i w:val="1"/>
          <w:iCs w:val="1"/>
          <w:color w:val="auto"/>
        </w:rPr>
        <w:t>.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Company cannot predict the outcome of this inquiry.</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April 30, 2011, KHE received a Civil Investigative Demand from the Office of the Attorney General of the State of Massachusetts. The demand primarily sought information pertaining to KHE’s former campuses in Massachusetts, known as the Charlestown and Kenmore Square campuses. The Charlestown campus closed in 2013, and the Kenmore Square campus closed in 2012. Kaplan Higher Education Corporation cooperated with the Massachusetts Attorney General and provided the requested information, as well as additional information requested in 2012 and 2013. In October 2014, the Attorney General’s office sent Kaplan a “notice of intention to file” a lawsuit letter under section 93A of the Massachusetts consumer fraud statute. The letter outlined 12 allegations against the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46" w:right="279" w:bottom="1440" w:gutter="0" w:footer="0" w:header="0"/>
        </w:sectPr>
      </w:pPr>
    </w:p>
    <w:bookmarkStart w:id="30" w:name="page31"/>
    <w:bookmarkEnd w:id="30"/>
    <w:p>
      <w:pPr>
        <w:ind w:right="80"/>
        <w:spacing w:after="0" w:line="227" w:lineRule="auto"/>
        <w:rPr>
          <w:sz w:val="20"/>
          <w:szCs w:val="20"/>
          <w:color w:val="auto"/>
        </w:rPr>
      </w:pPr>
      <w:r>
        <w:rPr>
          <w:rFonts w:ascii="Arial" w:cs="Arial" w:eastAsia="Arial" w:hAnsi="Arial"/>
          <w:sz w:val="18"/>
          <w:szCs w:val="18"/>
          <w:color w:val="auto"/>
        </w:rPr>
        <w:t>Charlestown and Kenmore Square campuses. On July 23, 2015, Kaplan reached agreement with the Attorney General</w:t>
      </w:r>
      <w:r>
        <w:rPr>
          <w:rFonts w:ascii="Arial" w:cs="Arial" w:eastAsia="Arial" w:hAnsi="Arial"/>
          <w:sz w:val="14"/>
          <w:szCs w:val="14"/>
          <w:b w:val="1"/>
          <w:bCs w:val="1"/>
          <w:color w:val="auto"/>
        </w:rPr>
        <w:t>’</w:t>
      </w:r>
      <w:r>
        <w:rPr>
          <w:rFonts w:ascii="Arial" w:cs="Arial" w:eastAsia="Arial" w:hAnsi="Arial"/>
          <w:sz w:val="18"/>
          <w:szCs w:val="18"/>
          <w:color w:val="auto"/>
        </w:rPr>
        <w:t>s office to resolve the matter for $1,375,000, with the settlement taking the form of an Assurance of Discontinuance. Kaplan admitted no wrongdoing, vigorously disputes the allegations made by the Massachusetts Attorney General and denies all claims that its business conduct in Massachusetts was in any way unfair or deceptive.</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Kaplan Higher Education Corporation has cooperated with the Delaware Attorney General and provided the information requested in the subpoena. Although KHE may receive further requests for information from the Delaware Attorney General, there has been no such further correspondence to date. The Company cannot predict the outcome of this inquiry.</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80"/>
        <w:spacing w:after="0" w:line="419"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2"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high and low sales prices of the Company’s Class B Common Stock are listed below (amounts for 2014 and the first half of 2015 were revised to reflect the Cable ONE spin-off).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6"/>
              </w:rPr>
              <w:t>2015</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6"/>
              </w:rPr>
              <w:t>2014</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High</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Low</w:t>
            </w:r>
          </w:p>
        </w:tc>
      </w:tr>
      <w:tr>
        <w:trPr>
          <w:trHeight w:val="250"/>
        </w:trPr>
        <w:tc>
          <w:tcPr>
            <w:tcW w:w="7900" w:type="dxa"/>
            <w:vAlign w:val="bottom"/>
          </w:tcPr>
          <w:p>
            <w:pPr>
              <w:ind w:left="40"/>
              <w:spacing w:after="0"/>
              <w:rPr>
                <w:sz w:val="20"/>
                <w:szCs w:val="20"/>
                <w:color w:val="auto"/>
              </w:rPr>
            </w:pPr>
            <w:r>
              <w:rPr>
                <w:rFonts w:ascii="Arial" w:cs="Arial" w:eastAsia="Arial" w:hAnsi="Arial"/>
                <w:sz w:val="16"/>
                <w:szCs w:val="16"/>
                <w:color w:val="auto"/>
              </w:rPr>
              <w:t>January–March</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664</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450</w:t>
            </w:r>
          </w:p>
        </w:tc>
        <w:tc>
          <w:tcPr>
            <w:tcW w:w="4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369</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April–June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676</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575</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445</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390</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July–September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565</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449</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413</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October–December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608</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469</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574</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406</w:t>
            </w:r>
          </w:p>
        </w:tc>
      </w:tr>
    </w:tbl>
    <w:p>
      <w:pPr>
        <w:spacing w:after="0" w:line="1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At January 29, 2016, there were 28 holders of record of the Company’s Class A Common Stock and 477 holders of record of the Company’s Class B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Information</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Both classes of the Company’s Common Stock participate equally as to dividends. Total dividends paid during 2015 were $9.10 with three quarterly dividends paid at a rate of $2.65 per share and one dividend paid at a rate of $1.15 per share. The quarterly dividend rate was adjusted as a result of the spin-off of Cable ONE. Quarterly dividends were paid at the rate of $2.55 during 2014.</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66"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The following table and the footnote thereto set forth certain information as of December 31, 2015, concerning compensation plans of the Company under which equity securities of the Company are authorized to be issued.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191,722</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$552.00</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191,722</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$552.00</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2015, there were 26,475 shares of restricted stock outstanding under the 2012–2016 Award Cycle and 20,150 shares of restricted stock outstanding under the 2015–2018 Award Cycle that had been awarded to employees of the Company and its subsidiaries under that Plan. In addition, the Company has from time to time awarded special discretionary grants of restricted stock to employees of the Company and its subsidiaries. At December 31, 2015, there were a total of 34,850 shares of restricted stock outstanding under special discretionary grants approved by the Compensation Committee of the Board of Directors. At December 31, 2015, a total of 443,286 shares of restricted stock and stock options were available for future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2015,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Total Number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ind w:left="28"/>
              <w:spacing w:after="0"/>
              <w:rPr>
                <w:sz w:val="20"/>
                <w:szCs w:val="20"/>
                <w:color w:val="auto"/>
              </w:rPr>
            </w:pPr>
            <w:r>
              <w:rPr>
                <w:rFonts w:ascii="Arial" w:cs="Arial" w:eastAsia="Arial" w:hAnsi="Arial"/>
                <w:sz w:val="14"/>
                <w:szCs w:val="14"/>
                <w:b w:val="1"/>
                <w:bCs w:val="1"/>
                <w:color w:val="auto"/>
              </w:rPr>
              <w:t>Maximum Number of Shares That</w:t>
            </w: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rPr>
              <w:t>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Price Paid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ind w:left="28"/>
              <w:spacing w:after="0"/>
              <w:rPr>
                <w:sz w:val="20"/>
                <w:szCs w:val="20"/>
                <w:color w:val="auto"/>
              </w:rPr>
            </w:pPr>
            <w:r>
              <w:rPr>
                <w:rFonts w:ascii="Arial" w:cs="Arial" w:eastAsia="Arial" w:hAnsi="Arial"/>
                <w:sz w:val="14"/>
                <w:szCs w:val="14"/>
                <w:b w:val="1"/>
                <w:bCs w:val="1"/>
                <w:color w:val="auto"/>
              </w:rPr>
              <w:t>May Yet Be Purchased Under the</w:t>
            </w:r>
          </w:p>
        </w:tc>
      </w:tr>
      <w:tr>
        <w:trPr>
          <w:trHeight w:val="196"/>
        </w:trPr>
        <w:tc>
          <w:tcPr>
            <w:tcW w:w="4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Purchased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Plan*</w:t>
            </w:r>
          </w:p>
        </w:tc>
      </w:tr>
      <w:tr>
        <w:trPr>
          <w:trHeight w:val="258"/>
        </w:trPr>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2015</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October</w:t>
            </w:r>
          </w:p>
        </w:tc>
        <w:tc>
          <w:tcPr>
            <w:tcW w:w="134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720" w:type="dxa"/>
            <w:vAlign w:val="bottom"/>
          </w:tcPr>
          <w:p>
            <w:pPr>
              <w:jc w:val="center"/>
              <w:ind w:left="8"/>
              <w:spacing w:after="0"/>
              <w:rPr>
                <w:sz w:val="20"/>
                <w:szCs w:val="20"/>
                <w:color w:val="auto"/>
              </w:rPr>
            </w:pPr>
            <w:r>
              <w:rPr>
                <w:rFonts w:ascii="Arial" w:cs="Arial" w:eastAsia="Arial" w:hAnsi="Arial"/>
                <w:sz w:val="14"/>
                <w:szCs w:val="14"/>
                <w:color w:val="auto"/>
              </w:rPr>
              <w:t>500,000</w:t>
            </w: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November</w:t>
            </w:r>
          </w:p>
        </w:tc>
        <w:tc>
          <w:tcPr>
            <w:tcW w:w="134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720" w:type="dxa"/>
            <w:vAlign w:val="bottom"/>
          </w:tcPr>
          <w:p>
            <w:pPr>
              <w:jc w:val="center"/>
              <w:ind w:left="8"/>
              <w:spacing w:after="0"/>
              <w:rPr>
                <w:sz w:val="20"/>
                <w:szCs w:val="20"/>
                <w:color w:val="auto"/>
              </w:rPr>
            </w:pPr>
            <w:r>
              <w:rPr>
                <w:rFonts w:ascii="Arial" w:cs="Arial" w:eastAsia="Arial" w:hAnsi="Arial"/>
                <w:sz w:val="14"/>
                <w:szCs w:val="14"/>
                <w:color w:val="auto"/>
              </w:rPr>
              <w:t>500,000</w:t>
            </w:r>
          </w:p>
        </w:tc>
      </w:tr>
      <w:tr>
        <w:trPr>
          <w:trHeight w:val="276"/>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December</w:t>
            </w: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46,226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$497.10</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46,226</w:t>
            </w:r>
          </w:p>
        </w:tc>
        <w:tc>
          <w:tcPr>
            <w:tcW w:w="2720" w:type="dxa"/>
            <w:vAlign w:val="bottom"/>
          </w:tcPr>
          <w:p>
            <w:pPr>
              <w:jc w:val="center"/>
              <w:ind w:left="8"/>
              <w:spacing w:after="0"/>
              <w:rPr>
                <w:sz w:val="20"/>
                <w:szCs w:val="20"/>
                <w:color w:val="auto"/>
              </w:rPr>
            </w:pPr>
            <w:r>
              <w:rPr>
                <w:rFonts w:ascii="Arial" w:cs="Arial" w:eastAsia="Arial" w:hAnsi="Arial"/>
                <w:sz w:val="14"/>
                <w:szCs w:val="14"/>
                <w:color w:val="auto"/>
              </w:rPr>
              <w:t>453,774</w:t>
            </w:r>
          </w:p>
        </w:tc>
      </w:tr>
      <w:tr>
        <w:trPr>
          <w:trHeight w:val="277"/>
        </w:trPr>
        <w:tc>
          <w:tcPr>
            <w:tcW w:w="40" w:type="dxa"/>
            <w:vAlign w:val="bottom"/>
          </w:tcPr>
          <w:p>
            <w:pPr>
              <w:spacing w:after="0"/>
              <w:rPr>
                <w:sz w:val="24"/>
                <w:szCs w:val="24"/>
                <w:color w:val="auto"/>
              </w:rPr>
            </w:pPr>
          </w:p>
        </w:tc>
        <w:tc>
          <w:tcPr>
            <w:tcW w:w="3640" w:type="dxa"/>
            <w:vAlign w:val="bottom"/>
          </w:tcPr>
          <w:p>
            <w:pPr>
              <w:jc w:val="center"/>
              <w:ind w:right="2708"/>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46,226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$497.10</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46,226</w:t>
            </w:r>
          </w:p>
        </w:tc>
        <w:tc>
          <w:tcPr>
            <w:tcW w:w="2720" w:type="dxa"/>
            <w:vAlign w:val="bottom"/>
          </w:tcPr>
          <w:p>
            <w:pPr>
              <w:spacing w:after="0"/>
              <w:rPr>
                <w:sz w:val="24"/>
                <w:szCs w:val="24"/>
                <w:color w:val="auto"/>
              </w:rPr>
            </w:pPr>
          </w:p>
        </w:tc>
      </w:tr>
      <w:tr>
        <w:trPr>
          <w:trHeight w:val="156"/>
        </w:trPr>
        <w:tc>
          <w:tcPr>
            <w:tcW w:w="3680" w:type="dxa"/>
            <w:vAlign w:val="bottom"/>
            <w:gridSpan w:val="2"/>
          </w:tcPr>
          <w:p>
            <w:pPr>
              <w:jc w:val="right"/>
              <w:ind w:right="2648"/>
              <w:spacing w:after="0" w:line="156" w:lineRule="exact"/>
              <w:rPr>
                <w:sz w:val="20"/>
                <w:szCs w:val="20"/>
                <w:color w:val="auto"/>
              </w:rPr>
            </w:pPr>
            <w:r>
              <w:rPr>
                <w:rFonts w:ascii="Arial" w:cs="Arial" w:eastAsia="Arial" w:hAnsi="Arial"/>
                <w:sz w:val="14"/>
                <w:szCs w:val="14"/>
                <w:color w:val="auto"/>
              </w:rPr>
              <w:t>____________</w:t>
            </w: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ind w:right="260"/>
        <w:spacing w:after="0" w:line="219" w:lineRule="auto"/>
        <w:rPr>
          <w:sz w:val="20"/>
          <w:szCs w:val="20"/>
          <w:color w:val="auto"/>
        </w:rPr>
      </w:pPr>
      <w:r>
        <w:rPr>
          <w:rFonts w:ascii="Arial" w:cs="Arial" w:eastAsia="Arial" w:hAnsi="Arial"/>
          <w:sz w:val="13"/>
          <w:szCs w:val="13"/>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December 31, 2015 were open market transactions.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66"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education companies. The Standard &amp; Poor’s 500 Stock Index is comprised of 500 U.S. companies in the industrial, transportation, utilities and financial industries and is weighted by market capitalization. The custom peer group of education companies includes American Public Education Inc., Apollo Education Group Inc., Bridgepoint Education Inc., Capella Education Co., DeVry Education Group Inc., Grand Canyon Education Inc., ITT Educational Services Inc., National American University Holdings Inc. and Strayer Education Inc.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$100 on December 31, 2010, in the Company’s Class B Common Stock, the Standard &amp; Poor’s 500 Stock Index, and the custom peer group index of education companies. For purposes of this graph, it has been assumed that dividends were reinvested on the date paid in the case of the Company and on a quarterly basis in the case of the Standard &amp; Poor’s 500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26670</wp:posOffset>
            </wp:positionV>
            <wp:extent cx="4236720" cy="258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4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2010</w:t>
            </w:r>
          </w:p>
        </w:tc>
        <w:tc>
          <w:tcPr>
            <w:tcW w:w="11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2011</w:t>
            </w:r>
          </w:p>
        </w:tc>
        <w:tc>
          <w:tcPr>
            <w:tcW w:w="11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r>
      <w:tr>
        <w:trPr>
          <w:trHeight w:val="262"/>
        </w:trPr>
        <w:tc>
          <w:tcPr>
            <w:tcW w:w="348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87.78</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89.79</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163.08</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215.52</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202.05</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102.11</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118.45</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156.82</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178.29</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180.75</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New Education Peer Group</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100.84</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53.21</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77.79</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86.39</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45.64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See the information for the years 2011 through 2015 contained in the table titled “Five-Year Summary of Selected Historical Financial Data,” which is included in this Annual Report on Form 10-K and listed in the index to financial information on page 36 hereof (with only the information for such years to be deemed filed as part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36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24" w:right="239" w:bottom="1440" w:gutter="0" w:footer="0" w:header="0"/>
        </w:sectPr>
      </w:pPr>
    </w:p>
    <w:bookmarkStart w:id="33" w:name="page34"/>
    <w:bookmarkEnd w:id="33"/>
    <w:p>
      <w:pPr>
        <w:ind w:right="32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$350.6 million at December 31, 2015.</w:t>
      </w:r>
    </w:p>
    <w:p>
      <w:pPr>
        <w:spacing w:after="0" w:line="1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consists of $400 million principal amount of 7.25% unsecured notes due February 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At December 31, 2015, the aggregate fair value of the Notes, based upon quoted market prices, was $ 436.6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December 31, 2015, would have been approximately $389.3 million. Conversely, if the market interest rate applicable to the Notes was 100 basis points lower than the Notes’ stated interest rate, the fair value of the Notes at such date would have been approximately $411.0 million.</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paid the Company variable interest on the AUD 50 million notional amount at the three-month bank bill rate, and the Company paid the counterparties a fixed rate of 4.5275%. These interest rate swap agreements were entered into to convert the variable rate Australian dollar borrowing under the revolving credit facility into a fixed-rate borrowing. On March 9, 2015, the Company repaid the AUD 50 million borrowed under its revolving credit facility. On the same day, the AUD 50 million interest rate swap agreements matured.</w:t>
      </w:r>
    </w:p>
    <w:p>
      <w:pPr>
        <w:spacing w:after="0" w:line="11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exposure relates to the exchange rate between the U.S. dollar and the British pound and the Australian dollar. This exposure includes British pound and Australian dollar denominated intercompany loans on U.S.-based Kaplan entities with a functional currency in U.S. dollars. In 2015, the Company reported unrealized foreign currency losses of $15.6 million. In 2014, the Company reported unrealized foreign currency losses of $11.1 million. In 2013, the Company reported unrealized foreign currency losses of $13.4 million.</w:t>
      </w:r>
    </w:p>
    <w:p>
      <w:pPr>
        <w:spacing w:after="0" w:line="138"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2015, the Company’s pre-tax income for 2015 would have been approximately $22 million lower. Conversely, if such values had been 10% higher, the Company’s reported pre-tax income for 2015 would have been approximately $22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See the Company’s Consolidated Financial Statements at December 31, 2015,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36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2015.</w:t>
      </w:r>
    </w:p>
    <w:p>
      <w:pPr>
        <w:spacing w:after="0" w:line="1"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4" w:right="239" w:bottom="1440" w:gutter="0" w:footer="0" w:header="0"/>
        </w:sectPr>
      </w:pPr>
    </w:p>
    <w:bookmarkStart w:id="34" w:name="page35"/>
    <w:bookmarkEnd w:id="34"/>
    <w:p>
      <w:pPr>
        <w:ind w:right="5160"/>
        <w:spacing w:after="0" w:line="415" w:lineRule="auto"/>
        <w:rPr>
          <w:sz w:val="20"/>
          <w:szCs w:val="20"/>
          <w:color w:val="auto"/>
        </w:rPr>
      </w:pPr>
      <w:r>
        <w:rPr>
          <w:rFonts w:ascii="Arial" w:cs="Arial" w:eastAsia="Arial" w:hAnsi="Arial"/>
          <w:sz w:val="18"/>
          <w:szCs w:val="18"/>
          <w:b w:val="1"/>
          <w:bCs w:val="1"/>
          <w:i w:val="1"/>
          <w:iCs w:val="1"/>
          <w:color w:val="auto"/>
        </w:rPr>
        <w:t xml:space="preserve">Management’s Report on Internal Control Over Financial Reporting </w:t>
      </w:r>
      <w:r>
        <w:rPr>
          <w:rFonts w:ascii="Arial" w:cs="Arial" w:eastAsia="Arial" w:hAnsi="Arial"/>
          <w:sz w:val="18"/>
          <w:szCs w:val="18"/>
          <w:color w:val="auto"/>
        </w:rPr>
        <w:t xml:space="preserve">Management’s report set forth on page 56 is incorporated herein by reference. </w:t>
      </w:r>
      <w:r>
        <w:rPr>
          <w:rFonts w:ascii="Arial" w:cs="Arial" w:eastAsia="Arial" w:hAnsi="Arial"/>
          <w:sz w:val="18"/>
          <w:szCs w:val="18"/>
          <w:b w:val="1"/>
          <w:bCs w:val="1"/>
          <w:i w:val="1"/>
          <w:iCs w:val="1"/>
          <w:color w:val="auto"/>
        </w:rPr>
        <w:t>Changes in Internal Control Over Financial Reporting</w:t>
      </w:r>
    </w:p>
    <w:p>
      <w:pPr>
        <w:spacing w:after="0" w:line="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2015, that has materially affected, or is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2016 Annual Meeting of Stockholders is incorporated herein by reference thereto.</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10, 2015,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2016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2016 Annual Meeting of Stockholders is incorporated herein by reference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2016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2016 Annual Meeting of Stockholders is incorporated herein by reference thereto.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24" w:right="259" w:bottom="1440" w:gutter="0" w:footer="0" w:header="0"/>
        </w:sectPr>
      </w:pPr>
    </w:p>
    <w:bookmarkStart w:id="35" w:name="page36"/>
    <w:bookmarkEnd w:id="35"/>
    <w:p>
      <w:pPr>
        <w:ind w:left="53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p>
      <w:pPr>
        <w:ind w:left="860" w:hanging="406"/>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36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109 hereof.</w:t>
      </w:r>
    </w:p>
    <w:p>
      <w:pPr>
        <w:spacing w:after="0" w:line="200" w:lineRule="exact"/>
        <w:rPr>
          <w:sz w:val="20"/>
          <w:szCs w:val="20"/>
          <w:color w:val="auto"/>
        </w:rPr>
      </w:pPr>
    </w:p>
    <w:p>
      <w:pPr>
        <w:spacing w:after="0" w:line="3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724" w:right="1440" w:bottom="1440" w:gutter="0" w:footer="0" w:header="0"/>
        </w:sectPr>
      </w:pPr>
    </w:p>
    <w:bookmarkStart w:id="36" w:name="page37"/>
    <w:bookmarkEnd w:id="36"/>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2016.</w:t>
      </w:r>
    </w:p>
    <w:p>
      <w:pPr>
        <w:spacing w:after="0" w:line="358"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40640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Hal S. Jones</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26, 2016:</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Timothy J. O’Shaughnessy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9"/>
              </w:rPr>
              <w:t>President, Chief Executive</w:t>
            </w:r>
          </w:p>
        </w:tc>
      </w:tr>
      <w:tr>
        <w:trPr>
          <w:trHeight w:val="203"/>
        </w:trPr>
        <w:tc>
          <w:tcPr>
            <w:tcW w:w="3020" w:type="dxa"/>
            <w:vAlign w:val="bottom"/>
          </w:tcPr>
          <w:p>
            <w:pPr>
              <w:spacing w:after="0"/>
              <w:rPr>
                <w:sz w:val="17"/>
                <w:szCs w:val="17"/>
                <w:color w:val="auto"/>
              </w:rPr>
            </w:pPr>
          </w:p>
        </w:tc>
        <w:tc>
          <w:tcPr>
            <w:tcW w:w="4140" w:type="dxa"/>
            <w:vAlign w:val="bottom"/>
          </w:tcPr>
          <w:p>
            <w:pPr>
              <w:ind w:left="960"/>
              <w:spacing w:after="0" w:line="202" w:lineRule="exact"/>
              <w:rPr>
                <w:sz w:val="20"/>
                <w:szCs w:val="20"/>
                <w:color w:val="auto"/>
              </w:rPr>
            </w:pPr>
            <w:r>
              <w:rPr>
                <w:rFonts w:ascii="Arial" w:cs="Arial" w:eastAsia="Arial" w:hAnsi="Arial"/>
                <w:sz w:val="18"/>
                <w:szCs w:val="18"/>
                <w:color w:val="auto"/>
              </w:rPr>
              <w:t>Officer (Principal Executive Officer) and</w:t>
            </w:r>
          </w:p>
        </w:tc>
      </w:tr>
      <w:tr>
        <w:trPr>
          <w:trHeight w:val="217"/>
        </w:trPr>
        <w:tc>
          <w:tcPr>
            <w:tcW w:w="3020" w:type="dxa"/>
            <w:vAlign w:val="bottom"/>
          </w:tcPr>
          <w:p>
            <w:pPr>
              <w:spacing w:after="0"/>
              <w:rPr>
                <w:sz w:val="18"/>
                <w:szCs w:val="18"/>
                <w:color w:val="auto"/>
              </w:rPr>
            </w:pP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485"/>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Hal S. Jones</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9"/>
              </w:rPr>
              <w:t>Senior Vice President–Finance (Principal</w:t>
            </w:r>
          </w:p>
        </w:tc>
      </w:tr>
      <w:tr>
        <w:trPr>
          <w:trHeight w:val="217"/>
        </w:trPr>
        <w:tc>
          <w:tcPr>
            <w:tcW w:w="3020" w:type="dxa"/>
            <w:vAlign w:val="bottom"/>
          </w:tcPr>
          <w:p>
            <w:pPr>
              <w:spacing w:after="0"/>
              <w:rPr>
                <w:sz w:val="18"/>
                <w:szCs w:val="18"/>
                <w:color w:val="auto"/>
              </w:rPr>
            </w:pP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Financial Officer)</w:t>
            </w:r>
          </w:p>
        </w:tc>
      </w:tr>
      <w:tr>
        <w:trPr>
          <w:trHeight w:val="500"/>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Wallace R. Cooney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Donald E. Graham</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rPr>
              <w:t>Chairman of the Board</w:t>
            </w:r>
          </w:p>
        </w:tc>
      </w:tr>
      <w:tr>
        <w:trPr>
          <w:trHeight w:val="270"/>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9"/>
              </w:rPr>
              <w:t>Lee C. Bollinger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Christopher C. Davis</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Barry Diller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Thomas S. Gayner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Anne M. Mulcahy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Ronald L. Olson</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James H. Shelton</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70"/>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Larry D. Thompson</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8"/>
              </w:rPr>
              <w:t>G. Richard Wagoner, Jr.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9"/>
              </w:rPr>
              <w:t>Katharine Weymouth</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bl>
    <w:p>
      <w:pPr>
        <w:spacing w:after="0" w:line="364"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/s/ Hal S. Jones</w:t>
            </w:r>
          </w:p>
        </w:tc>
      </w:tr>
      <w:tr>
        <w:trPr>
          <w:trHeight w:val="41"/>
        </w:trPr>
        <w:tc>
          <w:tcPr>
            <w:tcW w:w="3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Hal S. Jones</w:t>
            </w:r>
          </w:p>
        </w:tc>
      </w:tr>
      <w:tr>
        <w:trPr>
          <w:trHeight w:val="257"/>
        </w:trPr>
        <w:tc>
          <w:tcPr>
            <w:tcW w:w="3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2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An original power of attorney authorizing Timothy J. O’Shaughnessy, Hal S. Jones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8"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r>
      <w:tr>
        <w:trPr>
          <w:trHeight w:val="393"/>
        </w:trPr>
        <w:tc>
          <w:tcPr>
            <w:tcW w:w="9880" w:type="dxa"/>
            <w:vAlign w:val="bottom"/>
          </w:tcPr>
          <w:p>
            <w:pPr>
              <w:spacing w:after="0"/>
              <w:rPr>
                <w:sz w:val="20"/>
                <w:szCs w:val="20"/>
                <w:color w:val="auto"/>
              </w:rPr>
            </w:pPr>
            <w:r>
              <w:rPr>
                <w:rFonts w:ascii="Arial" w:cs="Arial" w:eastAsia="Arial" w:hAnsi="Arial"/>
                <w:sz w:val="16"/>
                <w:szCs w:val="16"/>
                <w:color w:val="auto"/>
              </w:rPr>
              <w:t>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4"/>
        </w:trPr>
        <w:tc>
          <w:tcPr>
            <w:tcW w:w="9880" w:type="dxa"/>
            <w:vAlign w:val="bottom"/>
          </w:tcPr>
          <w:p>
            <w:pPr>
              <w:ind w:left="220"/>
              <w:spacing w:after="0"/>
              <w:rPr>
                <w:sz w:val="20"/>
                <w:szCs w:val="20"/>
                <w:color w:val="auto"/>
              </w:rPr>
            </w:pPr>
            <w:r>
              <w:rPr>
                <w:rFonts w:ascii="Arial" w:cs="Arial" w:eastAsia="Arial" w:hAnsi="Arial"/>
                <w:sz w:val="16"/>
                <w:szCs w:val="16"/>
                <w:color w:val="auto"/>
              </w:rPr>
              <w:t>Management’s Report on Internal Control Over Financial Reporting</w:t>
            </w:r>
          </w:p>
        </w:tc>
        <w:tc>
          <w:tcPr>
            <w:tcW w:w="1460" w:type="dxa"/>
            <w:vAlign w:val="bottom"/>
            <w:gridSpan w:val="3"/>
          </w:tcPr>
          <w:p>
            <w:pPr>
              <w:jc w:val="right"/>
              <w:spacing w:after="0"/>
              <w:rPr>
                <w:rFonts w:ascii="Arial" w:cs="Arial" w:eastAsia="Arial" w:hAnsi="Arial"/>
                <w:sz w:val="16"/>
                <w:szCs w:val="16"/>
                <w:color w:val="0000EE"/>
              </w:rPr>
            </w:pPr>
            <w:hyperlink w:anchor="page57">
              <w:r>
                <w:rPr>
                  <w:rFonts w:ascii="Arial" w:cs="Arial" w:eastAsia="Arial" w:hAnsi="Arial"/>
                  <w:sz w:val="16"/>
                  <w:szCs w:val="16"/>
                  <w:color w:val="0000EE"/>
                </w:rPr>
                <w:t>56</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460" w:type="dxa"/>
            <w:vAlign w:val="bottom"/>
            <w:gridSpan w:val="3"/>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57</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2015</w:t>
            </w:r>
          </w:p>
        </w:tc>
        <w:tc>
          <w:tcPr>
            <w:tcW w:w="1460" w:type="dxa"/>
            <w:vAlign w:val="bottom"/>
            <w:gridSpan w:val="3"/>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58</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for the Three Years Ended December 31, 2015</w:t>
            </w:r>
          </w:p>
        </w:tc>
        <w:tc>
          <w:tcPr>
            <w:tcW w:w="1460" w:type="dxa"/>
            <w:vAlign w:val="bottom"/>
            <w:gridSpan w:val="3"/>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59</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2015 and 2014</w:t>
            </w:r>
          </w:p>
        </w:tc>
        <w:tc>
          <w:tcPr>
            <w:tcW w:w="1460" w:type="dxa"/>
            <w:vAlign w:val="bottom"/>
            <w:gridSpan w:val="3"/>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2015</w:t>
            </w:r>
          </w:p>
        </w:tc>
        <w:tc>
          <w:tcPr>
            <w:tcW w:w="1460" w:type="dxa"/>
            <w:vAlign w:val="bottom"/>
            <w:gridSpan w:val="3"/>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61</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2015</w:t>
            </w:r>
          </w:p>
        </w:tc>
        <w:tc>
          <w:tcPr>
            <w:tcW w:w="1460" w:type="dxa"/>
            <w:vAlign w:val="bottom"/>
            <w:gridSpan w:val="3"/>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62</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gridSpan w:val="3"/>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63</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460" w:type="dxa"/>
            <w:vAlign w:val="bottom"/>
            <w:gridSpan w:val="3"/>
          </w:tcPr>
          <w:p>
            <w:pPr>
              <w:jc w:val="right"/>
              <w:spacing w:after="0"/>
              <w:rPr>
                <w:rFonts w:ascii="Arial" w:cs="Arial" w:eastAsia="Arial" w:hAnsi="Arial"/>
                <w:sz w:val="16"/>
                <w:szCs w:val="16"/>
                <w:color w:val="0000EE"/>
              </w:rPr>
            </w:pPr>
            <w:hyperlink w:anchor="page112">
              <w:r>
                <w:rPr>
                  <w:rFonts w:ascii="Arial" w:cs="Arial" w:eastAsia="Arial" w:hAnsi="Arial"/>
                  <w:sz w:val="16"/>
                  <w:szCs w:val="16"/>
                  <w:color w:val="0000EE"/>
                </w:rPr>
                <w:t>108</w:t>
              </w:r>
            </w:hyperlink>
          </w:p>
        </w:tc>
      </w:tr>
      <w:tr>
        <w:trPr>
          <w:trHeight w:val="412"/>
        </w:trPr>
        <w:tc>
          <w:tcPr>
            <w:tcW w:w="988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11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38" w:right="259" w:bottom="1440" w:gutter="0" w:footer="0" w:header="0"/>
        </w:sectPr>
      </w:pPr>
    </w:p>
    <w:bookmarkStart w:id="38" w:name="page39"/>
    <w:bookmarkEnd w:id="38"/>
    <w:p>
      <w:pPr>
        <w:ind w:right="106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social-media advertising services; home health and hospice care; and manufacturing.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The Company’s business units are diverse and subject to different trends and risks.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education division is the largest operating division of the Company, accounting for 74.5% of the Company’s consolidated revenues in 2015. The Company has devoted significant resources and attention to this division for many years, given its geographic and product diversity; the investment opportunities and growth prospects during this time; and challenges related to government regulation. In recent years, Kaplan has formulated and implemented restructuring plans at most of its businesses, resulting in significant costs in order to establish lower cost levels in future periods. Kaplan is organized into the following three operating segments: Kaplan Higher Education (KHE), Kaplan Test Preparation (KTP) and Kaplan International.</w:t>
      </w:r>
    </w:p>
    <w:p>
      <w:pPr>
        <w:spacing w:after="0" w:line="1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KHE is the largest segment of Kaplan, representing 44% of total Kaplan revenues in 2015. KHE’s revenue declined in 2015, largely due to the sale of the KHE Campuses business and other school closures, and declines in average enrollments at Kaplan University. KHE’s restructuring costs totaled $12.9 million in 2015. Operating income at KHE declined in 2015 due largely to increased losses at the KHE Campuses business and overall revenue declines.</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KTP revenues were down modestly in 2015; however, operating results improved due to reduced operating costs, due partly to $7.7 million in software asset write-offs in 2014 that did not recur in 2015.</w:t>
      </w:r>
    </w:p>
    <w:p>
      <w:pPr>
        <w:spacing w:after="0" w:line="135"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Kaplan International reported revenue declines for 2015 due to the adverse impact of exchange rates and weakness in English-language programs, offset by growth in Australia professional and Singapore higher education programs. Kaplan International operating results were down in 2015 due to declines in the English-language programs’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made one acquisition in 2015, three acquisitions in 2014 and one acquisition in 2013. None of these were individually significant.</w:t>
      </w:r>
    </w:p>
    <w:p>
      <w:pPr>
        <w:spacing w:after="0" w:line="14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television broadcasting division reported lower revenues and operating income in 2015 as 2014 included significant political and Olympics-related advertising. In recent years, the television broadcasting division has consistently generated significantly higher operating income amounts and operating income margins than the education division and other businesses.</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With the recent Celtic Healthcare, Residential Healthcare, Forney, Joyce/Dayton and Group Dekko acquisitions, the Company has invested in new lines of business from late 2012 through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2014, the Company announced a plan for a tax-free spin-off of the cable division, which was completed on July 1, 2015.</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2015 COMPARED TO 2014</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Net loss attributable to common shares was $101.3 million ($17.87 per share) for the year ended December 31, 2015, compared to net income attributable to common shares of $1,293.0 million ($195.03 per share) for the year ended December 31, 2014. Net (loss) income includes $42.2 million ($7.36 per share) and $527.9 million ($79.63 per share) in income from discontinued operations for 2015 and 2014, respectively. Loss from continuing operations attributable to common shares was $143.5 million ($25.23 per share) for 2015, compared to income of $765.1 million ($115.40 per share) for 2014.</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tax-free Berkshire exchange transaction that closed on June 30, 2014, the Company acquired 1,620,190 shares of its Class B common stock, resulting in 13% fewer diluted shares outstanding in 2015 compared to 2014.</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Items included in the Company’s income from continuing operations for 2015 are listed below:</w:t>
      </w:r>
    </w:p>
    <w:p>
      <w:pPr>
        <w:spacing w:after="0" w:line="90" w:lineRule="exact"/>
        <w:rPr>
          <w:sz w:val="20"/>
          <w:szCs w:val="20"/>
          <w:color w:val="auto"/>
        </w:rPr>
      </w:pPr>
    </w:p>
    <w:p>
      <w:pPr>
        <w:ind w:left="180" w:right="10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w:t>
      </w:r>
    </w:p>
    <w:p>
      <w:pPr>
        <w:spacing w:after="0" w:line="80"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$45.8 million in restructuring charges at the education division, corporate office and other businesses (after-tax impact of $28.9 million, or $4.97 per share);</w:t>
      </w:r>
    </w:p>
    <w:p>
      <w:pPr>
        <w:spacing w:after="0" w:line="80"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w:t>
      </w:r>
    </w:p>
    <w:p>
      <w:pPr>
        <w:spacing w:after="0" w:line="80"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$21.4 million gain on the sale of land (after-tax impact of $13.2 million, or $2.27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2014 are listed below:</w:t>
      </w:r>
    </w:p>
    <w:p>
      <w:pPr>
        <w:spacing w:after="0" w:line="90" w:lineRule="exact"/>
        <w:rPr>
          <w:sz w:val="20"/>
          <w:szCs w:val="20"/>
          <w:color w:val="auto"/>
        </w:rPr>
      </w:pPr>
    </w:p>
    <w:p>
      <w:pPr>
        <w:ind w:left="180" w:right="40" w:hanging="172"/>
        <w:spacing w:after="0" w:line="235"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$31.6 million in restructuring charges and early retirement program expense and related charges at the education division and the corporate office (after-tax impact of $20.2 million, or $3.05 per share);</w:t>
      </w:r>
    </w:p>
    <w:p>
      <w:pPr>
        <w:spacing w:after="0" w:line="80" w:lineRule="exact"/>
        <w:rPr>
          <w:rFonts w:ascii="Arial" w:cs="Arial" w:eastAsia="Arial" w:hAnsi="Arial"/>
          <w:sz w:val="18"/>
          <w:szCs w:val="18"/>
          <w:color w:val="auto"/>
        </w:rPr>
      </w:pPr>
    </w:p>
    <w:p>
      <w:pPr>
        <w:ind w:left="180" w:right="160" w:hanging="172"/>
        <w:spacing w:after="0" w:line="235"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$17.3 million noncash intangible and other long-lived assets impairment charges at Kaplan and other businesses (after-tax impact of $11.2 million, or $1.69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$396.6 million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$266.7 million gain from the tax-free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w:t>
      </w:r>
    </w:p>
    <w:p>
      <w:pPr>
        <w:spacing w:after="0" w:line="9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Revenue for 2015 was $2,586.1 million, down 6% from $2,737.0 million in 2014. Revenues declined at the education division and were down slightly at the television broadcasting division, offset by an increase in other businesses.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2015, education revenue was down by 11%, advertising revenue decreased 9% and other revenue increased 41%. The revenue declines at Kaplan account for the reported education revenue. The decline in advertising revenue is due to decreased television broadcasting revenue. The increase in other revenues is due primarily to the inclusion of revenues from businesses acquired in 2015 and 2014.</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Operating costs and expenses for the year increased 6% to $2,666.9 million in 2015, from $2,504.3 million in 2014. Expenses were higher at the education division due to goodwill and other long-lived assets impairment charges recorded in 2015; increased spending on digital initiatives and network fees at the television broadcasting division in 2015; and increased expenses at other businesses as a result of businesses acquired in 2015 and 2014.</w:t>
      </w:r>
    </w:p>
    <w:p>
      <w:pPr>
        <w:spacing w:after="0" w:line="13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Company reported an operating loss for 2015 of $80.8 million, compared with operating income of $ 232.7 million in 2014. Operating results were down at the education and television broadcasting divisions, offset by improvement in other businesses.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are included in discontinued operations, net of tax, for all periods presented.</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closed on September 3, 2015.</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 owned subsidiary of the Company that included, among other things, WPLG, a Miami-based television</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746" w:right="319" w:bottom="1440" w:gutter="0" w:footer="0" w:header="0"/>
        </w:sectPr>
      </w:pPr>
    </w:p>
    <w:bookmarkStart w:id="40" w:name="page41"/>
    <w:bookmarkEnd w:id="40"/>
    <w:p>
      <w:pPr>
        <w:ind w:right="180"/>
        <w:spacing w:after="0" w:line="227" w:lineRule="auto"/>
        <w:rPr>
          <w:sz w:val="20"/>
          <w:szCs w:val="20"/>
          <w:color w:val="auto"/>
        </w:rPr>
      </w:pPr>
      <w:r>
        <w:rPr>
          <w:rFonts w:ascii="Arial" w:cs="Arial" w:eastAsia="Arial" w:hAnsi="Arial"/>
          <w:sz w:val="18"/>
          <w:szCs w:val="18"/>
          <w:color w:val="auto"/>
        </w:rPr>
        <w:t>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2014 includes a $266.7 million gain from the exchange of the Berkshire Hathaway shares, and income from discontinued operations for 2014 includes a $375.0 million gain from the WPLG exchange.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2015 totaled $ 1,927.5 million, down 11% from revenue of $2,160.4 million in 2014.</w:t>
      </w:r>
      <w:r>
        <w:rPr>
          <w:rFonts w:ascii="Arial" w:cs="Arial" w:eastAsia="Arial" w:hAnsi="Arial"/>
          <w:sz w:val="18"/>
          <w:szCs w:val="18"/>
          <w:b w:val="1"/>
          <w:bCs w:val="1"/>
          <w:color w:val="auto"/>
        </w:rPr>
        <w:t xml:space="preserve"> </w:t>
      </w:r>
      <w:r>
        <w:rPr>
          <w:rFonts w:ascii="Arial" w:cs="Arial" w:eastAsia="Arial" w:hAnsi="Arial"/>
          <w:sz w:val="18"/>
          <w:szCs w:val="18"/>
          <w:color w:val="auto"/>
        </w:rPr>
        <w:t>Kaplan</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an operating loss of $223.5 million for 2015, compared to operating income of $65.5 million in 2014. Kaplan’s 2015 operating results include goodwill and intangible assets impairment charges of $256.8 million in comparison to a $17.2 million charge in 2014. In 2015, operating results at Kaplan Higher Education and Kaplan International were down, partially offset by improved results at Kaplan Test Preparation.</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2015 and 2014, with the objective of establishing lower cost levels in future periods. Across all businesses, restructuring costs totaled $44.4 million in 2015 and $16.8 million in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849,625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1,010,058</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301,607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304,662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770,273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840,915</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6,502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6,094</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1,927,521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2,160,417</w:t>
            </w:r>
          </w:p>
        </w:tc>
        <w:tc>
          <w:tcPr>
            <w:tcW w:w="100" w:type="dxa"/>
            <w:vAlign w:val="bottom"/>
            <w:tcBorders>
              <w:bottom w:val="single" w:sz="8" w:color="auto"/>
            </w:tcBorders>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55,572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83,069</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16,798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53,661</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69,153</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(87,230)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(57,093)</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(5,523)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(7,738)</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(256,830)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(17,203)</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(223,456)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65,463</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Since 2012, KHE has continued to close campuses, consolidate facilities and reduce its workforce. On September 3, 2015, Kaplan completed the sale of substantially all of the remaining assets of its KHE Campuses business. In connection with these and other plans, KHE incurred $12.9 million and $6.5 million in restructuring costs in 2015 and 2014, respectively.</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long-lived asset impairment charges of $6.9 million and $13.6 million that were recorded in the second quarter of 2015 and fourth quarter of 2014, respectively, in connection with the KHE Campuses business.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KHE results include revenue and operating losses (including restructuring charges) related to all KHE Campuses, those sold to ECA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w w:val="96"/>
              </w:rPr>
              <w:t>2014</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178,734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299,109</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(38,830)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(28,549)</w:t>
            </w:r>
          </w:p>
        </w:tc>
      </w:tr>
    </w:tbl>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2015, KHE revenue declined 16% due to the campus sales and closings, and declines in average enrollments at Kaplan University, reflecting weaker market demand. The KHE operating income decline in 2015 is due to</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46" w:right="239" w:bottom="1440" w:gutter="0" w:footer="0" w:header="0"/>
          <w:type w:val="continuous"/>
        </w:sectPr>
      </w:pPr>
    </w:p>
    <w:bookmarkStart w:id="41" w:name="page42"/>
    <w:bookmarkEnd w:id="41"/>
    <w:p>
      <w:pPr>
        <w:ind w:right="260"/>
        <w:spacing w:after="0" w:line="235" w:lineRule="auto"/>
        <w:rPr>
          <w:sz w:val="20"/>
          <w:szCs w:val="20"/>
          <w:color w:val="auto"/>
        </w:rPr>
      </w:pPr>
      <w:r>
        <w:rPr>
          <w:rFonts w:ascii="Arial" w:cs="Arial" w:eastAsia="Arial" w:hAnsi="Arial"/>
          <w:sz w:val="18"/>
          <w:szCs w:val="18"/>
          <w:color w:val="auto"/>
        </w:rPr>
        <w:t>increased losses at the KHE Campuses business, the revenue declines, and increased restructuring costs. In 2015, the decline was partially offset by improved results at the domestic professional training and other continuing education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14% in 2015 due to lower demand across Kaplan University programs.</w:t>
      </w:r>
    </w:p>
    <w:p>
      <w:pPr>
        <w:spacing w:after="0" w:line="1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Total higher education students at Kaplan University at December 31, 2015, were down 6% compared to December 31, 2014. A summary of higher education student enrollments is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605"/>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420" w:type="dxa"/>
            <w:vAlign w:val="bottom"/>
            <w:gridSpan w:val="2"/>
          </w:tcPr>
          <w:p>
            <w:pPr>
              <w:jc w:val="right"/>
              <w:ind w:right="305"/>
              <w:spacing w:after="0"/>
              <w:rPr>
                <w:sz w:val="20"/>
                <w:szCs w:val="20"/>
                <w:color w:val="auto"/>
              </w:rPr>
            </w:pPr>
            <w:r>
              <w:rPr>
                <w:rFonts w:ascii="Arial" w:cs="Arial" w:eastAsia="Arial" w:hAnsi="Arial"/>
                <w:sz w:val="16"/>
                <w:szCs w:val="16"/>
                <w:b w:val="1"/>
                <w:bCs w:val="1"/>
                <w:color w:val="auto"/>
              </w:rPr>
              <w:t>39,848</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42,469</w:t>
            </w:r>
          </w:p>
        </w:tc>
      </w:tr>
      <w:tr>
        <w:trPr>
          <w:trHeight w:val="384"/>
        </w:trPr>
        <w:tc>
          <w:tcPr>
            <w:tcW w:w="9020" w:type="dxa"/>
            <w:vAlign w:val="bottom"/>
          </w:tcPr>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6"/>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05"/>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b w:val="1"/>
                <w:bCs w:val="1"/>
                <w:color w:val="auto"/>
              </w:rPr>
              <w:t>4.4%</w:t>
            </w: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b w:val="1"/>
                <w:bCs w:val="1"/>
                <w:color w:val="auto"/>
              </w:rPr>
              <w:t>25.0%</w:t>
            </w:r>
          </w:p>
        </w:tc>
        <w:tc>
          <w:tcPr>
            <w:tcW w:w="98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b w:val="1"/>
                <w:bCs w:val="1"/>
                <w:color w:val="auto"/>
              </w:rPr>
              <w:t>48.4%</w:t>
            </w:r>
          </w:p>
        </w:tc>
        <w:tc>
          <w:tcPr>
            <w:tcW w:w="9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Master’s</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64"/>
        </w:trPr>
        <w:tc>
          <w:tcPr>
            <w:tcW w:w="9020" w:type="dxa"/>
            <w:vAlign w:val="bottom"/>
          </w:tcPr>
          <w:p>
            <w:pPr>
              <w:spacing w:after="0"/>
              <w:rPr>
                <w:sz w:val="22"/>
                <w:szCs w:val="22"/>
                <w:color w:val="auto"/>
              </w:rPr>
            </w:pPr>
          </w:p>
        </w:tc>
        <w:tc>
          <w:tcPr>
            <w:tcW w:w="1420" w:type="dxa"/>
            <w:vAlign w:val="bottom"/>
            <w:gridSpan w:val="2"/>
          </w:tcPr>
          <w:p>
            <w:pPr>
              <w:jc w:val="right"/>
              <w:ind w:right="165"/>
              <w:spacing w:after="0"/>
              <w:rPr>
                <w:sz w:val="20"/>
                <w:szCs w:val="20"/>
                <w:color w:val="auto"/>
              </w:rPr>
            </w:pPr>
            <w:r>
              <w:rPr>
                <w:rFonts w:ascii="Arial" w:cs="Arial" w:eastAsia="Arial" w:hAnsi="Arial"/>
                <w:sz w:val="16"/>
                <w:szCs w:val="16"/>
                <w:b w:val="1"/>
                <w:bCs w:val="1"/>
                <w:color w:val="auto"/>
              </w:rPr>
              <w:t>100.0%</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in 2015. Excluding revenues from acquired businesses, KTP revenue declined 3% in 2015. Enrollments, excluding the new economy skills training offerings, were down 12% in 2015 due primarily to declines in graduate and pre-college programs; however, unit prices were generally higher. In comparison to 2014, KTP operating results improved in 2015 due to a reduction in operating expenses and the inclusion of a $7.7 million software asset write-off in the second quarter of 2014 that did not recur in 2015.</w:t>
      </w:r>
    </w:p>
    <w:p>
      <w:pPr>
        <w:spacing w:after="0" w:line="13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8% in 2015 due to the adverse impact of foreign exchange rates. On a constant currency basis, Kaplan International revenue remained flat in 2015 due to enrollment declines in English-language programs, partially offset by growth in Australia professional and Singapore higher education programs.</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Kaplan International operating income decreased 22% in 2015 due to the declines in English-language programs’ results. Restructuring costs at Kaplan International totaled $1.3 million and $0.2 million in 2015 and 2014, respectively.</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2015, Kaplan corporate recorded $29.4 million in restructuring costs compared to $1.4 million in 2014.</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 In 2014, Kaplan recorded $17.2 million in noncash intangible and other long-lived assets impairment charges in connection with businesses at KHE, KTP and Kaplan International.</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that is included in other non-operating expense.</w:t>
      </w:r>
    </w:p>
    <w:p>
      <w:pPr>
        <w:spacing w:after="0" w:line="115"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decreased 1% to $359.2 million in 2015, from $363.8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2014; operating income for 2015 was down 12% to $164.9 million, from $187.8 million in 2014. The decrease in revenue is due to a $27.7 million decrease in political advertising revenue and $9.5 million in incremental winter Olympics-related advertising revenue at the Company’s NBC affiliates in 2014, offset by $16.1 million in increased retransmission revenues, revenues from the Super Bowl at the Company’s NBC affiliates in February 2015 and an increase in advertising revenue in several key sectors. The decline in operating income is due to the revenue decline and an increase in spending on digital initiatives and increased network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46% in 2015 and 52% in 2014.</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2" w:name="page43"/>
    <w:bookmarkEnd w:id="42"/>
    <w:p>
      <w:pPr>
        <w:ind w:right="20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2015 ratings period, Monday through Friday, sign-on to sign-off; KPRC finished in a three-way tie for first place; WDIV in Detroit ranked second; and WKMG in Orlando ranked third.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right="200" w:firstLine="8"/>
        <w:spacing w:after="0" w:line="235" w:lineRule="auto"/>
        <w:tabs>
          <w:tab w:leader="none" w:pos="1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134" w:lineRule="exact"/>
        <w:rPr>
          <w:rFonts w:ascii="Arial" w:cs="Arial" w:eastAsia="Arial" w:hAnsi="Arial"/>
          <w:sz w:val="18"/>
          <w:szCs w:val="18"/>
          <w:color w:val="auto"/>
        </w:rPr>
      </w:pPr>
    </w:p>
    <w:p>
      <w:pPr>
        <w:ind w:right="480" w:firstLine="8"/>
        <w:spacing w:after="0" w:line="227" w:lineRule="auto"/>
        <w:tabs>
          <w:tab w:leader="none" w:pos="1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Group Dekko, a Garrett, IN, based manufacturer of electrical workspace solutions, architectural lighting, and electrical components and assemblies (acquired in November 2015); Joyce/Dayton Corp., a Dayton, OH, based manufacturer of screw jacks and other linear motion systems (acquired in May 2014); and Forney, a global supplier of products and systems that control and monitor combustion processes in electric utility and industrial applications; and</w:t>
      </w:r>
    </w:p>
    <w:p>
      <w:pPr>
        <w:spacing w:after="0" w:line="135" w:lineRule="exact"/>
        <w:rPr>
          <w:rFonts w:ascii="Arial" w:cs="Arial" w:eastAsia="Arial" w:hAnsi="Arial"/>
          <w:sz w:val="18"/>
          <w:szCs w:val="18"/>
          <w:color w:val="auto"/>
        </w:rPr>
      </w:pPr>
    </w:p>
    <w:p>
      <w:pPr>
        <w:ind w:right="240" w:firstLine="8"/>
        <w:spacing w:after="0" w:line="235" w:lineRule="auto"/>
        <w:tabs>
          <w:tab w:leader="none" w:pos="1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and The Slate Group and Foreign Policy Group, which publish online and print magazines and websites.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37" w:lineRule="exact"/>
        <w:rPr>
          <w:sz w:val="20"/>
          <w:szCs w:val="20"/>
          <w:color w:val="auto"/>
        </w:rPr>
      </w:pPr>
    </w:p>
    <w:p>
      <w:pPr>
        <w:ind w:right="740"/>
        <w:spacing w:after="0" w:line="229" w:lineRule="auto"/>
        <w:rPr>
          <w:sz w:val="20"/>
          <w:szCs w:val="20"/>
          <w:color w:val="auto"/>
        </w:rPr>
      </w:pPr>
      <w:r>
        <w:rPr>
          <w:rFonts w:ascii="Arial" w:cs="Arial" w:eastAsia="Arial" w:hAnsi="Arial"/>
          <w:sz w:val="18"/>
          <w:szCs w:val="18"/>
          <w:color w:val="auto"/>
        </w:rPr>
        <w:t>The increase in revenues for 2015 is due primarily to the inclusion of revenues from the businesses acquired in 2015 and 2014. The improvement in operating results in 2015 reflects the contribution of the acquired businesses, as well as improved results at Celtic and SocialCode.</w:t>
      </w:r>
    </w:p>
    <w:p>
      <w:pPr>
        <w:spacing w:after="0" w:line="13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expense. Celtic’s revenues from the western Pennsylvania region that are now part of the joint venture made up 29% of total Celtic revenues in 2014.</w:t>
      </w:r>
    </w:p>
    <w:p>
      <w:pPr>
        <w:spacing w:after="0" w:line="13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fourth quarter of 2015, the Company recorded $6.0 million in incremental stock compensation expense due to the modification of restricted stock awards, and implemented a Special Incentive Program that resulted in expense of $0.9 million, which is being funded from the assets of the Company’s pension plan. In the third quarter of 2015, the Company recorded $18.8 million in incremental stock option expense, due to stock option modifications that resulted from the Cable ONE spin-off. In the first quarter of 2014, the corporate office implemented a Separation Incentive Program that resulted in expense of $ 4.5 million, which was funded from the assets of the Company’s pension plan. In the third quarter of 2014, the Company recorded $10.3 million in early retirement program expense and other related charges, a portion of which was funded from the assets of the Company’s pension plan.</w:t>
      </w:r>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Excluding early retirement program and other pension incentive program expense, the total pension credit for the Company’s traditional defined benefit plan was $83.2 million and $91.2 million for 2015 and 2014, respectively.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Excluding the $24.9 million in incremental stock compensation expense in 2015, the pension credit, early retirement program and other pension incentive program expense and other related charges in 2015 and 2014, corporate office expense declined in 2015. The decline is from lower compensation costs, and 2014 costs related to certain acquisitions, the Berkshire exchange transaction and the corporate office headquarters move to Arlington, VA, partially offset by 2015 costs related to the Group Dekko acquisition.</w:t>
      </w:r>
    </w:p>
    <w:p>
      <w:pPr>
        <w:spacing w:after="0" w:line="113"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At December 31, 2015, the Company held a 40% interest in a Celtic joint venture and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Home Health Illinois, a 42.5% interest in Residential Hospice Illinois, and interests in several other affiliates. In the second quarter of 2015, the Company acquired an approximate 20% interest in HomeHero, a company that created and manages an online senior home care marketplace. At September 30, 2014, the Company held a 16.5% interest in Classified Ventures, LLC (CV) and interests in several other affiliates. On October 1, 2014, the Company and the remaining partners in CV completed the sale of their entire stakes in CV.</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3" w:name="page44"/>
    <w:bookmarkEnd w:id="43"/>
    <w:p>
      <w:pPr>
        <w:ind w:right="360"/>
        <w:spacing w:after="0" w:line="235" w:lineRule="auto"/>
        <w:rPr>
          <w:sz w:val="20"/>
          <w:szCs w:val="20"/>
          <w:color w:val="auto"/>
        </w:rPr>
      </w:pPr>
      <w:r>
        <w:rPr>
          <w:rFonts w:ascii="Arial" w:cs="Arial" w:eastAsia="Arial" w:hAnsi="Arial"/>
          <w:sz w:val="18"/>
          <w:szCs w:val="18"/>
          <w:color w:val="auto"/>
        </w:rPr>
        <w:t>The Company’s equity in losses of affiliates, net, for 2015 was $0.7 million, compared to income of $100.4 million in 2014. The 2014 results include a pre-tax gain of $90.9 million from Classified Ventures’ sale of apartments.com in the second quarter of 2014.</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other non-operating expense, net, of $8.6 million in 2015,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$778.0 million in 2014.</w:t>
      </w:r>
    </w:p>
    <w:p>
      <w:pPr>
        <w:spacing w:after="0" w:line="12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2015 non-operating expense, net, included $23.3 million in losses from the sales of businesses, $15.6 million in unrealized foreign currency losses and other items, offset by a $21.4 million gain on the sale of land from Robinson Terminal, $6.0 million gain on the formation of a Celtic joint venture and a $4.8 million increase to the CV gain. The 2014 non-operating income, net, included a pre-tax gain of $396.6 million on the sale of Classified Ventures, the pre-tax gain of $266.7 million in connection with the Company’s exchange of Berkshire shares, a pre-tax gain of $127.7 million on the sale of the headquarters building, $11.1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$30.7 million in 2015, compared to $33.4 million in 2014.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2015, the Company had $399.9 million in borrowings outstanding at an average interest rate of 7.2%; at December 31, 2014, the Company had $445.9 million in borrowings outstanding at an average interest rate of 7.1%.</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 recorded a tax provision on the pre-tax loss from continuing operations in 2015, as a large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goodwill impairment charges and the goodwill included in the loss on the KHE Campuses sale are permanent differences not deductible for income tax purposes. Excluding the effect of these permanent differences, the effective tax rate for continuing operations in 2015 was 38.1%, compared to an effective tax rate of 29.0% in 2014. The lower effective tax rate in 2014 largely relates to the Berkshire exchange transaction. The pre-tax gain of $266.7 million related to the disposition of the Berkshire shares was not subject to income tax as the exchange qualified as a tax-free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July 1, 2015, the Company completed the spin-off of Cable ONE as an independent, publicly traded company.</w:t>
      </w:r>
    </w:p>
    <w:p>
      <w:pPr>
        <w:spacing w:after="0" w:line="166"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2014 COMPARED TO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common shares was $1,293.0 million ($195.03 per share) for the year ended December 31, 2014, compared to</w:t>
      </w:r>
    </w:p>
    <w:p>
      <w:pPr>
        <w:ind w:right="260"/>
        <w:spacing w:after="0" w:line="245" w:lineRule="auto"/>
        <w:rPr>
          <w:sz w:val="20"/>
          <w:szCs w:val="20"/>
          <w:color w:val="auto"/>
        </w:rPr>
      </w:pPr>
      <w:r>
        <w:rPr>
          <w:rFonts w:ascii="Arial" w:cs="Arial" w:eastAsia="Arial" w:hAnsi="Arial"/>
          <w:sz w:val="17"/>
          <w:szCs w:val="17"/>
          <w:color w:val="auto"/>
        </w:rPr>
        <w:t>$236.0 million ($32.05 per share) for the year ended December 31, 2013. Net income includes $527.9 million ($ 79.63 per share) and $172.6 million ($23.44 per share) in income from discontinued operations for 2014 and 2013, respectively. Income from continuing operations attributable to common shares was $765.1 million ($115.40 per share) for 2014, compared to $63.4 million ($8.61 per share) for 2013.</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11% fewer diluted shares outstanding in 2014.</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Items included in the Company’s income from continuing operations for 2014 are listed below:</w:t>
      </w:r>
    </w:p>
    <w:p>
      <w:pPr>
        <w:spacing w:after="0" w:line="90" w:lineRule="exact"/>
        <w:rPr>
          <w:sz w:val="20"/>
          <w:szCs w:val="20"/>
          <w:color w:val="auto"/>
        </w:rPr>
      </w:pPr>
    </w:p>
    <w:p>
      <w:pPr>
        <w:ind w:left="180" w:right="100" w:hanging="172"/>
        <w:spacing w:after="0" w:line="235"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$31.6 million in restructuring charges and early retirement program expense and related charges at the education division and the corporate office (after-tax impact of $20.2 million, or $3.05 per share);</w:t>
      </w:r>
    </w:p>
    <w:p>
      <w:pPr>
        <w:spacing w:after="0" w:line="80"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$17.3 million noncash intangible and other long-lived assets impairment charges at Kaplan and other businesses (after-tax impact of $11.2 million, or $1.69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$396.6 million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$266.7 million gain from the tax-free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2013 are listed below:</w:t>
      </w:r>
    </w:p>
    <w:p>
      <w:pPr>
        <w:spacing w:after="0" w:line="90"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$3.3 million noncash intangible assets impairment charge at Kaplan (after-tax impact of $3.2 million, or $0.44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Revenue for 2014 was $2,737.0 million, up 5% from $2,600.6 million in 2013. Revenues increased at the television broadcasting division and in other businesses, offset by a slight decline at the education division.</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2014, education revenue was flat, advertising revenue increased 12% and other revenue increased 66%. The flat revenue results at Kaplan account for the reported education revenue. The increase in advertising revenue is due to increased television broadcasting revenue. The increase in other revenues is due primarily to the inclusion of acquired businesses in 2014 and 2013.</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Operating costs and expenses for the year increased 2% to $2,504.3 million in 2014, from $2,451.2 million in 2013. Expenses were higher in other businesses and the television broadcasting division in 2014, partially offset by decreased costs at the education division.</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Operating income for 2014 increased to $232.7 million, from $149.4 million in 2013. Operating results improved at all divisions and benefited from an increase in the net pension credit.</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are included in discontinued operations, net of tax, for all periods presented.</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 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2014 includes a $266.7 million gain from the exchange of the Berkshire Hathaway shares, and income from discontinued operations for 2014 includes a $375.0 million gain from the WPLG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2014 totaled $2,160.4 million, compared to $2,163.7 million in 2013.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$65.5 million for 2014, compared to $51.0 million in 2013. Kaplan’s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46" w:right="259" w:bottom="1440" w:gutter="0" w:footer="0" w:header="0"/>
        </w:sectPr>
      </w:pPr>
    </w:p>
    <w:bookmarkStart w:id="45" w:name="page46"/>
    <w:bookmarkEnd w:id="45"/>
    <w:p>
      <w:pPr>
        <w:ind w:right="160"/>
        <w:spacing w:after="0" w:line="235" w:lineRule="auto"/>
        <w:rPr>
          <w:sz w:val="20"/>
          <w:szCs w:val="20"/>
          <w:color w:val="auto"/>
        </w:rPr>
      </w:pPr>
      <w:r>
        <w:rPr>
          <w:rFonts w:ascii="Arial" w:cs="Arial" w:eastAsia="Arial" w:hAnsi="Arial"/>
          <w:sz w:val="18"/>
          <w:szCs w:val="18"/>
          <w:color w:val="auto"/>
        </w:rPr>
        <w:t>2014 operating results in comparison to 2013 benefited from strong improvement in KHE and Kaplan International results, offset by increased intangible and other long-lived asset impairment charges.</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2014 and 2013, with the objective of establishing lower cost levels in future periods. Across all businesses, restructuring costs and software asset write-offs totaled $16.8 million in 2014 and $36.4 million in 2013.</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The sale of an additional school in China was completed in January 2015. Kaplan’s operating results exclude these schools, which have been reclassified to discontinued operations for all periods presented.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1,010,058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1,080,908</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304,662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293,201</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840,915</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783,588</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6,094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7,990</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2,160,417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2,163,734</w:t>
            </w:r>
          </w:p>
        </w:tc>
        <w:tc>
          <w:tcPr>
            <w:tcW w:w="100" w:type="dxa"/>
            <w:vAlign w:val="bottom"/>
            <w:tcBorders>
              <w:bottom w:val="single" w:sz="8" w:color="auto"/>
            </w:tcBorders>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83,069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71,584</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(4,730)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69,153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51,653</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(57,093)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(64,948)</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(7,738)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(8,503)</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(17,203)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65,463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50,989</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is in the process of teaching out the current students, and the campus closures will be completed by the end of 2015. In July 2014, KHE also announced plans to further reduce its workforce. In connection with these and other plans, KHE incurred $6.5 million and $19.5 million in restructuring costs from severance, accelerated depreciation, lease obligations and other items in 2014 and 2013, respectively.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February 2015, Kaplan entered into a Purchase and Sale Agreement with ECA to sell substantially all of the assets of its KHE Campuses business. The transaction closed on September 3, 2015. In addition, in the fourth quarter of 2014, Kaplan recorded a $13.6 million other long-lived asset impairment charge in connection with its KHE Campuses business. KHE results include revenue and operating income (loss) related to the KHE Campuses business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14"/>
                <w:szCs w:val="14"/>
                <w:color w:val="auto"/>
              </w:rPr>
            </w:pP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274,487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299,714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(12,500)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(28,343)</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In 2014, KHE revenue declined 7% due largely to declines in average enrollments at KHE campuses and at Kaplan University that reflect weaker market demand over the past year and lower average tuition. The declines were most pronounced at KHE’s ground campuses due to the impact of campuses closed or in the process of closing, as well as weakness in demand for KHE’s non-degree vocational programs. KHE operating income improved in 2014 due largely to expense reductions associated with lower enrollments and recent restructuring efforts and lower restructuring costs, partially offset by revenue declines and increased marketing spending at Kaplan University.</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746" w:right="239" w:bottom="1440" w:gutter="0" w:footer="0" w:header="0"/>
          <w:type w:val="continuous"/>
        </w:sectPr>
      </w:pPr>
    </w:p>
    <w:bookmarkStart w:id="46" w:name="page47"/>
    <w:bookmarkEnd w:id="46"/>
    <w:p>
      <w:pPr>
        <w:ind w:right="60"/>
        <w:spacing w:after="0" w:line="229" w:lineRule="auto"/>
        <w:rPr>
          <w:sz w:val="20"/>
          <w:szCs w:val="20"/>
          <w:color w:val="auto"/>
        </w:rPr>
      </w:pPr>
      <w:r>
        <w:rPr>
          <w:rFonts w:ascii="Arial" w:cs="Arial" w:eastAsia="Arial" w:hAnsi="Arial"/>
          <w:sz w:val="18"/>
          <w:szCs w:val="18"/>
          <w:color w:val="auto"/>
        </w:rPr>
        <w:t>New student enrollments at KHE declined 3% in 2014 due to lower demand across KHE and the impact of campus closures. Total students at Kaplan University at December 31, 2014, were down 6% compared to December 31, 2013. Excluding campuses closed or planned for closure, total students at December 31, 2014, were down 4% compared to December 31, 2013. A summary of student enrollments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25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Excluding Campuses Closing</w:t>
            </w:r>
          </w:p>
        </w:tc>
        <w:tc>
          <w:tcPr>
            <w:tcW w:w="1020" w:type="dxa"/>
            <w:vAlign w:val="bottom"/>
          </w:tcPr>
          <w:p>
            <w:pPr>
              <w:spacing w:after="0"/>
              <w:rPr>
                <w:sz w:val="15"/>
                <w:szCs w:val="15"/>
                <w:color w:val="auto"/>
              </w:rPr>
            </w:pPr>
          </w:p>
        </w:tc>
      </w:tr>
      <w:tr>
        <w:trPr>
          <w:trHeight w:val="250"/>
        </w:trPr>
        <w:tc>
          <w:tcPr>
            <w:tcW w:w="3900" w:type="dxa"/>
            <w:vAlign w:val="bottom"/>
          </w:tcPr>
          <w:p>
            <w:pPr>
              <w:spacing w:after="0"/>
              <w:rPr>
                <w:sz w:val="21"/>
                <w:szCs w:val="21"/>
                <w:color w:val="auto"/>
              </w:rPr>
            </w:pPr>
          </w:p>
        </w:tc>
        <w:tc>
          <w:tcPr>
            <w:tcW w:w="23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As of December 31</w:t>
            </w:r>
          </w:p>
        </w:tc>
        <w:tc>
          <w:tcPr>
            <w:tcW w:w="1560" w:type="dxa"/>
            <w:vAlign w:val="bottom"/>
          </w:tcPr>
          <w:p>
            <w:pPr>
              <w:spacing w:after="0"/>
              <w:rPr>
                <w:sz w:val="21"/>
                <w:szCs w:val="21"/>
                <w:color w:val="auto"/>
              </w:rPr>
            </w:pPr>
          </w:p>
        </w:tc>
        <w:tc>
          <w:tcPr>
            <w:tcW w:w="25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As of December 31</w:t>
            </w:r>
          </w:p>
        </w:tc>
        <w:tc>
          <w:tcPr>
            <w:tcW w:w="1020" w:type="dxa"/>
            <w:vAlign w:val="bottom"/>
          </w:tcPr>
          <w:p>
            <w:pPr>
              <w:spacing w:after="0"/>
              <w:rPr>
                <w:sz w:val="21"/>
                <w:szCs w:val="21"/>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2014</w:t>
            </w: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 Change</w:t>
            </w: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Change</w:t>
            </w:r>
          </w:p>
        </w:tc>
      </w:tr>
      <w:tr>
        <w:trPr>
          <w:trHeight w:val="258"/>
        </w:trPr>
        <w:tc>
          <w:tcPr>
            <w:tcW w:w="3900" w:type="dxa"/>
            <w:vAlign w:val="bottom"/>
          </w:tcPr>
          <w:p>
            <w:pPr>
              <w:ind w:left="40"/>
              <w:spacing w:after="0"/>
              <w:rPr>
                <w:sz w:val="20"/>
                <w:szCs w:val="20"/>
                <w:color w:val="auto"/>
              </w:rPr>
            </w:pPr>
            <w:r>
              <w:rPr>
                <w:rFonts w:ascii="Arial" w:cs="Arial" w:eastAsia="Arial" w:hAnsi="Arial"/>
                <w:sz w:val="14"/>
                <w:szCs w:val="14"/>
                <w:color w:val="auto"/>
              </w:rPr>
              <w:t>Kaplan University</w:t>
            </w:r>
          </w:p>
        </w:tc>
        <w:tc>
          <w:tcPr>
            <w:tcW w:w="1320" w:type="dxa"/>
            <w:vAlign w:val="bottom"/>
          </w:tcPr>
          <w:p>
            <w:pPr>
              <w:ind w:left="580"/>
              <w:spacing w:after="0"/>
              <w:rPr>
                <w:sz w:val="20"/>
                <w:szCs w:val="20"/>
                <w:color w:val="auto"/>
              </w:rPr>
            </w:pPr>
            <w:r>
              <w:rPr>
                <w:rFonts w:ascii="Arial" w:cs="Arial" w:eastAsia="Arial" w:hAnsi="Arial"/>
                <w:sz w:val="14"/>
                <w:szCs w:val="14"/>
                <w:color w:val="auto"/>
              </w:rPr>
              <w:t>42,469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42,816</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(1)</w:t>
            </w:r>
          </w:p>
        </w:tc>
        <w:tc>
          <w:tcPr>
            <w:tcW w:w="1460" w:type="dxa"/>
            <w:vAlign w:val="bottom"/>
          </w:tcPr>
          <w:p>
            <w:pPr>
              <w:ind w:left="680"/>
              <w:spacing w:after="0"/>
              <w:rPr>
                <w:sz w:val="20"/>
                <w:szCs w:val="20"/>
                <w:color w:val="auto"/>
              </w:rPr>
            </w:pPr>
            <w:r>
              <w:rPr>
                <w:rFonts w:ascii="Arial" w:cs="Arial" w:eastAsia="Arial" w:hAnsi="Arial"/>
                <w:sz w:val="14"/>
                <w:szCs w:val="14"/>
                <w:color w:val="auto"/>
              </w:rPr>
              <w:t>42,469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42,816</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276"/>
        </w:trPr>
        <w:tc>
          <w:tcPr>
            <w:tcW w:w="3900" w:type="dxa"/>
            <w:vAlign w:val="bottom"/>
          </w:tcPr>
          <w:p>
            <w:pPr>
              <w:ind w:left="40"/>
              <w:spacing w:after="0"/>
              <w:rPr>
                <w:sz w:val="20"/>
                <w:szCs w:val="20"/>
                <w:color w:val="auto"/>
              </w:rPr>
            </w:pPr>
            <w:r>
              <w:rPr>
                <w:rFonts w:ascii="Arial" w:cs="Arial" w:eastAsia="Arial" w:hAnsi="Arial"/>
                <w:sz w:val="14"/>
                <w:szCs w:val="14"/>
                <w:color w:val="auto"/>
              </w:rPr>
              <w:t>Other Campuses</w:t>
            </w:r>
          </w:p>
        </w:tc>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14,266</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17,417</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(18)</w:t>
            </w:r>
          </w:p>
        </w:tc>
        <w:tc>
          <w:tcPr>
            <w:tcW w:w="14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14,045</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15,818</w:t>
            </w:r>
          </w:p>
        </w:tc>
        <w:tc>
          <w:tcPr>
            <w:tcW w:w="1020" w:type="dxa"/>
            <w:vAlign w:val="bottom"/>
          </w:tcPr>
          <w:p>
            <w:pPr>
              <w:jc w:val="center"/>
              <w:spacing w:after="0"/>
              <w:rPr>
                <w:sz w:val="20"/>
                <w:szCs w:val="20"/>
                <w:color w:val="auto"/>
              </w:rPr>
            </w:pPr>
            <w:r>
              <w:rPr>
                <w:rFonts w:ascii="Arial" w:cs="Arial" w:eastAsia="Arial" w:hAnsi="Arial"/>
                <w:sz w:val="14"/>
                <w:szCs w:val="14"/>
                <w:color w:val="auto"/>
              </w:rPr>
              <w:t>(11)</w:t>
            </w:r>
          </w:p>
        </w:tc>
      </w:tr>
      <w:tr>
        <w:trPr>
          <w:trHeight w:val="270"/>
        </w:trPr>
        <w:tc>
          <w:tcPr>
            <w:tcW w:w="3900" w:type="dxa"/>
            <w:vAlign w:val="bottom"/>
          </w:tcPr>
          <w:p>
            <w:pPr>
              <w:spacing w:after="0"/>
              <w:rPr>
                <w:sz w:val="23"/>
                <w:szCs w:val="23"/>
                <w:color w:val="auto"/>
              </w:rPr>
            </w:pPr>
          </w:p>
        </w:tc>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56,735</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60,233</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(6)</w:t>
            </w:r>
          </w:p>
        </w:tc>
        <w:tc>
          <w:tcPr>
            <w:tcW w:w="14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56,514</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58,634</w:t>
            </w:r>
          </w:p>
        </w:tc>
        <w:tc>
          <w:tcPr>
            <w:tcW w:w="102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2014</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2013</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20.6%</w:t>
            </w: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27.4%</w:t>
            </w: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34.2%</w:t>
            </w:r>
          </w:p>
        </w:tc>
        <w:tc>
          <w:tcPr>
            <w:tcW w:w="9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KTP includes Kaplan’s standardized test preparation programs. KTP revenue increased 4% in 2014. Excluding revenues from acquired businesses, KTP revenue increased 2% in 2014. KTP recorded a $7.7 million software asset write-off in the second quarter of 2014 due to a decision to consolidate certain learning management systems. KTP operating results declined in 2014 due to the software asset write-off and increased costs for newly acquired businesses.</w:t>
      </w:r>
    </w:p>
    <w:p>
      <w:pPr>
        <w:spacing w:after="0" w:line="135"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in 2014 due to enrollment growth in the pathways, English-language, Australia professional and Singapore higher education programs. Kaplan International operating income increased 34% in 2014 due primarily to improved results from the operations in Australia and Singapore, and lower restructuring costs in 2014. Restructuring costs at Kaplan International totaled $0.2 million and $5.8 million in 2014 and 2013, respectively.</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2014, Kaplan recorded $17.2 million in noncash intangible and other long-lived assets impairment charges in connection with businesses at KHE, KTP and Kaplan International. In 2013, Kaplan recorded $3.3 million in noncash intangible assets impairment charges primarily in connection with one of the businesses in Kaplan International.</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2013, $11.0 million in restructuring costs was recorded in connection with charges related to office space managed by Kaplan corporate.</w:t>
      </w:r>
    </w:p>
    <w:p>
      <w:pPr>
        <w:spacing w:after="0" w:line="11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18% to $363.8 million in 2014, from $308.3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2013; operating income for 2014 was up 29% to $187.8 million, from $145.2 million in 2013. The increase in revenue and operating income is due to a $31.8 million increase in political advertising revenue, $9.5 million in incremental winter Olympics-related advertising revenue at the Company’s NBC affiliates, and $18.6 million in increased retransmission revenues. Operating margin at the television broadcasting division was 52% in 2014 and 47% in 2013.</w:t>
      </w:r>
    </w:p>
    <w:p>
      <w:pPr>
        <w:spacing w:after="0" w:line="138"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2014 ratings period, Monday through Friday, sign-on to sign-off; WDIV in Detroit ranked second, and KPRC in Houston and WKMG in Orlando ranked third.</w:t>
      </w:r>
    </w:p>
    <w:p>
      <w:pPr>
        <w:spacing w:after="0" w:line="137"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November 2014, the television broadcasting division acquired SocialNewsDesk, a market-leading software-based technology platform created by journalists to help newsroom and content producers publish, manage and monetize social media.</w:t>
      </w:r>
    </w:p>
    <w:p>
      <w:pPr>
        <w:spacing w:after="0" w:line="135"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As a result of the Berkshire exchange transaction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The Slate Group and Foreign Policy Group, which publish online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print magazines and websites; SocialCode, a marketing solutions provider helping companies with marketing on social-media platforms; Celtic Healthcare, a provider of home health and hospice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7" w:name="page48"/>
    <w:bookmarkEnd w:id="47"/>
    <w:p>
      <w:pPr>
        <w:ind w:right="120"/>
        <w:spacing w:after="0" w:line="229" w:lineRule="auto"/>
        <w:rPr>
          <w:sz w:val="20"/>
          <w:szCs w:val="20"/>
          <w:color w:val="auto"/>
        </w:rPr>
      </w:pPr>
      <w:r>
        <w:rPr>
          <w:rFonts w:ascii="Arial" w:cs="Arial" w:eastAsia="Arial" w:hAnsi="Arial"/>
          <w:sz w:val="18"/>
          <w:szCs w:val="18"/>
          <w:color w:val="auto"/>
        </w:rPr>
        <w:t>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 Other businesses also includes a number of businesses acquired in 2014.</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April 2014, Celtic Healthcare, Inc. (Celtic)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 In January 2015, Celtic and Allegheny Health Network (AHN)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starting in January 2015. Celtic’s revenues from the western Pennsylvania region that now are part of the joint venture made up 29% of total Celtic revenues in 2014.</w:t>
      </w:r>
    </w:p>
    <w:p>
      <w:pPr>
        <w:spacing w:after="0" w:line="136"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On May 30, 2014, the Company acquired Joyce/Dayton Corp. (Joyce/Dayton), a Dayton, OH-based manufacturer of screw jacks and other linear motion systems. The operating results of Joyce/Dayton are included in other businesses from the date of acquisition in the second quarter of 2014.</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and hospice services in Michigan and Illinois. The operating results of Residential are included in other businesses from the date of acquisition in the third quarter of 2014. Since Residential owns a minority interest in the Illinois operations it manages, the operating results of the Illinois operations are not being consolidated and the pro rata operating results are included in the Company’s equity in earnings of affiliates.</w:t>
      </w:r>
    </w:p>
    <w:p>
      <w:pPr>
        <w:spacing w:after="0" w:line="137" w:lineRule="exact"/>
        <w:rPr>
          <w:sz w:val="20"/>
          <w:szCs w:val="20"/>
          <w:color w:val="auto"/>
        </w:rPr>
      </w:pPr>
    </w:p>
    <w:p>
      <w:pPr>
        <w:ind w:right="580"/>
        <w:spacing w:after="0" w:line="227" w:lineRule="auto"/>
        <w:rPr>
          <w:sz w:val="20"/>
          <w:szCs w:val="20"/>
          <w:color w:val="auto"/>
        </w:rPr>
      </w:pPr>
      <w:r>
        <w:rPr>
          <w:rFonts w:ascii="Arial" w:cs="Arial" w:eastAsia="Arial" w:hAnsi="Arial"/>
          <w:sz w:val="18"/>
          <w:szCs w:val="18"/>
          <w:color w:val="auto"/>
        </w:rPr>
        <w:t>The increase in revenues for 2014 is due primarily to the inclusion of revenues from the businesses acquired in 2014 and 2013. The improvement in operating results in 2014 is due to improved results at SocialCode. This improvement was partially offset by increased amortization expense, and acquisition-related costs and other integration expenses incurred in conjunction with the VNA-TIP Healthcare acquisition.</w:t>
      </w:r>
    </w:p>
    <w:p>
      <w:pPr>
        <w:spacing w:after="0" w:line="113"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first quarter of 2014, the corporate office implemented a Separation Incentive Program that resulted in early retirement program expense of $4.5 million, which was funded from the assets of the Company’s pension plan. In the third quarter of 2014, the acceptance period for the Voluntary Retirement Incentive Program (VRIP) ended and the Company recorded $10.3 million in early retirement program expense and other related charges, a portion of which was funded from the assets of the Company’s pension plan. Excluding early retirement program expense, the total pension credit for the Company’s traditional defined benefit plan was $91.2 million and $42.7 million for 2014 and 2013, respectively.</w:t>
      </w:r>
    </w:p>
    <w:p>
      <w:pPr>
        <w:spacing w:after="0" w:line="137"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Excluding the pension credit, early retirement program expense and other related charges, corporate office expenses increased in 2014 due to higher compensation costs, expenses related to acquisitions, the Berkshire exchange transaction and the cable spin-off, and incremental costs associated with the corporate office headquarters move to Arlington, VA.</w:t>
      </w:r>
    </w:p>
    <w:p>
      <w:pPr>
        <w:spacing w:after="0" w:line="115"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b w:val="1"/>
          <w:bCs w:val="1"/>
          <w:color w:val="auto"/>
        </w:rPr>
        <w:t xml:space="preserve">Equity in Earnings of Affiliates. </w:t>
      </w:r>
      <w:r>
        <w:rPr>
          <w:rFonts w:ascii="Arial" w:cs="Arial" w:eastAsia="Arial" w:hAnsi="Arial"/>
          <w:sz w:val="18"/>
          <w:szCs w:val="18"/>
          <w:color w:val="auto"/>
        </w:rPr>
        <w:t>At September 30, 2014, the Company held a 16.5% interest in Classified Ventures, LLC (CV) and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several other affiliates. On October 1, 2014, the Company and the remaining partners in CV completed the sale of their entire stakes in CV. Total proceeds to the Company, net of transaction costs, were $408.5 million, of which $16.5 million will be held in escrow until October 1, 2015. The Company recorded a pre-tax non-operating gain of $396.6 million in connection with the sale in the fourth quarter of 2014.</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equity in earnings of affiliates, net, for 2014 was $100.4 million, compared to $13.2 million in 2013. The 2014 results include a pre-tax gain of $90.9 million from the CV sale of apartments.com in the second quarter of 2014.</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$778.0 million in 2014,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$23.8 million in 2013.</w:t>
      </w:r>
    </w:p>
    <w:p>
      <w:pPr>
        <w:spacing w:after="0" w:line="121"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2014 non-operating income, net, included a fourth quarter pre-tax gain of $396.6 million on the sale of CV, the pre-tax gain of $266.7 million in connection with the Company’s exchange of Berkshire shares, a pre-tax gain of $127.7 million on the sale of the headquarters building, $11.1 million in unrealized foreign currency losses and other items. The 2013 non-operating expense, net, included a $10.4 million write-down of a marketable equity security, $13.4 million in unrealized foreign currency losses and other items.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4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$33.4 million in 2014, compared to $33.7 million in 2013.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2014, the Company had $445.9 million in borrowings outstanding at an average interest rate of 7.1%; at December 31, 2013, the Company had $450.8 million in borrowings outstanding at an average interest rate of 7.0%.</w:t>
      </w:r>
    </w:p>
    <w:p>
      <w:pPr>
        <w:spacing w:after="0" w:line="113"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income from continuing operations in 2014 was 29.0%. The lower effective tax rate in</w:t>
      </w:r>
      <w:r>
        <w:rPr>
          <w:rFonts w:ascii="Arial" w:cs="Arial" w:eastAsia="Arial" w:hAnsi="Arial"/>
          <w:sz w:val="18"/>
          <w:szCs w:val="18"/>
          <w:b w:val="1"/>
          <w:bCs w:val="1"/>
          <w:color w:val="auto"/>
        </w:rPr>
        <w:t xml:space="preserve"> </w:t>
      </w:r>
      <w:r>
        <w:rPr>
          <w:rFonts w:ascii="Arial" w:cs="Arial" w:eastAsia="Arial" w:hAnsi="Arial"/>
          <w:sz w:val="18"/>
          <w:szCs w:val="18"/>
          <w:color w:val="auto"/>
        </w:rPr>
        <w:t>2014 largely relates to the Berkshire exchange transaction. The pre-tax gain of $266.7 million related to the disposition of the Berkshire shares was not subject to income tax as the exchange qualifies as a tax-free transaction.</w:t>
      </w:r>
    </w:p>
    <w:p>
      <w:pPr>
        <w:spacing w:after="0" w:line="136"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The effective tax rate for income from continuing operations in 2013 was 38.5%. This effective tax rate benefited from lower state taxes and lower rates in jurisdictions outside the United States, offset by $4.6 million in net state and non-U.S. valuation allowances provided against deferred income tax benefits where realization is doubtful.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July 1, 2015, the Company completed the spin-off of Cable ONE as an independent, publicly traded company.</w:t>
      </w:r>
    </w:p>
    <w:p>
      <w:pPr>
        <w:spacing w:after="0" w:line="166"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On June 30, 2014, the Company and Berkshire Hathaway Inc. completed the Berkshire exchange transaction. A gain of $375.0 million was recorded in discontinued operations in connection with the disposition of WPLG, a Miami-based television station. This gain is not subject to income tax.</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in China was sold by Kaplan in January 2015.</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related publishing businesses sold include The Washington Post, Express, The Gazette Newspapers, Southern Maryland Newspapers, Greater Washington Publishing, Fairfax County Times, El Tiempo Latino and related websites (Publishing Subsidiaries). In the fourth quarter of 2013, a pre-tax gain of $157.5 million was recorded in discontinued operations on the sale ($100.0 million after-tax gain).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sold The Herald, a daily newspaper headquartered in Everett, WA.</w:t>
      </w:r>
    </w:p>
    <w:p>
      <w:pPr>
        <w:spacing w:after="0" w:line="14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$163.3 million in 2015; $210.2 million in 2014; and $23.8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2013. The assets and liabilities of the companies acquired have been recorded at their estimated fair values at the date of acquisition.</w:t>
      </w:r>
    </w:p>
    <w:p>
      <w:pPr>
        <w:spacing w:after="0" w:line="121" w:lineRule="exact"/>
        <w:rPr>
          <w:sz w:val="20"/>
          <w:szCs w:val="20"/>
          <w:color w:val="auto"/>
        </w:rPr>
      </w:pPr>
    </w:p>
    <w:p>
      <w:pPr>
        <w:ind w:right="360"/>
        <w:spacing w:after="0" w:line="225" w:lineRule="auto"/>
        <w:rPr>
          <w:sz w:val="20"/>
          <w:szCs w:val="20"/>
          <w:color w:val="auto"/>
        </w:rPr>
      </w:pPr>
      <w:r>
        <w:rPr>
          <w:rFonts w:ascii="Arial" w:cs="Arial" w:eastAsia="Arial" w:hAnsi="Arial"/>
          <w:sz w:val="18"/>
          <w:szCs w:val="18"/>
          <w:color w:val="auto"/>
        </w:rPr>
        <w:t>During 2015, the Company acquired two businesses. 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SmartPros, a leading provider of accredited professional education and training, primarily in accountancy, which is included in Higher Education.</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During 2014, the Company acquired nine businesses. 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fair value of the redeemable noncontrolling interest in Residential Healthcare Group, Inc. was $17.1 million at the acquisition date, determined using a market approach. The minority shareholders have an option to put their shares to the Company starting in 2017, and the Company has an option to buy the shares of some minority shareholders in 2020 and those of the remaining minority shareholders in 2024. The operating results of these businesses are included in other businesses. The Company also acquired three small businesses in its education division, one small business in its broadcasting division and two small businesses in other businesses.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24" w:right="239" w:bottom="1440" w:gutter="0" w:footer="0" w:header="0"/>
        </w:sectPr>
      </w:pPr>
    </w:p>
    <w:bookmarkStart w:id="49" w:name="page50"/>
    <w:bookmarkEnd w:id="49"/>
    <w:p>
      <w:pPr>
        <w:ind w:right="120"/>
        <w:spacing w:after="0" w:line="225"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 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and February 2016, Kaplan acquired Mander Portman Woodward, a leading provider of high-quality, bespoke education to U.K. and international students in London, Cambridge and Birmingham; and Osborne Books, a leading educational publisher of learning resources for accounting qualifications in the U.K., for approximately $205 million, both of which will be included in Kaplan International.</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On September 3, 2015, Kaplan completed the sale of substantially all of the assets of its KHE Campuses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U.S. Department of Education (ED) in connection with its post-closing review of the transaction, Kaplan 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(expense) income.</w:t>
      </w:r>
    </w:p>
    <w:p>
      <w:pPr>
        <w:spacing w:after="0" w:line="135"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In January 2015, Kaplan completed the sale of an additional school in China.</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October 1, 2013, the Company completed the sale of its Publishing Subsidiaries that together conducted most of the Company’s publishing business and related services, including publishing The Washington Post, Express, The Gazette Newspapers, Southern Maryland Newspapers, Greater Washington Publishing, Fairfax County Times, El Tiempo Latino and related websites. In March 2013, the Company completed the sale of The Herald, a daily and Sunday newspaper headquartered in Everett, WA.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is included in Kaplan Corporate and Other.</w:t>
      </w:r>
    </w:p>
    <w:p>
      <w:pPr>
        <w:spacing w:after="0" w:line="12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 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17"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Allegheny Health Network closed on the formation of a joint venture to combine each other’s home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3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Company’s income from continuing operations excludes Cable ONE, the sold Kaplan China schools, WPLG, the Publishing Subsidiaries and The Herald, which have been reclassified to discontinued operations.</w:t>
      </w:r>
    </w:p>
    <w:p>
      <w:pPr>
        <w:spacing w:after="0" w:line="11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2015, the Company’s capital expenditures totaled $131.3 million, which included the cable division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half of the year. The Company’s capital expenditures for businesses included in continuing operations for 2015, 2014 and 2013 are disclosed in Note 19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$75 million to $85 million in 2016.</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46" w:right="259" w:bottom="1440" w:gutter="0" w:footer="0" w:header="0"/>
        </w:sectPr>
      </w:pPr>
    </w:p>
    <w:bookmarkStart w:id="50" w:name="page51"/>
    <w:bookmarkEnd w:id="50"/>
    <w:p>
      <w:pPr>
        <w:ind w:right="100"/>
        <w:spacing w:after="0" w:line="23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2015,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$350.6 million, which includes investments in the common stock of eight publicly traded companies. At December 31, 2015, the net unrealized gain related to the Company’s investments totaled $97.5 million.</w:t>
      </w:r>
    </w:p>
    <w:p>
      <w:pPr>
        <w:spacing w:after="0" w:line="13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On June 30, 2014, the Company completed a transaction with Berkshire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At the end of 2013,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write-down of the investment in 2013.</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2015 and 2013, the Company purchased a total of 46,226 and 33,024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its Class B common stock at a cost of approximately $23.0 million and $17.7 million, respectively. As part of the exchange transaction with Berkshire Hathaway in 2014, the Company acquired 1,620,190 shares of its Class B common stock at a cost of approximately $1,165.4 million. On May 14, 2015, the Board of Directors authorized the Company to acquire up to 500,000 shares of its Class B common stock. The Company did not announce a ceiling price or time limit for the purchases. The authorization includes 159,219 shares that remained under the previous authorization. At December 31, 2015, the Company had remaining authorization from the Board of Directors to purchase up to 453,774 shares of Class B common stock. Shares acquired as part of the exchange transaction received separate authorization by the Company’s Board of Directors.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January and February of 2016, the Company has acquired an additional 168,698 shares of its Class B common stock at a cost of approximately $80.8 million, most of which were purchased pursuant to a 10b5-1 plan. The annual dividend rate for 2016 is $4.84 per share, compared to $9.10 and $10.20 in 2015 and 2014, respectively. The annual dividend rate was adjusted in the third quarter of 2015 as a result of the spin-off of Cable ONE.</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2015, the Company’s cash and cash equivalents decreased by $19.8 million and the Company’s borrowings decreased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$46.0 million.</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At December 31, 2015, the Company has $754.2 million in cash and cash equivalents, compared to $772.8 million at December 31, 2014. Restricted cash at December 31, 2015, totaled $20.7 million, compared to $24.9 million at December 31, 2014. As of December 31, 2015 and 2014, the Company had commercial paper and money market investments of $433.0 million and $594.3 million, respectively, that are classified as cash, cash equivalents and restricted cash in the Company’s Consolidated Financial Statements. At December 31, 2015, the Company has approximately $3.3 million in cash and cash equivalents in countries outside the U.S., which is not immediately available for use in operations or for distribution.</w:t>
      </w:r>
    </w:p>
    <w:p>
      <w:pPr>
        <w:spacing w:after="0" w:line="137"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At December 31, 2015 and 2014, the Company had borrowings outstanding of $399.9 million and $445.9 million, respectively. The Company’s borrowings at December 31, 2015, are from $400.0 million of 7.25% unsecured notes due February 1, 2019; the interest on $400.0 million of</w:t>
      </w:r>
    </w:p>
    <w:p>
      <w:pPr>
        <w:ind w:right="80"/>
        <w:spacing w:after="0" w:line="225" w:lineRule="auto"/>
        <w:rPr>
          <w:sz w:val="20"/>
          <w:szCs w:val="20"/>
          <w:color w:val="auto"/>
        </w:rPr>
      </w:pPr>
      <w:r>
        <w:rPr>
          <w:rFonts w:ascii="Arial" w:cs="Arial" w:eastAsia="Arial" w:hAnsi="Arial"/>
          <w:sz w:val="18"/>
          <w:szCs w:val="18"/>
          <w:color w:val="auto"/>
        </w:rPr>
        <w:t>7.25% unsecured notes is payable semiannually on February 1 and August 1. The Company’s borrowings at December 31, 2014, were mostly from $400.0 million of 7.25% unsecured notes due February 1, 2019, and AUD 50 million revolving credit borrowings. The Company did not have any outstanding commercial paper borrowing or USD revolving credit borrowing as of December 31, 2015 and 2014. On March 9, 2015, the Company repaid the AUD 50 million debt. The Company retired the Series A redeemable preferred stock with a cash payment of $10.5 million in October 2015.</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24" w:right="259" w:bottom="1440" w:gutter="0" w:footer="0" w:header="0"/>
        </w:sectPr>
      </w:pPr>
    </w:p>
    <w:bookmarkStart w:id="51" w:name="page52"/>
    <w:bookmarkEnd w:id="51"/>
    <w:p>
      <w:pPr>
        <w:ind w:right="200"/>
        <w:spacing w:after="0" w:line="225" w:lineRule="auto"/>
        <w:rPr>
          <w:sz w:val="20"/>
          <w:szCs w:val="20"/>
          <w:color w:val="auto"/>
        </w:rPr>
      </w:pPr>
      <w:r>
        <w:rPr>
          <w:rFonts w:ascii="Arial" w:cs="Arial" w:eastAsia="Arial" w:hAnsi="Arial"/>
          <w:sz w:val="18"/>
          <w:szCs w:val="18"/>
          <w:color w:val="auto"/>
        </w:rPr>
        <w:t>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December 31, 2015, the Company is in compliance with all financial covenants.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paid the Company variable interest on the AUD 50 million notional amount at the three-month bank bill rate, and the Company paid the counterparties a fixed rate of 4.5275%. These interest rate swap agreements were entered into to convert the variable rate Australian dollar borrowing under the revolving credit facility into a fixed-rate borrowing. Based on the terms of the interest rate swap agreements and the underlying borrowing, these interest rate swap agreements were determined to be effective and thus qualified as a cash flow hedge. As such, any changes in the fair value of these interest rate swaps were recorded in other comprehensive income on the Consolidated Balance Sheets until earnings were affected by the variability of cash flows. On March 9, 2015, the Company repaid the AUD 50 million borrowed under its revolving credit facility. On the same day, the AUD 50 million interest rate swap agreements matured.</w:t>
      </w:r>
    </w:p>
    <w:p>
      <w:pPr>
        <w:spacing w:after="0" w:line="14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March 12, 2014, Moody’s placed the Company’s senior unsecured rating and its Prime-2 commercial paper rating on review for downgrade. On June 26, 2014, Moody’s downgraded the Company’s long-term credit ratings by two levels from “Baa1” to “Baa3” and downgraded the short-term rating by one level from Prime-2 to Prime-3 and changed the outlook to stable. In November 2014, S&amp;P placed the Company’s “BBB” corporate credit rating and “A-2” commercial paper rating on Credit Watch with negative implications, and Moody’s placed the Company’s “Baa3” senior unsecured rating under review for possible downgrade. On June 24, 2015, related to the pending Cable ONE spin-off, Moody’s downgraded the Company’s long-term credit ratings from “Baa3” to “Ba1” and the short-term rating from “Prime-3” to “NP”. On July 1, 2015, related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During 2015 and 2014, the Company had average borrowings outstanding of approximately $428.4 million and $450.9 million, respectively, at average annual interest rates of approximately 7.1% and 7.0%, respectively. The Company incurred net interest expense of $30.7 million and $33.4 million, respectively, during 2015 and 2014.</w:t>
      </w:r>
    </w:p>
    <w:p>
      <w:pPr>
        <w:spacing w:after="0" w:line="137"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At December 31, 2015 and 2014, the Company had working capital of $1,135.6 million and $639.9 million,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$74.8 million in 2015, compared to $372.4 million in 2014. The decline is largely due to significant income tax payments made in the first quarter of 2015 and the absence of the cable division operating results for the second half of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2015, the Company received a $447.1 million net distribution from Cable ONE as a result of the spin-off.</w:t>
      </w:r>
    </w:p>
    <w:p>
      <w:pPr>
        <w:spacing w:after="0" w:line="14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December 2015, the Company sold one property located along the Potomac River in Alexandria, VA, for approximately $22.9 million. A second property in Alexandria is under contract for sale and is expected to close in 2016.</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July 2014, the cable division sold its wireless spectrum licenses for $98.8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2" w:name="page53"/>
    <w:bookmarkEnd w:id="52"/>
    <w:p>
      <w:pPr>
        <w:jc w:val="both"/>
        <w:ind w:right="180"/>
        <w:spacing w:after="0" w:line="227"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was held in escrow and received in the fourth quarter of 2015. The Company recorded a pre-tax gain of $396.6 million on the sale of its interest in Classified Ventures in the fourth quarter of 2014. In the second quarter of 2015, the Company received an additional $4.8 million from the sale of Classified Ventures.</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30,204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414,500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502,704</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106,253</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95,675</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80,188</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69,839</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54,351</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214,050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620,356</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9,149</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7,877</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3,897</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485</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21,772</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73,218</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27,293</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10,691</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4,420</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2,354</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3,127</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121,103</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5,821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5,694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5,421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5,322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5,525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34,786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62,569</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223,441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166,743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129,197</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494,263</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62,412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252,448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1,328,504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19"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1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with related parties, as discussed in Note 4 to the Company’s Consolidated Financial Statements, are in the ordinary course of business and are conducted on an arm’s-length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3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3" w:name="page54"/>
    <w:bookmarkEnd w:id="53"/>
    <w:p>
      <w:pPr>
        <w:ind w:right="640"/>
        <w:spacing w:after="0" w:line="235" w:lineRule="auto"/>
        <w:rPr>
          <w:sz w:val="20"/>
          <w:szCs w:val="20"/>
          <w:color w:val="auto"/>
        </w:rPr>
      </w:pPr>
      <w:r>
        <w:rPr>
          <w:rFonts w:ascii="Arial" w:cs="Arial" w:eastAsia="Arial" w:hAnsi="Arial"/>
          <w:sz w:val="18"/>
          <w:szCs w:val="18"/>
          <w:color w:val="auto"/>
        </w:rPr>
        <w:t>arrangements as part of this assessment. In addition, the Company considers other key indicators such as latitude in establishing price, inventory risk, nature of services performed, discretion in supplier selection and credit risk.</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2014</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1,039.4</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1,865.5</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4,353.0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5,752.3</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24%</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32%</w:t>
            </w:r>
          </w:p>
        </w:tc>
      </w:tr>
    </w:tbl>
    <w:p>
      <w:pPr>
        <w:spacing w:after="0" w:line="16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the two-step goodwill impairment test. The Company tests goodwill for impairment using the two-step process if, based on its assessment of the qualitative factors, it determines that it is more likely than not that the fair value of a reporting unit is less than its carrying amount, or if it decides to bypass the qualitative assessment. The first step of the goodwill impairment test compares the estimated fair value of a reporting unit 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44"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In the third quarter of 2015, the Company performed an interim review of the carrying value of goodwill and other intangible assets at its KHE reporting unit for possible impairment, as a result of continued declines in student enrollments at KHE and the challenging industry operating environment.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 The methodology used to estimate the fair value of the Company’s KHE reporting unit was consistent with the one used during the Company’s 2014 annual goodwill impairment test. The key assumptions used by the Company were as follows:</w:t>
      </w:r>
    </w:p>
    <w:p>
      <w:pPr>
        <w:spacing w:after="0" w:line="139" w:lineRule="exact"/>
        <w:rPr>
          <w:sz w:val="20"/>
          <w:szCs w:val="20"/>
          <w:color w:val="auto"/>
        </w:rPr>
      </w:pPr>
    </w:p>
    <w:p>
      <w:pPr>
        <w:ind w:left="180" w:right="220" w:hanging="172"/>
        <w:spacing w:after="0" w:line="229"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cash flows underlying the reporting unit’s business plans for the periods 2015 through 2025. The expected cash flows took into account historical growth rates, forecasts and long-term business plans, but also included an estimate for the possible impact of the gainful employment regulations on the Company’s higher education business.</w:t>
      </w:r>
    </w:p>
    <w:p>
      <w:pPr>
        <w:spacing w:after="0" w:line="136"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flows beyond 2025 were projected to grow at a long-term growth rate, which the Company estimated by considering historical market growth trends, anticipated reporting unit performance and expected market conditions.</w:t>
      </w:r>
    </w:p>
    <w:p>
      <w:pPr>
        <w:spacing w:after="0" w:line="134" w:lineRule="exact"/>
        <w:rPr>
          <w:rFonts w:ascii="Arial" w:cs="Arial" w:eastAsia="Arial" w:hAnsi="Arial"/>
          <w:sz w:val="18"/>
          <w:szCs w:val="18"/>
          <w:color w:val="auto"/>
        </w:rPr>
      </w:pPr>
    </w:p>
    <w:p>
      <w:pPr>
        <w:jc w:val="both"/>
        <w:ind w:left="180" w:right="500" w:hanging="172"/>
        <w:spacing w:after="0" w:line="229"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used a discount rate of 13% to risk adjust the cash flow projections in determining the estimated fair value. This took into account the Company’s assessment of the risks inherent in the future cash flows of the reporting unit and the weighted average cost of capital of market participants in businesses similar to the reporting unit.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4" w:name="page55"/>
    <w:bookmarkEnd w:id="54"/>
    <w:p>
      <w:pPr>
        <w:ind w:right="80"/>
        <w:spacing w:after="0" w:line="227" w:lineRule="auto"/>
        <w:rPr>
          <w:sz w:val="20"/>
          <w:szCs w:val="20"/>
          <w:color w:val="auto"/>
        </w:rPr>
      </w:pPr>
      <w:r>
        <w:rPr>
          <w:rFonts w:ascii="Arial" w:cs="Arial" w:eastAsia="Arial" w:hAnsi="Arial"/>
          <w:sz w:val="18"/>
          <w:szCs w:val="18"/>
          <w:color w:val="auto"/>
        </w:rPr>
        <w:t>The KHE reporting unit failed the step one interim goodwill impairment review, and the Company performed a step two analysis. The Company recorded a goodwill impairment charge of $248.6 million related to the reporting unit. A substantial portion of the impairment charge is due to the amount of unrecognized intangible assets identified in the step two analysis. Following the impairment, the remaining goodwill balance at the reporting unit as of December 31, 2015 was $143.9 million.</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had 12 reporting units as of December 31, 2015. The reporting units with significant goodwill balances as of December 31, 2015, were as follows, representing 81%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143.9</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447.5</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823.5</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As of November 30, 2015, in connection with the Company’s annual impairment testing, the Company decided to perform the two-step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2015, was consistent with the one used during the 2014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2015 compared with the prior year to take into account changes in the economic environment, regulations and their impact on the Company’s businesses. The key assumptions used by the Company were as follows:</w:t>
      </w:r>
    </w:p>
    <w:p>
      <w:pPr>
        <w:spacing w:after="0" w:line="83" w:lineRule="exact"/>
        <w:rPr>
          <w:sz w:val="20"/>
          <w:szCs w:val="20"/>
          <w:color w:val="auto"/>
        </w:rPr>
      </w:pPr>
    </w:p>
    <w:p>
      <w:pPr>
        <w:ind w:left="180" w:right="120" w:hanging="172"/>
        <w:spacing w:after="0" w:line="22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2016 through 2020 were used. The expected cash flows took into account historical growth rates, the effect of the changed economic outlook at some of the Company’s businesses, industry challenges and an estimate for the possible impact of any applicable regulations. Expected cash flows also reflected the anticipated savings from restructuring plans at certain of the education division’s reporting units, and other initiatives.</w:t>
      </w:r>
    </w:p>
    <w:p>
      <w:pPr>
        <w:spacing w:after="0" w:line="81" w:lineRule="exact"/>
        <w:rPr>
          <w:rFonts w:ascii="Arial" w:cs="Arial" w:eastAsia="Arial" w:hAnsi="Arial"/>
          <w:sz w:val="18"/>
          <w:szCs w:val="18"/>
          <w:color w:val="auto"/>
        </w:rPr>
      </w:pPr>
    </w:p>
    <w:p>
      <w:pPr>
        <w:ind w:left="180" w:right="240" w:hanging="172"/>
        <w:spacing w:after="0" w:line="235"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flows beyond 2020 were projected to grow at a long-term growth rate, which the Company estimated between 1.5% and 3% for each reporting unit.</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used a discount rate of 10.5% to 20.0% to risk adjust the cash flow projections in determining the estimated fair value.</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fair value of each of the reporting units exceeded its respective carrying value as of November 30, 2015. The estimated fair value of the Company’s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4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Company’s intangible assets with an indefinite life are principally from trade names, licensure and accreditation. The fair value of each indefinite-lived intangible asset exceeded its respective carrying value as of November 30, 2015. There is always a possibility that impairment charges could occur in the future, given the inherent variability in projecting future operating performance.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5" w:name="page56"/>
    <w:bookmarkEnd w:id="55"/>
    <w:p>
      <w:pPr>
        <w:ind w:right="100"/>
        <w:spacing w:after="0" w:line="226"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loss and special termination benefits, the Company’s net pension credit including amounts for discontinued operations was $63.3 million and $69.4 million for 2015 and 2014, respectively, and the net pension cost was $1.9 million for 2013. The Company’s pension benefit obligation and related (credits) costs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 assumed a 6.5% expected return on plan assets for year 2015, which is consistent with the expected return assumption for years 2014 and 2013. The Company’s actual (loss) return on plan assets was (6.2%) in 2015, 7.4% in 2014 and 36.2% in 2013. The 10-year and 20-year actual returns on plan assets on an annual basis were 8.8% and 10.9%,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increase subsequent-year pension costs; higher discount rates decrease present values and decrease subsequent-year pension costs. The Company’s discount rate at December 31, 2015, 2014 and 2013, was 4.3%, 4.0% and 4.8%, respectively, reflecting market interest rates.</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2015 pension credit, excluding curtailment gain, settlement loss and special termination benefits:</w:t>
      </w:r>
    </w:p>
    <w:p>
      <w:pPr>
        <w:spacing w:after="0" w:line="81" w:lineRule="exact"/>
        <w:rPr>
          <w:sz w:val="20"/>
          <w:szCs w:val="20"/>
          <w:color w:val="auto"/>
        </w:rPr>
      </w:pPr>
    </w:p>
    <w:p>
      <w:pPr>
        <w:ind w:left="180" w:right="40" w:hanging="172"/>
        <w:spacing w:after="0" w:line="235"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$20.0 million.</w:t>
      </w:r>
    </w:p>
    <w:p>
      <w:pPr>
        <w:spacing w:after="0" w:line="80" w:lineRule="exact"/>
        <w:rPr>
          <w:rFonts w:ascii="Arial" w:cs="Arial" w:eastAsia="Arial" w:hAnsi="Arial"/>
          <w:sz w:val="18"/>
          <w:szCs w:val="18"/>
          <w:color w:val="auto"/>
        </w:rPr>
      </w:pPr>
    </w:p>
    <w:p>
      <w:pPr>
        <w:jc w:val="both"/>
        <w:ind w:left="180" w:right="300" w:hanging="172"/>
        <w:spacing w:after="0" w:line="25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$7.9 million. A 1% increase to the Company’s assumed discount rate would have increased the pension credit by approximately $18.3 million.</w:t>
      </w:r>
    </w:p>
    <w:p>
      <w:pPr>
        <w:spacing w:after="0" w:line="120"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Company’s net pension (credit) cost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cost for the year.</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2012, the Company had net unamortized actuarial losses in accumulated other comprehensive income potentially subject to amortization that were outside the 10% corridor that resulted in amortized losses of $5.6 million being included in the pension cost for the first nine months of 2013. As a result of the sale of the newspaper publishing businesses, the Company remeasured the accumulated and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24" w:right="259" w:bottom="1440" w:gutter="0" w:footer="0" w:header="0"/>
        </w:sectPr>
      </w:pPr>
    </w:p>
    <w:bookmarkStart w:id="56" w:name="page57"/>
    <w:bookmarkEnd w:id="56"/>
    <w:p>
      <w:pPr>
        <w:ind w:right="140"/>
        <w:spacing w:after="0" w:line="223" w:lineRule="auto"/>
        <w:rPr>
          <w:sz w:val="20"/>
          <w:szCs w:val="20"/>
          <w:color w:val="auto"/>
        </w:rPr>
      </w:pPr>
      <w:r>
        <w:rPr>
          <w:rFonts w:ascii="Arial" w:cs="Arial" w:eastAsia="Arial" w:hAnsi="Arial"/>
          <w:sz w:val="18"/>
          <w:szCs w:val="18"/>
          <w:color w:val="auto"/>
        </w:rPr>
        <w:t>projected benefit obligation as of October 1, 2013, and recorded a curtailment gain and settlement loss. During the first nine months of 2013, there were significant pension asset gains and an increase in the discount rate, which resulted in net unamortized actuarial gains in accumulated other comprehensive income subject to amortization outside the corridor as of the remeasurement date, and therefore, an amortized gain amount of $2.8 million was included in the pension cost for the last three months of 2013. Overall, the Company recorded an amortized loss amount of $2.8 million for 2013. During the last three months of 2013, there were additional pension asset gains. As a result of the pension asset gains in 2013, the Company had net unamortized actuarial gains in accumulated other comprehensive income subject to amortization outside the corridor, and, therefore, an amortized gain of $28.9 million was included in the pension credit for 2014.</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During 2014, there was a decrease in the discount rate offset by pension asset gains that resulted in no net unamortized actuarial gains or losses in accumulated other comprehensive income subject to amortization outside the 10% corridor, and therefore, no amortized gain or loss amounts were included in the pension credit in the first six months of 2015. As a result of the Cable ONE spin-off and KHE Campuses sale, the Company remeasured the accumulated and projected benefit obligation as of July 1, 2015 and September 3, 2015, respectively, and recorded a curtailment gain. During the first six months of 2015, there were pension asset gains and an increase in the discount rate, which resulted in net unamortized actuarial gains in accumulated other comprehensive income subject to amortization outside the corridor, and, therefore, an amortized gain of $11.9 million is included in the pension credit for the last six months of 2015.</w:t>
      </w:r>
    </w:p>
    <w:p>
      <w:pPr>
        <w:spacing w:after="0" w:line="13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During the last four months of 2015, there were significant pension asset losses. The Company currently estimates that there will be no net unamortized actuarial gains or losses in accumulated other comprehensive income subject to amortization outside the corridor, and, therefore, no amortized gain or loss amount is included in the estimated pension cost for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$48.3 million in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14 to the Company’s Consolidated Financial Statements provides additional details surrounding pension costs and related assumptions.</w:t>
      </w:r>
    </w:p>
    <w:p>
      <w:pPr>
        <w:spacing w:after="0" w:line="122" w:lineRule="exact"/>
        <w:rPr>
          <w:sz w:val="20"/>
          <w:szCs w:val="20"/>
          <w:color w:val="auto"/>
        </w:rPr>
      </w:pPr>
    </w:p>
    <w:p>
      <w:pPr>
        <w:ind w:right="380"/>
        <w:spacing w:after="0" w:line="230" w:lineRule="auto"/>
        <w:rPr>
          <w:sz w:val="20"/>
          <w:szCs w:val="20"/>
          <w:color w:val="auto"/>
        </w:rPr>
      </w:pPr>
      <w:r>
        <w:rPr>
          <w:rFonts w:ascii="Arial" w:cs="Arial" w:eastAsia="Arial" w:hAnsi="Arial"/>
          <w:sz w:val="18"/>
          <w:szCs w:val="18"/>
          <w:b w:val="1"/>
          <w:bCs w:val="1"/>
          <w:color w:val="auto"/>
        </w:rPr>
        <w:t xml:space="preserve">Income Tax Valuation Allowances. </w:t>
      </w:r>
      <w:r>
        <w:rPr>
          <w:rFonts w:ascii="Arial" w:cs="Arial" w:eastAsia="Arial" w:hAnsi="Arial"/>
          <w:sz w:val="18"/>
          <w:szCs w:val="18"/>
          <w:color w:val="auto"/>
        </w:rPr>
        <w:t>Deferred income taxes arise from temporary differences between the tax and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had state income tax net operating loss carryforwards of $420.2 million, which will expire at various</w:t>
      </w:r>
    </w:p>
    <w:p>
      <w:pPr>
        <w:spacing w:after="0" w:line="219" w:lineRule="auto"/>
        <w:rPr>
          <w:sz w:val="20"/>
          <w:szCs w:val="20"/>
          <w:color w:val="auto"/>
        </w:rPr>
      </w:pPr>
      <w:r>
        <w:rPr>
          <w:rFonts w:ascii="Arial" w:cs="Arial" w:eastAsia="Arial" w:hAnsi="Arial"/>
          <w:sz w:val="18"/>
          <w:szCs w:val="18"/>
          <w:color w:val="auto"/>
        </w:rPr>
        <w:t>dates from 2016 through 2035. Also at December 31, 2015, the Company had $96.2 million of non-U.S. income tax loss carryforwards, of</w:t>
      </w:r>
    </w:p>
    <w:p>
      <w:pPr>
        <w:spacing w:after="0" w:line="219" w:lineRule="auto"/>
        <w:rPr>
          <w:sz w:val="20"/>
          <w:szCs w:val="20"/>
          <w:color w:val="auto"/>
        </w:rPr>
      </w:pPr>
      <w:r>
        <w:rPr>
          <w:rFonts w:ascii="Arial" w:cs="Arial" w:eastAsia="Arial" w:hAnsi="Arial"/>
          <w:sz w:val="18"/>
          <w:szCs w:val="18"/>
          <w:color w:val="auto"/>
        </w:rPr>
        <w:t>which $88.4 million may be carried forward indefinitely; $5.1 million of losses that, if unutilized, will expire in varying amounts through 2020; and</w:t>
      </w:r>
    </w:p>
    <w:p>
      <w:pPr>
        <w:spacing w:after="0" w:line="219" w:lineRule="auto"/>
        <w:rPr>
          <w:sz w:val="20"/>
          <w:szCs w:val="20"/>
          <w:color w:val="auto"/>
        </w:rPr>
      </w:pPr>
      <w:r>
        <w:rPr>
          <w:rFonts w:ascii="Arial" w:cs="Arial" w:eastAsia="Arial" w:hAnsi="Arial"/>
          <w:sz w:val="18"/>
          <w:szCs w:val="18"/>
          <w:color w:val="auto"/>
        </w:rPr>
        <w:t>$2.6 million of losses that, if unutilized, will start to expire after 2020. At December 31, 2015, the Company has established approximately</w:t>
      </w:r>
    </w:p>
    <w:p>
      <w:pPr>
        <w:spacing w:after="0" w:line="219" w:lineRule="auto"/>
        <w:rPr>
          <w:sz w:val="20"/>
          <w:szCs w:val="20"/>
          <w:color w:val="auto"/>
        </w:rPr>
      </w:pPr>
      <w:r>
        <w:rPr>
          <w:rFonts w:ascii="Arial" w:cs="Arial" w:eastAsia="Arial" w:hAnsi="Arial"/>
          <w:sz w:val="18"/>
          <w:szCs w:val="18"/>
          <w:color w:val="auto"/>
        </w:rPr>
        <w:t>$69.5 million in valuation allowances against deferred state tax assets, net of U.S. Federal income taxes, and non-U.S. deferred tax assets, as</w:t>
      </w:r>
    </w:p>
    <w:p>
      <w:pPr>
        <w:spacing w:after="0" w:line="220" w:lineRule="auto"/>
        <w:rPr>
          <w:sz w:val="20"/>
          <w:szCs w:val="20"/>
          <w:color w:val="auto"/>
        </w:rPr>
      </w:pPr>
      <w:r>
        <w:rPr>
          <w:rFonts w:ascii="Arial" w:cs="Arial" w:eastAsia="Arial" w:hAnsi="Arial"/>
          <w:sz w:val="18"/>
          <w:szCs w:val="18"/>
          <w:color w:val="auto"/>
        </w:rPr>
        <w:t>the Company believes that it is more likely than not that the benefit from certain state and non-U.S. net operating loss carryforwards and other</w:t>
      </w:r>
    </w:p>
    <w:p>
      <w:pPr>
        <w:spacing w:after="0" w:line="219" w:lineRule="auto"/>
        <w:rPr>
          <w:sz w:val="20"/>
          <w:szCs w:val="20"/>
          <w:color w:val="auto"/>
        </w:rPr>
      </w:pPr>
      <w:r>
        <w:rPr>
          <w:rFonts w:ascii="Arial" w:cs="Arial" w:eastAsia="Arial" w:hAnsi="Arial"/>
          <w:sz w:val="18"/>
          <w:szCs w:val="18"/>
          <w:color w:val="auto"/>
        </w:rPr>
        <w:t>deferred tax assets will not be realized. The Company has established valuation allowances against state income tax benefits recognized,</w:t>
      </w:r>
    </w:p>
    <w:p>
      <w:pPr>
        <w:spacing w:after="0" w:line="219" w:lineRule="auto"/>
        <w:rPr>
          <w:sz w:val="20"/>
          <w:szCs w:val="20"/>
          <w:color w:val="auto"/>
        </w:rPr>
      </w:pPr>
      <w:r>
        <w:rPr>
          <w:rFonts w:ascii="Arial" w:cs="Arial" w:eastAsia="Arial" w:hAnsi="Arial"/>
          <w:sz w:val="18"/>
          <w:szCs w:val="18"/>
          <w:color w:val="auto"/>
        </w:rPr>
        <w:t>without considering potentially offsetting deferred tax liabilities established with respect to prepaid pension cost and goodwill. Prepaid pension</w:t>
      </w:r>
    </w:p>
    <w:p>
      <w:pPr>
        <w:spacing w:after="0" w:line="219" w:lineRule="auto"/>
        <w:rPr>
          <w:sz w:val="20"/>
          <w:szCs w:val="20"/>
          <w:color w:val="auto"/>
        </w:rPr>
      </w:pPr>
      <w:r>
        <w:rPr>
          <w:rFonts w:ascii="Arial" w:cs="Arial" w:eastAsia="Arial" w:hAnsi="Arial"/>
          <w:sz w:val="18"/>
          <w:szCs w:val="18"/>
          <w:color w:val="auto"/>
        </w:rPr>
        <w:t>cost and goodwill have not been considered a source of future taxable income for realizing deferred tax benefits recognized since these</w:t>
      </w:r>
    </w:p>
    <w:p>
      <w:pPr>
        <w:spacing w:after="0" w:line="220" w:lineRule="auto"/>
        <w:rPr>
          <w:sz w:val="20"/>
          <w:szCs w:val="20"/>
          <w:color w:val="auto"/>
        </w:rPr>
      </w:pPr>
      <w:r>
        <w:rPr>
          <w:rFonts w:ascii="Arial" w:cs="Arial" w:eastAsia="Arial" w:hAnsi="Arial"/>
          <w:sz w:val="18"/>
          <w:szCs w:val="18"/>
          <w:color w:val="auto"/>
        </w:rPr>
        <w:t>temporary differences are not likely to reverse in the foreseeable future. The valuation allowances established against state and non-U.S.</w:t>
      </w:r>
    </w:p>
    <w:p>
      <w:pPr>
        <w:spacing w:after="0" w:line="219" w:lineRule="auto"/>
        <w:rPr>
          <w:sz w:val="20"/>
          <w:szCs w:val="20"/>
          <w:color w:val="auto"/>
        </w:rPr>
      </w:pPr>
      <w:r>
        <w:rPr>
          <w:rFonts w:ascii="Arial" w:cs="Arial" w:eastAsia="Arial" w:hAnsi="Arial"/>
          <w:sz w:val="18"/>
          <w:szCs w:val="18"/>
          <w:color w:val="auto"/>
        </w:rPr>
        <w:t>income tax benefits recorded may increase or decrease within the next 12 months, based on operating results, the market value of investment</w:t>
      </w:r>
    </w:p>
    <w:p>
      <w:pPr>
        <w:spacing w:after="0" w:line="219" w:lineRule="auto"/>
        <w:rPr>
          <w:sz w:val="20"/>
          <w:szCs w:val="20"/>
          <w:color w:val="auto"/>
        </w:rPr>
      </w:pPr>
      <w:r>
        <w:rPr>
          <w:rFonts w:ascii="Arial" w:cs="Arial" w:eastAsia="Arial" w:hAnsi="Arial"/>
          <w:sz w:val="18"/>
          <w:szCs w:val="18"/>
          <w:color w:val="auto"/>
        </w:rPr>
        <w:t>holdings or business and tax planning strategies; as a result, the Company is unable to estimate the potential tax impact, given the uncertain</w:t>
      </w:r>
    </w:p>
    <w:p>
      <w:pPr>
        <w:spacing w:after="0" w:line="219" w:lineRule="auto"/>
        <w:rPr>
          <w:sz w:val="20"/>
          <w:szCs w:val="20"/>
          <w:color w:val="auto"/>
        </w:rPr>
      </w:pPr>
      <w:r>
        <w:rPr>
          <w:rFonts w:ascii="Arial" w:cs="Arial" w:eastAsia="Arial" w:hAnsi="Arial"/>
          <w:sz w:val="18"/>
          <w:szCs w:val="18"/>
          <w:color w:val="auto"/>
        </w:rPr>
        <w:t>operating and market environment. The Company will be monitoring future operating results and projected future operating results on a</w:t>
      </w:r>
    </w:p>
    <w:p>
      <w:pPr>
        <w:spacing w:after="0" w:line="220" w:lineRule="auto"/>
        <w:rPr>
          <w:sz w:val="20"/>
          <w:szCs w:val="20"/>
          <w:color w:val="auto"/>
        </w:rPr>
      </w:pPr>
      <w:r>
        <w:rPr>
          <w:rFonts w:ascii="Arial" w:cs="Arial" w:eastAsia="Arial" w:hAnsi="Arial"/>
          <w:sz w:val="18"/>
          <w:szCs w:val="18"/>
          <w:color w:val="auto"/>
        </w:rPr>
        <w:t>quarterly basis to determine whether the valuation allowances provided against state and non-U.S. deferred tax assets should be increased or</w:t>
      </w:r>
    </w:p>
    <w:p>
      <w:pPr>
        <w:spacing w:after="0"/>
        <w:rPr>
          <w:sz w:val="20"/>
          <w:szCs w:val="20"/>
          <w:color w:val="auto"/>
        </w:rPr>
      </w:pPr>
      <w:r>
        <w:rPr>
          <w:rFonts w:ascii="Arial" w:cs="Arial" w:eastAsia="Arial" w:hAnsi="Arial"/>
          <w:sz w:val="18"/>
          <w:szCs w:val="18"/>
          <w:color w:val="auto"/>
        </w:rPr>
        <w:t>decreased, as future circumstances warrant.</w:t>
      </w:r>
    </w:p>
    <w:p>
      <w:pPr>
        <w:spacing w:after="0" w:line="122"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46" w:right="259" w:bottom="1440" w:gutter="0" w:footer="0" w:header="0"/>
        </w:sectPr>
      </w:pPr>
    </w:p>
    <w:bookmarkStart w:id="57" w:name="page58"/>
    <w:bookmarkEnd w:id="57"/>
    <w:p>
      <w:pPr>
        <w:jc w:val="center"/>
        <w:ind w:right="-1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2015.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2015, the Company’s internal control over financial reporting was effective based on these criteria.</w:t>
      </w:r>
    </w:p>
    <w:p>
      <w:pPr>
        <w:spacing w:after="0" w:line="135" w:lineRule="exact"/>
        <w:rPr>
          <w:sz w:val="20"/>
          <w:szCs w:val="20"/>
          <w:color w:val="auto"/>
        </w:rPr>
      </w:pPr>
    </w:p>
    <w:p>
      <w:pPr>
        <w:ind w:right="1500"/>
        <w:spacing w:after="0" w:line="235"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724" w:right="39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rPr>
          <w:sz w:val="20"/>
          <w:szCs w:val="20"/>
          <w:color w:val="auto"/>
        </w:rPr>
      </w:pPr>
      <w:r>
        <w:rPr>
          <w:rFonts w:ascii="Arial" w:cs="Arial" w:eastAsia="Arial" w:hAnsi="Arial"/>
          <w:sz w:val="18"/>
          <w:szCs w:val="18"/>
          <w:color w:val="auto"/>
        </w:rPr>
        <w:t>Shareholders of Graham Holdings Company:</w:t>
      </w:r>
    </w:p>
    <w:p>
      <w:pPr>
        <w:spacing w:after="0" w:line="14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operations, comprehensive income, cash flows and changes in common stockholders’ equity present fairly in all material respects, the financial position of Graham Holdings Company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9"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As discussed in Note 2 to the consolidated financial statements, the Company has changed the manner in which it classifies deferred tax assets and liabilities in 2015.</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February 26, 2016</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24"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Impairment of goodwill and other long-lived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Income from Operations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 in (losses) earnings of affiliates,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(expense) income, net</w:t>
      </w:r>
    </w:p>
    <w:p>
      <w:pPr>
        <w:spacing w:after="0" w:line="80" w:lineRule="exact"/>
        <w:rPr>
          <w:sz w:val="20"/>
          <w:szCs w:val="20"/>
          <w:color w:val="auto"/>
        </w:rPr>
      </w:pPr>
    </w:p>
    <w:p>
      <w:pPr>
        <w:ind w:left="40" w:right="2060"/>
        <w:spacing w:after="0" w:line="361" w:lineRule="auto"/>
        <w:rPr>
          <w:sz w:val="20"/>
          <w:szCs w:val="20"/>
          <w:color w:val="auto"/>
        </w:rPr>
      </w:pPr>
      <w:r>
        <w:rPr>
          <w:rFonts w:ascii="Arial" w:cs="Arial" w:eastAsia="Arial" w:hAnsi="Arial"/>
          <w:sz w:val="16"/>
          <w:szCs w:val="16"/>
          <w:b w:val="1"/>
          <w:bCs w:val="1"/>
          <w:color w:val="auto"/>
        </w:rPr>
        <w:t>(Loss) Income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(Loss)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(Loss) Income</w:t>
      </w:r>
    </w:p>
    <w:p>
      <w:pPr>
        <w:spacing w:after="0" w:line="86" w:lineRule="exact"/>
        <w:rPr>
          <w:sz w:val="20"/>
          <w:szCs w:val="20"/>
          <w:color w:val="auto"/>
        </w:rPr>
      </w:pPr>
    </w:p>
    <w:p>
      <w:pPr>
        <w:ind w:left="40" w:right="2280"/>
        <w:spacing w:after="0" w:line="369" w:lineRule="auto"/>
        <w:rPr>
          <w:sz w:val="20"/>
          <w:szCs w:val="20"/>
          <w:color w:val="auto"/>
        </w:rPr>
      </w:pPr>
      <w:r>
        <w:rPr>
          <w:rFonts w:ascii="Arial" w:cs="Arial" w:eastAsia="Arial" w:hAnsi="Arial"/>
          <w:sz w:val="16"/>
          <w:szCs w:val="16"/>
          <w:b w:val="1"/>
          <w:bCs w:val="1"/>
          <w:color w:val="auto"/>
        </w:rPr>
        <w:t>Net (Income) Loss Attributable to Noncontrolling Interests Net (Loss) Income Attributable to Graham Holdings Company Redeemable Preferred Stock Dividends</w:t>
      </w:r>
    </w:p>
    <w:p>
      <w:pPr>
        <w:spacing w:after="0" w:line="2" w:lineRule="exact"/>
        <w:rPr>
          <w:sz w:val="20"/>
          <w:szCs w:val="20"/>
          <w:color w:val="auto"/>
        </w:rPr>
      </w:pPr>
    </w:p>
    <w:p>
      <w:pPr>
        <w:ind w:left="40" w:right="460"/>
        <w:spacing w:after="0" w:line="382" w:lineRule="auto"/>
        <w:rPr>
          <w:sz w:val="20"/>
          <w:szCs w:val="20"/>
          <w:color w:val="auto"/>
        </w:rPr>
      </w:pPr>
      <w:r>
        <w:rPr>
          <w:rFonts w:ascii="Arial" w:cs="Arial" w:eastAsia="Arial" w:hAnsi="Arial"/>
          <w:sz w:val="16"/>
          <w:szCs w:val="16"/>
          <w:b w:val="1"/>
          <w:bCs w:val="1"/>
          <w:color w:val="auto"/>
        </w:rPr>
        <w:t>Net (Loss) Income Attributable to Graham Holdings Company Common Stockholders Amounts Attributable to Graham Holdings Company Common Stockholders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 attributable to Graham Holdings Company common stockholders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40" w:right="2260"/>
        <w:spacing w:after="0" w:line="366" w:lineRule="auto"/>
        <w:rPr>
          <w:sz w:val="20"/>
          <w:szCs w:val="20"/>
          <w:color w:val="auto"/>
        </w:rPr>
      </w:pPr>
      <w:r>
        <w:rPr>
          <w:rFonts w:ascii="Arial" w:cs="Arial" w:eastAsia="Arial" w:hAnsi="Arial"/>
          <w:sz w:val="16"/>
          <w:szCs w:val="16"/>
          <w:color w:val="auto"/>
        </w:rPr>
        <w:t>Basic (loss) income per common share from continuing operations Basic income per common share from discontinued operations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(loss) income per common share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average number of common shares outstanding</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(loss)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discontinued operations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(loss) income per common share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20" w:hanging="299"/>
        <w:spacing w:after="0"/>
        <w:tabs>
          <w:tab w:leader="none" w:pos="32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1,927,405   </w:t>
      </w:r>
      <w:r>
        <w:rPr>
          <w:rFonts w:ascii="Arial" w:cs="Arial" w:eastAsia="Arial" w:hAnsi="Arial"/>
          <w:sz w:val="16"/>
          <w:szCs w:val="16"/>
          <w:color w:val="auto"/>
        </w:rPr>
        <w:t>$  2,160,417   $  2,163,734</w:t>
      </w:r>
    </w:p>
    <w:p>
      <w:pPr>
        <w:spacing w:after="0" w:line="8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279,924</w:t>
      </w:r>
      <w:r>
        <w:rPr>
          <w:rFonts w:ascii="Arial" w:cs="Arial" w:eastAsia="Arial" w:hAnsi="Arial"/>
          <w:sz w:val="16"/>
          <w:szCs w:val="16"/>
          <w:color w:val="auto"/>
        </w:rPr>
        <w:t>308,214275,024</w:t>
      </w:r>
    </w:p>
    <w:p>
      <w:pPr>
        <w:spacing w:after="0" w:line="8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378,785</w:t>
      </w:r>
      <w:r>
        <w:rPr>
          <w:rFonts w:ascii="Arial" w:cs="Arial" w:eastAsia="Arial" w:hAnsi="Arial"/>
          <w:sz w:val="16"/>
          <w:szCs w:val="16"/>
          <w:color w:val="auto"/>
        </w:rPr>
        <w:t>268,401161,844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2,586,114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2,737,032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2,600,602</w:t>
            </w:r>
          </w:p>
        </w:tc>
      </w:tr>
      <w:tr>
        <w:trPr>
          <w:trHeight w:val="521"/>
        </w:trPr>
        <w:tc>
          <w:tcPr>
            <w:tcW w:w="22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1,206,153</w:t>
            </w:r>
          </w:p>
        </w:tc>
        <w:tc>
          <w:tcPr>
            <w:tcW w:w="28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1,261,753</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1,210,863</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1,104,163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1,132,157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1,123,965</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77,906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74,913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101,171</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19,017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18,187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11,919</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259,700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17,302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r>
      <w:tr>
        <w:trPr>
          <w:trHeight w:val="264"/>
        </w:trPr>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2,666,939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2,504,312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2,451,168</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(80,825)</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232,720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149,434</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(697)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100,370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13,215</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1,909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2,136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2,264</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(32,654)</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(35,533)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(35,931)</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(8,623)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778,010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(120,890)</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1,077,703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105,231</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20,500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312,300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40,500</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(141,390)</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765,403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64,731</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527,857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172,614</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(99,220)</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1,293,260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237,345</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(100,655)</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1,293,843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236,865</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(101,286)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1,292,996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08"/>
        </w:trPr>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(143,456)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765,139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63,396</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527,857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172,614</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(101,286)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1,292,996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08"/>
        </w:trPr>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(25.23)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79.93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23.48</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5,727</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6,470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8"/>
        </w:trPr>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(25.23)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115.40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79.63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23.44</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5,727</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6,559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060" w:space="72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38"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(Loss)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306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(loss) gain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(Loss) Income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0" w:lineRule="exact"/>
        <w:rPr>
          <w:sz w:val="20"/>
          <w:szCs w:val="20"/>
          <w:color w:val="auto"/>
        </w:rPr>
      </w:pPr>
      <w:r>
        <w:rPr>
          <w:sz w:val="20"/>
          <w:szCs w:val="20"/>
          <w:color w:val="auto"/>
        </w:rPr>
        <w:br w:type="column"/>
      </w:r>
    </w:p>
    <w:p>
      <w:pPr>
        <w:ind w:left="500" w:hanging="479"/>
        <w:spacing w:after="0"/>
        <w:tabs>
          <w:tab w:leader="none" w:pos="50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(99,220)  </w:t>
      </w:r>
      <w:r>
        <w:rPr>
          <w:rFonts w:ascii="Arial" w:cs="Arial" w:eastAsia="Arial" w:hAnsi="Arial"/>
          <w:sz w:val="16"/>
          <w:szCs w:val="16"/>
          <w:color w:val="auto"/>
        </w:rPr>
        <w:t>$  1,293,260   $237,345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(18,898)</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(16,061)</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5,501</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(13,397)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(16,465)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10,620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62,719</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95,629</w:t>
            </w:r>
          </w:p>
        </w:tc>
      </w:tr>
      <w:tr>
        <w:trPr>
          <w:trHeight w:val="445"/>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(265,274)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9,554</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10,616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(202,555)</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105,183</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(211,054)</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(149,482)</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762,806</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(9,906)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(29,412)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3,096</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275</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(124,051)</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834</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(219,800)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(180,893)</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640,468</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179</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(222,402)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(399,046)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745,112</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83,602</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153,032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(298,472)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(138,800)</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446,640</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(238,020)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1,047,246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683,985</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(1,435)</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(239,455)</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1,047,829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683,482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740" w:space="4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738" w:right="239" w:bottom="1440" w:gutter="0" w:footer="0" w:header="0"/>
          <w:type w:val="continuous"/>
        </w:sectPr>
      </w:pPr>
    </w:p>
    <w:bookmarkStart w:id="61" w:name="page62"/>
    <w:bookmarkEnd w:id="61"/>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754,207</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772,751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20,745</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24,898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379,445</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226,752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572,435</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571,357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48,383</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934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32,068</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11,309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53,439</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81,462</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assets of discontinued operations (includes $1,235 of cash)</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1,860,722</w:t>
            </w:r>
          </w:p>
        </w:tc>
        <w:tc>
          <w:tcPr>
            <w:tcW w:w="26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1,690,703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231,123</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860,829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59,229</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19,811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1,017,513</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1,348,710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21,885</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516,753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107,191</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96,947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979,970</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1,152,488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75,318</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65,258</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Noncurrent assets of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4,352,951</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5,752,319</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428,014</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464,342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297,135</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410,146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128,895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Short-term borrowings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46,375</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liabilities of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1,034</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725,149</w:t>
            </w:r>
          </w:p>
        </w:tc>
        <w:tc>
          <w:tcPr>
            <w:tcW w:w="26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1,050,792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Postretirement Benefits Other Than Pensions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33,947</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37,962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203,280</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244,082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70,678</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91,789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403,316</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754,960</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399,926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399,545</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1,836,296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2,579,130</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17 and 18)</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25,957</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21,904</w:t>
            </w:r>
          </w:p>
        </w:tc>
        <w:tc>
          <w:tcPr>
            <w:tcW w:w="0" w:type="dxa"/>
            <w:vAlign w:val="bottom"/>
          </w:tcPr>
          <w:p>
            <w:pPr>
              <w:spacing w:after="0"/>
              <w:rPr>
                <w:sz w:val="1"/>
                <w:szCs w:val="1"/>
                <w:color w:val="auto"/>
              </w:rPr>
            </w:pPr>
          </w:p>
        </w:tc>
      </w:tr>
      <w:tr>
        <w:trPr>
          <w:trHeight w:val="19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Preferred Stock</w:t>
            </w:r>
            <w:r>
              <w:rPr>
                <w:rFonts w:ascii="Arial" w:cs="Arial" w:eastAsia="Arial" w:hAnsi="Arial"/>
                <w:sz w:val="15"/>
                <w:szCs w:val="15"/>
                <w:color w:val="auto"/>
              </w:rPr>
              <w:t>, Series A, $1 par value, with a redemption and liquidation value of $1,000 per share; 23,000 shares</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20" w:type="dxa"/>
            <w:vAlign w:val="bottom"/>
          </w:tcPr>
          <w:p>
            <w:pPr>
              <w:ind w:left="200"/>
              <w:spacing w:after="0"/>
              <w:rPr>
                <w:sz w:val="20"/>
                <w:szCs w:val="20"/>
                <w:color w:val="auto"/>
              </w:rPr>
            </w:pPr>
            <w:r>
              <w:rPr>
                <w:rFonts w:ascii="Arial" w:cs="Arial" w:eastAsia="Arial" w:hAnsi="Arial"/>
                <w:sz w:val="15"/>
                <w:szCs w:val="15"/>
                <w:color w:val="auto"/>
              </w:rPr>
              <w:t>authorized; none and 10,510 shares issued and outstanding</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10,510</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Class A Common stock, $1 par value; 7,000,000 shares authorized; 964,001 and 974,823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19,035,999 and 19,025,177 shares issued; 4,839,853</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and 4,823,966 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19,025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356,887</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303,789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5,447,677</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6,008,506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(4,849)</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8,548</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58,500</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52,130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261,029</w:t>
            </w:r>
          </w:p>
        </w:tc>
        <w:tc>
          <w:tcPr>
            <w:tcW w:w="2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392,910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14,196,146 and 14,201,211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(3,648,546)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(3,645,476)</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Common Stockholders’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2,490,698</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3,140,299</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Noncontrolling Interests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0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2,490,698</w:t>
            </w:r>
          </w:p>
        </w:tc>
        <w:tc>
          <w:tcPr>
            <w:tcW w:w="26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3,140,775</w:t>
            </w:r>
          </w:p>
        </w:tc>
        <w:tc>
          <w:tcPr>
            <w:tcW w:w="0" w:type="dxa"/>
            <w:vAlign w:val="bottom"/>
          </w:tcPr>
          <w:p>
            <w:pPr>
              <w:spacing w:after="0"/>
              <w:rPr>
                <w:sz w:val="1"/>
                <w:szCs w:val="1"/>
                <w:color w:val="auto"/>
              </w:rPr>
            </w:pPr>
          </w:p>
        </w:tc>
      </w:tr>
    </w:tbl>
    <w:p>
      <w:pPr>
        <w:sectPr>
          <w:pgSz w:w="11900" w:h="16903" w:orient="portrait"/>
          <w:cols w:equalWidth="0" w:num="1">
            <w:col w:w="11420"/>
          </w:cols>
          <w:pgMar w:left="240" w:top="724" w:right="239" w:bottom="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243205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tbl>
      <w:tblPr>
        <w:tblLayout w:type="fixed"/>
        <w:tblInd w:w="720" w:type="dxa"/>
        <w:tblCellMar>
          <w:top w:w="0" w:type="dxa"/>
          <w:left w:w="0" w:type="dxa"/>
          <w:bottom w:w="0" w:type="dxa"/>
          <w:right w:w="0" w:type="dxa"/>
        </w:tblCellMar>
      </w:tblPr>
      <w:tr>
        <w:trPr>
          <w:trHeight w:val="210"/>
        </w:trPr>
        <w:tc>
          <w:tcPr>
            <w:tcW w:w="8300" w:type="dxa"/>
            <w:vAlign w:val="bottom"/>
          </w:tcPr>
          <w:p>
            <w:pPr>
              <w:spacing w:after="0"/>
              <w:rPr>
                <w:sz w:val="20"/>
                <w:szCs w:val="20"/>
                <w:color w:val="auto"/>
              </w:rPr>
            </w:pPr>
            <w:r>
              <w:rPr>
                <w:rFonts w:ascii="Arial" w:cs="Arial" w:eastAsia="Arial" w:hAnsi="Arial"/>
                <w:sz w:val="15"/>
                <w:szCs w:val="15"/>
                <w:b w:val="1"/>
                <w:bCs w:val="1"/>
                <w:color w:val="auto"/>
              </w:rPr>
              <w:t>Total Liabilities and Equity</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   4,352,951</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   5,752,319</w:t>
            </w:r>
          </w:p>
        </w:tc>
      </w:tr>
      <w:tr>
        <w:trPr>
          <w:trHeight w:val="20"/>
        </w:trPr>
        <w:tc>
          <w:tcPr>
            <w:tcW w:w="8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6" w:right="239" w:bottom="1440" w:gutter="0" w:footer="0" w:header="0"/>
        </w:sectPr>
      </w:pPr>
    </w:p>
    <w:bookmarkStart w:id="63" w:name="page64"/>
    <w:bookmarkEnd w:id="63"/>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(Loss) Income</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(99,220)</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1,293,260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237,345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of property, plant and equipment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149,659</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205,284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251,262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19,078</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19,097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13,598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Goodwill and other long-lived asset impairment charges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259,700</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25,076</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3,250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 expense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(65,433)</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(69,406)</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1,927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Early retirement and special separation benefit program expense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4,606</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8,374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22,700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48,033</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17,577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25,163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15,564</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11,129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13,382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18,095</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(351,133)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(157,449)</w:t>
            </w:r>
          </w:p>
        </w:tc>
        <w:tc>
          <w:tcPr>
            <w:tcW w:w="0" w:type="dxa"/>
            <w:vAlign w:val="bottom"/>
          </w:tcPr>
          <w:p>
            <w:pPr>
              <w:spacing w:after="0"/>
              <w:rPr>
                <w:sz w:val="1"/>
                <w:szCs w:val="1"/>
                <w:color w:val="auto"/>
              </w:rPr>
            </w:pPr>
          </w:p>
        </w:tc>
      </w:tr>
      <w:tr>
        <w:trPr>
          <w:trHeight w:val="194"/>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dispositions, sales or write-downs of marketable equity securities and cost method</w:t>
            </w:r>
          </w:p>
        </w:tc>
        <w:tc>
          <w:tcPr>
            <w:tcW w:w="260" w:type="dxa"/>
            <w:vAlign w:val="bottom"/>
          </w:tcPr>
          <w:p>
            <w:pPr>
              <w:spacing w:after="0"/>
              <w:rPr>
                <w:sz w:val="16"/>
                <w:szCs w:val="16"/>
                <w:color w:val="auto"/>
              </w:rPr>
            </w:pPr>
          </w:p>
        </w:tc>
        <w:tc>
          <w:tcPr>
            <w:tcW w:w="9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1,378</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440"/>
              <w:spacing w:after="0"/>
              <w:rPr>
                <w:sz w:val="20"/>
                <w:szCs w:val="20"/>
                <w:color w:val="auto"/>
              </w:rPr>
            </w:pPr>
            <w:r>
              <w:rPr>
                <w:rFonts w:ascii="Arial" w:cs="Arial" w:eastAsia="Arial" w:hAnsi="Arial"/>
                <w:sz w:val="15"/>
                <w:szCs w:val="15"/>
                <w:color w:val="auto"/>
              </w:rPr>
              <w:t>investments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(263,595)</w:t>
            </w:r>
          </w:p>
        </w:tc>
        <w:tc>
          <w:tcPr>
            <w:tcW w:w="36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11,325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Gain on sale of an equity affiliate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(4,827)</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(396,553)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losses (earnings) of affiliates, including impairment charges, net of distributions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1,118</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(96,517)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Provision for deferred income taxes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4,060</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49,143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11,595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(18,265)</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(119,399)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4,746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on sale of intangible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(75,249)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Change in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Decrease (increase) in restricted cash</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4,153</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58,871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(55,231)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Increase in accounts receivable,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(87,165)</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(96,844)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(81,989)</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(Increase) decrease in 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(1,778)</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(2,413)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Increase (decrease)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62,901</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(39,199)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20,290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(Decrease) increase in deferred revenue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(51,825)</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37,291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(3,434)</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(Increase) in income taxes receivable and increase in income taxes payable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(174,326)</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146,692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(18,352)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(Increase) decrease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(11,972)</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8,791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3,491</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1,270</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2,093</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4,097</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74,804</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372,370</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310,228</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(159,320)</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(206,035)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(20,027)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(145,807)</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(49,998)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(14,997)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(136,859)</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(237,292)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(206,457)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and cost method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(25,340)</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(10,283)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(13,076)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41,683</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644,342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248,105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commercial paper</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(249,795)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maturities of commercial paper</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249,795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distribution from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93,481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73</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(5,200)</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Provided by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(425,570)</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229,015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550,000</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(94,115)</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(53,721)</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(68,114)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(44,815)</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(1,538)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(240,121)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 including the Berkshire Exchange transaction</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(22,979)</w:t>
            </w:r>
          </w:p>
        </w:tc>
        <w:tc>
          <w:tcPr>
            <w:tcW w:w="30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(327,718)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(4,196)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15,312</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7,462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5,682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Excess tax benefit on share-based payment awards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11,828</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1,901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684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Redemption of redeemable preferred stock</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(10,510)</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(9,944)</w:t>
            </w:r>
          </w:p>
        </w:tc>
        <w:tc>
          <w:tcPr>
            <w:tcW w:w="30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1,095</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(609)</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(4,616)</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342,151</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(388,616)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(243,430)</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(11,164)</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(8,502)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(1,745)</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Increase in Cash and Cash Equivalents</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(19,779)</w:t>
            </w:r>
          </w:p>
        </w:tc>
        <w:tc>
          <w:tcPr>
            <w:tcW w:w="300" w:type="dxa"/>
            <w:vAlign w:val="bottom"/>
          </w:tcPr>
          <w:p>
            <w:pPr>
              <w:spacing w:after="0"/>
              <w:rPr>
                <w:sz w:val="22"/>
                <w:szCs w:val="22"/>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color w:val="auto"/>
              </w:rPr>
              <w:t>204,267</w:t>
            </w:r>
          </w:p>
        </w:tc>
        <w:tc>
          <w:tcPr>
            <w:tcW w:w="36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57,288</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773,986</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569,719</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512,431</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754,207</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773,986</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569,719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738" w:right="239" w:bottom="0" w:gutter="0" w:footer="0" w:header="0"/>
        </w:sectPr>
      </w:pPr>
    </w:p>
    <w:bookmarkStart w:id="64" w:name="page65"/>
    <w:bookmarkEnd w:id="6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20" w:type="dxa"/>
            <w:vAlign w:val="bottom"/>
          </w:tcPr>
          <w:p>
            <w:pPr>
              <w:spacing w:after="0"/>
              <w:rPr>
                <w:sz w:val="20"/>
                <w:szCs w:val="20"/>
                <w:color w:val="auto"/>
              </w:rPr>
            </w:pPr>
            <w:r>
              <w:rPr>
                <w:rFonts w:ascii="Arial" w:cs="Arial" w:eastAsia="Arial" w:hAnsi="Arial"/>
                <w:sz w:val="15"/>
                <w:szCs w:val="15"/>
                <w:b w:val="1"/>
                <w:bCs w:val="1"/>
                <w:color w:val="auto"/>
              </w:rPr>
              <w:t>Supplemental Cash Flow Information</w:t>
            </w:r>
          </w:p>
        </w:tc>
        <w:tc>
          <w:tcPr>
            <w:tcW w:w="2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24"/>
        </w:trPr>
        <w:tc>
          <w:tcPr>
            <w:tcW w:w="5220" w:type="dxa"/>
            <w:vAlign w:val="bottom"/>
          </w:tcPr>
          <w:p>
            <w:pPr>
              <w:ind w:left="240"/>
              <w:spacing w:after="0"/>
              <w:rPr>
                <w:sz w:val="20"/>
                <w:szCs w:val="20"/>
                <w:color w:val="auto"/>
              </w:rPr>
            </w:pPr>
            <w:r>
              <w:rPr>
                <w:rFonts w:ascii="Arial" w:cs="Arial" w:eastAsia="Arial" w:hAnsi="Arial"/>
                <w:sz w:val="15"/>
                <w:szCs w:val="15"/>
                <w:color w:val="auto"/>
              </w:rPr>
              <w:t>Cash paid during the year for:</w:t>
            </w: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522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8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b w:val="1"/>
                <w:bCs w:val="1"/>
                <w:color w:val="auto"/>
              </w:rPr>
              <w:t>209,000</w:t>
            </w:r>
          </w:p>
        </w:tc>
        <w:tc>
          <w:tcPr>
            <w:tcW w:w="4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188,000</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144,500</w:t>
            </w:r>
          </w:p>
        </w:tc>
      </w:tr>
      <w:tr>
        <w:trPr>
          <w:trHeight w:val="270"/>
        </w:trPr>
        <w:tc>
          <w:tcPr>
            <w:tcW w:w="522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8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b w:val="1"/>
                <w:bCs w:val="1"/>
                <w:color w:val="auto"/>
              </w:rPr>
              <w:t>33,000</w:t>
            </w:r>
          </w:p>
        </w:tc>
        <w:tc>
          <w:tcPr>
            <w:tcW w:w="4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35,000</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35,500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11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1"/>
          <w:szCs w:val="11"/>
          <w:b w:val="1"/>
          <w:bCs w:val="1"/>
          <w:color w:val="auto"/>
        </w:rPr>
        <w:t>GRAHAM HOLDINGS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CHANGES IN COMMON STOCKHOLDERS’ EQUITY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6"/>
              </w:rPr>
              <w:t>Unrealized</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Cumulative</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Unrealized</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Gain</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Foreign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Gain on</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on Pensions</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Class B</w:t>
            </w:r>
          </w:p>
        </w:tc>
        <w:tc>
          <w:tcPr>
            <w:tcW w:w="8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Capital in</w:t>
            </w: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Currency</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Available-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and Other</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Cash</w:t>
            </w: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rPr>
              <w:t>Common</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Excess of</w:t>
            </w:r>
          </w:p>
        </w:tc>
        <w:tc>
          <w:tcPr>
            <w:tcW w:w="7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Retained</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Translation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for-sale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Postretirement</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Flow</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Treasury</w:t>
            </w:r>
          </w:p>
        </w:tc>
        <w:tc>
          <w:tcPr>
            <w:tcW w:w="94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040" w:type="dxa"/>
            <w:vAlign w:val="bottom"/>
          </w:tcPr>
          <w:p>
            <w:pPr>
              <w:spacing w:after="0"/>
              <w:rPr>
                <w:sz w:val="20"/>
                <w:szCs w:val="20"/>
                <w:color w:val="auto"/>
              </w:rPr>
            </w:pPr>
            <w:r>
              <w:rPr>
                <w:rFonts w:ascii="Arial" w:cs="Arial" w:eastAsia="Arial" w:hAnsi="Arial"/>
                <w:sz w:val="11"/>
                <w:szCs w:val="11"/>
                <w:color w:val="auto"/>
              </w:rPr>
              <w:t>(in thousands)</w:t>
            </w:r>
          </w:p>
        </w:tc>
        <w:tc>
          <w:tcPr>
            <w:tcW w:w="1940" w:type="dxa"/>
            <w:vAlign w:val="bottom"/>
          </w:tcPr>
          <w:p>
            <w:pPr>
              <w:jc w:val="center"/>
              <w:ind w:left="1206"/>
              <w:spacing w:after="0"/>
              <w:rPr>
                <w:sz w:val="20"/>
                <w:szCs w:val="20"/>
                <w:color w:val="auto"/>
              </w:rPr>
            </w:pPr>
            <w:r>
              <w:rPr>
                <w:rFonts w:ascii="Arial" w:cs="Arial" w:eastAsia="Arial" w:hAnsi="Arial"/>
                <w:sz w:val="11"/>
                <w:szCs w:val="11"/>
                <w:b w:val="1"/>
                <w:bCs w:val="1"/>
                <w:color w:val="auto"/>
                <w:w w:val="93"/>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Par Value</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86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Adjustment</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Securities</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5"/>
              </w:rPr>
              <w:t>Plans</w:t>
            </w: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Hedge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9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 w:right="239" w:bottom="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2012</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and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Net income attributable to redeemable noncontrolling interest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 to noncontrolling interests</w:t>
      </w:r>
    </w:p>
    <w:p>
      <w:pPr>
        <w:spacing w:after="0" w:line="109" w:lineRule="exact"/>
        <w:rPr>
          <w:sz w:val="20"/>
          <w:szCs w:val="20"/>
          <w:color w:val="auto"/>
        </w:rPr>
      </w:pPr>
    </w:p>
    <w:p>
      <w:pPr>
        <w:ind w:left="40" w:right="500"/>
        <w:spacing w:after="0" w:line="303"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66" w:lineRule="exact"/>
        <w:rPr>
          <w:sz w:val="20"/>
          <w:szCs w:val="20"/>
          <w:color w:val="auto"/>
        </w:rPr>
      </w:pPr>
    </w:p>
    <w:p>
      <w:pPr>
        <w:ind w:left="20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200" w:right="20" w:hanging="161"/>
        <w:spacing w:after="0" w:line="231" w:lineRule="auto"/>
        <w:rPr>
          <w:sz w:val="20"/>
          <w:szCs w:val="20"/>
          <w:color w:val="auto"/>
        </w:rPr>
      </w:pPr>
      <w:r>
        <w:rPr>
          <w:rFonts w:ascii="Arial" w:cs="Arial" w:eastAsia="Arial" w:hAnsi="Arial"/>
          <w:sz w:val="14"/>
          <w:szCs w:val="14"/>
          <w:color w:val="auto"/>
        </w:rPr>
        <w:t>Change in foreign currency translation adjustment (net of taxes)</w:t>
      </w:r>
    </w:p>
    <w:p>
      <w:pPr>
        <w:spacing w:after="0" w:line="41" w:lineRule="exact"/>
        <w:rPr>
          <w:sz w:val="20"/>
          <w:szCs w:val="20"/>
          <w:color w:val="auto"/>
        </w:rPr>
      </w:pPr>
    </w:p>
    <w:p>
      <w:pPr>
        <w:ind w:left="200" w:right="440" w:hanging="161"/>
        <w:spacing w:after="0" w:line="231"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41" w:lineRule="exact"/>
        <w:rPr>
          <w:sz w:val="20"/>
          <w:szCs w:val="20"/>
          <w:color w:val="auto"/>
        </w:rPr>
      </w:pPr>
    </w:p>
    <w:p>
      <w:pPr>
        <w:ind w:left="200" w:right="300" w:hanging="161"/>
        <w:spacing w:after="0" w:line="231"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41" w:lineRule="exact"/>
        <w:rPr>
          <w:sz w:val="20"/>
          <w:szCs w:val="20"/>
          <w:color w:val="auto"/>
        </w:rPr>
      </w:pPr>
    </w:p>
    <w:p>
      <w:pPr>
        <w:ind w:left="200" w:right="36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right="840"/>
        <w:spacing w:after="0" w:line="323" w:lineRule="auto"/>
        <w:rPr>
          <w:sz w:val="20"/>
          <w:szCs w:val="20"/>
          <w:color w:val="auto"/>
        </w:rPr>
      </w:pPr>
      <w:r>
        <w:rPr>
          <w:rFonts w:ascii="Arial" w:cs="Arial" w:eastAsia="Arial" w:hAnsi="Arial"/>
          <w:sz w:val="14"/>
          <w:szCs w:val="14"/>
          <w:color w:val="auto"/>
        </w:rPr>
        <w:t>Taxes arising from employee stock plans Cash flow hedge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0" w:right="300" w:hanging="161"/>
        <w:spacing w:after="0" w:line="231" w:lineRule="auto"/>
        <w:rPr>
          <w:sz w:val="20"/>
          <w:szCs w:val="20"/>
          <w:color w:val="auto"/>
        </w:rPr>
      </w:pPr>
      <w:r>
        <w:rPr>
          <w:rFonts w:ascii="Arial" w:cs="Arial" w:eastAsia="Arial" w:hAnsi="Arial"/>
          <w:sz w:val="14"/>
          <w:szCs w:val="14"/>
          <w:color w:val="auto"/>
        </w:rPr>
        <w:t>Net loss attributable to redeemable noncontrolling interests</w:t>
      </w:r>
    </w:p>
    <w:p>
      <w:pPr>
        <w:spacing w:after="0" w:line="41" w:lineRule="exact"/>
        <w:rPr>
          <w:sz w:val="20"/>
          <w:szCs w:val="20"/>
          <w:color w:val="auto"/>
        </w:rPr>
      </w:pPr>
    </w:p>
    <w:p>
      <w:pPr>
        <w:ind w:left="40" w:right="1020"/>
        <w:spacing w:after="0" w:line="411" w:lineRule="auto"/>
        <w:rPr>
          <w:sz w:val="20"/>
          <w:szCs w:val="20"/>
          <w:color w:val="auto"/>
        </w:rPr>
      </w:pPr>
      <w:r>
        <w:rPr>
          <w:rFonts w:ascii="Arial" w:cs="Arial" w:eastAsia="Arial" w:hAnsi="Arial"/>
          <w:sz w:val="12"/>
          <w:szCs w:val="12"/>
          <w:color w:val="auto"/>
        </w:rPr>
        <w:t>Distribution to noncontrolling interests Dividends paid on common stock</w:t>
      </w:r>
    </w:p>
    <w:p>
      <w:pPr>
        <w:ind w:left="40" w:right="500"/>
        <w:spacing w:after="0" w:line="301"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1" w:lineRule="exact"/>
        <w:rPr>
          <w:sz w:val="20"/>
          <w:szCs w:val="20"/>
          <w:color w:val="auto"/>
        </w:rPr>
      </w:pPr>
    </w:p>
    <w:p>
      <w:pPr>
        <w:ind w:left="20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200" w:right="20" w:hanging="161"/>
        <w:spacing w:after="0" w:line="231" w:lineRule="auto"/>
        <w:rPr>
          <w:sz w:val="20"/>
          <w:szCs w:val="20"/>
          <w:color w:val="auto"/>
        </w:rPr>
      </w:pPr>
      <w:r>
        <w:rPr>
          <w:rFonts w:ascii="Arial" w:cs="Arial" w:eastAsia="Arial" w:hAnsi="Arial"/>
          <w:sz w:val="14"/>
          <w:szCs w:val="14"/>
          <w:color w:val="auto"/>
        </w:rPr>
        <w:t>Change in foreign currency translation adjustment (net of taxes)</w:t>
      </w:r>
    </w:p>
    <w:p>
      <w:pPr>
        <w:spacing w:after="0" w:line="41" w:lineRule="exact"/>
        <w:rPr>
          <w:sz w:val="20"/>
          <w:szCs w:val="20"/>
          <w:color w:val="auto"/>
        </w:rPr>
      </w:pPr>
    </w:p>
    <w:p>
      <w:pPr>
        <w:ind w:left="200" w:right="440" w:hanging="161"/>
        <w:spacing w:after="0" w:line="231"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41" w:lineRule="exact"/>
        <w:rPr>
          <w:sz w:val="20"/>
          <w:szCs w:val="20"/>
          <w:color w:val="auto"/>
        </w:rPr>
      </w:pPr>
    </w:p>
    <w:p>
      <w:pPr>
        <w:ind w:left="200" w:right="300" w:hanging="161"/>
        <w:spacing w:after="0" w:line="231"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41" w:lineRule="exact"/>
        <w:rPr>
          <w:sz w:val="20"/>
          <w:szCs w:val="20"/>
          <w:color w:val="auto"/>
        </w:rPr>
      </w:pPr>
    </w:p>
    <w:p>
      <w:pPr>
        <w:ind w:left="200" w:right="36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right="840"/>
        <w:spacing w:after="0" w:line="310" w:lineRule="auto"/>
        <w:rPr>
          <w:sz w:val="20"/>
          <w:szCs w:val="20"/>
          <w:color w:val="auto"/>
        </w:rPr>
      </w:pPr>
      <w:r>
        <w:rPr>
          <w:rFonts w:ascii="Arial" w:cs="Arial" w:eastAsia="Arial" w:hAnsi="Arial"/>
          <w:sz w:val="14"/>
          <w:szCs w:val="14"/>
          <w:color w:val="auto"/>
        </w:rPr>
        <w:t>Taxes arising from employee stock plans Cash flow hedge</w:t>
      </w:r>
    </w:p>
    <w:p>
      <w:pPr>
        <w:ind w:left="40"/>
        <w:spacing w:after="0"/>
        <w:rPr>
          <w:sz w:val="20"/>
          <w:szCs w:val="20"/>
          <w:color w:val="auto"/>
        </w:rPr>
      </w:pPr>
      <w:r>
        <w:rPr>
          <w:rFonts w:ascii="Arial" w:cs="Arial" w:eastAsia="Arial" w:hAnsi="Arial"/>
          <w:sz w:val="14"/>
          <w:szCs w:val="14"/>
          <w:b w:val="1"/>
          <w:bCs w:val="1"/>
          <w:color w:val="auto"/>
        </w:rPr>
        <w:t>As of December 31, 2014</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loss for the year</w:t>
      </w:r>
    </w:p>
    <w:p>
      <w:pPr>
        <w:spacing w:after="0" w:line="55" w:lineRule="exact"/>
        <w:rPr>
          <w:sz w:val="20"/>
          <w:szCs w:val="20"/>
          <w:color w:val="auto"/>
        </w:rPr>
      </w:pPr>
    </w:p>
    <w:p>
      <w:pPr>
        <w:ind w:left="200" w:right="180" w:hanging="161"/>
        <w:spacing w:after="0" w:line="247" w:lineRule="auto"/>
        <w:rPr>
          <w:sz w:val="20"/>
          <w:szCs w:val="20"/>
          <w:color w:val="auto"/>
        </w:rPr>
      </w:pPr>
      <w:r>
        <w:rPr>
          <w:rFonts w:ascii="Arial" w:cs="Arial" w:eastAsia="Arial" w:hAnsi="Arial"/>
          <w:sz w:val="14"/>
          <w:szCs w:val="14"/>
          <w:b w:val="1"/>
          <w:bCs w:val="1"/>
          <w:color w:val="auto"/>
        </w:rPr>
        <w:t>Contribution of noncontrolling interest to a joint venture</w:t>
      </w:r>
    </w:p>
    <w:p>
      <w:pPr>
        <w:spacing w:after="0" w:line="20" w:lineRule="exact"/>
        <w:rPr>
          <w:sz w:val="20"/>
          <w:szCs w:val="20"/>
          <w:color w:val="auto"/>
        </w:rPr>
      </w:pPr>
    </w:p>
    <w:p>
      <w:pPr>
        <w:ind w:left="200" w:right="82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200" w:right="500" w:hanging="161"/>
        <w:spacing w:after="0" w:line="247" w:lineRule="auto"/>
        <w:rPr>
          <w:sz w:val="20"/>
          <w:szCs w:val="20"/>
          <w:color w:val="auto"/>
        </w:rPr>
      </w:pPr>
      <w:r>
        <w:rPr>
          <w:rFonts w:ascii="Arial" w:cs="Arial" w:eastAsia="Arial" w:hAnsi="Arial"/>
          <w:sz w:val="14"/>
          <w:szCs w:val="14"/>
          <w:b w:val="1"/>
          <w:bCs w:val="1"/>
          <w:color w:val="auto"/>
        </w:rPr>
        <w:t>Change in redemption value of redeemable noncontrolling interests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Dividends paid on common stock</w:t>
      </w:r>
    </w:p>
    <w:p>
      <w:pPr>
        <w:spacing w:after="0" w:line="109" w:lineRule="exact"/>
        <w:rPr>
          <w:sz w:val="20"/>
          <w:szCs w:val="20"/>
          <w:color w:val="auto"/>
        </w:rPr>
      </w:pPr>
    </w:p>
    <w:p>
      <w:pPr>
        <w:ind w:left="40" w:right="300"/>
        <w:spacing w:after="0" w:line="301" w:lineRule="auto"/>
        <w:rPr>
          <w:sz w:val="20"/>
          <w:szCs w:val="20"/>
          <w:color w:val="auto"/>
        </w:rPr>
      </w:pPr>
      <w:r>
        <w:rPr>
          <w:rFonts w:ascii="Arial" w:cs="Arial" w:eastAsia="Arial" w:hAnsi="Arial"/>
          <w:sz w:val="14"/>
          <w:szCs w:val="14"/>
          <w:b w:val="1"/>
          <w:bCs w:val="1"/>
          <w:color w:val="auto"/>
        </w:rPr>
        <w:t>Dividends paid on redeemable preferred stock Repurchase of Class B common stock</w:t>
      </w:r>
    </w:p>
    <w:p>
      <w:pPr>
        <w:spacing w:after="0" w:line="1" w:lineRule="exact"/>
        <w:rPr>
          <w:sz w:val="20"/>
          <w:szCs w:val="20"/>
          <w:color w:val="auto"/>
        </w:rPr>
      </w:pPr>
    </w:p>
    <w:p>
      <w:pPr>
        <w:ind w:left="200" w:right="560" w:hanging="161"/>
        <w:spacing w:after="0" w:line="247"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20" w:lineRule="exact"/>
        <w:rPr>
          <w:sz w:val="20"/>
          <w:szCs w:val="20"/>
          <w:color w:val="auto"/>
        </w:rPr>
      </w:pPr>
    </w:p>
    <w:p>
      <w:pPr>
        <w:ind w:left="200" w:hanging="161"/>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20" w:lineRule="exact"/>
        <w:rPr>
          <w:sz w:val="20"/>
          <w:szCs w:val="20"/>
          <w:color w:val="auto"/>
        </w:rPr>
      </w:pPr>
    </w:p>
    <w:p>
      <w:pPr>
        <w:ind w:left="200" w:right="20" w:hanging="161"/>
        <w:spacing w:after="0" w:line="247" w:lineRule="auto"/>
        <w:rPr>
          <w:sz w:val="20"/>
          <w:szCs w:val="20"/>
          <w:color w:val="auto"/>
        </w:rPr>
      </w:pPr>
      <w:r>
        <w:rPr>
          <w:rFonts w:ascii="Arial" w:cs="Arial" w:eastAsia="Arial" w:hAnsi="Arial"/>
          <w:sz w:val="14"/>
          <w:szCs w:val="14"/>
          <w:b w:val="1"/>
          <w:bCs w:val="1"/>
          <w:color w:val="auto"/>
        </w:rPr>
        <w:t>Change in foreign currency translation adjustment (net of taxes)</w:t>
      </w:r>
    </w:p>
    <w:p>
      <w:pPr>
        <w:spacing w:after="0" w:line="20" w:lineRule="exact"/>
        <w:rPr>
          <w:sz w:val="20"/>
          <w:szCs w:val="20"/>
          <w:color w:val="auto"/>
        </w:rPr>
      </w:pPr>
    </w:p>
    <w:p>
      <w:pPr>
        <w:ind w:left="200" w:right="240" w:hanging="161"/>
        <w:spacing w:after="0" w:line="247" w:lineRule="auto"/>
        <w:rPr>
          <w:sz w:val="20"/>
          <w:szCs w:val="20"/>
          <w:color w:val="auto"/>
        </w:rPr>
      </w:pPr>
      <w:r>
        <w:rPr>
          <w:rFonts w:ascii="Arial" w:cs="Arial" w:eastAsia="Arial" w:hAnsi="Arial"/>
          <w:sz w:val="14"/>
          <w:szCs w:val="14"/>
          <w:b w:val="1"/>
          <w:bCs w:val="1"/>
          <w:color w:val="auto"/>
        </w:rPr>
        <w:t>Change in unrealized gain on available-for-sale securities (net of taxes)</w:t>
      </w:r>
    </w:p>
    <w:p>
      <w:pPr>
        <w:spacing w:after="0" w:line="20" w:lineRule="exact"/>
        <w:rPr>
          <w:sz w:val="20"/>
          <w:szCs w:val="20"/>
          <w:color w:val="auto"/>
        </w:rPr>
      </w:pPr>
    </w:p>
    <w:p>
      <w:pPr>
        <w:ind w:left="200" w:right="40" w:hanging="161"/>
        <w:spacing w:after="0" w:line="247" w:lineRule="auto"/>
        <w:rPr>
          <w:sz w:val="20"/>
          <w:szCs w:val="20"/>
          <w:color w:val="auto"/>
        </w:rPr>
      </w:pPr>
      <w:r>
        <w:rPr>
          <w:rFonts w:ascii="Arial" w:cs="Arial" w:eastAsia="Arial" w:hAnsi="Arial"/>
          <w:sz w:val="14"/>
          <w:szCs w:val="14"/>
          <w:b w:val="1"/>
          <w:bCs w:val="1"/>
          <w:color w:val="auto"/>
        </w:rPr>
        <w:t>Adjustment for pensions and other postretirement plans (net of taxes)</w:t>
      </w:r>
    </w:p>
    <w:p>
      <w:pPr>
        <w:spacing w:after="0" w:line="20" w:lineRule="exact"/>
        <w:rPr>
          <w:sz w:val="20"/>
          <w:szCs w:val="20"/>
          <w:color w:val="auto"/>
        </w:rPr>
      </w:pPr>
    </w:p>
    <w:p>
      <w:pPr>
        <w:ind w:left="200" w:right="140" w:hanging="161"/>
        <w:spacing w:after="0" w:line="247" w:lineRule="auto"/>
        <w:rPr>
          <w:sz w:val="20"/>
          <w:szCs w:val="20"/>
          <w:color w:val="auto"/>
        </w:rPr>
      </w:pPr>
      <w:r>
        <w:rPr>
          <w:rFonts w:ascii="Arial" w:cs="Arial" w:eastAsia="Arial" w:hAnsi="Arial"/>
          <w:sz w:val="14"/>
          <w:szCs w:val="14"/>
          <w:b w:val="1"/>
          <w:bCs w:val="1"/>
          <w:color w:val="auto"/>
        </w:rPr>
        <w:t>Conversion of Class A common stock to Class B common stock</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Spin-Off of Cable ONE</w:t>
      </w:r>
    </w:p>
    <w:p>
      <w:pPr>
        <w:spacing w:after="0" w:line="109" w:lineRule="exact"/>
        <w:rPr>
          <w:sz w:val="20"/>
          <w:szCs w:val="20"/>
          <w:color w:val="auto"/>
        </w:rPr>
      </w:pPr>
    </w:p>
    <w:p>
      <w:pPr>
        <w:ind w:left="40" w:right="640"/>
        <w:spacing w:after="0" w:line="322" w:lineRule="auto"/>
        <w:rPr>
          <w:sz w:val="20"/>
          <w:szCs w:val="20"/>
          <w:color w:val="auto"/>
        </w:rPr>
      </w:pPr>
      <w:r>
        <w:rPr>
          <w:rFonts w:ascii="Arial" w:cs="Arial" w:eastAsia="Arial" w:hAnsi="Arial"/>
          <w:sz w:val="14"/>
          <w:szCs w:val="14"/>
          <w:b w:val="1"/>
          <w:bCs w:val="1"/>
          <w:color w:val="auto"/>
        </w:rPr>
        <w:t>Taxes arising from employee stock plans Cash flow hedge</w:t>
      </w:r>
    </w:p>
    <w:p>
      <w:pPr>
        <w:ind w:left="40"/>
        <w:spacing w:after="0"/>
        <w:rPr>
          <w:sz w:val="20"/>
          <w:szCs w:val="20"/>
          <w:color w:val="auto"/>
        </w:rPr>
      </w:pPr>
      <w:r>
        <w:rPr>
          <w:rFonts w:ascii="Arial" w:cs="Arial" w:eastAsia="Arial" w:hAnsi="Arial"/>
          <w:sz w:val="14"/>
          <w:szCs w:val="14"/>
          <w:b w:val="1"/>
          <w:bCs w:val="1"/>
          <w:color w:val="auto"/>
        </w:rPr>
        <w:t>As of December 31, 2015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1,219</w:t>
            </w:r>
          </w:p>
        </w:tc>
        <w:tc>
          <w:tcPr>
            <w:tcW w:w="680" w:type="dxa"/>
            <w:vAlign w:val="bottom"/>
          </w:tcPr>
          <w:p>
            <w:pPr>
              <w:jc w:val="right"/>
              <w:spacing w:after="0"/>
              <w:rPr>
                <w:sz w:val="20"/>
                <w:szCs w:val="20"/>
                <w:color w:val="auto"/>
              </w:rPr>
            </w:pPr>
            <w:r>
              <w:rPr>
                <w:rFonts w:ascii="Arial" w:cs="Arial" w:eastAsia="Arial" w:hAnsi="Arial"/>
                <w:sz w:val="14"/>
                <w:szCs w:val="14"/>
                <w:color w:val="auto"/>
              </w:rPr>
              <w:t>$ 18,781</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$ 240,746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4,546,775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26,072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110,553</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117,169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(940)</w:t>
            </w:r>
          </w:p>
        </w:tc>
        <w:tc>
          <w:tcPr>
            <w:tcW w:w="880" w:type="dxa"/>
            <w:vAlign w:val="bottom"/>
          </w:tcPr>
          <w:p>
            <w:pPr>
              <w:jc w:val="right"/>
              <w:spacing w:after="0"/>
              <w:rPr>
                <w:sz w:val="20"/>
                <w:szCs w:val="20"/>
                <w:color w:val="auto"/>
              </w:rPr>
            </w:pPr>
            <w:r>
              <w:rPr>
                <w:rFonts w:ascii="Arial" w:cs="Arial" w:eastAsia="Arial" w:hAnsi="Arial"/>
                <w:sz w:val="14"/>
                <w:szCs w:val="14"/>
                <w:color w:val="auto"/>
                <w:w w:val="98"/>
              </w:rPr>
              <w:t>$ (2,474,347)</w:t>
            </w:r>
          </w:p>
        </w:tc>
        <w:tc>
          <w:tcPr>
            <w:tcW w:w="4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190</w:t>
            </w: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237,345</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3,932</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479</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(17,709)</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1,723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46,908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63,110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384,277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814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8"/>
        </w:trPr>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312</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288,129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4,782,777</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25,013</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173,663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501,446</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(2,490,333)</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221</w:t>
            </w:r>
          </w:p>
        </w:tc>
      </w:tr>
      <w:tr>
        <w:trPr>
          <w:trHeight w:val="256"/>
        </w:trPr>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1,293,260</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497</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1,080</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(67,267)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(1,165,427)</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10,284</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18,291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(16,465)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(121,533)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(108,536)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w:t>
            </w:r>
          </w:p>
        </w:tc>
        <w:tc>
          <w:tcPr>
            <w:tcW w:w="680" w:type="dxa"/>
            <w:vAlign w:val="bottom"/>
          </w:tcPr>
          <w:p>
            <w:pPr>
              <w:jc w:val="right"/>
              <w:spacing w:after="0"/>
              <w:rPr>
                <w:sz w:val="20"/>
                <w:szCs w:val="20"/>
                <w:color w:val="auto"/>
              </w:rPr>
            </w:pPr>
            <w:r>
              <w:rPr>
                <w:rFonts w:ascii="Arial" w:cs="Arial" w:eastAsia="Arial" w:hAnsi="Arial"/>
                <w:sz w:val="14"/>
                <w:szCs w:val="14"/>
                <w:color w:val="auto"/>
              </w:rPr>
              <w:t>194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555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520</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19,025</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303,789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6,008,506</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8,548</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52,130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392,910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(3,645,476)</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476</w:t>
            </w:r>
          </w:p>
        </w:tc>
      </w:tr>
      <w:tr>
        <w:trPr>
          <w:trHeight w:val="189"/>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(99,220)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(476)</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(1,435)</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(2,601)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(53,090)</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(631)</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(22,979)</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(13,244)</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19,909</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57,115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(13,397)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6,370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(132,739)</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7,285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(406,453)</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858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4,543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108</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964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$ 19,036</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$ 356,887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5,447,677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58,500</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261,029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(3,648,546)</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ectPr>
          <w:pgSz w:w="11900" w:h="16838" w:orient="portrait"/>
          <w:cols w:equalWidth="0" w:num="2">
            <w:col w:w="3300" w:space="40"/>
            <w:col w:w="8080"/>
          </w:cols>
          <w:pgMar w:left="240" w:top="110" w:right="239" w:bottom="0" w:gutter="0" w:footer="0" w:header="0"/>
          <w:type w:val="continuous"/>
        </w:sect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ectPr>
          <w:pgSz w:w="11900" w:h="16838" w:orient="portrait"/>
          <w:cols w:equalWidth="0" w:num="1">
            <w:col w:w="11420"/>
          </w:cols>
          <w:pgMar w:left="240" w:top="110" w:right="239" w:bottom="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10" w:right="239" w:bottom="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July 1, 2015, the Company completed the spin-off of its wholly owned subsidiary, Cable One, Inc. (Cable ONE), by way of a distribution of all of the issued and outstanding shares of Cable ONE common stock, on a pro rata basis, to the Company’s stockholders. The operating results of Cable ONE have been presented in income from discontinued operations, net of tax, for all periods presented.</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September 3, 2015, Kaplan completed the sale of substantially all of the assets of its Kaplan Higher Education (KHE) Campuses business, consisting of 38 nationally accredited ground campuses and certain related assets, to Education Corporation of America (ECA) in exchange for a preferred equity interest in ECA. The loss on the sale of the KHE Campuses business is included in other (expense) income, net, in the Consolidated Statement of Operations.</w:t>
      </w:r>
    </w:p>
    <w:p>
      <w:pPr>
        <w:spacing w:after="0" w:line="11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Higher Education (KHE), Test Preparation (KTP) and Kaplan International.</w:t>
      </w:r>
    </w:p>
    <w:p>
      <w:pPr>
        <w:spacing w:after="0" w:line="99"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and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provider.</w:t>
      </w:r>
    </w:p>
    <w:p>
      <w:pPr>
        <w:spacing w:after="0" w:line="103"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The Company owns five VHF television stations located in Houston, TX; Detroit, MI; Orlando, FL; San Antonio, TX;</w:t>
      </w:r>
      <w:r>
        <w:rPr>
          <w:rFonts w:ascii="Arial" w:cs="Arial" w:eastAsia="Arial" w:hAnsi="Arial"/>
          <w:sz w:val="18"/>
          <w:szCs w:val="18"/>
          <w:i w:val="1"/>
          <w:iCs w:val="1"/>
          <w:color w:val="auto"/>
        </w:rPr>
        <w:t xml:space="preserve"> </w:t>
      </w:r>
      <w:r>
        <w:rPr>
          <w:rFonts w:ascii="Arial" w:cs="Arial" w:eastAsia="Arial" w:hAnsi="Arial"/>
          <w:sz w:val="18"/>
          <w:szCs w:val="18"/>
          <w:color w:val="auto"/>
        </w:rPr>
        <w:t>and Jacksonville, FL. Other than the Company’s Jacksonville station, WJXT, the Company’s television stations are affiliated with one of the major national networks.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2015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the reclassification of the results of operations of certain businesses as discontinued operations for all periods presented.</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38" w:right="239" w:bottom="1440" w:gutter="0" w:footer="0" w:header="0"/>
        </w:sectPr>
      </w:pPr>
    </w:p>
    <w:bookmarkStart w:id="67" w:name="page68"/>
    <w:bookmarkEnd w:id="67"/>
    <w:p>
      <w:pPr>
        <w:ind w:right="340"/>
        <w:spacing w:after="0" w:line="223" w:lineRule="auto"/>
        <w:rPr>
          <w:sz w:val="20"/>
          <w:szCs w:val="20"/>
          <w:color w:val="auto"/>
        </w:rPr>
      </w:pPr>
      <w:r>
        <w:rPr>
          <w:rFonts w:ascii="Arial" w:cs="Arial" w:eastAsia="Arial" w:hAnsi="Arial"/>
          <w:sz w:val="18"/>
          <w:szCs w:val="18"/>
          <w:color w:val="auto"/>
        </w:rPr>
        <w:t>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117"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17"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6" w:right="239" w:bottom="1440" w:gutter="0" w:footer="0" w:header="0"/>
        </w:sectPr>
      </w:pPr>
    </w:p>
    <w:bookmarkStart w:id="68" w:name="page69"/>
    <w:bookmarkEnd w:id="68"/>
    <w:p>
      <w:pPr>
        <w:ind w:right="320"/>
        <w:spacing w:after="0" w:line="235" w:lineRule="auto"/>
        <w:rPr>
          <w:sz w:val="20"/>
          <w:szCs w:val="20"/>
          <w:color w:val="auto"/>
        </w:rPr>
      </w:pPr>
      <w:r>
        <w:rPr>
          <w:rFonts w:ascii="Arial" w:cs="Arial" w:eastAsia="Arial" w:hAnsi="Arial"/>
          <w:sz w:val="18"/>
          <w:szCs w:val="18"/>
          <w:color w:val="auto"/>
        </w:rPr>
        <w:t>for excess and obsolete inventory is based on management’s evaluation of inventories on hand relative to historical usage, estimated future usage, and technological developments.</w:t>
      </w:r>
    </w:p>
    <w:p>
      <w:pPr>
        <w:spacing w:after="0" w:line="113"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1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licenses and accreditation. Amortized intangible assets are primarily student and customer relationships and trade names and trademarks, with amortization periods up to 10 years.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two-step goodwill impairment review or indefinite-lived intangible asset quantitative impairment review. The Company reviews the goodwill for impairment using the two-step process and the indefinite-lived intangible assets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2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Statements of Operations. Fair value estimates are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1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18"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KTP and International divisions, estimates of average student course length are developed for each course, and these estimates are evaluated on an ongoing basis and adjusted as necessary. Online access revenue is recognized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9" w:name="page70"/>
    <w:bookmarkEnd w:id="69"/>
    <w:p>
      <w:pPr>
        <w:ind w:right="400"/>
        <w:spacing w:after="0" w:line="229" w:lineRule="auto"/>
        <w:rPr>
          <w:sz w:val="20"/>
          <w:szCs w:val="20"/>
          <w:color w:val="auto"/>
        </w:rPr>
      </w:pPr>
      <w:r>
        <w:rPr>
          <w:rFonts w:ascii="Arial" w:cs="Arial" w:eastAsia="Arial" w:hAnsi="Arial"/>
          <w:sz w:val="18"/>
          <w:szCs w:val="18"/>
          <w:color w:val="auto"/>
        </w:rPr>
        <w:t>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37"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10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5"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SocialCode LLC (SocialCode), a wholly owned subsidiary, is a social-media marketing technology and services company helping companies maximize their marketing efforts on social-media platforms such as Facebook, Twitter, Instagram and Pinterest. Donald E. Graham, the Chairman of the Company’s Board, was a member of the Board of Directors of Facebook, Inc. in 2013, 2014, and through June 10, 2015. SocialCode’s revenues are reported on a net basis; therefore, the Company’s Statements of Operations exclude the media acquisition costs incurred related to the relevant advertising platforms.</w:t>
      </w:r>
    </w:p>
    <w:p>
      <w:pPr>
        <w:spacing w:after="0" w:line="119"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Balance Sheets.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38"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Company’s Consolidated Balance Sheets for lease agreements that require payments in advance or deposits held for security that are refundable, less any damages, at the end of the respective lease.</w:t>
      </w:r>
    </w:p>
    <w:p>
      <w:pPr>
        <w:spacing w:after="0" w:line="11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 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rate of compensation increase. The Company uses a measurement date of December 31 for its pension and other postretirement benefit plans.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746" w:right="259" w:bottom="1440" w:gutter="0" w:footer="0" w:header="0"/>
        </w:sectPr>
      </w:pPr>
    </w:p>
    <w:bookmarkStart w:id="70" w:name="page71"/>
    <w:bookmarkEnd w:id="70"/>
    <w:p>
      <w:pPr>
        <w:ind w:right="10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 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7"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Redeemable Noncontrolling Interests. </w:t>
      </w:r>
      <w:r>
        <w:rPr>
          <w:rFonts w:ascii="Arial" w:cs="Arial" w:eastAsia="Arial" w:hAnsi="Arial"/>
          <w:sz w:val="18"/>
          <w:szCs w:val="18"/>
          <w:color w:val="auto"/>
        </w:rPr>
        <w:t>The Company’s redeemable noncontrolling interests represent the noncontrolling interests in Celtic</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(Celtic) and Residential Healthcare (Residential), each of which is 80% owned. The minority shareholders in Celtic have an option to put their shares to the Company from 2018 to 2022, and the Company has an option to buy the shares of the minority shareholders in 2022. The minority shareholders in Residential have an option to put their shares to the Company starting in 2017, and the Company has an option to buy the shares of some minority shareholders in 2020 and those of the remaining minority shareholders in 2024. The Company presents the redeemable noncontrolling interests at the greater of their carrying amount or redemption value at the end of each reporting period in the Consolidated Balance Sheets. Changes in the redemption value are recorded to capital in excess of par value in the Company’s Consolidated Balance Sheets.</w:t>
      </w:r>
    </w:p>
    <w:p>
      <w:pPr>
        <w:spacing w:after="0" w:line="1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24" w:right="239" w:bottom="1440" w:gutter="0" w:footer="0" w:header="0"/>
        </w:sectPr>
      </w:pPr>
    </w:p>
    <w:bookmarkStart w:id="71" w:name="page72"/>
    <w:bookmarkEnd w:id="71"/>
    <w:p>
      <w:pPr>
        <w:ind w:right="40"/>
        <w:spacing w:after="0" w:line="23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disposal of a component is reported as discontinued operations if the disposal represents a strategic shift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or will have a major effect on the Company’s operations and financial results. The results of discontinued operations (as well as the gain or loss on the disposal) are aggregated and separately presented in the Company’s Consolidated Statements of Operations, net of income taxes.</w:t>
      </w:r>
    </w:p>
    <w:p>
      <w:pPr>
        <w:spacing w:after="0" w:line="11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3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Consolidated Financial Statements.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September 2015, the FASB issued new guidance that simplifies the accounting for measurement period adjustments for an acquirer in a business combination. The new guidance requires an acquirer to recognize any adjustments to the provisional purchase accounting in the reporting period that the adjustment amounts are determined, by eliminating the requirement to retrospectively account for those adjustments. The guidance requires that the acquirer records, in the financial statements of the same period the adjustment is determined, the effect on earnings of changes in depreciation, amortization, or other income effects, if any, as a result of the change in the provisional amounts. The amount of the change is calculated as if the accounting had been completed at the acquisition date. The guidance is effective for interim and fiscal years beginning after December 15, 2015. Early adoption is permitted. The Company does not expect this guidance to have a material impact on its Consolidated Financial Statements.</w:t>
      </w:r>
    </w:p>
    <w:p>
      <w:pPr>
        <w:spacing w:after="0" w:line="13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November 2015, the FASB issued new guidance that simplifies the balance sheet presentation of deferred taxes. The new guidance requires that all deferred tax liabilities and assets be classified as noncurrent in a classified balance sheet. As a result, each jurisdiction will now only have one net noncurrent deferred tax asset or liability. The guidance is effective for interim and fiscal years beginning after December 15, 2016, with early application permitted. The Company adopted the new guidance prospectively as of December 31, 2015. Therefore, prior periods have not been adjusted to reflect this adoption.</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Consolidated Financial Statements.</w:t>
      </w:r>
    </w:p>
    <w:p>
      <w:pPr>
        <w:spacing w:after="0" w:line="136"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2015, are not expected to have a material impact on the Company’s Consolidated Financial Statements.</w:t>
      </w:r>
    </w:p>
    <w:p>
      <w:pPr>
        <w:spacing w:after="0" w:line="11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as an independent,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724" w:right="259" w:bottom="1440" w:gutter="0" w:footer="0" w:header="0"/>
        </w:sectPr>
      </w:pPr>
    </w:p>
    <w:bookmarkStart w:id="72" w:name="page73"/>
    <w:bookmarkEnd w:id="72"/>
    <w:p>
      <w:pPr>
        <w:ind w:right="120"/>
        <w:spacing w:after="0" w:line="235" w:lineRule="auto"/>
        <w:rPr>
          <w:sz w:val="20"/>
          <w:szCs w:val="20"/>
          <w:color w:val="auto"/>
        </w:rPr>
      </w:pPr>
      <w:r>
        <w:rPr>
          <w:rFonts w:ascii="Arial" w:cs="Arial" w:eastAsia="Arial" w:hAnsi="Arial"/>
          <w:sz w:val="18"/>
          <w:szCs w:val="18"/>
          <w:color w:val="auto"/>
        </w:rPr>
        <w:t>Cable ONE is now an independent public company trading on the New York Stock Exchange under the symbol “CABO”. After the spin-off, the Company does not beneficially own any shares of Cable ONE common stock.</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results of operations of Cable ONE are included in the Company’s Consolidated Statements of Operations as income from discontinued operations, net of tax, for all periods presented.</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order to implement the spin-off, the Company entered into certain agreements with Cable ONE to give effect to the legal and structural separation and to allocate various assets, liabilities and obligations between the Company and Cable ONE. In addition to executing the spin-off in the manner provided in the agreements, Cable ONE distributed $450 million in cash to the Company in June 2015 using the proceeds from their issuance of unsecured notes of $ 450 million. Also, in connection with the spin-off,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as discontinued operations in the Company’s Consolidated Financial Statements.</w:t>
      </w:r>
    </w:p>
    <w:p>
      <w:pPr>
        <w:spacing w:after="0" w:line="13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restricted stock awards resulted in an estimated incremental stock compensation expense of $3.0 million that will be recognized over the remaining service periods of the unvested restricted stock awards through the end of 2018. The modification of some of the stock options resulted in an incremental stock compensation expense of $23.5 million, of which $18.8 million related to fully vested stock options was recognized as a one-time expense in the third quarter of 2015, with the remaining $4.7 million to be recognized over the remaining service periods of the unvested stock options through the end of 2018. The $18.8 million expense is included in the Company’s corporate office segment results and in selling, general and administrative in the Company’s Consolidated Statements of Operations.</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As a result of the spin-off, Cable ONE assumed the liability related to their employees participating in the Company’s Supplemental Executive Retirement Plan (SERP), and the Company eliminated the accrual of pension benefits for all Cable ONE employees related to their future service. As a result, the Company remeasured the accumulated and projected benefit obligation of the pension and SERP as of July 1, 2015. A pension curtailment gain of $2.2 million was recorded in the third quarter of 2015 in income from discontinued operations, net of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divested the following assets and liabilities which net to $406.5 million, or $312.3 million net of cash retained by</w:t>
      </w:r>
    </w:p>
    <w:p>
      <w:pPr>
        <w:spacing w:after="0"/>
        <w:rPr>
          <w:sz w:val="20"/>
          <w:szCs w:val="20"/>
          <w:color w:val="auto"/>
        </w:rPr>
      </w:pPr>
      <w:r>
        <w:rPr>
          <w:rFonts w:ascii="Arial" w:cs="Arial" w:eastAsia="Arial" w:hAnsi="Arial"/>
          <w:sz w:val="18"/>
          <w:szCs w:val="18"/>
          <w:color w:val="auto"/>
        </w:rPr>
        <w:t>Cable ONE on the Distribution Date:</w:t>
      </w:r>
    </w:p>
    <w:p>
      <w:pPr>
        <w:sectPr>
          <w:pgSz w:w="11900" w:h="16838" w:orient="portrait"/>
          <w:cols w:equalWidth="0" w:num="1">
            <w:col w:w="11380"/>
          </w:cols>
          <w:pgMar w:left="240" w:top="74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current assets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current assets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Goodwill,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Indefinite-lived intangible assets,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Amortized intangible assets,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charges and other assets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Assets</w:t>
      </w:r>
    </w:p>
    <w:p>
      <w:pPr>
        <w:spacing w:after="0" w:line="3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Short-term borrowings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current liabilities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Accrued compensation and related benefits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Long-term debt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July 1, 2015</w:t>
      </w:r>
    </w:p>
    <w:p>
      <w:pPr>
        <w:spacing w:after="0" w:line="111" w:lineRule="exact"/>
        <w:rPr>
          <w:sz w:val="20"/>
          <w:szCs w:val="20"/>
          <w:color w:val="auto"/>
        </w:rPr>
      </w:pPr>
    </w:p>
    <w:p>
      <w:pPr>
        <w:ind w:left="840" w:hanging="832"/>
        <w:spacing w:after="0"/>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94,115</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29,778</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138,075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612,812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85,488</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496,321</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510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1,355,747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43" w:lineRule="exact"/>
        <w:rPr>
          <w:sz w:val="20"/>
          <w:szCs w:val="20"/>
          <w:color w:val="auto"/>
        </w:rPr>
      </w:pPr>
    </w:p>
    <w:p>
      <w:pPr>
        <w:ind w:left="840" w:hanging="832"/>
        <w:spacing w:after="0"/>
        <w:tabs>
          <w:tab w:leader="none" w:pos="8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70,920</w:t>
      </w:r>
    </w:p>
    <w:p>
      <w:pPr>
        <w:spacing w:after="0" w:line="8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color w:val="auto"/>
        </w:rPr>
        <w:t>2,962</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21,883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98,265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24,227</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279,245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547,500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949,294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194945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440"/>
          </w:cols>
          <w:pgMar w:left="240" w:top="746" w:right="279" w:bottom="1440" w:gutter="0" w:footer="0" w:header="0"/>
          <w:type w:val="continuous"/>
        </w:sectPr>
      </w:pPr>
    </w:p>
    <w:p>
      <w:pPr>
        <w:spacing w:after="0" w:line="129" w:lineRule="exact"/>
        <w:rPr>
          <w:sz w:val="20"/>
          <w:szCs w:val="20"/>
          <w:color w:val="auto"/>
        </w:rPr>
      </w:pPr>
    </w:p>
    <w:p>
      <w:pPr>
        <w:ind w:left="60"/>
        <w:spacing w:after="0"/>
        <w:tabs>
          <w:tab w:leader="none" w:pos="9920" w:val="left"/>
          <w:tab w:leader="none" w:pos="10680" w:val="left"/>
        </w:tabs>
        <w:rPr>
          <w:sz w:val="20"/>
          <w:szCs w:val="20"/>
          <w:color w:val="auto"/>
        </w:rPr>
      </w:pPr>
      <w:r>
        <w:rPr>
          <w:rFonts w:ascii="Arial" w:cs="Arial" w:eastAsia="Arial" w:hAnsi="Arial"/>
          <w:sz w:val="16"/>
          <w:szCs w:val="16"/>
          <w:b w:val="1"/>
          <w:bCs w:val="1"/>
          <w:color w:val="auto"/>
        </w:rPr>
        <w:t>Net assets divested in the Spin-Off</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406,453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31750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48895</wp:posOffset>
            </wp:positionV>
            <wp:extent cx="934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1">
            <w:col w:w="11380"/>
          </w:cols>
          <w:pgMar w:left="240" w:top="74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0"/>
          </w:cols>
          <w:pgMar w:left="240" w:top="746" w:right="279" w:bottom="1440" w:gutter="0" w:footer="0" w:header="0"/>
          <w:type w:val="continuous"/>
        </w:sectPr>
      </w:pPr>
    </w:p>
    <w:bookmarkStart w:id="73" w:name="page74"/>
    <w:bookmarkEnd w:id="73"/>
    <w:p>
      <w:pPr>
        <w:ind w:right="120"/>
        <w:spacing w:after="0" w:line="235" w:lineRule="auto"/>
        <w:rPr>
          <w:sz w:val="20"/>
          <w:szCs w:val="20"/>
          <w:color w:val="auto"/>
        </w:rPr>
      </w:pPr>
      <w:r>
        <w:rPr>
          <w:rFonts w:ascii="Arial" w:cs="Arial" w:eastAsia="Arial" w:hAnsi="Arial"/>
          <w:sz w:val="18"/>
          <w:szCs w:val="18"/>
          <w:color w:val="auto"/>
        </w:rPr>
        <w:t>Cash flows from Cable ONE for the years ended December 31, 2015, 2014 and 2013 are combined with the cash flows from operations within each of the categories presented. Cash flows from Cable ONE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2013</w:t>
            </w:r>
          </w:p>
        </w:tc>
      </w:tr>
      <w:tr>
        <w:trPr>
          <w:trHeight w:val="250"/>
        </w:trPr>
        <w:tc>
          <w:tcPr>
            <w:tcW w:w="7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3"/>
              <w:spacing w:after="0"/>
              <w:rPr>
                <w:sz w:val="20"/>
                <w:szCs w:val="20"/>
                <w:color w:val="auto"/>
              </w:rPr>
            </w:pPr>
            <w:r>
              <w:rPr>
                <w:rFonts w:ascii="Arial" w:cs="Arial" w:eastAsia="Arial" w:hAnsi="Arial"/>
                <w:sz w:val="16"/>
                <w:szCs w:val="16"/>
                <w:b w:val="1"/>
                <w:bCs w:val="1"/>
                <w:color w:val="auto"/>
              </w:rPr>
              <w:t>109,772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251,506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228,605</w:t>
            </w:r>
          </w:p>
        </w:tc>
      </w:tr>
      <w:tr>
        <w:trPr>
          <w:trHeight w:val="270"/>
        </w:trPr>
        <w:tc>
          <w:tcPr>
            <w:tcW w:w="7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(74,416)</w:t>
            </w:r>
          </w:p>
        </w:tc>
        <w:tc>
          <w:tcPr>
            <w:tcW w:w="34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(78,405)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(140,181)</w:t>
            </w:r>
          </w:p>
        </w:tc>
      </w:tr>
    </w:tbl>
    <w:p>
      <w:pPr>
        <w:spacing w:after="0" w:line="149"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financing, and related costs of $7.4 million and $3.5 million in 2015 and 2014, respectively,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discontinued operations, net of tax.</w:t>
      </w:r>
    </w:p>
    <w:p>
      <w:pPr>
        <w:spacing w:after="0" w:line="10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that resulted in a pre-tax loss of $3.1 million. An additional school in China was sold by Kaplan in January 2015 that resulted in a pre-tax loss of $0.7 million.</w:t>
      </w:r>
    </w:p>
    <w:p>
      <w:pPr>
        <w:spacing w:after="0" w:line="13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June 30, 2014, the Company and Berkshire Hathaway Inc. (Berkshire) completed a transaction, as described in Note 7, in which Berkshire acquired a wholly owned subsidiary of the Company that included, among other things, WPLG, a Miami-based television station; a $375.0 million gain from the WPLG sale was recorded in the second quarter of 2014.</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publishing businesses sold include The Washington Post, Express, The Gazette Newspapers, Southern Maryland Newspapers, Greater Washington Publishing, Fairfax County Times, El Tiempo Latino and related websites (Publishing Subsidiaries). A pre-tax gain of $157.5 million was recorded on the sale (after-tax gain of $100.0 million) in the fourth quarter of 2013.</w:t>
      </w:r>
    </w:p>
    <w:p>
      <w:pPr>
        <w:spacing w:after="0" w:line="13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In March 2013, the Company sold The Herald. The sale of The Herald resulted in a pre-tax loss of $0.1 million that was recorded in the first quarter of 2013.</w:t>
      </w:r>
    </w:p>
    <w:p>
      <w:pPr>
        <w:spacing w:after="0" w:line="135" w:lineRule="exact"/>
        <w:rPr>
          <w:sz w:val="20"/>
          <w:szCs w:val="20"/>
          <w:color w:val="auto"/>
        </w:rPr>
      </w:pPr>
    </w:p>
    <w:p>
      <w:pPr>
        <w:jc w:val="both"/>
        <w:ind w:right="200"/>
        <w:spacing w:after="0" w:line="225" w:lineRule="auto"/>
        <w:rPr>
          <w:sz w:val="20"/>
          <w:szCs w:val="20"/>
          <w:color w:val="auto"/>
        </w:rPr>
      </w:pPr>
      <w:r>
        <w:rPr>
          <w:rFonts w:ascii="Arial" w:cs="Arial" w:eastAsia="Arial" w:hAnsi="Arial"/>
          <w:sz w:val="18"/>
          <w:szCs w:val="18"/>
          <w:color w:val="auto"/>
        </w:rPr>
        <w:t>The results of operations of Cable ONE, the schools in China, WPLG, the Publishing Subsidiaries and The Herald, for 2015, 2014 and 2013, where applicable, are included in the Company’s Consolidated Statements of Operations as income from discontinued operations, net of tax. All corresponding prior period operating results presented in the Company’s Consolidated Financial Statements and the accompanying notes have been reclassified to reflect the discontinued operations presented. The Company did not reclassify its Consolidated Statements of Cash Flows or prior year Consolidated Balance Sheet to reflect the discontinued operations.</w:t>
      </w:r>
    </w:p>
    <w:p>
      <w:pPr>
        <w:spacing w:after="0" w:line="137"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397,404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845,114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1,269,966</w:t>
            </w:r>
          </w:p>
        </w:tc>
      </w:tr>
      <w:tr>
        <w:trPr>
          <w:trHeight w:val="283"/>
        </w:trPr>
        <w:tc>
          <w:tcPr>
            <w:tcW w:w="766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(325,379)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(660,180)</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(1,156,735)</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72,025</w:t>
            </w:r>
          </w:p>
        </w:tc>
        <w:tc>
          <w:tcPr>
            <w:tcW w:w="3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184,934</w:t>
            </w:r>
          </w:p>
        </w:tc>
        <w:tc>
          <w:tcPr>
            <w:tcW w:w="3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113,231</w:t>
            </w:r>
          </w:p>
        </w:tc>
      </w:tr>
      <w:tr>
        <w:trPr>
          <w:trHeight w:val="283"/>
        </w:trPr>
        <w:tc>
          <w:tcPr>
            <w:tcW w:w="7660" w:type="dxa"/>
            <w:vAlign w:val="bottom"/>
          </w:tcPr>
          <w:p>
            <w:pPr>
              <w:ind w:left="40"/>
              <w:spacing w:after="0"/>
              <w:rPr>
                <w:sz w:val="20"/>
                <w:szCs w:val="20"/>
                <w:color w:val="auto"/>
              </w:rPr>
            </w:pPr>
            <w:r>
              <w:rPr>
                <w:rFonts w:ascii="Arial" w:cs="Arial" w:eastAsia="Arial" w:hAnsi="Arial"/>
                <w:sz w:val="16"/>
                <w:szCs w:val="16"/>
                <w:color w:val="auto"/>
              </w:rPr>
              <w:t>Non-operating (expense)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74,196</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70,737</w:t>
            </w:r>
          </w:p>
        </w:tc>
        <w:tc>
          <w:tcPr>
            <w:tcW w:w="3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259,130</w:t>
            </w:r>
          </w:p>
        </w:tc>
        <w:tc>
          <w:tcPr>
            <w:tcW w:w="3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113,095</w:t>
            </w:r>
          </w:p>
        </w:tc>
      </w:tr>
      <w:tr>
        <w:trPr>
          <w:trHeight w:val="283"/>
        </w:trPr>
        <w:tc>
          <w:tcPr>
            <w:tcW w:w="7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27,783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98,207</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40,441</w:t>
            </w: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2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42,954</w:t>
            </w:r>
          </w:p>
        </w:tc>
        <w:tc>
          <w:tcPr>
            <w:tcW w:w="3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160,923</w:t>
            </w:r>
          </w:p>
        </w:tc>
        <w:tc>
          <w:tcPr>
            <w:tcW w:w="3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72,654</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(Loss) gain on dispositions of discontinued operations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(732)</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351,133</w:t>
            </w:r>
          </w:p>
        </w:tc>
        <w:tc>
          <w:tcPr>
            <w:tcW w:w="3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157,449</w:t>
            </w:r>
          </w:p>
        </w:tc>
      </w:tr>
      <w:tr>
        <w:trPr>
          <w:trHeight w:val="283"/>
        </w:trPr>
        <w:tc>
          <w:tcPr>
            <w:tcW w:w="7660" w:type="dxa"/>
            <w:vAlign w:val="bottom"/>
          </w:tcPr>
          <w:p>
            <w:pPr>
              <w:ind w:left="40"/>
              <w:spacing w:after="0"/>
              <w:rPr>
                <w:sz w:val="20"/>
                <w:szCs w:val="20"/>
                <w:color w:val="auto"/>
              </w:rPr>
            </w:pPr>
            <w:r>
              <w:rPr>
                <w:rFonts w:ascii="Arial" w:cs="Arial" w:eastAsia="Arial" w:hAnsi="Arial"/>
                <w:sz w:val="16"/>
                <w:szCs w:val="16"/>
                <w:color w:val="auto"/>
              </w:rPr>
              <w:t>Provision (benefit) for income taxes on dispositions of discontinued operations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(15,801)</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57,489</w:t>
            </w:r>
          </w:p>
        </w:tc>
      </w:tr>
      <w:tr>
        <w:trPr>
          <w:trHeight w:val="26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527,857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172,614</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b w:val="1"/>
          <w:bCs w:val="1"/>
          <w:color w:val="auto"/>
        </w:rPr>
        <w:t xml:space="preserve">Commercial Paper and Money Market Investments. </w:t>
      </w:r>
      <w:r>
        <w:rPr>
          <w:rFonts w:ascii="Arial" w:cs="Arial" w:eastAsia="Arial" w:hAnsi="Arial"/>
          <w:sz w:val="18"/>
          <w:szCs w:val="18"/>
          <w:color w:val="auto"/>
        </w:rPr>
        <w:t>As of December 31, 2015 and 2014, the Company had commercial paper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investments of $433.0 million and $594.3 million, respectively, that are classified as cash, cash equivalents and restricted cash in the Company’s Consolidated Balance Sheets.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253,062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106,909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Pr>
          <w:p>
            <w:pPr>
              <w:spacing w:after="0"/>
              <w:rPr>
                <w:sz w:val="23"/>
                <w:szCs w:val="23"/>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97,741</w:t>
            </w:r>
          </w:p>
        </w:tc>
        <w:tc>
          <w:tcPr>
            <w:tcW w:w="3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86,884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350,563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193,793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December 31, 2015 and 2014, the Company owned 28,000 shares in Markel Corporation (Markel) valued at $24.7 million and $19.1 million, respectively. The Co-Chief Executive Officer of Markel, Mr. Thomas S. Gayner, is a member of the Company’s Board of Directors.</w:t>
      </w:r>
    </w:p>
    <w:p>
      <w:pPr>
        <w:spacing w:after="0" w:line="8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invested $146.2 million, $50.0 million and $15.0 million in marketable equity securities during 2015, 2014 and 2013, respectively. During 2014, the proceeds from the sale of marketable securities were $5.8 million and net realized losses were $2.6 million. During 2013, proceeds from sales of marketable equity securities were $3.6 million and net realized gains on such sales were $0.9 million.</w:t>
      </w:r>
    </w:p>
    <w:p>
      <w:pPr>
        <w:spacing w:after="0" w:line="8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On June 30, 2014, the Company completed a transaction with Berkshire, as described in Note 7,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At the end of 2013,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write-down of the investment in 2013.</w:t>
      </w:r>
    </w:p>
    <w:p>
      <w:pPr>
        <w:spacing w:after="0" w:line="61"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In the second quarter of 2015, the Company acquired approximately 20% of HomeHero, a company that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and manages an online senior home care marketplace. At December 31, 2015, the Company also held a 40% interest in Residential Home Health Illinois, a 42.5% interest in Residential Hospice Illinois, a 40% interest in the joint venture formed between Celtic and Allegheny Health Network (AHN) and interests in several other affiliates (see Note 7).</w:t>
      </w:r>
    </w:p>
    <w:p>
      <w:pPr>
        <w:spacing w:after="0" w:line="137"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 On September 30, 2014, the Company held a 16.5% interest in Classified Ventures. On October 1, 2014, the Company and the remaining partners completed the sale of their entire stakes in Classified Ventures. Total proceeds to the Company, net of transaction costs, were $408.5 million, of which $16.5 million was held in escrow until received in the fourth quarter of 2015. The Company recorded a pre-tax gain of $396.6 million in connection with the sale in the fourth quarter of 2014.</w:t>
      </w:r>
    </w:p>
    <w:p>
      <w:pPr>
        <w:spacing w:after="0" w:line="115"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Trade accounts receivable, less doubtful accounts and allowances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of $27,854 and $32,598</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553,780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538,532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18,655</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32,825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572,435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571,357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2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changes in allowance for doubtful accounts and allowance for advertising rate adjustments and discounts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43"/>
              <w:spacing w:after="0"/>
              <w:rPr>
                <w:sz w:val="20"/>
                <w:szCs w:val="20"/>
                <w:color w:val="auto"/>
              </w:rPr>
            </w:pPr>
            <w:r>
              <w:rPr>
                <w:rFonts w:ascii="Arial" w:cs="Arial" w:eastAsia="Arial" w:hAnsi="Arial"/>
                <w:sz w:val="14"/>
                <w:szCs w:val="14"/>
                <w:b w:val="1"/>
                <w:bCs w:val="1"/>
                <w:color w:val="auto"/>
              </w:rPr>
              <w:t>Additions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80" w:type="dxa"/>
            <w:vAlign w:val="bottom"/>
          </w:tcPr>
          <w:p>
            <w:pPr>
              <w:jc w:val="center"/>
              <w:ind w:right="163"/>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80" w:type="dxa"/>
            <w:vAlign w:val="bottom"/>
          </w:tcPr>
          <w:p>
            <w:pPr>
              <w:jc w:val="center"/>
              <w:ind w:right="143"/>
              <w:spacing w:after="0"/>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Deductions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2015</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32,598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b w:val="1"/>
                <w:bCs w:val="1"/>
                <w:color w:val="auto"/>
              </w:rPr>
              <w:t>39,982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(44,726)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27,854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33,834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47,356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(48,592)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2013</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33,612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57,245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(57,023)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33,834</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Allowance for advertising rate adjustments and discounts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1,850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35,462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57,245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(58,873)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33,834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Accounts payable and accrued liabilities consist of the following:</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285,321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303,111</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142,693</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161,231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428,014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464,342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$1.1 million are included in accounts payable and accrued liabilities at December 31, 2015.</w:t>
      </w:r>
    </w:p>
    <w:p>
      <w:pPr>
        <w:spacing w:after="0" w:line="122"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10,410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18,052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83,642</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157,250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438,388</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2,357,264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205,018</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214,119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13,517</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71,156</w:t>
            </w:r>
          </w:p>
        </w:tc>
      </w:tr>
      <w:tr>
        <w:trPr>
          <w:trHeight w:val="251"/>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750,975</w:t>
            </w:r>
          </w:p>
        </w:tc>
        <w:tc>
          <w:tcPr>
            <w:tcW w:w="2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2,817,841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(519,852)</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(1,957,012)</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231,123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860,829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$77.9 million, $74.9 million and $101.2 million in 2015, 2014 and 2013, respectively.</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the second quarter of 2015, as a result of the sale of Kaplan’s KHE Campuses business, Kaplan recorded a $6.9 million impairment charge. In 2014, as a result of restructuring activities at KHE Campuses, Kaplan recorded an impairment charge of $13.6 million. The Company estimated the fair value of the property, plant, and equipment using a market approach.</w:t>
      </w:r>
    </w:p>
    <w:p>
      <w:pPr>
        <w:spacing w:after="0" w:line="11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$163.3 million in 2015; $210.2 million in 2014; and $23.8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2013. The assets and liabilities of the companies acquired have been recorded at their estimated fair values at the date of acquisition.</w:t>
      </w:r>
    </w:p>
    <w:p>
      <w:pPr>
        <w:spacing w:after="0" w:line="121" w:lineRule="exact"/>
        <w:rPr>
          <w:sz w:val="20"/>
          <w:szCs w:val="20"/>
          <w:color w:val="auto"/>
        </w:rPr>
      </w:pPr>
    </w:p>
    <w:p>
      <w:pPr>
        <w:ind w:right="360"/>
        <w:spacing w:after="0" w:line="225" w:lineRule="auto"/>
        <w:rPr>
          <w:sz w:val="20"/>
          <w:szCs w:val="20"/>
          <w:color w:val="auto"/>
        </w:rPr>
      </w:pPr>
      <w:r>
        <w:rPr>
          <w:rFonts w:ascii="Arial" w:cs="Arial" w:eastAsia="Arial" w:hAnsi="Arial"/>
          <w:sz w:val="18"/>
          <w:szCs w:val="18"/>
          <w:color w:val="auto"/>
        </w:rPr>
        <w:t>During 2015, the Company acquired two businesses. 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SmartPros, a leading provider of accredited professional education and training, primarily in accountancy, which is included in Higher Education.</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746" w:right="239" w:bottom="1440" w:gutter="0" w:footer="0" w:header="0"/>
          <w:type w:val="continuous"/>
        </w:sectPr>
      </w:pPr>
    </w:p>
    <w:bookmarkStart w:id="76" w:name="page77"/>
    <w:bookmarkEnd w:id="76"/>
    <w:p>
      <w:pPr>
        <w:ind w:right="300"/>
        <w:spacing w:after="0" w:line="235" w:lineRule="auto"/>
        <w:rPr>
          <w:sz w:val="20"/>
          <w:szCs w:val="20"/>
          <w:color w:val="auto"/>
        </w:rPr>
      </w:pPr>
      <w:r>
        <w:rPr>
          <w:rFonts w:ascii="Arial" w:cs="Arial" w:eastAsia="Arial" w:hAnsi="Arial"/>
          <w:sz w:val="18"/>
          <w:szCs w:val="18"/>
          <w:color w:val="auto"/>
        </w:rPr>
        <w:t>Acquisition-related costs were expensed as incurred and were not significant. The aggregate purchase price of these 2015 acquisitions was allocated as follows on a preliminary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4500" w:type="dxa"/>
            <w:vAlign w:val="bottom"/>
            <w:gridSpan w:val="2"/>
          </w:tcPr>
          <w:p>
            <w:pPr>
              <w:ind w:left="290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gridSpan w:val="2"/>
          </w:tcPr>
          <w:p>
            <w:pPr>
              <w:ind w:left="3400"/>
              <w:spacing w:after="0"/>
              <w:rPr>
                <w:sz w:val="20"/>
                <w:szCs w:val="20"/>
                <w:color w:val="auto"/>
              </w:rPr>
            </w:pPr>
            <w:r>
              <w:rPr>
                <w:rFonts w:ascii="Arial" w:cs="Arial" w:eastAsia="Arial" w:hAnsi="Arial"/>
                <w:sz w:val="14"/>
                <w:szCs w:val="14"/>
                <w:b w:val="1"/>
                <w:bCs w:val="1"/>
                <w:color w:val="auto"/>
              </w:rPr>
              <w:t>Life</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500" w:type="dxa"/>
            <w:vAlign w:val="bottom"/>
            <w:gridSpan w:val="2"/>
          </w:tcPr>
          <w:p>
            <w:pPr>
              <w:ind w:left="43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3,501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30,537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Inventory</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20,593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28,872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76,156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7,400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7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22,200</w:t>
            </w: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7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1,800</w:t>
            </w:r>
          </w:p>
        </w:tc>
      </w:tr>
      <w:tr>
        <w:trPr>
          <w:trHeight w:val="283"/>
        </w:trPr>
        <w:tc>
          <w:tcPr>
            <w:tcW w:w="5620" w:type="dxa"/>
            <w:vAlign w:val="bottom"/>
          </w:tcPr>
          <w:p>
            <w:pPr>
              <w:ind w:left="180"/>
              <w:spacing w:after="0"/>
              <w:rPr>
                <w:sz w:val="20"/>
                <w:szCs w:val="20"/>
                <w:color w:val="auto"/>
              </w:rPr>
            </w:pPr>
            <w:r>
              <w:rPr>
                <w:rFonts w:ascii="Arial" w:cs="Arial" w:eastAsia="Arial" w:hAnsi="Arial"/>
                <w:sz w:val="16"/>
                <w:szCs w:val="16"/>
                <w:color w:val="auto"/>
              </w:rPr>
              <w:t>Other</w:t>
            </w:r>
          </w:p>
        </w:tc>
        <w:tc>
          <w:tcPr>
            <w:tcW w:w="4320" w:type="dxa"/>
            <w:vAlign w:val="bottom"/>
          </w:tcPr>
          <w:p>
            <w:pPr>
              <w:ind w:left="3660"/>
              <w:spacing w:after="0"/>
              <w:rPr>
                <w:sz w:val="20"/>
                <w:szCs w:val="20"/>
                <w:color w:val="auto"/>
              </w:rPr>
            </w:pPr>
            <w:r>
              <w:rPr>
                <w:rFonts w:ascii="Arial" w:cs="Arial" w:eastAsia="Arial" w:hAnsi="Arial"/>
                <w:sz w:val="16"/>
                <w:szCs w:val="16"/>
                <w:color w:val="auto"/>
              </w:rPr>
              <w:t>6 years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7,900</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6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31,900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(28,826)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43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163,280</w:t>
            </w:r>
          </w:p>
        </w:tc>
      </w:tr>
      <w:tr>
        <w:trPr>
          <w:trHeight w:val="20"/>
        </w:trPr>
        <w:tc>
          <w:tcPr>
            <w:tcW w:w="5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working capital, and the final amount of residual goodwill are not yet finalized. The Company expects to deduct $20.0 million of goodwill for income tax purposes from these two acquisitions.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revenues and operating income for the companies acquired in 2015 of $ 22.4 million and $0.1 million, respectively, for 2015. The following unaudited pro forma financial information presents the Company’s results as if the current year acquisitions had occurred at the beginning of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2014</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3"/>
              <w:spacing w:after="0"/>
              <w:rPr>
                <w:sz w:val="20"/>
                <w:szCs w:val="20"/>
                <w:color w:val="auto"/>
              </w:rPr>
            </w:pPr>
            <w:r>
              <w:rPr>
                <w:rFonts w:ascii="Arial" w:cs="Arial" w:eastAsia="Arial" w:hAnsi="Arial"/>
                <w:sz w:val="16"/>
                <w:szCs w:val="16"/>
                <w:b w:val="1"/>
                <w:bCs w:val="1"/>
                <w:color w:val="auto"/>
              </w:rPr>
              <w:t>2,741,001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ind w:left="220"/>
              <w:spacing w:after="0"/>
              <w:rPr>
                <w:sz w:val="20"/>
                <w:szCs w:val="20"/>
                <w:color w:val="auto"/>
              </w:rPr>
            </w:pPr>
            <w:r>
              <w:rPr>
                <w:rFonts w:ascii="Arial" w:cs="Arial" w:eastAsia="Arial" w:hAnsi="Arial"/>
                <w:sz w:val="16"/>
                <w:szCs w:val="16"/>
                <w:color w:val="auto"/>
              </w:rPr>
              <w:t>2,900,660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(93,103)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ind w:left="220"/>
              <w:spacing w:after="0"/>
              <w:rPr>
                <w:sz w:val="20"/>
                <w:szCs w:val="20"/>
                <w:color w:val="auto"/>
              </w:rPr>
            </w:pPr>
            <w:r>
              <w:rPr>
                <w:rFonts w:ascii="Arial" w:cs="Arial" w:eastAsia="Arial" w:hAnsi="Arial"/>
                <w:sz w:val="16"/>
                <w:szCs w:val="16"/>
                <w:color w:val="auto"/>
              </w:rPr>
              <w:t>1,292,343</w:t>
            </w:r>
          </w:p>
        </w:tc>
      </w:tr>
    </w:tbl>
    <w:p>
      <w:pPr>
        <w:spacing w:after="0" w:line="16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They are not the results that would have been realized had these entities been part of the Company during the periods presented and are not necessarily indicative of the Company’s consolidated results of operations in future periods.</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During 2014, the Company acquired nine businesses. 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fair value of the redeemable noncontrolling interest in Residential Healthcare Group, Inc. was $17.1 million at the acquisition date, determined using a market approach. The minority shareholders have an option to put their shares to the Company starting in 2017, and the Company has an option to buy the shares of some minority shareholders in 2020 and those of the remaining minority shareholders in 2024. The operating results of these businesses are included in other businesses. The Company also acquired three small businesses in its education division, one small business in its broadcasting division and two small businesses in other businesses. The purchase price allocation mostly comprised goodwill, other intangible assets and other current assets.</w:t>
      </w:r>
    </w:p>
    <w:p>
      <w:pPr>
        <w:spacing w:after="0" w:line="144"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46" w:right="239" w:bottom="1440" w:gutter="0" w:footer="0" w:header="0"/>
          <w:type w:val="continuous"/>
        </w:sectPr>
      </w:pPr>
    </w:p>
    <w:bookmarkStart w:id="77" w:name="page78"/>
    <w:bookmarkEnd w:id="77"/>
    <w:p>
      <w:pPr>
        <w:ind w:right="300"/>
        <w:spacing w:after="0" w:line="229" w:lineRule="auto"/>
        <w:rPr>
          <w:sz w:val="20"/>
          <w:szCs w:val="20"/>
          <w:color w:val="auto"/>
        </w:rPr>
      </w:pPr>
      <w:r>
        <w:rPr>
          <w:rFonts w:ascii="Arial" w:cs="Arial" w:eastAsia="Arial" w:hAnsi="Arial"/>
          <w:sz w:val="18"/>
          <w:szCs w:val="18"/>
          <w:color w:val="auto"/>
        </w:rPr>
        <w:t>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 The purchase price allocations mostly comprised goodwill, other intangible assets and current assets.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January and February 2016, Kaplan acquired Mander Portman Woodward, a leading provider of high-quality, bespoke education to U.K. and international students in London, Cambridge and Birmingham; and Osborne Books, a leading educational publisher of learning resources for accounting qualifications in the U.K., for approximately $205 million, both of which will be included in Kaplan International.</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3).</w:t>
      </w:r>
    </w:p>
    <w:p>
      <w:pPr>
        <w:spacing w:after="0" w:line="99"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On September 3, 2015, Kaplan completed the sale of substantially all of the assets of its KHE Campuses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U.S. Department of Education (ED) in connection with its post-closing review of the transaction, Kaplan 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ECA transaction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167,093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268,895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284,085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612</w:t>
            </w:r>
          </w:p>
        </w:tc>
        <w:tc>
          <w:tcPr>
            <w:tcW w:w="36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(7,748)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(5,499)</w:t>
            </w:r>
          </w:p>
        </w:tc>
      </w:tr>
    </w:tbl>
    <w:p>
      <w:pPr>
        <w:spacing w:after="0" w:line="16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assets impairment charge in connection with the KHE Campuses business.</w:t>
      </w:r>
    </w:p>
    <w:p>
      <w:pPr>
        <w:spacing w:after="0" w:line="135"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(expense) income (see Note 15).</w:t>
      </w:r>
    </w:p>
    <w:p>
      <w:pPr>
        <w:spacing w:after="0" w:line="135"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In January 2015, Kaplan completed the sale of an additional school in China.</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October 1, 2013, the Company completed the sale of its Publishing Subsidiaries that together conducted most of the Company’s publishing business and related services, including publishing The Washington Post, Express, The Gazette Newspapers, Southern Maryland Newspapers, Greater Washington Publishing, Fairfax County Times, El Tiempo Latino and related websites. In March 2013, the Company completed the sale of The Herald, a daily and Sunday newspaper headquartered in Everett, WA.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is included in Kaplan Corporate and Other.</w:t>
      </w:r>
    </w:p>
    <w:p>
      <w:pPr>
        <w:spacing w:after="0" w:line="12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 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3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pre-tax gain of $266.7 million related to the disposition of the Berkshire shares was not subject to income tax as the Berkshire exchange transaction qualifies as a tax-free distribution.</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discussed above, this exchange transaction includes significant noncash investing and financing activities. On the date of exchange, the fair value of the Berkshire Class A and B shares was $400.3 million, and the fair value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6" w:right="239" w:bottom="1440" w:gutter="0" w:footer="0" w:header="0"/>
        </w:sectPr>
      </w:pPr>
    </w:p>
    <w:bookmarkStart w:id="78" w:name="page79"/>
    <w:bookmarkEnd w:id="78"/>
    <w:p>
      <w:pPr>
        <w:ind w:right="400"/>
        <w:spacing w:after="0" w:line="235" w:lineRule="auto"/>
        <w:rPr>
          <w:sz w:val="20"/>
          <w:szCs w:val="20"/>
          <w:color w:val="auto"/>
        </w:rPr>
      </w:pPr>
      <w:r>
        <w:rPr>
          <w:rFonts w:ascii="Arial" w:cs="Arial" w:eastAsia="Arial" w:hAnsi="Arial"/>
          <w:sz w:val="18"/>
          <w:szCs w:val="18"/>
          <w:color w:val="auto"/>
        </w:rPr>
        <w:t>WPLG was determined to be $438.0 million. In total, the Company recorded an increase in treasury stock of $1,165.4 million in the second quarter of 2014 in connection with the Berkshire exchange transaction.</w:t>
      </w:r>
    </w:p>
    <w:p>
      <w:pPr>
        <w:spacing w:after="0" w:line="113"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Allegheny Health Network closed on the formation of a joint venture to combine each other’s home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3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Company’s income from continuing operations excludes Cable ONE, the sold Kaplan China schools, WPLG, the Publishing Subsidiaries and The Herald, which have been reclassified to discontinued operations (see Note 3).</w:t>
      </w:r>
    </w:p>
    <w:p>
      <w:pPr>
        <w:spacing w:after="0" w:line="113"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the third quarter of 2015, as a result of continued declines in student enrollments at KHE and the challenging industry operating environment, the Company performed an interim impairment review of its goodwill and long-lived assets at the KHE reporting unit. The KHE reporting unit failed the step one goodwill impairment test. As a result of the step two analysis, the Company recorded a $248.6 million goodwill impairment charge. The Company estimated the fair value of the KHE reporting unit utilizing a discounted cash flow model, supported by a market approach. A substantial portion of the impairment charge is due to the amount of unrecognized intangible assets identified in the step two analysis.</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addition, in the fourth quarter of 2015, Kaplan recorded intangible asset impairment charges of $0.9 million related to one of the Kaplan International businesses and $0.5 million related to a KTP business. The fair values of these intangible assets were estimated using an income approach. In November 2015, the Company announced that Trove, a digital innovation team included in other businesses, would largely be integrated into SocialCode and that Trove’s existing offerings would be discontinued. In connection with this action, the Company recorded a $2.8 million goodwill impairment charge in the fourth quarter of 2015.</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In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 In addition, Kaplan recorded intangible asset impairment charges of $1.8 million related to a KTP business, $1.1 million related to one of the Kaplan International businesses and $0.7 million related to KHE. The fair value of these intangible assets were estimated using an income approach. One of the businesses in the other businesses segment recorded an intangible asset impairment charge of $0.1 million.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2013, as a result of operating losses and restructuring activities at one of the Kaplan International businesses, Kaplan recorded an intangible and other long-lived assets impairment charge of $3.3 million. The Company estimated the fair value of the student and customer relationships and database and technology intangible assets using the excess earnings method, and the fair value of the trade name and trademarks using the relief from royalty method.</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2015, 2014 and 2013, was $19.0 million, $ 18.2 million and $11.9 million, respectively. Amortization of intangible assets is estimated to be approximately $23 million in 2016, $19 million in 2017, $17 million in 2018, $16 million in 2019, $14 million in 2020 and $18 million thereafter.</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July 2014, the cable division sold wireless spectrum licenses that were purchased in 2006; a pre-tax non-operating gain of $75.2 million was recorded in the third quarter of 2014 in connection with these sales. As a result of the Cable ONE spin-off, this gain is now reported in discontinued operations.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4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00"/>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Education</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Cable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1,073,433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203,165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34,877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1,396,963</w:t>
            </w:r>
          </w:p>
        </w:tc>
      </w:tr>
      <w:tr>
        <w:trPr>
          <w:trHeight w:val="283"/>
        </w:trPr>
        <w:tc>
          <w:tcPr>
            <w:tcW w:w="48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971,174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203,165</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28,795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1,288,622</w:t>
            </w:r>
          </w:p>
        </w:tc>
      </w:tr>
      <w:tr>
        <w:trPr>
          <w:trHeight w:val="251"/>
        </w:trPr>
        <w:tc>
          <w:tcPr>
            <w:tcW w:w="480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14,963</w:t>
            </w:r>
          </w:p>
        </w:tc>
        <w:tc>
          <w:tcPr>
            <w:tcW w:w="32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2,841</w:t>
            </w:r>
          </w:p>
        </w:tc>
        <w:tc>
          <w:tcPr>
            <w:tcW w:w="24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111,115</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128,919</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(2,422)</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(37,661)</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(40,083)</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Reclassification to discontinued operations</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(810)</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(27,938)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(27,938)</w:t>
            </w:r>
          </w:p>
        </w:tc>
      </w:tr>
      <w:tr>
        <w:trPr>
          <w:trHeight w:val="251"/>
        </w:trPr>
        <w:tc>
          <w:tcPr>
            <w:tcW w:w="480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1,057,226</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168,345</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145,992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1,457,051</w:t>
            </w:r>
          </w:p>
        </w:tc>
      </w:tr>
      <w:tr>
        <w:trPr>
          <w:trHeight w:val="283"/>
        </w:trPr>
        <w:tc>
          <w:tcPr>
            <w:tcW w:w="48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954,967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168,345</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139,910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1,348,710</w:t>
            </w:r>
          </w:p>
        </w:tc>
      </w:tr>
      <w:tr>
        <w:trPr>
          <w:trHeight w:val="251"/>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w:t>
            </w:r>
          </w:p>
        </w:tc>
        <w:tc>
          <w:tcPr>
            <w:tcW w:w="22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4,570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4,570</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11,515</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60,071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71,586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(248,591)</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(2,810)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(251,401)</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(33,502)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(85,488)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(7,819)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(126,809)</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(29,143)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(29,143)</w:t>
            </w:r>
          </w:p>
        </w:tc>
      </w:tr>
      <w:tr>
        <w:trPr>
          <w:trHeight w:val="251"/>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1,006,096</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168,345</w:t>
            </w:r>
          </w:p>
        </w:tc>
        <w:tc>
          <w:tcPr>
            <w:tcW w:w="2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202,814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1,377,255</w:t>
            </w:r>
          </w:p>
        </w:tc>
      </w:tr>
      <w:tr>
        <w:trPr>
          <w:trHeight w:val="283"/>
        </w:trPr>
        <w:tc>
          <w:tcPr>
            <w:tcW w:w="48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(350,850)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(8,892)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(359,742)</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655,246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168,345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193,922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1,017,513</w:t>
            </w: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152,187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512,230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1,073,433</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409,016</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49,928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512,230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971,174</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1,052</w:t>
            </w:r>
          </w:p>
        </w:tc>
        <w:tc>
          <w:tcPr>
            <w:tcW w:w="2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13,911</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14,963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Reclassification to discontinued operations</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(810)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(27,754)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409,884</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481,244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1,057,226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409,884</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481,244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954,967</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11,515</w:t>
            </w:r>
          </w:p>
        </w:tc>
        <w:tc>
          <w:tcPr>
            <w:tcW w:w="2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11,515</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(248,591)</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(248,591)</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(28,738)</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(4,764)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(33,502)</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(28,939)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(29,143)</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392,457</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447,541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1,006,096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(248,591)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143,866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447,541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655,246</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746"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December 31, 2015</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As of December 31, 2014</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Useful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4"/>
                <w:szCs w:val="14"/>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color w:val="auto"/>
              </w:rPr>
              <w:t>Accumulated</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Range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Amount</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50"/>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 years  $</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1,381</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1,012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369</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1,590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Student and customer relationships</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2–10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108,806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40,280</w:t>
            </w:r>
          </w:p>
        </w:tc>
        <w:tc>
          <w:tcPr>
            <w:tcW w:w="2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68,526</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104,685</w:t>
            </w:r>
          </w:p>
        </w:tc>
        <w:tc>
          <w:tcPr>
            <w:tcW w:w="220" w:type="dxa"/>
            <w:vAlign w:val="bottom"/>
          </w:tcPr>
          <w:p>
            <w:pPr>
              <w:spacing w:after="0"/>
              <w:rPr>
                <w:sz w:val="23"/>
                <w:szCs w:val="23"/>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47,539</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Databases and technology</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3–5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4,617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4,114</w:t>
            </w:r>
          </w:p>
        </w:tc>
        <w:tc>
          <w:tcPr>
            <w:tcW w:w="2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503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10,501</w:t>
            </w:r>
          </w:p>
        </w:tc>
        <w:tc>
          <w:tcPr>
            <w:tcW w:w="220" w:type="dxa"/>
            <w:vAlign w:val="bottom"/>
          </w:tcPr>
          <w:p>
            <w:pPr>
              <w:spacing w:after="0"/>
              <w:rPr>
                <w:sz w:val="23"/>
                <w:szCs w:val="23"/>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8,827</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Trade names and trademarks</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2–10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53,848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23,941</w:t>
            </w:r>
          </w:p>
        </w:tc>
        <w:tc>
          <w:tcPr>
            <w:tcW w:w="2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29,907</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55,452</w:t>
            </w:r>
          </w:p>
        </w:tc>
        <w:tc>
          <w:tcPr>
            <w:tcW w:w="220" w:type="dxa"/>
            <w:vAlign w:val="bottom"/>
          </w:tcPr>
          <w:p>
            <w:pPr>
              <w:spacing w:after="0"/>
              <w:rPr>
                <w:sz w:val="23"/>
                <w:szCs w:val="23"/>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19,724</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35,728</w:t>
            </w:r>
          </w:p>
        </w:tc>
        <w:tc>
          <w:tcPr>
            <w:tcW w:w="0" w:type="dxa"/>
            <w:vAlign w:val="bottom"/>
          </w:tcPr>
          <w:p>
            <w:pPr>
              <w:spacing w:after="0"/>
              <w:rPr>
                <w:sz w:val="1"/>
                <w:szCs w:val="1"/>
                <w:color w:val="auto"/>
              </w:rPr>
            </w:pPr>
          </w:p>
        </w:tc>
      </w:tr>
      <w:tr>
        <w:trPr>
          <w:trHeight w:val="290"/>
        </w:trPr>
        <w:tc>
          <w:tcPr>
            <w:tcW w:w="160" w:type="dxa"/>
            <w:vAlign w:val="bottom"/>
          </w:tcPr>
          <w:p>
            <w:pPr>
              <w:spacing w:after="0"/>
              <w:rPr>
                <w:sz w:val="24"/>
                <w:szCs w:val="24"/>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Pr>
          <w:p>
            <w:pPr>
              <w:jc w:val="right"/>
              <w:ind w:right="81"/>
              <w:spacing w:after="0"/>
              <w:rPr>
                <w:sz w:val="20"/>
                <w:szCs w:val="20"/>
                <w:color w:val="auto"/>
              </w:rPr>
            </w:pPr>
            <w:r>
              <w:rPr>
                <w:rFonts w:ascii="Arial" w:cs="Arial" w:eastAsia="Arial" w:hAnsi="Arial"/>
                <w:sz w:val="16"/>
                <w:szCs w:val="16"/>
                <w:b w:val="1"/>
                <w:bCs w:val="1"/>
                <w:color w:val="auto"/>
              </w:rPr>
              <w:t xml:space="preserve">1–7 years </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10,095</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2,209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7,886</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8,969</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7,480</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178,747</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71,556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107,191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182,107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85,160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96,947</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Franchise agreements</w:t>
            </w: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496,321</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Trade names and trademarks</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21,051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13,651</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Licensure and accreditation</w:t>
            </w: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w:t>
            </w: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6,781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21,885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516,753</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60" w:type="dxa"/>
            <w:vAlign w:val="bottom"/>
            <w:gridSpan w:val="8"/>
          </w:tcPr>
          <w:p>
            <w:pPr>
              <w:spacing w:after="0"/>
              <w:rPr>
                <w:sz w:val="20"/>
                <w:szCs w:val="20"/>
                <w:color w:val="auto"/>
              </w:rPr>
            </w:pPr>
            <w:r>
              <w:rPr>
                <w:rFonts w:ascii="Arial" w:cs="Arial" w:eastAsia="Arial" w:hAnsi="Arial"/>
                <w:sz w:val="13"/>
                <w:szCs w:val="13"/>
                <w:color w:val="auto"/>
              </w:rPr>
              <w:t>(1)  The Company’s other amortized intangible assets maximum useful life was 25 years as of December 31, 2014.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9.</w:t>
            </w:r>
          </w:p>
        </w:tc>
        <w:tc>
          <w:tcPr>
            <w:tcW w:w="3140" w:type="dxa"/>
            <w:vAlign w:val="bottom"/>
          </w:tcPr>
          <w:p>
            <w:pPr>
              <w:ind w:left="340"/>
              <w:spacing w:after="0"/>
              <w:rPr>
                <w:sz w:val="20"/>
                <w:szCs w:val="20"/>
                <w:color w:val="auto"/>
              </w:rPr>
            </w:pPr>
            <w:r>
              <w:rPr>
                <w:rFonts w:ascii="Arial" w:cs="Arial" w:eastAsia="Arial" w:hAnsi="Arial"/>
                <w:sz w:val="18"/>
                <w:szCs w:val="18"/>
                <w:b w:val="1"/>
                <w:bCs w:val="1"/>
                <w:color w:val="auto"/>
              </w:rPr>
              <w:t>INCOME TAXES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60" w:type="dxa"/>
            <w:vAlign w:val="bottom"/>
            <w:gridSpan w:val="8"/>
          </w:tcPr>
          <w:p>
            <w:pPr>
              <w:spacing w:after="0"/>
              <w:rPr>
                <w:sz w:val="20"/>
                <w:szCs w:val="20"/>
                <w:color w:val="auto"/>
              </w:rPr>
            </w:pPr>
            <w:r>
              <w:rPr>
                <w:rFonts w:ascii="Arial" w:cs="Arial" w:eastAsia="Arial" w:hAnsi="Arial"/>
                <w:sz w:val="18"/>
                <w:szCs w:val="18"/>
                <w:color w:val="auto"/>
              </w:rPr>
              <w:t>(Loss) income from continuing operations before income taxes consists of the following:</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left="81"/>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U.S.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01"/>
              <w:spacing w:after="0"/>
              <w:rPr>
                <w:sz w:val="20"/>
                <w:szCs w:val="20"/>
                <w:color w:val="auto"/>
              </w:rPr>
            </w:pPr>
            <w:r>
              <w:rPr>
                <w:rFonts w:ascii="Arial" w:cs="Arial" w:eastAsia="Arial" w:hAnsi="Arial"/>
                <w:sz w:val="16"/>
                <w:szCs w:val="16"/>
                <w:b w:val="1"/>
                <w:bCs w:val="1"/>
                <w:color w:val="auto"/>
              </w:rPr>
              <w:t>(142,705)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1,025,101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91,538</w:t>
            </w:r>
          </w:p>
        </w:tc>
        <w:tc>
          <w:tcPr>
            <w:tcW w:w="0" w:type="dxa"/>
            <w:vAlign w:val="bottom"/>
          </w:tcPr>
          <w:p>
            <w:pPr>
              <w:spacing w:after="0"/>
              <w:rPr>
                <w:sz w:val="1"/>
                <w:szCs w:val="1"/>
                <w:color w:val="auto"/>
              </w:rPr>
            </w:pPr>
          </w:p>
        </w:tc>
      </w:tr>
      <w:tr>
        <w:trPr>
          <w:trHeight w:val="283"/>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Non-U.S.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b w:val="1"/>
                <w:bCs w:val="1"/>
                <w:color w:val="auto"/>
              </w:rPr>
              <w:t>21,815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52,602</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13,693</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01"/>
              <w:spacing w:after="0"/>
              <w:rPr>
                <w:sz w:val="20"/>
                <w:szCs w:val="20"/>
                <w:color w:val="auto"/>
              </w:rPr>
            </w:pPr>
            <w:r>
              <w:rPr>
                <w:rFonts w:ascii="Arial" w:cs="Arial" w:eastAsia="Arial" w:hAnsi="Arial"/>
                <w:sz w:val="16"/>
                <w:szCs w:val="16"/>
                <w:b w:val="1"/>
                <w:bCs w:val="1"/>
                <w:color w:val="auto"/>
              </w:rPr>
              <w:t>(120,890)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1,077,703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105,231</w:t>
            </w:r>
          </w:p>
        </w:tc>
        <w:tc>
          <w:tcPr>
            <w:tcW w:w="0" w:type="dxa"/>
            <w:vAlign w:val="bottom"/>
          </w:tcPr>
          <w:p>
            <w:pPr>
              <w:spacing w:after="0"/>
              <w:rPr>
                <w:sz w:val="1"/>
                <w:szCs w:val="1"/>
                <w:color w:val="auto"/>
              </w:rPr>
            </w:pPr>
          </w:p>
        </w:tc>
      </w:tr>
      <w:tr>
        <w:trPr>
          <w:trHeight w:val="20"/>
        </w:trPr>
        <w:tc>
          <w:tcPr>
            <w:tcW w:w="7520" w:type="dxa"/>
            <w:vAlign w:val="bottom"/>
            <w:gridSpan w:val="9"/>
            <w:vMerge w:val="restart"/>
          </w:tcPr>
          <w:p>
            <w:pPr>
              <w:spacing w:after="0"/>
              <w:rPr>
                <w:sz w:val="20"/>
                <w:szCs w:val="20"/>
                <w:color w:val="auto"/>
              </w:rPr>
            </w:pPr>
            <w:r>
              <w:rPr>
                <w:rFonts w:ascii="Arial" w:cs="Arial" w:eastAsia="Arial" w:hAnsi="Arial"/>
                <w:sz w:val="18"/>
                <w:szCs w:val="18"/>
                <w:color w:val="auto"/>
                <w:w w:val="99"/>
              </w:rPr>
              <w:t>The provision for income taxes on income from continuing operations consists of the following:</w:t>
            </w: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520" w:type="dxa"/>
            <w:vAlign w:val="bottom"/>
            <w:gridSpan w:val="9"/>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Current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Deferred</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U.S. Federal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b w:val="1"/>
                <w:bCs w:val="1"/>
                <w:color w:val="auto"/>
              </w:rPr>
              <w:t>5,728</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b w:val="1"/>
                <w:bCs w:val="1"/>
                <w:color w:val="auto"/>
              </w:rPr>
              <w:t>20,890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26,618</w:t>
            </w: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 and Local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61"/>
              <w:spacing w:after="0"/>
              <w:rPr>
                <w:sz w:val="20"/>
                <w:szCs w:val="20"/>
                <w:color w:val="auto"/>
              </w:rPr>
            </w:pPr>
            <w:r>
              <w:rPr>
                <w:rFonts w:ascii="Arial" w:cs="Arial" w:eastAsia="Arial" w:hAnsi="Arial"/>
                <w:sz w:val="16"/>
                <w:szCs w:val="16"/>
                <w:b w:val="1"/>
                <w:bCs w:val="1"/>
                <w:color w:val="auto"/>
              </w:rPr>
              <w:t>402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b w:val="1"/>
                <w:bCs w:val="1"/>
                <w:color w:val="auto"/>
              </w:rPr>
              <w:t>(10,749)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7"/>
              </w:rPr>
              <w:t>(10,347)</w:t>
            </w:r>
          </w:p>
        </w:tc>
        <w:tc>
          <w:tcPr>
            <w:tcW w:w="0" w:type="dxa"/>
            <w:vAlign w:val="bottom"/>
          </w:tcPr>
          <w:p>
            <w:pPr>
              <w:spacing w:after="0"/>
              <w:rPr>
                <w:sz w:val="1"/>
                <w:szCs w:val="1"/>
                <w:color w:val="auto"/>
              </w:rPr>
            </w:pPr>
          </w:p>
        </w:tc>
      </w:tr>
      <w:tr>
        <w:trPr>
          <w:trHeight w:val="283"/>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Non-U.S.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b w:val="1"/>
                <w:bCs w:val="1"/>
                <w:color w:val="auto"/>
              </w:rPr>
              <w:t>2,441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1,788</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4,229</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b w:val="1"/>
                <w:bCs w:val="1"/>
                <w:color w:val="auto"/>
              </w:rPr>
              <w:t>8,571</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b w:val="1"/>
                <w:bCs w:val="1"/>
                <w:color w:val="auto"/>
              </w:rPr>
              <w:t>11,929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20,500</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ind w:left="40"/>
              <w:spacing w:after="0"/>
              <w:rPr>
                <w:sz w:val="20"/>
                <w:szCs w:val="20"/>
                <w:color w:val="auto"/>
              </w:rPr>
            </w:pPr>
            <w:r>
              <w:rPr>
                <w:rFonts w:ascii="Arial" w:cs="Arial" w:eastAsia="Arial" w:hAnsi="Arial"/>
                <w:sz w:val="16"/>
                <w:szCs w:val="16"/>
                <w:color w:val="auto"/>
              </w:rPr>
              <w:t>Year Ended December 31, 2014</w:t>
            </w: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U.S. Federal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215,450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38,684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254,134</w:t>
            </w: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State and Local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23,737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27,257</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50,994</w:t>
            </w:r>
          </w:p>
        </w:tc>
        <w:tc>
          <w:tcPr>
            <w:tcW w:w="0" w:type="dxa"/>
            <w:vAlign w:val="bottom"/>
          </w:tcPr>
          <w:p>
            <w:pPr>
              <w:spacing w:after="0"/>
              <w:rPr>
                <w:sz w:val="1"/>
                <w:szCs w:val="1"/>
                <w:color w:val="auto"/>
              </w:rPr>
            </w:pPr>
          </w:p>
        </w:tc>
      </w:tr>
      <w:tr>
        <w:trPr>
          <w:trHeight w:val="283"/>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Non-U.S.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color w:val="auto"/>
              </w:rPr>
              <w:t>10,485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(3,313)</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7,172</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249,672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62,628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312,300</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ind w:left="40"/>
              <w:spacing w:after="0"/>
              <w:rPr>
                <w:sz w:val="20"/>
                <w:szCs w:val="20"/>
                <w:color w:val="auto"/>
              </w:rPr>
            </w:pPr>
            <w:r>
              <w:rPr>
                <w:rFonts w:ascii="Arial" w:cs="Arial" w:eastAsia="Arial" w:hAnsi="Arial"/>
                <w:sz w:val="16"/>
                <w:szCs w:val="16"/>
                <w:color w:val="auto"/>
              </w:rPr>
              <w:t>Year Ended December 31, 2013</w:t>
            </w: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U.S. Federal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11,514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26,568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38,082</w:t>
            </w:r>
          </w:p>
        </w:tc>
        <w:tc>
          <w:tcPr>
            <w:tcW w:w="0" w:type="dxa"/>
            <w:vAlign w:val="bottom"/>
          </w:tcPr>
          <w:p>
            <w:pPr>
              <w:spacing w:after="0"/>
              <w:rPr>
                <w:sz w:val="1"/>
                <w:szCs w:val="1"/>
                <w:color w:val="auto"/>
              </w:rPr>
            </w:pPr>
          </w:p>
        </w:tc>
      </w:tr>
      <w:tr>
        <w:trPr>
          <w:trHeight w:val="270"/>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State and Local</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4,614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(10,641)</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(6,027)</w:t>
            </w:r>
          </w:p>
        </w:tc>
        <w:tc>
          <w:tcPr>
            <w:tcW w:w="0" w:type="dxa"/>
            <w:vAlign w:val="bottom"/>
          </w:tcPr>
          <w:p>
            <w:pPr>
              <w:spacing w:after="0"/>
              <w:rPr>
                <w:sz w:val="1"/>
                <w:szCs w:val="1"/>
                <w:color w:val="auto"/>
              </w:rPr>
            </w:pPr>
          </w:p>
        </w:tc>
      </w:tr>
      <w:tr>
        <w:trPr>
          <w:trHeight w:val="283"/>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Non-U.S.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color w:val="auto"/>
              </w:rPr>
              <w:t>10,015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(1,570)</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8,445</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61"/>
              <w:spacing w:after="0"/>
              <w:rPr>
                <w:sz w:val="20"/>
                <w:szCs w:val="20"/>
                <w:color w:val="auto"/>
              </w:rPr>
            </w:pPr>
            <w:r>
              <w:rPr>
                <w:rFonts w:ascii="Arial" w:cs="Arial" w:eastAsia="Arial" w:hAnsi="Arial"/>
                <w:sz w:val="16"/>
                <w:szCs w:val="16"/>
                <w:color w:val="auto"/>
              </w:rPr>
              <w:t>26,143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14,357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40,500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760" w:right="239" w:bottom="1440" w:gutter="0" w:footer="0" w:header="0"/>
          <w:type w:val="continuous"/>
        </w:sectPr>
      </w:pPr>
    </w:p>
    <w:bookmarkStart w:id="81" w:name="page82"/>
    <w:bookmarkEnd w:id="81"/>
    <w:p>
      <w:pPr>
        <w:ind w:right="660"/>
        <w:spacing w:after="0" w:line="235" w:lineRule="auto"/>
        <w:rPr>
          <w:sz w:val="20"/>
          <w:szCs w:val="20"/>
          <w:color w:val="auto"/>
        </w:rPr>
      </w:pPr>
      <w:r>
        <w:rPr>
          <w:rFonts w:ascii="Arial" w:cs="Arial" w:eastAsia="Arial" w:hAnsi="Arial"/>
          <w:sz w:val="18"/>
          <w:szCs w:val="18"/>
          <w:color w:val="auto"/>
        </w:rPr>
        <w:t>The provision for income taxes on continuing operations differs from the amount of income tax determined by applying the U.S. Federal statutory rate of 35% to the (loss) income from continuing operations before taxes as a result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(42,311)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377,196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36,831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(3,441)</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38,106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(3,285)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(4,960)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Tax-free stock transactions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(91,540)</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 provided on non-U.S. subsidiary earnings and distributions at more than the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expected U.S. Federal statutory tax rate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2,688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2,186</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767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non-U.S. income tax benefits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6,789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(2,477)</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7,233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Australian tax benefit for capital loss on sale of stock</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(6,358)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impairments and dispositions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63,889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(625)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(6,789)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(1,858)</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3,154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1,444</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20,500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312,300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40,500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During 2015, 2014 and 2013, in addition to the income tax provision for continuing operations presented above, the Company also recorded tax expense or benefits on discontinued operations. Income from discontinued operations and net (loss) gain on dispositions of discontinued operations have been reclassified from previously reported income from operations and reported separately as income from discontinued operations, net of tax. Tax expense of $27.8 million, $82.4 million, and $97.9 million were recorded in discontinued operations in 2015, 2014 and 2013,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13,763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16,785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108,349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122,241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12,840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17,925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19,550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17,942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5,007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1,374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26,921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30,460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10,055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44,858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50,134</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242,717</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258,692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(69,545)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(65,521)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173,172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193,171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17,465</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139,765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386,916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463,714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39,010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34,764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133,097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308,954</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576,488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947,197</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403,316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754,026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has $420.2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2016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2021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394.9</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420.2</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638"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746" w:right="239" w:bottom="638" w:gutter="0" w:footer="0" w:header="0"/>
          <w:type w:val="continuous"/>
        </w:sectPr>
      </w:pPr>
    </w:p>
    <w:bookmarkStart w:id="82" w:name="page83"/>
    <w:bookmarkEnd w:id="82"/>
    <w:p>
      <w:pPr>
        <w:ind w:right="20"/>
        <w:spacing w:after="0" w:line="227" w:lineRule="auto"/>
        <w:rPr>
          <w:sz w:val="20"/>
          <w:szCs w:val="20"/>
          <w:color w:val="auto"/>
        </w:rPr>
      </w:pPr>
      <w:r>
        <w:rPr>
          <w:rFonts w:ascii="Arial" w:cs="Arial" w:eastAsia="Arial" w:hAnsi="Arial"/>
          <w:sz w:val="18"/>
          <w:szCs w:val="18"/>
          <w:color w:val="auto"/>
        </w:rPr>
        <w:t>The Company has recorded at December 31, 2015, $19.5 million in deferred state income tax assets, net of U.S. Federal income tax, with respect to these state income tax loss carryforwards. The Company has established a full valuation allowance, reducing the net recorded amount of deferred tax assets with respect to state tax loss carryforwards, since the Company has determined that it is more likely than not that the state tax losses may not be fully utilized in the future to reduce state taxable income.</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The Company has $14.2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2016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2021 and after</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w:t>
            </w:r>
          </w:p>
        </w:tc>
      </w:tr>
      <w:tr>
        <w:trPr>
          <w:trHeight w:val="20"/>
        </w:trPr>
        <w:tc>
          <w:tcPr>
            <w:tcW w:w="10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2015, $5.0 million in U.S. Federal deferred tax assets with respect to these U.S. Federal income tax loss carryforwards.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For U.S. Federal income tax purposes, the Company has $1.4 million of foreign tax credits available to be credited against future U.S. Federal income tax liabilities. These U.S. Federal foreign tax credits are expected to be fully utilized in the future; if unutilized, $0.8 million of these foreign tax credits will expire in 2023, and $0.6 million will expire in 2025. The Company has established at December 31, 2015, $1.4 million of U.S. Federal deferred tax assets with respect to these U.S. Federal foreign tax credit carryforwards.</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$96.2 million of non-U.S. income tax loss carryforwards, as a result of operating losses and carryforwards obtained through prior stock acquisitions that are available to offset future non-U.S. taxable income and has recorded, with respect to these losses, $26.9 million in non-U.S. deferred income tax assets. The Company has established $26.8 million in valuation allowances against the deferred tax assets recorded for the portion of non-U.S. tax losses that may not be fully utilized to reduce future non-U.S. taxable income. The $96.2 million of non-U.S. income tax loss carryforwards consist of $88.4 million in losses that may be carried forward indefinitely; $5.1 million of losses that, if unutilized, will expire in varying amounts through 2020; and $2.6 million of losses that, if unutilized, will start to expire after 2020.</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has $33.5 million of non-U.S. capital loss carryfowards, as a result of Kaplan Australia selling the stock of Franklyn Scholar in 2015 that may be carried forward indefinitely and are available to offset future Australian capital gains. The Company recorded a $10.1 million non-U.S. deferred income tax asset, and has established a full valuation allowance against this non-U.S. deferred tax asset since the Company has determined that it is more likely than not that the Australian capital loss carryforwards may not be fully utilized to reduce Australian taxable income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30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Balance at Beginning of</w:t>
            </w:r>
          </w:p>
        </w:tc>
        <w:tc>
          <w:tcPr>
            <w:tcW w:w="260" w:type="dxa"/>
            <w:vAlign w:val="bottom"/>
          </w:tcPr>
          <w:p>
            <w:pPr>
              <w:spacing w:after="0"/>
              <w:rPr>
                <w:sz w:val="14"/>
                <w:szCs w:val="14"/>
                <w:color w:val="auto"/>
              </w:rPr>
            </w:pPr>
          </w:p>
        </w:tc>
        <w:tc>
          <w:tcPr>
            <w:tcW w:w="152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ind w:right="183"/>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Revaluation</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Deductions</w:t>
            </w: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Period</w:t>
            </w:r>
          </w:p>
        </w:tc>
      </w:tr>
      <w:tr>
        <w:trPr>
          <w:trHeight w:val="25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1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December 31, 2015</w:t>
            </w:r>
          </w:p>
        </w:tc>
        <w:tc>
          <w:tcPr>
            <w:tcW w:w="168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b w:val="1"/>
                <w:bCs w:val="1"/>
                <w:color w:val="auto"/>
              </w:rPr>
              <w:t>65,521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4,024</w:t>
            </w:r>
          </w:p>
        </w:tc>
        <w:tc>
          <w:tcPr>
            <w:tcW w:w="380" w:type="dxa"/>
            <w:vAlign w:val="bottom"/>
          </w:tcPr>
          <w:p>
            <w:pPr>
              <w:spacing w:after="0"/>
              <w:rPr>
                <w:sz w:val="23"/>
                <w:szCs w:val="23"/>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69,545</w:t>
            </w: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1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72,767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889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(8,135)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65,521</w:t>
            </w: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color w:val="auto"/>
              </w:rPr>
              <w:t>December 31, 2013</w:t>
            </w:r>
          </w:p>
        </w:tc>
        <w:tc>
          <w:tcPr>
            <w:tcW w:w="1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78,109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4,595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(9,937)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72,767</w:t>
            </w:r>
          </w:p>
        </w:tc>
      </w:tr>
    </w:tbl>
    <w:p>
      <w:pPr>
        <w:spacing w:after="0" w:line="16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 has established $27.9 million in valuation allowances against deferred state tax assets recognized, net of U.S. Federal tax. As stated above, approximately $19.5 million of the valuation allowances, net of U.S. Federal income tax, relate to state income tax loss carryforwards. The Company has established valuation allowances against deferred state income tax assets recognized, without considering potentially offsetting deferred tax liabilities established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deferred state income tax assets are recorded at the parent company and the education division and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6" w:right="239" w:bottom="1440" w:gutter="0" w:footer="0" w:header="0"/>
        </w:sectPr>
      </w:pPr>
    </w:p>
    <w:bookmarkStart w:id="83" w:name="page84"/>
    <w:bookmarkEnd w:id="83"/>
    <w:p>
      <w:pPr>
        <w:ind w:right="780"/>
        <w:spacing w:after="0" w:line="235" w:lineRule="auto"/>
        <w:rPr>
          <w:sz w:val="20"/>
          <w:szCs w:val="20"/>
          <w:color w:val="auto"/>
        </w:rPr>
      </w:pPr>
      <w:r>
        <w:rPr>
          <w:rFonts w:ascii="Arial" w:cs="Arial" w:eastAsia="Arial" w:hAnsi="Arial"/>
          <w:sz w:val="18"/>
          <w:szCs w:val="18"/>
          <w:color w:val="auto"/>
        </w:rPr>
        <w:t>on a quarterly basis to determine whether the valuation allowances provided against deferred state tax assets should be increased or decreased, as future circumstances warrant.</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has established $41.7 million in valuation allowances against non-U.S. deferred tax assets, and, as stated above, $26.8 million of the non-U.S. valuation allowances relate to non-U.S. income tax loss carryforwards and $10.1 million relate to non-U.S. capital loss carryforwards.</w:t>
      </w:r>
    </w:p>
    <w:p>
      <w:pPr>
        <w:spacing w:after="0" w:line="13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Deferred U.S. Federal and state income taxes are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are recorded net of foreign tax credits with respect to such undistributed earnings estimated to be creditable against future U.S. Federal tax liabilities. At December 31, 2015 and 2014, net U.S. Federal and state deferred income tax liabilities of about $17.5 million and $10.6 million, respectively, were recorded with respect to undistributed earnings of investments in non-U.S. subsidiaries based on the year-end position.</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Deferred U.S. Federal and state income taxes have not been recorded for the full book value and tax basis differences related to investments in non-U.S. subsidiaries because such investments are expected to be indefinitely held. The book value exceeded the tax basis of investments in non-U.S. subsidiaries by approximately $71.8 million and $57.9 million at December 31, 2015 and 2014, respectively; these differences would not result in any additional U.S. Federal and state deferred tax liabilities at December 31, 2015, and would result in approximately $1.4 million of net additional U.S. Federal and state deferred tax liabilities, net of foreign tax credits related to undistributed earnings and estimated to be creditable against future U.S. Federal tax liabilities, at December 31, 2014. If investments in non-U.S. subsidiaries were held for sale instead of expected to be held indefinitely, additional U.S. Federal and state deferred tax liabilities would be required to be recorded, and such deferred tax liabilities, if recorded, may exceed the above estimates.</w:t>
      </w:r>
    </w:p>
    <w:p>
      <w:pPr>
        <w:spacing w:after="0" w:line="13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valuation allowances established against non-U.S. deferred tax assets are recorded at the education division and other businesses, and these are largely related to the education division’s operations in Australia. These non-U.S. valuation allowances may increase or decrease within the next 12 months, based on operating results. As a result, the Company is unable to estimate the potential tax impact, given the uncertain operating environment. The Company will be monitoring future education division operating results and projected future operating results on a quarterly basis to determine whether the valuation allowances provided against non-U.S. deferred tax assets should be increased or decreased, as future circumstances warrant.</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recorded a $10.5 million U.S. Federal income tax receivable with respect to capital loss carryforwards to the 2013 tax year. 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Federal corporate income tax returns filed through 2011.</w:t>
      </w:r>
    </w:p>
    <w:p>
      <w:pPr>
        <w:spacing w:after="0" w:line="135"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380"/>
          </w:cols>
          <w:pgMar w:left="240" w:top="746" w:right="27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19,817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19,817</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(2,486)</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83"/>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17,331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19,817</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20" w:space="720"/>
            <w:col w:w="3640"/>
          </w:cols>
          <w:pgMar w:left="240" w:top="746" w:right="279" w:bottom="1440" w:gutter="0" w:footer="0" w:header="0"/>
          <w:type w:val="continuous"/>
        </w:sectPr>
      </w:pPr>
    </w:p>
    <w:p>
      <w:pPr>
        <w:spacing w:after="0" w:line="227"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746" w:right="279" w:bottom="1440" w:gutter="0" w:footer="0" w:header="0"/>
          <w:type w:val="continuous"/>
        </w:sectPr>
      </w:pPr>
    </w:p>
    <w:bookmarkStart w:id="84" w:name="page85"/>
    <w:bookmarkEnd w:id="84"/>
    <w:p>
      <w:pPr>
        <w:ind w:right="180"/>
        <w:spacing w:after="0" w:line="229"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no portion of unrecognized tax benefits will be reduced in the next 12 months due to settlement with the tax authorities. The Company expects that a $5.1 million state tax benefit, net of $1.8 million federal tax expense, will reduce the effective tax rate in the future if recognized.</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identified and corrected a 2014 classification error in the tax footnote related to the presentation of state unrecognized tax benefits where state net operating loss carryforwards exist. The Company assessed the classification error and concluded it was not material to 2014.</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2015, the Company has accrued $0.3 million of interest related to the unrecognized tax benefits. The Company has not accrued any penalties related to the unrecognized tax benefits.</w:t>
      </w:r>
    </w:p>
    <w:p>
      <w:pPr>
        <w:spacing w:after="0" w:line="11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398,722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398,308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8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40,927</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1,204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6,685</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399,926</w:t>
            </w:r>
          </w:p>
        </w:tc>
        <w:tc>
          <w:tcPr>
            <w:tcW w:w="34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445,920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(46,375)</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399,926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399,545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did not borrow funds under its USD revolving credit facility in 2015 or 2014. The Company’s other indebtedness at December 31, 2015, is at an interest rate of 6% and matures in 2017. The Company’s other indebtedness at December 31, 2014, is at interest rates of 0% to 6% and matures between 2015 and 2017.</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June 2015, Cable ONE issued $550 million in debt. With the Cable ONE spin-off effective on July 1, 2015, the Cable ONE debt is no longer an obligation of the Company.</w:t>
      </w:r>
    </w:p>
    <w:p>
      <w:pPr>
        <w:spacing w:after="0" w:line="13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December 31, 2015, the Company is in compliance with all financial covenants.</w:t>
      </w:r>
    </w:p>
    <w:p>
      <w:pPr>
        <w:spacing w:after="0" w:line="138"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paid the Company variable interest on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5" w:name="page86"/>
    <w:bookmarkEnd w:id="85"/>
    <w:p>
      <w:pPr>
        <w:ind w:right="40"/>
        <w:spacing w:after="0" w:line="223" w:lineRule="auto"/>
        <w:rPr>
          <w:sz w:val="20"/>
          <w:szCs w:val="20"/>
          <w:color w:val="auto"/>
        </w:rPr>
      </w:pPr>
      <w:r>
        <w:rPr>
          <w:rFonts w:ascii="Arial" w:cs="Arial" w:eastAsia="Arial" w:hAnsi="Arial"/>
          <w:sz w:val="18"/>
          <w:szCs w:val="18"/>
          <w:color w:val="auto"/>
        </w:rPr>
        <w:t>AUD 50 million notional amount at the three-month bank bill rate, and the Company paid the counterparties a fixed rate of 4.5275%. These interest rate swap agreements were entered into to convert the variable rate Australian dollar borrowing under the revolving credit facility into a fixed-rate borrowing. Based on the terms of the interest rate swap agreements and the underlying borrowing, these interest rate swap agreements were determined to be effective and thus qualified as a cash flow hedge. As such, any changes in the fair value of these interest rate swaps were recorded in other comprehensive income on the Consolidated Balance Sheets until earnings were affected by the variability of cash flows. On March 9, 2015, the Company repaid the AUD 50 million borrowed under its revolving credit facility. On the same day, the AUD 50 million interest rate swap agreements matured.</w:t>
      </w:r>
    </w:p>
    <w:p>
      <w:pPr>
        <w:spacing w:after="0" w:line="139"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During 2015 and 2014, the Company had average borrowings outstanding of approximately $428.4 million and $450.9 million, respectively, at average annual interest rates of approximately 7.1% and 7.0%, respectively. The Company incurred net interest expense of $30.7 million, $33.4 million and $33.7 million during 2015, 2014 and 2013, respectively. At December 31, 2015 and 2014, the fair value of the Company’s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7.25% unsecured notes, based on quoted market prices (Level 2 fair value assessment), totaled $ 436.6 million and $450.3 million, respectively, compared with the carrying amount of $398.7 million and $398.3 million. The carrying value of the Company’s other unsecured debt at December 31, 2015, approximates fair value.</w:t>
      </w:r>
    </w:p>
    <w:p>
      <w:pPr>
        <w:spacing w:after="0" w:line="115"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433,040</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433,040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350,563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350,563</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12,822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16,060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28,882</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363,385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449,100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812,485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48,055</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48,055</w:t>
            </w: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color w:val="auto"/>
              </w:rPr>
              <w:t>As of December 31, 2014</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368,131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368,131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226,197</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226,197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193,793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193,793</w:t>
            </w:r>
          </w:p>
        </w:tc>
        <w:tc>
          <w:tcPr>
            <w:tcW w:w="0" w:type="dxa"/>
            <w:vAlign w:val="bottom"/>
          </w:tcPr>
          <w:p>
            <w:pPr>
              <w:spacing w:after="0"/>
              <w:rPr>
                <w:sz w:val="1"/>
                <w:szCs w:val="1"/>
                <w:color w:val="auto"/>
              </w:rPr>
            </w:pPr>
          </w:p>
        </w:tc>
      </w:tr>
      <w:tr>
        <w:trPr>
          <w:trHeight w:val="219"/>
        </w:trPr>
        <w:tc>
          <w:tcPr>
            <w:tcW w:w="77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11,788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21,171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32,959</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431,778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389,302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821,080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70,661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70,661</w:t>
            </w:r>
          </w:p>
        </w:tc>
        <w:tc>
          <w:tcPr>
            <w:tcW w:w="0" w:type="dxa"/>
            <w:vAlign w:val="bottom"/>
          </w:tcPr>
          <w:p>
            <w:pPr>
              <w:spacing w:after="0"/>
              <w:rPr>
                <w:sz w:val="1"/>
                <w:szCs w:val="1"/>
                <w:color w:val="auto"/>
              </w:rPr>
            </w:pPr>
          </w:p>
        </w:tc>
      </w:tr>
      <w:tr>
        <w:trPr>
          <w:trHeight w:val="219"/>
        </w:trPr>
        <w:tc>
          <w:tcPr>
            <w:tcW w:w="77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70,840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70,840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commercial paper investments with original maturities of 90 days or less are included in cash and cash equivalents.</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w:t>
      </w:r>
    </w:p>
    <w:p>
      <w:pPr>
        <w:spacing w:after="0" w:line="26" w:lineRule="exact"/>
        <w:rPr>
          <w:rFonts w:ascii="Arial" w:cs="Arial" w:eastAsia="Arial" w:hAnsi="Arial"/>
          <w:sz w:val="13"/>
          <w:szCs w:val="13"/>
          <w:color w:val="auto"/>
        </w:rPr>
      </w:pPr>
    </w:p>
    <w:p>
      <w:pPr>
        <w:ind w:left="260" w:right="160" w:hanging="252"/>
        <w:spacing w:after="0" w:line="207" w:lineRule="auto"/>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right="420" w:hanging="252"/>
        <w:spacing w:after="0" w:line="219" w:lineRule="auto"/>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For the year ended December 31, 2015, the Company recorded goodwill and other long-lived assets impairment charges of $259.7 million. For the year ended December 31, 2014, the Company recorded an intangible and other long-lived assets impairment charge of $ 25.1 million, of which $7.8 million is reported in discontinued operations. For the year ended December 31, 2013, the Company recorded an intangible and other long-lived assets impairment charge of $3.3 million (see Notes 2 and 8).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 market value approach was also utilized to supplement the discounted cash flow</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746" w:right="239" w:bottom="1440" w:gutter="0" w:footer="0" w:header="0"/>
          <w:type w:val="continuous"/>
        </w:sectPr>
      </w:pPr>
    </w:p>
    <w:bookmarkStart w:id="86" w:name="page87"/>
    <w:bookmarkEnd w:id="86"/>
    <w:p>
      <w:pPr>
        <w:ind w:right="100"/>
        <w:spacing w:after="0" w:line="235" w:lineRule="auto"/>
        <w:rPr>
          <w:sz w:val="20"/>
          <w:szCs w:val="20"/>
          <w:color w:val="auto"/>
        </w:rPr>
      </w:pPr>
      <w:r>
        <w:rPr>
          <w:rFonts w:ascii="Arial" w:cs="Arial" w:eastAsia="Arial" w:hAnsi="Arial"/>
          <w:sz w:val="18"/>
          <w:szCs w:val="18"/>
          <w:color w:val="auto"/>
        </w:rPr>
        <w:t>model. The Company made estimates and assumptions regarding future cash flows, discount rates, long-term growth rates and market values to determine the reporting unit’s estimated fair value.</w:t>
      </w:r>
    </w:p>
    <w:p>
      <w:pPr>
        <w:spacing w:after="0" w:line="113"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October 1, 2015, the Company redeemed its Series A preferred stock with a par value of $1.00 per share and a liquidation preference of $1,000 per share. The 10,510 shares outstanding were redeemed at the redemption price of $1,000 per share for $10.5 million. Prior to redemption, dividends on the Series A preferred stock were payable four times a year at the annual rate of $80.00 per share and in preference to any dividends on the Company’s common stock. The Series A preferred stock was not convertible into any other security of the Company, and the holders thereof had no voting rights except with respect to any proposed changes in the preferences and special rights of such stock.</w:t>
      </w:r>
    </w:p>
    <w:p>
      <w:pPr>
        <w:spacing w:after="0" w:line="115"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 In 2015 and 2014, the Company’s Class A shareholders converted 10,822, or 1%, and 194,250, or 17%, respectively, of the Class A shares of the Company to an equal number of Class B shares. The conversions had no impact on the voting rights of the Class A and Class B common stock.</w:t>
      </w:r>
    </w:p>
    <w:p>
      <w:pPr>
        <w:spacing w:after="0" w:line="13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During 2015 and 2013, the Company purchased a total of 46,226 and 33,024 shares, respectively, of its Class B common stock at a cost of approximately $23.0 million and $17.7 million, respectively. As part of the exchange transaction with Berkshire in 2014, the Company acquired 1,620,190 shares of its Class B common stock at a cost of approximately $1,165.4 million. On May 14, 2015, the Board of Directors authorized the Company to acquire up to 500,000 shares of its Class B common stock. The Company did not announce a ceiling price or time limit for the purchases. The authorization included 159,219 shares that remained under the previous authorization. At December 31, 2015, the Company had remaining authorization from the Board of Directors to purchase up to 453,774 shares of Class B common stock. Shares acquired as part of the exchange transaction received separate authorization by the Company’s Board of Directors.</w:t>
      </w:r>
    </w:p>
    <w:p>
      <w:pPr>
        <w:spacing w:after="0" w:line="117"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2001, the Company adopted an incentive compensation plan, which, among other provisions, authorizes the awarding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to key employees. Stock awards made under this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At December 31, 2015, there were 4,625 shares reserved for issuance under this incentive compensation plan, which were all subject to awards outstanding.</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2012, the Company adopted a new incentive compensation plan (the 2012 Plan), which, among other provisions, authorizes the 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new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As a result of the Cable ONE spin-off, the number of Class B common stock authorized for issuance under the 2012 Plan was increased from 500,000 shares to 772,588 shares. The individual award limit under the 2012 Plan was also increased from 50,000 shares to 77,258 shares per calendar year. At December 31, 2015, there were 624,839 shares reserved for issuance under the 2012 incentive compensation plan. Of this number, 181,553 shares were subject to stock awards and stock options outstanding and 443,286 shares were available for future awards.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for the year ended December 31, 2015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117,111</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463.64</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47,245</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935.28</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(45,638)</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684.97</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(37,243)</w:t>
            </w: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491.42</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81,475</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637.70</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7" w:name="page88"/>
    <w:bookmarkEnd w:id="87"/>
    <w:p>
      <w:pPr>
        <w:ind w:right="40"/>
        <w:spacing w:after="0" w:line="223" w:lineRule="auto"/>
        <w:rPr>
          <w:sz w:val="20"/>
          <w:szCs w:val="20"/>
          <w:color w:val="auto"/>
        </w:rPr>
      </w:pPr>
      <w:r>
        <w:rPr>
          <w:rFonts w:ascii="Arial" w:cs="Arial" w:eastAsia="Arial" w:hAnsi="Arial"/>
          <w:sz w:val="18"/>
          <w:szCs w:val="18"/>
          <w:color w:val="auto"/>
        </w:rPr>
        <w:t>In connection with the spin-off of Cable ONE,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effects of which are reflected in the above activity. The Company recorded incremental stock compensation expense, net of forfeitures, in the second quarter of 2015 amounting to $3.7 million, which is reflected in discontinued operations in the Company’s consolidated financial statements. The spin-off also resulted in a modification of some of the Company’s outstanding restricted stock awards. The holders of restricted stock awards received Cable ONE restricted common stock, on a pro rata basis, as part of the distribution. The modification of the restricted stock awards resulted in an estimated incremental stock compensation expense of $3.0 million that will be recognized over the remaining service periods of the unvested restricted stock awards through the end of 2018.</w:t>
      </w:r>
    </w:p>
    <w:p>
      <w:pPr>
        <w:spacing w:after="0" w:line="136"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In the fourth quarter of 2015, the Company also modified the terms of an additional 9,800 restricted stock awards affecting one now former employee. The modification resulted in the acceleration of the vesting period of 9,412 restricted stock awards and the forfeiture of 388 restricted stock awards, the effects of which are reflected in the above activity. As a result, the Company recorded incremental stock compensation expense, net of forfeitures, of $6.0 million.</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connection with the sale of the Publishing Subsidiaries in 2013, the Company modified the terms of 86,824 share awards affecting 102 employees. The modification resulted in the acceleration of the vesting period for 45,374 share awards, the elimination of a market condition and vesting terms of 15,000 share awards, and the forfeiture of 26,450 share awards. The Company also offered some employees with 26,124 share awards the option to settle their awards in cash, resulting in a modification of these awards from equity awards to liability awards. The Company paid employees $13.1 million for the settlement of these liability awards. The Company recorded incremental stock compensation expense, net of forfeitures, amounting to $19.9 million, which is included in income from discontinued operations, net of tax, in the Consolidated Statement of Operations for 2013.</w:t>
      </w:r>
    </w:p>
    <w:p>
      <w:pPr>
        <w:spacing w:after="0" w:line="1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share awards outstanding at December 31, 2015, the aforementioned restriction will lapse in 2016 for 10,675 shares, in 2017 for 29,850 shares, in 2018 for 14,450 shares and in 2019 for 26,500 shares. Also, in early 2016, the Company issued stock awards of 200 shares. Stock-based compensation costs resulting from Company stock awards were $25.3 million, $15.4 million and $35.2 million in 2015, 2014 and 2013, respectively.</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of December 31, 2015, there was $29.4 million of total unrecognized compensation expense related to these awards. That cost is expected to be recognized on a straight-line basis over a weighted average period of 1.8 years.</w:t>
      </w:r>
    </w:p>
    <w:p>
      <w:pPr>
        <w:spacing w:after="0" w:line="11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2015, there were 87,019 shares reserved for issuance under this stock option plan, which were all subject to options outstanding.</w:t>
      </w:r>
    </w:p>
    <w:p>
      <w:pPr>
        <w:spacing w:after="0" w:line="1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four years and have a maximum term of ten years. In 2015 and 2014, grants were issued which vest over six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2015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151,694</w:t>
            </w:r>
          </w:p>
        </w:tc>
        <w:tc>
          <w:tcPr>
            <w:tcW w:w="3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682.68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5,000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871.86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(25,925)</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421.72</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376.79</w:t>
            </w:r>
          </w:p>
        </w:tc>
        <w:tc>
          <w:tcPr>
            <w:tcW w:w="0" w:type="dxa"/>
            <w:vAlign w:val="bottom"/>
          </w:tcPr>
          <w:p>
            <w:pPr>
              <w:spacing w:after="0"/>
              <w:rPr>
                <w:sz w:val="1"/>
                <w:szCs w:val="1"/>
                <w:color w:val="auto"/>
              </w:rPr>
            </w:pP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Outstanding before spin-off of Cable ONE</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130,019</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743.75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 xml:space="preserve">Outstanding after spin-off of Cable ONE </w:t>
            </w:r>
            <w:r>
              <w:rPr>
                <w:rFonts w:ascii="Arial" w:cs="Arial" w:eastAsia="Arial" w:hAnsi="Arial"/>
                <w:sz w:val="21"/>
                <w:szCs w:val="21"/>
                <w:color w:val="auto"/>
                <w:vertAlign w:val="superscript"/>
              </w:rPr>
              <w:t>(1)</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200,895</w:t>
            </w:r>
          </w:p>
        </w:tc>
        <w:tc>
          <w:tcPr>
            <w:tcW w:w="3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481.34</w:t>
            </w:r>
          </w:p>
        </w:tc>
        <w:tc>
          <w:tcPr>
            <w:tcW w:w="0" w:type="dxa"/>
            <w:vAlign w:val="bottom"/>
          </w:tcPr>
          <w:p>
            <w:pPr>
              <w:spacing w:after="0"/>
              <w:rPr>
                <w:sz w:val="1"/>
                <w:szCs w:val="1"/>
                <w:color w:val="auto"/>
              </w:rPr>
            </w:pPr>
          </w:p>
        </w:tc>
      </w:tr>
      <w:tr>
        <w:trPr>
          <w:trHeight w:val="215"/>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24,742</w:t>
            </w:r>
          </w:p>
        </w:tc>
        <w:tc>
          <w:tcPr>
            <w:tcW w:w="38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866.58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(14,602)</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278.54</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(19,313)</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426.80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191,722</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552.00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(1)  Adjusted due to the anti-dilution provision added as a result of the spin-off of Cable ONE.</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connection with the spin-off of Cable ONE, the Company modified outstanding stock options to add an antidilution provision. This resulted in an incremental stock compensation expense of $23.5 million, of which $18.8 million related to fully vested stock options was recognized as a one-time expense in the third quarter of 2015, with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8" w:name="page89"/>
    <w:bookmarkEnd w:id="88"/>
    <w:p>
      <w:pPr>
        <w:ind w:right="420"/>
        <w:spacing w:after="0" w:line="229" w:lineRule="auto"/>
        <w:rPr>
          <w:sz w:val="20"/>
          <w:szCs w:val="20"/>
          <w:color w:val="auto"/>
        </w:rPr>
      </w:pPr>
      <w:r>
        <w:rPr>
          <w:rFonts w:ascii="Arial" w:cs="Arial" w:eastAsia="Arial" w:hAnsi="Arial"/>
          <w:sz w:val="18"/>
          <w:szCs w:val="18"/>
          <w:color w:val="auto"/>
        </w:rPr>
        <w:t>the remaining $4.7 million to be recognized over the remaining service periods of the unvested stock options through the end of 2018. The $18.8 million expense is included in the Company’s corporate office segment results and in selling, general and administrative in the Consolidated Statements of Operations.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connection with the sale of the Publishing Subsidiaries in 2013, the Company modified the terms of 4,500 stock options affecting six employees. The modification resulted in the acceleration of the vesting period for 4,250 stock options and the forfeiture of 250 stock options. The Company recorded incremental stock option expense amounting to $0.8 million, which is included in income from discontinued operations, net of tax, in the Consolidated Statements of Operations in 2013.</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Of the shares covered by options outstanding at the end of 2015, 101,826 are now exercisable; 17,772 will become exercisable in 2016; 17,000 will become exercisable in 2017; 17,000 will become exercisable in 2018; 17,000 will become exercisable in 2019; 17,000 will become exercisable in 2020; and 4,124 will become exercisable in 2021. For 2015, 2014 and 2013, the Company recorded expense of $22.9 million, $2.7 million and $3.5 million related to stock options, respectively. Information related to stock options outstanding and exercisable at December 31, 2015,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12/31/2015</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180"/>
              <w:spacing w:after="0"/>
              <w:rPr>
                <w:sz w:val="20"/>
                <w:szCs w:val="20"/>
                <w:color w:val="auto"/>
              </w:rPr>
            </w:pPr>
            <w:r>
              <w:rPr>
                <w:rFonts w:ascii="Arial" w:cs="Arial" w:eastAsia="Arial" w:hAnsi="Arial"/>
                <w:sz w:val="16"/>
                <w:szCs w:val="16"/>
                <w:color w:val="auto"/>
              </w:rPr>
              <w:t>$239–284</w:t>
            </w:r>
          </w:p>
        </w:tc>
        <w:tc>
          <w:tcPr>
            <w:tcW w:w="1180" w:type="dxa"/>
            <w:vAlign w:val="bottom"/>
          </w:tcPr>
          <w:p>
            <w:pPr>
              <w:jc w:val="right"/>
              <w:spacing w:after="0"/>
              <w:rPr>
                <w:sz w:val="20"/>
                <w:szCs w:val="20"/>
                <w:color w:val="auto"/>
              </w:rPr>
            </w:pPr>
            <w:r>
              <w:rPr>
                <w:rFonts w:ascii="Arial" w:cs="Arial" w:eastAsia="Arial" w:hAnsi="Arial"/>
                <w:sz w:val="16"/>
                <w:szCs w:val="16"/>
                <w:color w:val="auto"/>
              </w:rPr>
              <w:t>9,374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255.69</w:t>
            </w:r>
          </w:p>
        </w:tc>
        <w:tc>
          <w:tcPr>
            <w:tcW w:w="1160" w:type="dxa"/>
            <w:vAlign w:val="bottom"/>
          </w:tcPr>
          <w:p>
            <w:pPr>
              <w:jc w:val="right"/>
              <w:spacing w:after="0"/>
              <w:rPr>
                <w:sz w:val="20"/>
                <w:szCs w:val="20"/>
                <w:color w:val="auto"/>
              </w:rPr>
            </w:pPr>
            <w:r>
              <w:rPr>
                <w:rFonts w:ascii="Arial" w:cs="Arial" w:eastAsia="Arial" w:hAnsi="Arial"/>
                <w:sz w:val="16"/>
                <w:szCs w:val="16"/>
                <w:color w:val="auto"/>
              </w:rPr>
              <w:t>8,602</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256.69</w:t>
            </w:r>
          </w:p>
        </w:tc>
      </w:tr>
      <w:tr>
        <w:trPr>
          <w:trHeight w:val="270"/>
        </w:trPr>
        <w:tc>
          <w:tcPr>
            <w:tcW w:w="3780" w:type="dxa"/>
            <w:vAlign w:val="bottom"/>
          </w:tcPr>
          <w:p>
            <w:pPr>
              <w:ind w:left="260"/>
              <w:spacing w:after="0"/>
              <w:rPr>
                <w:sz w:val="20"/>
                <w:szCs w:val="20"/>
                <w:color w:val="auto"/>
              </w:rPr>
            </w:pPr>
            <w:r>
              <w:rPr>
                <w:rFonts w:ascii="Arial" w:cs="Arial" w:eastAsia="Arial" w:hAnsi="Arial"/>
                <w:sz w:val="16"/>
                <w:szCs w:val="16"/>
                <w:color w:val="auto"/>
              </w:rPr>
              <w:t>325</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color w:val="auto"/>
              </w:rPr>
              <w:t>77,258</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325.26</w:t>
            </w:r>
          </w:p>
        </w:tc>
      </w:tr>
      <w:tr>
        <w:trPr>
          <w:trHeight w:val="270"/>
        </w:trPr>
        <w:tc>
          <w:tcPr>
            <w:tcW w:w="3780" w:type="dxa"/>
            <w:vAlign w:val="bottom"/>
          </w:tcPr>
          <w:p>
            <w:pPr>
              <w:ind w:left="260"/>
              <w:spacing w:after="0"/>
              <w:rPr>
                <w:sz w:val="20"/>
                <w:szCs w:val="20"/>
                <w:color w:val="auto"/>
              </w:rPr>
            </w:pPr>
            <w:r>
              <w:rPr>
                <w:rFonts w:ascii="Arial" w:cs="Arial" w:eastAsia="Arial" w:hAnsi="Arial"/>
                <w:sz w:val="16"/>
                <w:szCs w:val="16"/>
                <w:color w:val="auto"/>
              </w:rPr>
              <w:t>422</w:t>
            </w:r>
          </w:p>
        </w:tc>
        <w:tc>
          <w:tcPr>
            <w:tcW w:w="1180" w:type="dxa"/>
            <w:vAlign w:val="bottom"/>
          </w:tcPr>
          <w:p>
            <w:pPr>
              <w:jc w:val="right"/>
              <w:spacing w:after="0"/>
              <w:rPr>
                <w:sz w:val="20"/>
                <w:szCs w:val="20"/>
                <w:color w:val="auto"/>
              </w:rPr>
            </w:pPr>
            <w:r>
              <w:rPr>
                <w:rFonts w:ascii="Arial" w:cs="Arial" w:eastAsia="Arial" w:hAnsi="Arial"/>
                <w:sz w:val="16"/>
                <w:szCs w:val="16"/>
                <w:color w:val="auto"/>
              </w:rPr>
              <w:t>3,090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421.91</w:t>
            </w:r>
          </w:p>
        </w:tc>
        <w:tc>
          <w:tcPr>
            <w:tcW w:w="1160" w:type="dxa"/>
            <w:vAlign w:val="bottom"/>
          </w:tcPr>
          <w:p>
            <w:pPr>
              <w:jc w:val="right"/>
              <w:spacing w:after="0"/>
              <w:rPr>
                <w:sz w:val="20"/>
                <w:szCs w:val="20"/>
                <w:color w:val="auto"/>
              </w:rPr>
            </w:pPr>
            <w:r>
              <w:rPr>
                <w:rFonts w:ascii="Arial" w:cs="Arial" w:eastAsia="Arial" w:hAnsi="Arial"/>
                <w:sz w:val="16"/>
                <w:szCs w:val="16"/>
                <w:color w:val="auto"/>
              </w:rPr>
              <w:t>3,090</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421.91</w:t>
            </w:r>
          </w:p>
        </w:tc>
      </w:tr>
      <w:tr>
        <w:trPr>
          <w:trHeight w:val="270"/>
        </w:trPr>
        <w:tc>
          <w:tcPr>
            <w:tcW w:w="3780" w:type="dxa"/>
            <w:vAlign w:val="bottom"/>
          </w:tcPr>
          <w:p>
            <w:pPr>
              <w:ind w:left="260"/>
              <w:spacing w:after="0"/>
              <w:rPr>
                <w:sz w:val="20"/>
                <w:szCs w:val="20"/>
                <w:color w:val="auto"/>
              </w:rPr>
            </w:pPr>
            <w:r>
              <w:rPr>
                <w:rFonts w:ascii="Arial" w:cs="Arial" w:eastAsia="Arial" w:hAnsi="Arial"/>
                <w:sz w:val="16"/>
                <w:szCs w:val="16"/>
                <w:color w:val="auto"/>
              </w:rPr>
              <w:t>719</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color w:val="auto"/>
              </w:rPr>
              <w:t>12,876</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719.15</w:t>
            </w:r>
          </w:p>
        </w:tc>
      </w:tr>
      <w:tr>
        <w:trPr>
          <w:trHeight w:val="283"/>
        </w:trPr>
        <w:tc>
          <w:tcPr>
            <w:tcW w:w="3780" w:type="dxa"/>
            <w:vAlign w:val="bottom"/>
          </w:tcPr>
          <w:p>
            <w:pPr>
              <w:ind w:left="260"/>
              <w:spacing w:after="0"/>
              <w:rPr>
                <w:sz w:val="20"/>
                <w:szCs w:val="20"/>
                <w:color w:val="auto"/>
              </w:rPr>
            </w:pPr>
            <w:r>
              <w:rPr>
                <w:rFonts w:ascii="Arial" w:cs="Arial" w:eastAsia="Arial" w:hAnsi="Arial"/>
                <w:sz w:val="16"/>
                <w:szCs w:val="16"/>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866.58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191,722</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552.00</w:t>
            </w:r>
          </w:p>
        </w:tc>
        <w:tc>
          <w:tcPr>
            <w:tcW w:w="1160" w:type="dxa"/>
            <w:vAlign w:val="bottom"/>
          </w:tcPr>
          <w:p>
            <w:pPr>
              <w:jc w:val="right"/>
              <w:spacing w:after="0"/>
              <w:rPr>
                <w:sz w:val="20"/>
                <w:szCs w:val="20"/>
                <w:color w:val="auto"/>
              </w:rPr>
            </w:pPr>
            <w:r>
              <w:rPr>
                <w:rFonts w:ascii="Arial" w:cs="Arial" w:eastAsia="Arial" w:hAnsi="Arial"/>
                <w:sz w:val="16"/>
                <w:szCs w:val="16"/>
                <w:color w:val="auto"/>
              </w:rPr>
              <w:t>101,826</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372.21</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December 31, 2015, the intrinsic value for all options outstanding, exercisable and unvested was $14.7 million, $14.5 million and $0.2 million, respectively. The intrinsic value of a stock option is the amount by which the market value of the underlying stock exceeds the exercise price of the option. The market value of the Company’s stock was $484.97 at December 31, 2015. At December 31, 2015, there were 89,896 unvested options related to this plan with an average exercise price of $ 755.65 and a weighted average remaining contractual term of 9.1 years. At December 31, 2014, there were 81,500 unvested options with an average exercise price of $863.72 and a weighted average remaining contractual term of 8.9 years.</w:t>
      </w:r>
    </w:p>
    <w:p>
      <w:pPr>
        <w:spacing w:after="0" w:line="13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As of December 31, 2015, total unrecognized stock-based compensation expense related to stock options was $ 10.7 million, which is expected to be recognized on a straight-line basis over a weighted average period of approximately 5.0 years. There were 40,527 options exercised during 2015. The total intrinsic value of options exercised during 2015 was $ 19.5 million; a tax benefit from these stock option exercises of $7.8 million was realized. There were 19,125 options exercised during 2014. The total intrinsic value of options exercised during 2014 was $6.7 million; a tax benefit from these stock option exercises of $2.7 million was realized. There were 14,500 options exercised during 2013. The total intrinsic value of options exercised during 2013 was $3.2 million; a tax benefit from these option exercises of $1.3 million was realized.</w:t>
      </w:r>
    </w:p>
    <w:p>
      <w:pPr>
        <w:spacing w:after="0" w:line="13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During 2015 and 2014, the Company granted 24,742 and 50,000 options at an exercise price above the fair market value of its common stock at the date of grant, respectively. All other options granted during 2015 and 2014 were at an exercise price equal to the fair market value of the Company’s common stock at the date of grant. All options granted during 2013 were at an exercise price equal to the fair market value of the Company’s common stock at the date of grant. The weighted average grant-date fair value of options granted during 2015, 2014 and 2013 was $155.00, $178.95 and $91.74,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jc w:val="center"/>
              <w:ind w:left="2241"/>
              <w:spacing w:after="0"/>
              <w:rPr>
                <w:sz w:val="20"/>
                <w:szCs w:val="20"/>
                <w:color w:val="auto"/>
              </w:rPr>
            </w:pPr>
            <w:r>
              <w:rPr>
                <w:rFonts w:ascii="Arial" w:cs="Arial" w:eastAsia="Arial" w:hAnsi="Arial"/>
                <w:sz w:val="14"/>
                <w:szCs w:val="14"/>
                <w:b w:val="1"/>
                <w:bCs w:val="1"/>
                <w:color w:val="auto"/>
              </w:rPr>
              <w:t>2015</w:t>
            </w:r>
          </w:p>
        </w:tc>
        <w:tc>
          <w:tcPr>
            <w:tcW w:w="1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2014</w:t>
            </w: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2013</w:t>
            </w:r>
          </w:p>
        </w:tc>
      </w:tr>
      <w:tr>
        <w:trPr>
          <w:trHeight w:val="250"/>
        </w:trPr>
        <w:tc>
          <w:tcPr>
            <w:tcW w:w="406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4000" w:type="dxa"/>
            <w:vAlign w:val="bottom"/>
          </w:tcPr>
          <w:p>
            <w:pPr>
              <w:jc w:val="center"/>
              <w:ind w:left="2221"/>
              <w:spacing w:after="0"/>
              <w:rPr>
                <w:sz w:val="20"/>
                <w:szCs w:val="20"/>
                <w:color w:val="auto"/>
              </w:rPr>
            </w:pPr>
            <w:r>
              <w:rPr>
                <w:rFonts w:ascii="Arial" w:cs="Arial" w:eastAsia="Arial" w:hAnsi="Arial"/>
                <w:sz w:val="16"/>
                <w:szCs w:val="16"/>
                <w:b w:val="1"/>
                <w:bCs w:val="1"/>
                <w:color w:val="auto"/>
                <w:w w:val="97"/>
              </w:rPr>
              <w:t>7–8</w:t>
            </w:r>
          </w:p>
        </w:tc>
        <w:tc>
          <w:tcPr>
            <w:tcW w:w="1880" w:type="dxa"/>
            <w:vAlign w:val="bottom"/>
          </w:tcPr>
          <w:p>
            <w:pPr>
              <w:jc w:val="center"/>
              <w:ind w:right="81"/>
              <w:spacing w:after="0"/>
              <w:rPr>
                <w:sz w:val="20"/>
                <w:szCs w:val="20"/>
                <w:color w:val="auto"/>
              </w:rPr>
            </w:pPr>
            <w:r>
              <w:rPr>
                <w:rFonts w:ascii="Arial" w:cs="Arial" w:eastAsia="Arial" w:hAnsi="Arial"/>
                <w:sz w:val="16"/>
                <w:szCs w:val="16"/>
                <w:color w:val="auto"/>
              </w:rPr>
              <w:t>7–8</w:t>
            </w:r>
          </w:p>
        </w:tc>
        <w:tc>
          <w:tcPr>
            <w:tcW w:w="1480" w:type="dxa"/>
            <w:vAlign w:val="bottom"/>
          </w:tcPr>
          <w:p>
            <w:pPr>
              <w:jc w:val="center"/>
              <w:ind w:right="41"/>
              <w:spacing w:after="0"/>
              <w:rPr>
                <w:sz w:val="20"/>
                <w:szCs w:val="20"/>
                <w:color w:val="auto"/>
              </w:rPr>
            </w:pPr>
            <w:r>
              <w:rPr>
                <w:rFonts w:ascii="Arial" w:cs="Arial" w:eastAsia="Arial" w:hAnsi="Arial"/>
                <w:sz w:val="16"/>
                <w:szCs w:val="16"/>
                <w:color w:val="auto"/>
                <w:w w:val="89"/>
              </w:rPr>
              <w:t>7</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4000" w:type="dxa"/>
            <w:vAlign w:val="bottom"/>
          </w:tcPr>
          <w:p>
            <w:pPr>
              <w:jc w:val="center"/>
              <w:ind w:left="2221"/>
              <w:spacing w:after="0"/>
              <w:rPr>
                <w:sz w:val="20"/>
                <w:szCs w:val="20"/>
                <w:color w:val="auto"/>
              </w:rPr>
            </w:pPr>
            <w:r>
              <w:rPr>
                <w:rFonts w:ascii="Arial" w:cs="Arial" w:eastAsia="Arial" w:hAnsi="Arial"/>
                <w:sz w:val="16"/>
                <w:szCs w:val="16"/>
                <w:b w:val="1"/>
                <w:bCs w:val="1"/>
                <w:color w:val="auto"/>
              </w:rPr>
              <w:t>1.88%–2.17%</w:t>
            </w:r>
          </w:p>
        </w:tc>
        <w:tc>
          <w:tcPr>
            <w:tcW w:w="1880" w:type="dxa"/>
            <w:vAlign w:val="bottom"/>
          </w:tcPr>
          <w:p>
            <w:pPr>
              <w:jc w:val="center"/>
              <w:ind w:right="81"/>
              <w:spacing w:after="0"/>
              <w:rPr>
                <w:sz w:val="20"/>
                <w:szCs w:val="20"/>
                <w:color w:val="auto"/>
              </w:rPr>
            </w:pPr>
            <w:r>
              <w:rPr>
                <w:rFonts w:ascii="Arial" w:cs="Arial" w:eastAsia="Arial" w:hAnsi="Arial"/>
                <w:sz w:val="16"/>
                <w:szCs w:val="16"/>
                <w:color w:val="auto"/>
              </w:rPr>
              <w:t>2.15%–2.45%</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1.31%</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4000" w:type="dxa"/>
            <w:vAlign w:val="bottom"/>
          </w:tcPr>
          <w:p>
            <w:pPr>
              <w:jc w:val="center"/>
              <w:ind w:left="2221"/>
              <w:spacing w:after="0"/>
              <w:rPr>
                <w:sz w:val="20"/>
                <w:szCs w:val="20"/>
                <w:color w:val="auto"/>
              </w:rPr>
            </w:pPr>
            <w:r>
              <w:rPr>
                <w:rFonts w:ascii="Arial" w:cs="Arial" w:eastAsia="Arial" w:hAnsi="Arial"/>
                <w:sz w:val="16"/>
                <w:szCs w:val="16"/>
                <w:b w:val="1"/>
                <w:bCs w:val="1"/>
                <w:color w:val="auto"/>
              </w:rPr>
              <w:t>31.59%–32.69%</w:t>
            </w:r>
          </w:p>
        </w:tc>
        <w:tc>
          <w:tcPr>
            <w:tcW w:w="1880" w:type="dxa"/>
            <w:vAlign w:val="bottom"/>
          </w:tcPr>
          <w:p>
            <w:pPr>
              <w:jc w:val="center"/>
              <w:ind w:right="81"/>
              <w:spacing w:after="0"/>
              <w:rPr>
                <w:sz w:val="20"/>
                <w:szCs w:val="20"/>
                <w:color w:val="auto"/>
              </w:rPr>
            </w:pPr>
            <w:r>
              <w:rPr>
                <w:rFonts w:ascii="Arial" w:cs="Arial" w:eastAsia="Arial" w:hAnsi="Arial"/>
                <w:sz w:val="16"/>
                <w:szCs w:val="16"/>
                <w:color w:val="auto"/>
              </w:rPr>
              <w:t>30.75%–32.10%</w:t>
            </w:r>
          </w:p>
        </w:tc>
        <w:tc>
          <w:tcPr>
            <w:tcW w:w="1480" w:type="dxa"/>
            <w:vAlign w:val="bottom"/>
          </w:tcPr>
          <w:p>
            <w:pPr>
              <w:jc w:val="center"/>
              <w:ind w:right="41"/>
              <w:spacing w:after="0"/>
              <w:rPr>
                <w:sz w:val="20"/>
                <w:szCs w:val="20"/>
                <w:color w:val="auto"/>
              </w:rPr>
            </w:pPr>
            <w:r>
              <w:rPr>
                <w:rFonts w:ascii="Arial" w:cs="Arial" w:eastAsia="Arial" w:hAnsi="Arial"/>
                <w:sz w:val="16"/>
                <w:szCs w:val="16"/>
                <w:color w:val="auto"/>
              </w:rPr>
              <w:t>31.80%</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4000" w:type="dxa"/>
            <w:vAlign w:val="bottom"/>
          </w:tcPr>
          <w:p>
            <w:pPr>
              <w:jc w:val="center"/>
              <w:ind w:left="2221"/>
              <w:spacing w:after="0"/>
              <w:rPr>
                <w:sz w:val="20"/>
                <w:szCs w:val="20"/>
                <w:color w:val="auto"/>
              </w:rPr>
            </w:pPr>
            <w:r>
              <w:rPr>
                <w:rFonts w:ascii="Arial" w:cs="Arial" w:eastAsia="Arial" w:hAnsi="Arial"/>
                <w:sz w:val="16"/>
                <w:szCs w:val="16"/>
                <w:b w:val="1"/>
                <w:bCs w:val="1"/>
                <w:color w:val="auto"/>
              </w:rPr>
              <w:t>0.81%–1.18%</w:t>
            </w:r>
          </w:p>
        </w:tc>
        <w:tc>
          <w:tcPr>
            <w:tcW w:w="1880" w:type="dxa"/>
            <w:vAlign w:val="bottom"/>
          </w:tcPr>
          <w:p>
            <w:pPr>
              <w:jc w:val="center"/>
              <w:ind w:right="81"/>
              <w:spacing w:after="0"/>
              <w:rPr>
                <w:sz w:val="20"/>
                <w:szCs w:val="20"/>
                <w:color w:val="auto"/>
              </w:rPr>
            </w:pPr>
            <w:r>
              <w:rPr>
                <w:rFonts w:ascii="Arial" w:cs="Arial" w:eastAsia="Arial" w:hAnsi="Arial"/>
                <w:sz w:val="16"/>
                <w:szCs w:val="16"/>
                <w:color w:val="auto"/>
              </w:rPr>
              <w:t>1.30%–1.54%</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2.63%</w:t>
            </w:r>
          </w:p>
        </w:tc>
      </w:tr>
    </w:tbl>
    <w:p>
      <w:pPr>
        <w:spacing w:after="0" w:line="16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9" w:name="page90"/>
    <w:bookmarkEnd w:id="89"/>
    <w:p>
      <w:pPr>
        <w:ind w:right="140"/>
        <w:spacing w:after="0" w:line="235" w:lineRule="auto"/>
        <w:rPr>
          <w:sz w:val="20"/>
          <w:szCs w:val="20"/>
          <w:color w:val="auto"/>
        </w:rPr>
      </w:pPr>
      <w:r>
        <w:rPr>
          <w:rFonts w:ascii="Arial" w:cs="Arial" w:eastAsia="Arial" w:hAnsi="Arial"/>
          <w:sz w:val="18"/>
          <w:szCs w:val="18"/>
          <w:color w:val="auto"/>
        </w:rPr>
        <w:t>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At December 31, 2015, a Kaplan senior manager holds 7,206 Kaplan restricted shares. The fair value of Kaplan’s common stock is determined by the Company’s compensation committee of the Board of Directors, and in January 2016, the committee set the fair value price at $1,240 per share. During 2015 and 2013, respectively, 2,500 and 5,000 options were awarded to a Kaplan senior manager at a price of $1,180 and $973 per share, respectively, that would have vested over a four-year period. No options were awarded during 2014; no options were exercised during 2015, 2014 or 2013; and due to 2015 forfeitures, there were no options outstanding at December 31, 2015.</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Kaplan recorded a stock compensation credit of $1.8 million in 2015, and expense of $0.9 million and $2.9 million in 2014 and 2013, respectively. At December 31, 2015, the Company’s accrual balance related to the Kaplan restricted shares totaled $8.9 million. There were no payouts in 2015, 2014 or 2013.</w:t>
      </w:r>
    </w:p>
    <w:p>
      <w:pPr>
        <w:spacing w:after="0" w:line="11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139"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9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26035</wp:posOffset>
            </wp:positionV>
            <wp:extent cx="24269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2014</w:t>
            </w: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(loss) earnings per share:</w:t>
      </w:r>
    </w:p>
    <w:p>
      <w:pPr>
        <w:spacing w:after="0" w:line="7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(Loss) income from continuing operations attributable to Graham Holdings Company common stockholders</w:t>
      </w:r>
    </w:p>
    <w:p>
      <w:pPr>
        <w:spacing w:after="0" w:line="61" w:lineRule="exact"/>
        <w:rPr>
          <w:sz w:val="20"/>
          <w:szCs w:val="20"/>
          <w:color w:val="auto"/>
        </w:rPr>
      </w:pPr>
    </w:p>
    <w:p>
      <w:pPr>
        <w:ind w:left="280" w:right="920"/>
        <w:spacing w:after="0" w:line="357" w:lineRule="auto"/>
        <w:rPr>
          <w:sz w:val="20"/>
          <w:szCs w:val="20"/>
          <w:color w:val="auto"/>
        </w:rPr>
      </w:pPr>
      <w:r>
        <w:rPr>
          <w:rFonts w:ascii="Arial" w:cs="Arial" w:eastAsia="Arial" w:hAnsi="Arial"/>
          <w:sz w:val="16"/>
          <w:szCs w:val="16"/>
          <w:color w:val="auto"/>
        </w:rPr>
        <w:t>Less: Dividends paid–common stock outstanding and unvested restricted shares Undistributed (losses) earnings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3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 paid–common stock outstanding</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(loss) earnings per share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diluted (loss) earnings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basic (loss) earnings per share: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diluted (loss) earnings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right="2140"/>
        <w:spacing w:after="0" w:line="388" w:lineRule="auto"/>
        <w:rPr>
          <w:sz w:val="20"/>
          <w:szCs w:val="20"/>
          <w:color w:val="auto"/>
        </w:rPr>
      </w:pPr>
      <w:r>
        <w:rPr>
          <w:rFonts w:ascii="Arial" w:cs="Arial" w:eastAsia="Arial" w:hAnsi="Arial"/>
          <w:sz w:val="16"/>
          <w:szCs w:val="16"/>
          <w:b w:val="1"/>
          <w:bCs w:val="1"/>
          <w:color w:val="auto"/>
        </w:rPr>
        <w:t>Basic (loss) earnings per share from continuing operations Diluted (loss) earnings per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(143,456)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765,139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63,396</w:t>
            </w:r>
          </w:p>
        </w:tc>
      </w:tr>
      <w:tr>
        <w:trPr>
          <w:trHeight w:val="283"/>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(53,090)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(67,267)</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51"/>
        </w:trPr>
        <w:tc>
          <w:tcPr>
            <w:tcW w:w="24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(196,546)</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697,872</w:t>
            </w:r>
          </w:p>
        </w:tc>
        <w:tc>
          <w:tcPr>
            <w:tcW w:w="38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63,396</w:t>
            </w:r>
          </w:p>
        </w:tc>
      </w:tr>
      <w:tr>
        <w:trPr>
          <w:trHeight w:val="283"/>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100.00%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98.45%</w:t>
            </w:r>
          </w:p>
        </w:tc>
      </w:tr>
      <w:tr>
        <w:trPr>
          <w:trHeight w:val="251"/>
        </w:trPr>
        <w:tc>
          <w:tcPr>
            <w:tcW w:w="24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(196,546)</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683,780</w:t>
            </w:r>
          </w:p>
        </w:tc>
        <w:tc>
          <w:tcPr>
            <w:tcW w:w="38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62,413</w:t>
            </w:r>
          </w:p>
        </w:tc>
      </w:tr>
      <w:tr>
        <w:trPr>
          <w:trHeight w:val="283"/>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52,050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66,012</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(144,496)</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749,792</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62,413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64"/>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(144,496)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749,856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62,415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8"/>
        </w:trPr>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5,727</w:t>
            </w:r>
          </w:p>
        </w:tc>
        <w:tc>
          <w:tcPr>
            <w:tcW w:w="320" w:type="dxa"/>
            <w:vAlign w:val="bottom"/>
          </w:tcPr>
          <w:p>
            <w:pPr>
              <w:spacing w:after="0"/>
              <w:rPr>
                <w:sz w:val="24"/>
                <w:szCs w:val="24"/>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6,470</w:t>
            </w:r>
          </w:p>
        </w:tc>
        <w:tc>
          <w:tcPr>
            <w:tcW w:w="38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7,238</w:t>
            </w:r>
          </w:p>
        </w:tc>
      </w:tr>
      <w:tr>
        <w:trPr>
          <w:trHeight w:val="283"/>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r>
      <w:tr>
        <w:trPr>
          <w:trHeight w:val="264"/>
        </w:trPr>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5,727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6,497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7,250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1"/>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(25.23)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115.88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(25.23)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115.40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ectPr>
          <w:pgSz w:w="11900" w:h="16838" w:orient="portrait"/>
          <w:cols w:equalWidth="0" w:num="2">
            <w:col w:w="6980" w:space="620"/>
            <w:col w:w="3820"/>
          </w:cols>
          <w:pgMar w:left="240" w:top="746" w:right="239" w:bottom="1440" w:gutter="0" w:footer="0" w:header="0"/>
          <w:type w:val="continuous"/>
        </w:sect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2015 as participating securities are not contractually obligated to share in losses.</w:t>
      </w:r>
    </w:p>
    <w:p>
      <w:pPr>
        <w:spacing w:after="0" w:line="13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52</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62</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83</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39</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The 2015, 2014 and 2013 diluted earnings per share amounts exclude the effects of 102,000, 52,000 and 10,000 stock options outstanding, respectively, as their inclusion would have been antidilutive. The 2015, 2014 and 2013 diluted earnings per share amounts also exclude the effects of 6,250, 5,175 and 5,500 restricted stock awards, respectively, as their inclusion would have been antidilutive.</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746" w:right="239" w:bottom="1440" w:gutter="0" w:footer="0" w:header="0"/>
          <w:type w:val="continuous"/>
        </w:sectPr>
      </w:pPr>
    </w:p>
    <w:bookmarkStart w:id="90" w:name="page91"/>
    <w:bookmarkEnd w:id="90"/>
    <w:p>
      <w:pPr>
        <w:ind w:right="420"/>
        <w:spacing w:after="0" w:line="229" w:lineRule="auto"/>
        <w:rPr>
          <w:sz w:val="20"/>
          <w:szCs w:val="20"/>
          <w:color w:val="auto"/>
        </w:rPr>
      </w:pPr>
      <w:r>
        <w:rPr>
          <w:rFonts w:ascii="Arial" w:cs="Arial" w:eastAsia="Arial" w:hAnsi="Arial"/>
          <w:sz w:val="18"/>
          <w:szCs w:val="18"/>
          <w:color w:val="auto"/>
        </w:rPr>
        <w:t>In 2015 and 2014, the Company declared regular dividends totaling $9.10 and $10.20 per share, respectively. In December 2012, the Company declared and paid an accelerated cash dividend totaling $9.80 per share, in lieu of regular quarterly dividends that the Company otherwise would have declared and paid in calendar year 2013.</w:t>
      </w:r>
    </w:p>
    <w:p>
      <w:pPr>
        <w:spacing w:after="0" w:line="115"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 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22"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income from discontinued operations, net of tax. The settlement gain on the spin-off of Cable ONE is included in the SERP liability distributed to Cable ONE (see Note 3).</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KHE Campuses Sale. </w:t>
      </w:r>
      <w:r>
        <w:rPr>
          <w:rFonts w:ascii="Arial" w:cs="Arial" w:eastAsia="Arial" w:hAnsi="Arial"/>
          <w:sz w:val="18"/>
          <w:szCs w:val="18"/>
          <w:color w:val="auto"/>
        </w:rPr>
        <w:t>On September 3, 2015, the Company eliminated the accrual of pension benefits for almost all of the KHE Campuses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(expense) income, net in the Consolidated Statement of Operations.</w:t>
      </w:r>
    </w:p>
    <w:p>
      <w:pPr>
        <w:spacing w:after="0" w:line="11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Sale of Publishing Subsidiaries. </w:t>
      </w:r>
      <w:r>
        <w:rPr>
          <w:rFonts w:ascii="Arial" w:cs="Arial" w:eastAsia="Arial" w:hAnsi="Arial"/>
          <w:sz w:val="18"/>
          <w:szCs w:val="18"/>
          <w:color w:val="auto"/>
        </w:rPr>
        <w:t>On October 1, 2013, as part of the sale of the Publishing Subsidiaries, the Purchaser assumed the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active employees of the Company’s defined benefit pension plan, SERP and other postretirement plans. In addition to the assumed liabilities, the Company transferred pension plan assets of $318 million in accordance with the terms of the sale. As a result of the sale of the Publishing Subsidiaries, the Company remeasured the accumulated and projected benefit obligation of the pension, SERP and other postretirement plans as of October 1, 2013, and recorded curtailment and settlement gains (losses). The new measurement basis was used for the recognition of the pension and other postretirement plan cost (credit) recorded in the fourth quarter of 2013. The curtailment and settlement gains (losses) are included in the gain on the sale of the Publishing Subsidiaries, which is included in income from discontinued operations, net of tax. The Company excluded the historical pension expense for retirees from the reclassification of the Publishing Subsidiaries’ results to discontinued operations, since the associated assets and liabilities were retained by the Company.</w:t>
      </w:r>
    </w:p>
    <w:p>
      <w:pPr>
        <w:spacing w:after="0" w:line="117"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fourth quarter of 2015, the Company recorded $0.9 million related to a Special Incentive Program for certain Corporate employees, which is being funded from the assets of the Company’s pension plan. In the third quarter of 2015, the Company recorded $3.7 million related to a Special Incentive Program for certain Kaplan employees, which is being funded from the assets of the Company’s pension plan.</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was funded from the assets of the Company’s pension plan. In the third quarter of 2014, the Company recorded $3.9 million related to a Voluntary Retirement Incentive Program (VRIP) for certain Corporate employees, which was funded from the assets of the Company’s pension plan. In addition, the Company recorded a $2.4 million SERP charge related to the VRIP for certain Corporate employees.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February 2013, the Company offered a VRIP to certain employees of The Washington Post newspaper and recorded early retirement expense of $20.4 million. In addition, The Washington Post newspaper recorded $2.3 million in special separation benefits for a group of employees in the first quarter of 2013. The expense for these programs was funded from the assets of the Company’s pension plan. The 2013 early retirement program and special separation benefit expenses are included in income from discontinued operations, net of tax.</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1,317,480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1,126,344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26,294</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27,792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52,613</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51,825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4,606</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8,374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(57,834)</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172,548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(85,542)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(69,854)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(3,319)</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1,254,298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1,317,480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2,469,968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2,371,849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(150,158)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167,154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(85,542)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(69,854)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2,234,268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2,469,968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979,970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1,152,488</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3"/>
        </w:trPr>
        <w:tc>
          <w:tcPr>
            <w:tcW w:w="9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rPr>
              <w:t>SERP</w:t>
            </w:r>
          </w:p>
        </w:tc>
        <w:tc>
          <w:tcPr>
            <w:tcW w:w="900" w:type="dxa"/>
            <w:vAlign w:val="bottom"/>
            <w:tcBorders>
              <w:bottom w:val="single" w:sz="8" w:color="auto"/>
            </w:tcBorders>
          </w:tcPr>
          <w:p>
            <w:pPr>
              <w:spacing w:after="0"/>
              <w:rPr>
                <w:sz w:val="24"/>
                <w:szCs w:val="24"/>
                <w:color w:val="auto"/>
              </w:rPr>
            </w:pP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116,083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91,169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1,946</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1,493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4,550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4,397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4,022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(6,544)</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19,168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(6,083)</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(4,948)</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105,004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116,083</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 and other</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6,083</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4,166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(6,083)</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(105,004)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(116,083)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2015 and 2014, was $1,219.7 million and $1,281.5</w:t>
      </w:r>
    </w:p>
    <w:p>
      <w:pPr>
        <w:spacing w:after="0" w:line="219" w:lineRule="auto"/>
        <w:rPr>
          <w:sz w:val="20"/>
          <w:szCs w:val="20"/>
          <w:color w:val="auto"/>
        </w:rPr>
      </w:pPr>
      <w:r>
        <w:rPr>
          <w:rFonts w:ascii="Arial" w:cs="Arial" w:eastAsia="Arial" w:hAnsi="Arial"/>
          <w:sz w:val="18"/>
          <w:szCs w:val="18"/>
          <w:color w:val="auto"/>
        </w:rPr>
        <w:t>million, respectively. The accumulated benefit obligation for the Company’s SERP at December 31, 2015 and 2014, was $102.5 million and</w:t>
      </w:r>
    </w:p>
    <w:p>
      <w:pPr>
        <w:spacing w:after="0" w:line="219" w:lineRule="auto"/>
        <w:rPr>
          <w:sz w:val="20"/>
          <w:szCs w:val="20"/>
          <w:color w:val="auto"/>
        </w:rPr>
      </w:pPr>
      <w:r>
        <w:rPr>
          <w:rFonts w:ascii="Arial" w:cs="Arial" w:eastAsia="Arial" w:hAnsi="Arial"/>
          <w:sz w:val="18"/>
          <w:szCs w:val="18"/>
          <w:color w:val="auto"/>
        </w:rPr>
        <w:t>$114.1 million, respectively. The amounts recognized in the Company’s Consolidated Balance Sheets for its defined benefit pension plans are</w:t>
      </w:r>
    </w:p>
    <w:p>
      <w:pPr>
        <w:spacing w:after="0"/>
        <w:rPr>
          <w:sz w:val="20"/>
          <w:szCs w:val="20"/>
          <w:color w:val="auto"/>
        </w:rPr>
      </w:pPr>
      <w:r>
        <w:rPr>
          <w:rFonts w:ascii="Arial" w:cs="Arial" w:eastAsia="Arial" w:hAnsi="Arial"/>
          <w:sz w:val="18"/>
          <w:szCs w:val="18"/>
          <w:color w:val="auto"/>
        </w:rPr>
        <w:t>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979,970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1,152,488</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6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(5,442)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(99,562)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(109,808)</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979,970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1,152,488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(105,004)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(116,083)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80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746" w:right="239" w:bottom="80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Plans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103"/>
              <w:spacing w:after="0"/>
              <w:rPr>
                <w:sz w:val="20"/>
                <w:szCs w:val="20"/>
                <w:color w:val="auto"/>
              </w:rPr>
            </w:pPr>
            <w:r>
              <w:rPr>
                <w:rFonts w:ascii="Arial" w:cs="Arial" w:eastAsia="Arial" w:hAnsi="Arial"/>
                <w:sz w:val="14"/>
                <w:szCs w:val="14"/>
                <w:b w:val="1"/>
                <w:bCs w:val="1"/>
                <w:color w:val="auto"/>
              </w:rPr>
              <w:t>SERP</w:t>
            </w:r>
          </w:p>
        </w:tc>
      </w:tr>
      <w:tr>
        <w:trPr>
          <w:trHeight w:val="264"/>
        </w:trPr>
        <w:tc>
          <w:tcPr>
            <w:tcW w:w="5740" w:type="dxa"/>
            <w:vAlign w:val="bottom"/>
          </w:tcPr>
          <w:p>
            <w:pPr>
              <w:spacing w:after="0"/>
              <w:rPr>
                <w:sz w:val="22"/>
                <w:szCs w:val="22"/>
                <w:color w:val="auto"/>
              </w:rPr>
            </w:pPr>
          </w:p>
        </w:tc>
        <w:tc>
          <w:tcPr>
            <w:tcW w:w="2940" w:type="dxa"/>
            <w:vAlign w:val="bottom"/>
            <w:tcBorders>
              <w:bottom w:val="single" w:sz="8" w:color="auto"/>
            </w:tcBorders>
            <w:gridSpan w:val="2"/>
          </w:tcPr>
          <w:p>
            <w:pPr>
              <w:jc w:val="right"/>
              <w:ind w:right="822"/>
              <w:spacing w:after="0"/>
              <w:rPr>
                <w:sz w:val="20"/>
                <w:szCs w:val="20"/>
                <w:color w:val="auto"/>
              </w:rPr>
            </w:pPr>
            <w:r>
              <w:rPr>
                <w:rFonts w:ascii="Arial" w:cs="Arial" w:eastAsia="Arial" w:hAnsi="Arial"/>
                <w:sz w:val="14"/>
                <w:szCs w:val="14"/>
                <w:b w:val="1"/>
                <w:bCs w:val="1"/>
                <w:color w:val="auto"/>
              </w:rPr>
              <w:t>As of December 31</w:t>
            </w:r>
          </w:p>
        </w:tc>
        <w:tc>
          <w:tcPr>
            <w:tcW w:w="2740" w:type="dxa"/>
            <w:vAlign w:val="bottom"/>
            <w:tcBorders>
              <w:bottom w:val="single" w:sz="8" w:color="auto"/>
            </w:tcBorders>
            <w:gridSpan w:val="2"/>
          </w:tcPr>
          <w:p>
            <w:pPr>
              <w:jc w:val="right"/>
              <w:ind w:right="66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7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6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0"/>
        </w:trPr>
        <w:tc>
          <w:tcPr>
            <w:tcW w:w="57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4.3%</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4.3%</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4.0%</w:t>
            </w: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4.0%</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4.0%</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4.0%</w:t>
            </w:r>
          </w:p>
        </w:tc>
      </w:tr>
    </w:tbl>
    <w:p>
      <w:pPr>
        <w:spacing w:after="0" w:line="16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made no contributions to its pension plans in 2015, 2014 and 2013, and the Company does not expect to make any contributions in 2016. The Company made contributions to its SERP of $6.1 million and $ 4.2 million for the years ended December 31, 2015 and 2014,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2016</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87,688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5,563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81,694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5,650</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78,356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5,986</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77,389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6,314</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77,209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6,368</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2021–2025</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389,597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33,315</w:t>
            </w:r>
          </w:p>
        </w:tc>
      </w:tr>
    </w:tbl>
    <w:p>
      <w:pPr>
        <w:spacing w:after="0" w:line="16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total cost (benefit) arising from the Company’s defined benefit pension plans, including the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26,294</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27,792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46,115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52,613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51,825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55,821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(130,571)</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(120,472)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(105,574)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320</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329</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2,809</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(gain) loss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(11,925)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(28,880)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2,756</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 for the Year</w:t>
            </w:r>
          </w:p>
        </w:tc>
        <w:tc>
          <w:tcPr>
            <w:tcW w:w="26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(63,269)</w:t>
            </w:r>
          </w:p>
        </w:tc>
        <w:tc>
          <w:tcPr>
            <w:tcW w:w="3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(69,406)</w:t>
            </w:r>
          </w:p>
        </w:tc>
        <w:tc>
          <w:tcPr>
            <w:tcW w:w="3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1,927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(3,267)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(43,930)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39,995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Early retirement programs and special separation benefit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4,606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8,374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22,700</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(Benefit)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(61,930)</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(61,032)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20,692</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Cost and Other Comprehensive Income (Before Tax Effects)</w:t>
      </w:r>
    </w:p>
    <w:p>
      <w:pPr>
        <w:spacing w:after="0" w:line="20" w:lineRule="exact"/>
        <w:rPr>
          <w:sz w:val="20"/>
          <w:szCs w:val="20"/>
          <w:color w:val="auto"/>
        </w:rPr>
      </w:pPr>
      <w:r>
        <w:rPr>
          <w:sz w:val="20"/>
          <w:szCs w:val="20"/>
          <w:color w:val="auto"/>
        </w:rPr>
        <w:br w:type="column"/>
      </w:r>
    </w:p>
    <w:p>
      <w:pPr>
        <w:ind w:left="460" w:hanging="439"/>
        <w:spacing w:after="0"/>
        <w:tabs>
          <w:tab w:leader="none" w:pos="4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222,894   </w:t>
      </w:r>
      <w:r>
        <w:rPr>
          <w:rFonts w:ascii="Arial" w:cs="Arial" w:eastAsia="Arial" w:hAnsi="Arial"/>
          <w:sz w:val="16"/>
          <w:szCs w:val="16"/>
          <w:color w:val="auto"/>
        </w:rPr>
        <w:t>$125,866   $   (750,328)</w:t>
      </w:r>
    </w:p>
    <w:p>
      <w:pPr>
        <w:spacing w:after="0" w:line="106" w:lineRule="exact"/>
        <w:rPr>
          <w:rFonts w:ascii="Arial" w:cs="Arial" w:eastAsia="Arial" w:hAnsi="Arial"/>
          <w:sz w:val="16"/>
          <w:szCs w:val="16"/>
          <w:b w:val="1"/>
          <w:bCs w:val="1"/>
          <w:color w:val="auto"/>
        </w:rPr>
      </w:pPr>
    </w:p>
    <w:p>
      <w:pPr>
        <w:ind w:left="1960" w:hanging="1237"/>
        <w:spacing w:after="0"/>
        <w:tabs>
          <w:tab w:leader="none" w:pos="1960" w:val="left"/>
        </w:tabs>
        <w:numPr>
          <w:ilvl w:val="1"/>
          <w:numId w:val="69"/>
        </w:numPr>
        <w:rPr>
          <w:rFonts w:ascii="Arial" w:cs="Arial" w:eastAsia="Arial" w:hAnsi="Arial"/>
          <w:sz w:val="16"/>
          <w:szCs w:val="16"/>
          <w:b w:val="1"/>
          <w:bCs w:val="1"/>
          <w:color w:val="auto"/>
        </w:rPr>
      </w:pPr>
      <w:r>
        <w:rPr>
          <w:rFonts w:ascii="Arial" w:cs="Arial" w:eastAsia="Arial" w:hAnsi="Arial"/>
          <w:sz w:val="16"/>
          <w:szCs w:val="16"/>
          <w:color w:val="auto"/>
        </w:rPr>
        <w:t>(329)</w:t>
      </w:r>
      <w:r>
        <w:rPr>
          <w:rFonts w:ascii="Arial" w:cs="Arial" w:eastAsia="Arial" w:hAnsi="Arial"/>
          <w:sz w:val="15"/>
          <w:szCs w:val="15"/>
          <w:color w:val="auto"/>
        </w:rPr>
        <w:t>(2,809)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11,925</w:t>
            </w:r>
          </w:p>
        </w:tc>
        <w:tc>
          <w:tcPr>
            <w:tcW w:w="3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28,880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(2,756)</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94,520</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234,448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154,049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(661,373)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172,518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93,017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(640,681)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460"/>
            <w:col w:w="3640"/>
          </w:cols>
          <w:pgMar w:left="240" w:top="746" w:right="23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746"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9"/>
              </w:rPr>
              <w:t>SERP</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1,946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1,493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1,612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4,550</w:t>
            </w:r>
          </w:p>
        </w:tc>
        <w:tc>
          <w:tcPr>
            <w:tcW w:w="34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4,397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4,148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457</w:t>
            </w:r>
          </w:p>
        </w:tc>
        <w:tc>
          <w:tcPr>
            <w:tcW w:w="34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3,015</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1,544</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Cost for the Year</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9,968</w:t>
            </w:r>
          </w:p>
        </w:tc>
        <w:tc>
          <w:tcPr>
            <w:tcW w:w="3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7,481</w:t>
            </w:r>
          </w:p>
        </w:tc>
        <w:tc>
          <w:tcPr>
            <w:tcW w:w="3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8,296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2,422</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9,968</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9,903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5,721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964"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(6,544)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19,168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(9,180)</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1,600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(457)</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(3,015)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83"/>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(10,850)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19,177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(14,514)</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(882)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29,080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964" w:right="239" w:bottom="1440" w:gutter="0" w:footer="0" w:header="0"/>
          <w:type w:val="continuous"/>
        </w:sectPr>
      </w:pPr>
    </w:p>
    <w:p>
      <w:pPr>
        <w:ind w:right="40"/>
        <w:spacing w:after="0" w:line="223" w:lineRule="auto"/>
        <w:rPr>
          <w:sz w:val="20"/>
          <w:szCs w:val="20"/>
          <w:color w:val="auto"/>
        </w:rPr>
      </w:pPr>
      <w:r>
        <w:rPr>
          <w:rFonts w:ascii="Arial" w:cs="Arial" w:eastAsia="Arial" w:hAnsi="Arial"/>
          <w:sz w:val="18"/>
          <w:szCs w:val="18"/>
          <w:color w:val="auto"/>
        </w:rPr>
        <w:t>The net periodic (benefit) cost for the Company’s pension plans, as reported above, includes pension cost of $1.9 million, $3.7 million and $22.7 million reported in discontinued operations for 2015, 2014 and 2013, respectively. The net periodic cost for the Company’s SERP, as reported above, includes cost of $ 0.2 million, $0.5 million and $1.4 million reported in discontinued operations for 2015, 2014 and 2013, respectively. The curtailment gain of $2.2 million related to the Cable ONE spin-off is also included in discontinued operations for 2015. The curtailment gain of $ 1.1 million related to the sale of the KHE Campuses business is included in other (expense) income, net. The early retirement programs and special separation benefit expenses are also included in discontinued operations for 2013. The 2013 curtailments and settlements are included in the gain on sale of Publishing Subsidiaries, which is also reported in discontinued operations.</w:t>
      </w:r>
    </w:p>
    <w:p>
      <w:pPr>
        <w:spacing w:after="0" w:line="13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Pension Plans</w:t>
            </w: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w w:val="99"/>
              </w:rPr>
              <w:t>SERP</w:t>
            </w:r>
          </w:p>
        </w:tc>
        <w:tc>
          <w:tcPr>
            <w:tcW w:w="740" w:type="dxa"/>
            <w:vAlign w:val="bottom"/>
            <w:tcBorders>
              <w:bottom w:val="single" w:sz="8" w:color="auto"/>
            </w:tcBorders>
          </w:tcPr>
          <w:p>
            <w:pPr>
              <w:spacing w:after="0"/>
              <w:rPr>
                <w:sz w:val="17"/>
                <w:szCs w:val="17"/>
                <w:color w:val="auto"/>
              </w:rPr>
            </w:pPr>
          </w:p>
        </w:tc>
      </w:tr>
      <w:tr>
        <w:trPr>
          <w:trHeight w:val="264"/>
        </w:trPr>
        <w:tc>
          <w:tcPr>
            <w:tcW w:w="4320" w:type="dxa"/>
            <w:vAlign w:val="bottom"/>
          </w:tcPr>
          <w:p>
            <w:pPr>
              <w:spacing w:after="0"/>
              <w:rPr>
                <w:sz w:val="22"/>
                <w:szCs w:val="22"/>
                <w:color w:val="auto"/>
              </w:rPr>
            </w:pPr>
          </w:p>
        </w:tc>
        <w:tc>
          <w:tcPr>
            <w:tcW w:w="2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2"/>
          </w:tcPr>
          <w:p>
            <w:pPr>
              <w:jc w:val="center"/>
              <w:ind w:left="743"/>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2015</w:t>
            </w:r>
          </w:p>
        </w:tc>
        <w:tc>
          <w:tcPr>
            <w:tcW w:w="14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2013</w:t>
            </w:r>
          </w:p>
        </w:tc>
        <w:tc>
          <w:tcPr>
            <w:tcW w:w="13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2013</w:t>
            </w:r>
          </w:p>
        </w:tc>
      </w:tr>
      <w:tr>
        <w:trPr>
          <w:trHeight w:val="306"/>
        </w:trPr>
        <w:tc>
          <w:tcPr>
            <w:tcW w:w="432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100" w:type="dxa"/>
            <w:vAlign w:val="bottom"/>
          </w:tcPr>
          <w:p>
            <w:pPr>
              <w:jc w:val="center"/>
              <w:ind w:left="43"/>
              <w:spacing w:after="0"/>
              <w:rPr>
                <w:sz w:val="20"/>
                <w:szCs w:val="20"/>
                <w:color w:val="auto"/>
              </w:rPr>
            </w:pPr>
            <w:r>
              <w:rPr>
                <w:rFonts w:ascii="Arial" w:cs="Arial" w:eastAsia="Arial" w:hAnsi="Arial"/>
                <w:sz w:val="16"/>
                <w:szCs w:val="16"/>
                <w:b w:val="1"/>
                <w:bCs w:val="1"/>
                <w:color w:val="auto"/>
              </w:rPr>
              <w:t>4.4%/4.0%</w:t>
            </w:r>
          </w:p>
        </w:tc>
        <w:tc>
          <w:tcPr>
            <w:tcW w:w="1480" w:type="dxa"/>
            <w:vAlign w:val="bottom"/>
          </w:tcPr>
          <w:p>
            <w:pPr>
              <w:jc w:val="right"/>
              <w:ind w:right="483"/>
              <w:spacing w:after="0"/>
              <w:rPr>
                <w:sz w:val="20"/>
                <w:szCs w:val="20"/>
                <w:color w:val="auto"/>
              </w:rPr>
            </w:pPr>
            <w:r>
              <w:rPr>
                <w:rFonts w:ascii="Arial" w:cs="Arial" w:eastAsia="Arial" w:hAnsi="Arial"/>
                <w:sz w:val="16"/>
                <w:szCs w:val="16"/>
                <w:color w:val="auto"/>
              </w:rPr>
              <w:t>4.8%</w:t>
            </w:r>
          </w:p>
        </w:tc>
        <w:tc>
          <w:tcPr>
            <w:tcW w:w="760" w:type="dxa"/>
            <w:vAlign w:val="bottom"/>
          </w:tcPr>
          <w:p>
            <w:pPr>
              <w:jc w:val="right"/>
              <w:ind w:right="241"/>
              <w:spacing w:after="0"/>
              <w:rPr>
                <w:sz w:val="20"/>
                <w:szCs w:val="20"/>
                <w:color w:val="auto"/>
              </w:rPr>
            </w:pPr>
            <w:r>
              <w:rPr>
                <w:rFonts w:ascii="Arial" w:cs="Arial" w:eastAsia="Arial" w:hAnsi="Arial"/>
                <w:sz w:val="16"/>
                <w:szCs w:val="16"/>
                <w:color w:val="auto"/>
              </w:rPr>
              <w:t>4.0%</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4.4%/4.0%</w:t>
            </w:r>
          </w:p>
        </w:tc>
        <w:tc>
          <w:tcPr>
            <w:tcW w:w="1340" w:type="dxa"/>
            <w:vAlign w:val="bottom"/>
          </w:tcPr>
          <w:p>
            <w:pPr>
              <w:jc w:val="center"/>
              <w:ind w:right="103"/>
              <w:spacing w:after="0"/>
              <w:rPr>
                <w:sz w:val="20"/>
                <w:szCs w:val="20"/>
                <w:color w:val="auto"/>
              </w:rPr>
            </w:pPr>
            <w:r>
              <w:rPr>
                <w:rFonts w:ascii="Arial" w:cs="Arial" w:eastAsia="Arial" w:hAnsi="Arial"/>
                <w:sz w:val="16"/>
                <w:szCs w:val="16"/>
                <w:color w:val="auto"/>
                <w:w w:val="98"/>
              </w:rPr>
              <w:t>4.8%</w:t>
            </w:r>
          </w:p>
        </w:tc>
        <w:tc>
          <w:tcPr>
            <w:tcW w:w="740" w:type="dxa"/>
            <w:vAlign w:val="bottom"/>
          </w:tcPr>
          <w:p>
            <w:pPr>
              <w:jc w:val="center"/>
              <w:ind w:right="201"/>
              <w:spacing w:after="0"/>
              <w:rPr>
                <w:sz w:val="20"/>
                <w:szCs w:val="20"/>
                <w:color w:val="auto"/>
              </w:rPr>
            </w:pPr>
            <w:r>
              <w:rPr>
                <w:rFonts w:ascii="Arial" w:cs="Arial" w:eastAsia="Arial" w:hAnsi="Arial"/>
                <w:sz w:val="16"/>
                <w:szCs w:val="16"/>
                <w:color w:val="auto"/>
              </w:rPr>
              <w:t>4.0%</w:t>
            </w:r>
          </w:p>
        </w:tc>
      </w:tr>
      <w:tr>
        <w:trPr>
          <w:trHeight w:val="215"/>
        </w:trPr>
        <w:tc>
          <w:tcPr>
            <w:tcW w:w="432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100" w:type="dxa"/>
            <w:vAlign w:val="bottom"/>
          </w:tcPr>
          <w:p>
            <w:pPr>
              <w:jc w:val="center"/>
              <w:ind w:left="43"/>
              <w:spacing w:after="0"/>
              <w:rPr>
                <w:sz w:val="20"/>
                <w:szCs w:val="20"/>
                <w:color w:val="auto"/>
              </w:rPr>
            </w:pPr>
            <w:r>
              <w:rPr>
                <w:rFonts w:ascii="Arial" w:cs="Arial" w:eastAsia="Arial" w:hAnsi="Arial"/>
                <w:sz w:val="16"/>
                <w:szCs w:val="16"/>
                <w:b w:val="1"/>
                <w:bCs w:val="1"/>
                <w:color w:val="auto"/>
              </w:rPr>
              <w:t>6.5%</w:t>
            </w:r>
          </w:p>
        </w:tc>
        <w:tc>
          <w:tcPr>
            <w:tcW w:w="1480" w:type="dxa"/>
            <w:vAlign w:val="bottom"/>
          </w:tcPr>
          <w:p>
            <w:pPr>
              <w:jc w:val="right"/>
              <w:ind w:right="483"/>
              <w:spacing w:after="0"/>
              <w:rPr>
                <w:sz w:val="20"/>
                <w:szCs w:val="20"/>
                <w:color w:val="auto"/>
              </w:rPr>
            </w:pPr>
            <w:r>
              <w:rPr>
                <w:rFonts w:ascii="Arial" w:cs="Arial" w:eastAsia="Arial" w:hAnsi="Arial"/>
                <w:sz w:val="16"/>
                <w:szCs w:val="16"/>
                <w:color w:val="auto"/>
              </w:rPr>
              <w:t>6.5%</w:t>
            </w:r>
          </w:p>
        </w:tc>
        <w:tc>
          <w:tcPr>
            <w:tcW w:w="760" w:type="dxa"/>
            <w:vAlign w:val="bottom"/>
          </w:tcPr>
          <w:p>
            <w:pPr>
              <w:jc w:val="right"/>
              <w:ind w:right="241"/>
              <w:spacing w:after="0"/>
              <w:rPr>
                <w:sz w:val="20"/>
                <w:szCs w:val="20"/>
                <w:color w:val="auto"/>
              </w:rPr>
            </w:pPr>
            <w:r>
              <w:rPr>
                <w:rFonts w:ascii="Arial" w:cs="Arial" w:eastAsia="Arial" w:hAnsi="Arial"/>
                <w:sz w:val="16"/>
                <w:szCs w:val="16"/>
                <w:color w:val="auto"/>
              </w:rPr>
              <w:t>6.5%</w:t>
            </w:r>
          </w:p>
        </w:tc>
        <w:tc>
          <w:tcPr>
            <w:tcW w:w="1320" w:type="dxa"/>
            <w:vAlign w:val="bottom"/>
          </w:tcPr>
          <w:p>
            <w:pPr>
              <w:jc w:val="center"/>
              <w:ind w:left="3"/>
              <w:spacing w:after="0"/>
              <w:rPr>
                <w:sz w:val="20"/>
                <w:szCs w:val="20"/>
                <w:color w:val="auto"/>
              </w:rPr>
            </w:pPr>
            <w:r>
              <w:rPr>
                <w:rFonts w:ascii="Arial" w:cs="Arial" w:eastAsia="Arial" w:hAnsi="Arial"/>
                <w:sz w:val="16"/>
                <w:szCs w:val="16"/>
                <w:b w:val="1"/>
                <w:bCs w:val="1"/>
                <w:color w:val="auto"/>
                <w:w w:val="99"/>
              </w:rPr>
              <w:t>—</w:t>
            </w:r>
          </w:p>
        </w:tc>
        <w:tc>
          <w:tcPr>
            <w:tcW w:w="1340" w:type="dxa"/>
            <w:vAlign w:val="bottom"/>
          </w:tcPr>
          <w:p>
            <w:pPr>
              <w:jc w:val="center"/>
              <w:ind w:right="103"/>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ind w:right="201"/>
              <w:spacing w:after="0"/>
              <w:rPr>
                <w:sz w:val="20"/>
                <w:szCs w:val="20"/>
                <w:color w:val="auto"/>
              </w:rPr>
            </w:pPr>
            <w:r>
              <w:rPr>
                <w:rFonts w:ascii="Arial" w:cs="Arial" w:eastAsia="Arial" w:hAnsi="Arial"/>
                <w:sz w:val="16"/>
                <w:szCs w:val="16"/>
                <w:color w:val="auto"/>
              </w:rPr>
              <w:t>—</w:t>
            </w:r>
          </w:p>
        </w:tc>
      </w:tr>
      <w:tr>
        <w:trPr>
          <w:trHeight w:val="270"/>
        </w:trPr>
        <w:tc>
          <w:tcPr>
            <w:tcW w:w="432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100" w:type="dxa"/>
            <w:vAlign w:val="bottom"/>
          </w:tcPr>
          <w:p>
            <w:pPr>
              <w:jc w:val="center"/>
              <w:ind w:left="43"/>
              <w:spacing w:after="0"/>
              <w:rPr>
                <w:sz w:val="20"/>
                <w:szCs w:val="20"/>
                <w:color w:val="auto"/>
              </w:rPr>
            </w:pPr>
            <w:r>
              <w:rPr>
                <w:rFonts w:ascii="Arial" w:cs="Arial" w:eastAsia="Arial" w:hAnsi="Arial"/>
                <w:sz w:val="16"/>
                <w:szCs w:val="16"/>
                <w:b w:val="1"/>
                <w:bCs w:val="1"/>
                <w:color w:val="auto"/>
              </w:rPr>
              <w:t>4.0%</w:t>
            </w:r>
          </w:p>
        </w:tc>
        <w:tc>
          <w:tcPr>
            <w:tcW w:w="1480" w:type="dxa"/>
            <w:vAlign w:val="bottom"/>
          </w:tcPr>
          <w:p>
            <w:pPr>
              <w:jc w:val="right"/>
              <w:ind w:right="483"/>
              <w:spacing w:after="0"/>
              <w:rPr>
                <w:sz w:val="20"/>
                <w:szCs w:val="20"/>
                <w:color w:val="auto"/>
              </w:rPr>
            </w:pPr>
            <w:r>
              <w:rPr>
                <w:rFonts w:ascii="Arial" w:cs="Arial" w:eastAsia="Arial" w:hAnsi="Arial"/>
                <w:sz w:val="16"/>
                <w:szCs w:val="16"/>
                <w:color w:val="auto"/>
              </w:rPr>
              <w:t>4.0%</w:t>
            </w:r>
          </w:p>
        </w:tc>
        <w:tc>
          <w:tcPr>
            <w:tcW w:w="760" w:type="dxa"/>
            <w:vAlign w:val="bottom"/>
          </w:tcPr>
          <w:p>
            <w:pPr>
              <w:jc w:val="right"/>
              <w:ind w:right="241"/>
              <w:spacing w:after="0"/>
              <w:rPr>
                <w:sz w:val="20"/>
                <w:szCs w:val="20"/>
                <w:color w:val="auto"/>
              </w:rPr>
            </w:pPr>
            <w:r>
              <w:rPr>
                <w:rFonts w:ascii="Arial" w:cs="Arial" w:eastAsia="Arial" w:hAnsi="Arial"/>
                <w:sz w:val="16"/>
                <w:szCs w:val="16"/>
                <w:color w:val="auto"/>
              </w:rPr>
              <w:t>4.0%</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4.0%</w:t>
            </w:r>
          </w:p>
        </w:tc>
        <w:tc>
          <w:tcPr>
            <w:tcW w:w="1340" w:type="dxa"/>
            <w:vAlign w:val="bottom"/>
          </w:tcPr>
          <w:p>
            <w:pPr>
              <w:jc w:val="center"/>
              <w:ind w:right="103"/>
              <w:spacing w:after="0"/>
              <w:rPr>
                <w:sz w:val="20"/>
                <w:szCs w:val="20"/>
                <w:color w:val="auto"/>
              </w:rPr>
            </w:pPr>
            <w:r>
              <w:rPr>
                <w:rFonts w:ascii="Arial" w:cs="Arial" w:eastAsia="Arial" w:hAnsi="Arial"/>
                <w:sz w:val="16"/>
                <w:szCs w:val="16"/>
                <w:color w:val="auto"/>
                <w:w w:val="98"/>
              </w:rPr>
              <w:t>4.0%</w:t>
            </w:r>
          </w:p>
        </w:tc>
        <w:tc>
          <w:tcPr>
            <w:tcW w:w="740" w:type="dxa"/>
            <w:vAlign w:val="bottom"/>
          </w:tcPr>
          <w:p>
            <w:pPr>
              <w:jc w:val="center"/>
              <w:ind w:right="201"/>
              <w:spacing w:after="0"/>
              <w:rPr>
                <w:sz w:val="20"/>
                <w:szCs w:val="20"/>
                <w:color w:val="auto"/>
              </w:rPr>
            </w:pPr>
            <w:r>
              <w:rPr>
                <w:rFonts w:ascii="Arial" w:cs="Arial" w:eastAsia="Arial" w:hAnsi="Arial"/>
                <w:sz w:val="16"/>
                <w:szCs w:val="16"/>
                <w:color w:val="auto"/>
              </w:rPr>
              <w:t>4.0%</w:t>
            </w:r>
          </w:p>
        </w:tc>
      </w:tr>
      <w:tr>
        <w:trPr>
          <w:trHeight w:val="166"/>
        </w:trPr>
        <w:tc>
          <w:tcPr>
            <w:tcW w:w="4320" w:type="dxa"/>
            <w:vAlign w:val="bottom"/>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51" w:lineRule="exact"/>
        <w:rPr>
          <w:sz w:val="20"/>
          <w:szCs w:val="20"/>
          <w:color w:val="auto"/>
        </w:rPr>
      </w:pPr>
    </w:p>
    <w:p>
      <w:pPr>
        <w:ind w:left="660" w:right="80" w:hanging="652"/>
        <w:spacing w:after="0" w:line="225" w:lineRule="auto"/>
        <w:tabs>
          <w:tab w:leader="none" w:pos="6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As a result of the spin-off of Cable ONE and the sale of the KHE Campuses business, the Company remeasured the accumulated and projected benefit obligation of the pension plan as of July 1, 2015 and September 3, 2015, respectively. As a result of the spin-off of Cable ONE, the accumulated and projected benefit obligation of the SERP was remeasured as of July 1, 2015. The remeasurement changed the discount rate from 4.0% for the first six months to 4.4% for the second half of 2015.</w:t>
      </w:r>
    </w:p>
    <w:p>
      <w:pPr>
        <w:spacing w:after="0" w:line="13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(451,076)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(685,895)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26,497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36,890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662</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1,033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1,232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1,689</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(450,414)</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(684,862)</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27,729</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38,579</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180,166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273,945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(11,091)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(15,432)</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(270,248)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(410,917)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16,638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23,147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64"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During 2016, the Company expects to recognize the following amortization components of net periodic cost for the defined benefit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2,329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291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457</w:t>
            </w:r>
          </w:p>
        </w:tc>
      </w:tr>
    </w:tbl>
    <w:p>
      <w:pPr>
        <w:spacing w:after="0" w:line="14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2014</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62%</w:t>
            </w: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w:t>
      </w:r>
    </w:p>
    <w:p>
      <w:pPr>
        <w:spacing w:after="0" w:line="219" w:lineRule="auto"/>
        <w:rPr>
          <w:sz w:val="20"/>
          <w:szCs w:val="20"/>
          <w:color w:val="auto"/>
        </w:rPr>
      </w:pPr>
      <w:r>
        <w:rPr>
          <w:rFonts w:ascii="Arial" w:cs="Arial" w:eastAsia="Arial" w:hAnsi="Arial"/>
          <w:sz w:val="18"/>
          <w:szCs w:val="18"/>
          <w:color w:val="auto"/>
        </w:rPr>
        <w:t>long-term growth in the value of these assets, while protecting them against large decreases in value. Both of these managers may invest in a</w:t>
      </w:r>
    </w:p>
    <w:p>
      <w:pPr>
        <w:spacing w:after="0" w:line="219" w:lineRule="auto"/>
        <w:rPr>
          <w:sz w:val="20"/>
          <w:szCs w:val="20"/>
          <w:color w:val="auto"/>
        </w:rPr>
      </w:pPr>
      <w:r>
        <w:rPr>
          <w:rFonts w:ascii="Arial" w:cs="Arial" w:eastAsia="Arial" w:hAnsi="Arial"/>
          <w:sz w:val="18"/>
          <w:szCs w:val="18"/>
          <w:color w:val="auto"/>
        </w:rPr>
        <w:t>combination of equity and fixed-income securities and cash. The managers are not permitted to invest in securities of the Company or in</w:t>
      </w:r>
    </w:p>
    <w:p>
      <w:pPr>
        <w:spacing w:after="0" w:line="219" w:lineRule="auto"/>
        <w:rPr>
          <w:sz w:val="20"/>
          <w:szCs w:val="20"/>
          <w:color w:val="auto"/>
        </w:rPr>
      </w:pPr>
      <w:r>
        <w:rPr>
          <w:rFonts w:ascii="Arial" w:cs="Arial" w:eastAsia="Arial" w:hAnsi="Arial"/>
          <w:sz w:val="18"/>
          <w:szCs w:val="18"/>
          <w:color w:val="auto"/>
        </w:rPr>
        <w:t>alternative investments. The investment managers cannot invest more than 20% of the assets at the time of purchase in the stock of Berkshire</w:t>
      </w:r>
    </w:p>
    <w:p>
      <w:pPr>
        <w:spacing w:after="0" w:line="219" w:lineRule="auto"/>
        <w:rPr>
          <w:sz w:val="20"/>
          <w:szCs w:val="20"/>
          <w:color w:val="auto"/>
        </w:rPr>
      </w:pPr>
      <w:r>
        <w:rPr>
          <w:rFonts w:ascii="Arial" w:cs="Arial" w:eastAsia="Arial" w:hAnsi="Arial"/>
          <w:sz w:val="18"/>
          <w:szCs w:val="18"/>
          <w:color w:val="auto"/>
        </w:rPr>
        <w:t>Hathaway or more than 10% of the assets at the time of purchase in the securities of any other single issuer, except for obligations of the</w:t>
      </w:r>
    </w:p>
    <w:p>
      <w:pPr>
        <w:spacing w:after="0" w:line="220" w:lineRule="auto"/>
        <w:rPr>
          <w:sz w:val="20"/>
          <w:szCs w:val="20"/>
          <w:color w:val="auto"/>
        </w:rPr>
      </w:pPr>
      <w:r>
        <w:rPr>
          <w:rFonts w:ascii="Arial" w:cs="Arial" w:eastAsia="Arial" w:hAnsi="Arial"/>
          <w:sz w:val="18"/>
          <w:szCs w:val="18"/>
          <w:color w:val="auto"/>
        </w:rPr>
        <w:t>U.S. Government, without receiving prior approval by the Plan administrator. As of December 31, 2015, the managers can invest no more than</w:t>
      </w:r>
    </w:p>
    <w:p>
      <w:pPr>
        <w:spacing w:after="0" w:line="219" w:lineRule="auto"/>
        <w:rPr>
          <w:sz w:val="20"/>
          <w:szCs w:val="20"/>
          <w:color w:val="auto"/>
        </w:rPr>
      </w:pPr>
      <w:r>
        <w:rPr>
          <w:rFonts w:ascii="Arial" w:cs="Arial" w:eastAsia="Arial" w:hAnsi="Arial"/>
          <w:sz w:val="18"/>
          <w:szCs w:val="18"/>
          <w:color w:val="auto"/>
        </w:rPr>
        <w:t>24% of the assets in international stocks, at the time the investment is made, and no less than 10% of the assets could be invested in fixed-</w:t>
      </w:r>
    </w:p>
    <w:p>
      <w:pPr>
        <w:spacing w:after="0"/>
        <w:rPr>
          <w:sz w:val="20"/>
          <w:szCs w:val="20"/>
          <w:color w:val="auto"/>
        </w:rPr>
      </w:pPr>
      <w:r>
        <w:rPr>
          <w:rFonts w:ascii="Arial" w:cs="Arial" w:eastAsia="Arial" w:hAnsi="Arial"/>
          <w:sz w:val="18"/>
          <w:szCs w:val="18"/>
          <w:color w:val="auto"/>
        </w:rPr>
        <w:t>income securities. None of the assets is managed internally by the Company.</w:t>
      </w:r>
    </w:p>
    <w:p>
      <w:pPr>
        <w:spacing w:after="0" w:line="144"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2015. Types of concentrations that were evaluated include, but are not limited to, investment concentrations in a single entity, type of industry, foreign country and individual fund. At December 31, 2015 and 2014, the pension plan held common stock in two investments that exceeded 10% of total plan assets. These investments were valued at $562.6 million and $730.6 million at December 31, 2015 and 2014, respectively, or approximately 25% and 30%, respectively, of total plan assets. At December 31, 2015 and 2014, the pension plan held investments in one foreign country that exceeded 10% of total plan assets. These investments were valued at $332.4 million and $468.0 million at December 31, 2015 and 2014, respectively, or approximately 15% and 19%, respectively, of total plan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As of December 31, 2015</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256,364</w:t>
            </w:r>
          </w:p>
        </w:tc>
        <w:tc>
          <w:tcPr>
            <w:tcW w:w="4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33,909</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290,273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1,378,158</w:t>
            </w:r>
          </w:p>
        </w:tc>
        <w:tc>
          <w:tcPr>
            <w:tcW w:w="48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1,378,158</w:t>
            </w:r>
          </w:p>
        </w:tc>
      </w:tr>
      <w:tr>
        <w:trPr>
          <w:trHeight w:val="283"/>
        </w:trPr>
        <w:tc>
          <w:tcPr>
            <w:tcW w:w="744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564,263</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564,263</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2,198,785</w:t>
            </w: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33,909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2,232,694</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1,574</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2,234,268</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4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color w:val="auto"/>
              </w:rPr>
              <w:t>As of December 31, 2014</w:t>
            </w:r>
          </w:p>
        </w:tc>
        <w:tc>
          <w:tcPr>
            <w:tcW w:w="980" w:type="dxa"/>
            <w:vAlign w:val="bottom"/>
            <w:tcBorders>
              <w:bottom w:val="single" w:sz="8" w:color="auto"/>
            </w:tcBorders>
          </w:tcPr>
          <w:p>
            <w:pPr>
              <w:spacing w:after="0"/>
              <w:rPr>
                <w:sz w:val="15"/>
                <w:szCs w:val="15"/>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275,963</w:t>
            </w: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141,083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417,046</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1,454,011</w:t>
            </w:r>
          </w:p>
        </w:tc>
        <w:tc>
          <w:tcPr>
            <w:tcW w:w="46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1,454,011</w:t>
            </w:r>
          </w:p>
        </w:tc>
      </w:tr>
      <w:tr>
        <w:trPr>
          <w:trHeight w:val="283"/>
        </w:trPr>
        <w:tc>
          <w:tcPr>
            <w:tcW w:w="744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691,505</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691,505</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2,421,479</w:t>
            </w: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141,083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2,562,562</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color w:val="auto"/>
              </w:rPr>
              <w:t>Payable for settlement of investments purchased</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(92,594)</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2,469,968</w:t>
            </w: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41,957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40,014</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1,331</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1,500</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1,299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1,448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(5,296)</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4,448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37,391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41,957</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1,900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4,521</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(37,391)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9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(3,444)  </w:t>
      </w:r>
      <w:r>
        <w:rPr>
          <w:rFonts w:ascii="Arial" w:cs="Arial" w:eastAsia="Arial" w:hAnsi="Arial"/>
          <w:sz w:val="16"/>
          <w:szCs w:val="16"/>
          <w:color w:val="auto"/>
        </w:rPr>
        <w:t>$</w:t>
      </w:r>
      <w:r>
        <w:rPr>
          <w:rFonts w:ascii="Arial" w:cs="Arial" w:eastAsia="Arial" w:hAnsi="Arial"/>
          <w:sz w:val="15"/>
          <w:szCs w:val="15"/>
          <w:color w:val="auto"/>
        </w:rPr>
        <w:t>(3,995)</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(33,947)</w:t>
      </w:r>
      <w:r>
        <w:rPr>
          <w:rFonts w:ascii="Arial" w:cs="Arial" w:eastAsia="Arial" w:hAnsi="Arial"/>
          <w:sz w:val="16"/>
          <w:szCs w:val="16"/>
          <w:color w:val="auto"/>
        </w:rPr>
        <w:t>(37,962)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(37,391)</w:t>
      </w:r>
      <w:r>
        <w:rPr>
          <w:sz w:val="20"/>
          <w:szCs w:val="20"/>
          <w:color w:val="auto"/>
        </w:rPr>
        <w:tab/>
      </w:r>
      <w:r>
        <w:rPr>
          <w:rFonts w:ascii="Arial" w:cs="Arial" w:eastAsia="Arial" w:hAnsi="Arial"/>
          <w:sz w:val="16"/>
          <w:szCs w:val="16"/>
          <w:color w:val="auto"/>
        </w:rPr>
        <w:t>$</w:t>
        <w:tab/>
        <w:t>(41,957)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981" w:right="239" w:bottom="1440" w:gutter="0" w:footer="0" w:header="0"/>
          <w:type w:val="continuous"/>
        </w:sectPr>
      </w:pPr>
    </w:p>
    <w:p>
      <w:pPr>
        <w:spacing w:after="0" w:line="2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discount rates utilized for determining the benefit obligation at December 31, 2015 and 2014, for the postretirement plans were 3.45% and 3.25%, respectively. The assumed health care cost trend rate used in measuring the postretirement benefit obligation at December 31, 2015, was 7.54% for pre-age 65, decreasing to 4.5% in the year 2024 and thereafter. The assumed health care cost trend rate used in measuring the postretirement benefit obligation at December 31, 2015, was 9.18% for post-age 65, decreasing to 4.5% in the year 2024 and thereafter.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981" w:right="239" w:bottom="1440" w:gutter="0" w:footer="0" w:header="0"/>
          <w:type w:val="continuous"/>
        </w:sectPr>
      </w:pPr>
    </w:p>
    <w:bookmarkStart w:id="96" w:name="page97"/>
    <w:bookmarkEnd w:id="96"/>
    <w:p>
      <w:pPr>
        <w:ind w:right="140"/>
        <w:spacing w:after="0" w:line="235"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2,195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(2,001)</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r>
    </w:tbl>
    <w:p>
      <w:pPr>
        <w:spacing w:after="0" w:line="16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made contributions to its postretirement benefit plans of $ 1.9 million and $4.5 million for the years ended December 31, 2015 and 2014, respectively. As the plans are unfunded, the Company makes contributions to its postretirement plans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Plans</w:t>
            </w:r>
          </w:p>
        </w:tc>
      </w:tr>
      <w:tr>
        <w:trPr>
          <w:trHeight w:val="223"/>
        </w:trPr>
        <w:tc>
          <w:tcPr>
            <w:tcW w:w="5520" w:type="dxa"/>
            <w:vAlign w:val="bottom"/>
          </w:tcPr>
          <w:p>
            <w:pPr>
              <w:ind w:left="40"/>
              <w:spacing w:after="0"/>
              <w:rPr>
                <w:sz w:val="20"/>
                <w:szCs w:val="20"/>
                <w:color w:val="auto"/>
              </w:rPr>
            </w:pPr>
            <w:r>
              <w:rPr>
                <w:rFonts w:ascii="Arial" w:cs="Arial" w:eastAsia="Arial" w:hAnsi="Arial"/>
                <w:sz w:val="16"/>
                <w:szCs w:val="16"/>
                <w:color w:val="auto"/>
              </w:rPr>
              <w:t>2016</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3,444</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2017</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3,482</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2018</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3,381</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2019</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3,385</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2020</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3,654</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2021–2025</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16,922</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p>
      <w:pPr>
        <w:spacing w:after="0" w:line="19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Cost (Benefit)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Cost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1,331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2,488</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1,299</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1,448</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1,848</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(502)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(783)</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(4,247)</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(996)</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1,132</w:t>
            </w:r>
          </w:p>
        </w:tc>
        <w:tc>
          <w:tcPr>
            <w:tcW w:w="34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(2,052)</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(1,292)</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(41,623)</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1,132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(55,602)</w:t>
            </w:r>
          </w:p>
        </w:tc>
      </w:tr>
      <w:tr>
        <w:trPr>
          <w:trHeight w:val="521"/>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(5,296)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4,448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(3,298)</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502</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783</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4,247</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996</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2,076</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2,141</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360</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32,329</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7,667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35,419</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6,464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20"/>
        <w:spacing w:after="0" w:line="224" w:lineRule="auto"/>
        <w:rPr>
          <w:sz w:val="20"/>
          <w:szCs w:val="20"/>
          <w:color w:val="auto"/>
        </w:rPr>
      </w:pPr>
      <w:r>
        <w:rPr>
          <w:rFonts w:ascii="Arial" w:cs="Arial" w:eastAsia="Arial" w:hAnsi="Arial"/>
          <w:sz w:val="18"/>
          <w:szCs w:val="18"/>
          <w:color w:val="auto"/>
        </w:rPr>
        <w:t>The net periodic cost (benefit), as reported above, includes a benefit of $2.9 million included in discontinued operations for 2013. The Company recorded a curtailment gain of $1.3 million in the fourth quarter of 2014 in connection with the exchange of WPLG, and the Separation Incentive Program and VRIP offered to certain Corporate employees. As part of the sale of The Herald, changes were made with respect to its postretirement medical plan, resulting in a $3.5 million settlement gain that is included in discontinued operations, net of tax, for 2013. The remaining 2013 curtailment and settlement gains are included in the gain on sale of Publishing Subsidiaries, which is also reported in discontinued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46" w:right="239" w:bottom="1440" w:gutter="0" w:footer="0" w:header="0"/>
          <w:type w:val="continuous"/>
        </w:sectPr>
      </w:pPr>
    </w:p>
    <w:bookmarkStart w:id="97" w:name="page98"/>
    <w:bookmarkEnd w:id="97"/>
    <w:p>
      <w:pPr>
        <w:ind w:right="340"/>
        <w:spacing w:after="0" w:line="229" w:lineRule="auto"/>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2015, 2014 and 2013, were 3.25%, 3.80% and 3.30%, respectively. AOCI included the following components of unrecognized net periodic benefit for the postretirement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(11,704)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(7,404)</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(661)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(12,365)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(8,567)</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4,946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3,427</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(5,140)</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2016, the Company expects to recognize the following amortization components of net periodic cost for the other postretirement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2016</w:t>
            </w:r>
          </w:p>
        </w:tc>
      </w:tr>
      <w:tr>
        <w:trPr>
          <w:trHeight w:val="223"/>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(1,502)</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(335)</w:t>
            </w:r>
          </w:p>
        </w:tc>
      </w:tr>
    </w:tbl>
    <w:p>
      <w:pPr>
        <w:spacing w:after="0" w:line="14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2015 and 2014, the Company contributed to one multiemployer defined benefit pension plan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 collective-bargaining agreement that covered certain union-represented employees.</w:t>
      </w:r>
    </w:p>
    <w:p>
      <w:pPr>
        <w:spacing w:after="0" w:line="12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March 2013, the Company recorded a $0.4 million charge as The Herald unilaterally withdrew from the Western Conference Teamsters Pension Trust Fund as a result of the sale of its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contributions to all multiemployer pension plans amounted to $0.1 million in each year for 2015, 2014 and 2013.</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$7.6 million in 2015, $8.6 million in 2014 and $8.0 million in 2013.</w:t>
      </w:r>
    </w:p>
    <w:p>
      <w:pPr>
        <w:spacing w:after="0" w:line="99"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(EXPENSE)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Net losses on sales of businesses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(23,335)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21,379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127,670</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losses,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(15,564)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(11,129)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(13,382)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formation of a joint venture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5,972</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Classified Ventures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4,827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396,553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266,733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Losses on sales or write-downs of cost method investments,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(1,124)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Losses on sales or write-down of marketable equity securities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(9,559)</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1,321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951</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(8,623)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778,010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In the fourth quarter of 2015, the Company sold a portion of the Robinson Terminal real estate remaining from the sale of the Publishing Subsidiaries, for a gain of $21.4 million.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2015, Kaplan sold the KHE Campuses business, and Franklyn Scholar, which was part of Kaplan International, for a total loss of $26.3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2014 and the related interim periods, based on its consideration of quantitative and qualitative factors.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746" w:right="239" w:bottom="1440" w:gutter="0" w:footer="0" w:header="0"/>
          <w:type w:val="continuous"/>
        </w:sectPr>
      </w:pPr>
    </w:p>
    <w:bookmarkStart w:id="98" w:name="page99"/>
    <w:bookmarkEnd w:id="98"/>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7).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was held in escrow until October 1, 2015. The Company recorded a pre-tax gain of $396.6 million on the sale of its interest in Classified Ventures in the fourth quarter of 2014.</w:t>
      </w:r>
    </w:p>
    <w:p>
      <w:pPr>
        <w:spacing w:after="0" w:line="13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7,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113"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2015</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18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adjustment for realization of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(18,898)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(18,898)</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5,501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(13,397)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(13,397)</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10,620</w:t>
            </w:r>
          </w:p>
        </w:tc>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(4,248)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6,372</w:t>
            </w:r>
          </w:p>
        </w:tc>
      </w:tr>
      <w:tr>
        <w:trPr>
          <w:trHeight w:val="445"/>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10,616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(4,246)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6,370</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(211,054)</w:t>
            </w:r>
          </w:p>
        </w:tc>
        <w:tc>
          <w:tcPr>
            <w:tcW w:w="38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84,421</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(126,633)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(9,906)</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3,962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(5,944)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165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(219,800)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87,919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(131,881)</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179</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(222,402)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83,602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(138,800)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260"/>
            <w:col w:w="3640"/>
          </w:cols>
          <w:pgMar w:left="240" w:top="746" w:right="23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746"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2014</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8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32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(16,061)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(16,061)</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(16,465)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(16,465)</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62,719</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(25,088)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37,631</w:t>
            </w:r>
          </w:p>
        </w:tc>
      </w:tr>
      <w:tr>
        <w:trPr>
          <w:trHeight w:val="445"/>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(265,274)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(202,555)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81,022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(121,533)</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(149,482)</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59,792</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(89,690)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(29,412)</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11,765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(17,647)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(180,893)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72,357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(108,536)</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(399,046)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153,032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(246,014)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120"/>
            <w:col w:w="3640"/>
          </w:cols>
          <w:pgMar w:left="240" w:top="982" w:right="23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color w:val="auto"/>
              </w:rPr>
              <w:t>Year Ended December 31, 2013</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01"/>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0"/>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right"/>
              <w:ind w:right="200"/>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0"/>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Unrealized gains for the year</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95,629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(38,251)</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57,378</w:t>
            </w:r>
          </w:p>
        </w:tc>
        <w:tc>
          <w:tcPr>
            <w:tcW w:w="0" w:type="dxa"/>
            <w:vAlign w:val="bottom"/>
          </w:tcPr>
          <w:p>
            <w:pPr>
              <w:spacing w:after="0"/>
              <w:rPr>
                <w:sz w:val="1"/>
                <w:szCs w:val="1"/>
                <w:color w:val="auto"/>
              </w:rPr>
            </w:pPr>
          </w:p>
        </w:tc>
      </w:tr>
      <w:tr>
        <w:trPr>
          <w:trHeight w:val="238"/>
        </w:trPr>
        <w:tc>
          <w:tcPr>
            <w:tcW w:w="7780" w:type="dxa"/>
            <w:vAlign w:val="bottom"/>
          </w:tcPr>
          <w:p>
            <w:pPr>
              <w:ind w:left="180"/>
              <w:spacing w:after="0"/>
              <w:rPr>
                <w:sz w:val="20"/>
                <w:szCs w:val="20"/>
                <w:color w:val="auto"/>
              </w:rPr>
            </w:pPr>
            <w:r>
              <w:rPr>
                <w:rFonts w:ascii="Arial" w:cs="Arial" w:eastAsia="Arial" w:hAnsi="Arial"/>
                <w:sz w:val="16"/>
                <w:szCs w:val="16"/>
                <w:color w:val="auto"/>
              </w:rPr>
              <w:t>Reclassification adjustment for write-down on available-for-sale securities, net of gain, included in net</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9,554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105,183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(42,073)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63,110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Actuarial gain</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762,806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(305,123)</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457,683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loss included in net income</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3,096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(1,238)</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(1,383)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553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(124,051)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49,617</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(74,434)</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640,468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(256,191)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384,277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745,112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(298,472)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446,640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982"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color w:val="auto"/>
        </w:rPr>
        <w:t>The accumulated balances related to each component of other comprehensive (loss)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25,013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173,663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501,446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699,494</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(16,061)</w:t>
            </w:r>
          </w:p>
        </w:tc>
        <w:tc>
          <w:tcPr>
            <w:tcW w:w="220" w:type="dxa"/>
            <w:vAlign w:val="bottom"/>
          </w:tcPr>
          <w:p>
            <w:pPr>
              <w:spacing w:after="0"/>
              <w:rPr>
                <w:sz w:val="16"/>
                <w:szCs w:val="16"/>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37,631</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(90,645)</w:t>
            </w:r>
          </w:p>
        </w:tc>
        <w:tc>
          <w:tcPr>
            <w:tcW w:w="24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(69,063)</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(159,164)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(17,891)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508</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(176,951)</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(16,465)</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(121,533)</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(108,536)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520</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(246,014)</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18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8,548</w:t>
            </w:r>
          </w:p>
        </w:tc>
        <w:tc>
          <w:tcPr>
            <w:tcW w:w="220" w:type="dxa"/>
            <w:vAlign w:val="bottom"/>
          </w:tcPr>
          <w:p>
            <w:pPr>
              <w:spacing w:after="0"/>
              <w:rPr>
                <w:sz w:val="21"/>
                <w:szCs w:val="21"/>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52,130</w:t>
            </w:r>
          </w:p>
        </w:tc>
        <w:tc>
          <w:tcPr>
            <w:tcW w:w="220" w:type="dxa"/>
            <w:vAlign w:val="bottom"/>
          </w:tcPr>
          <w:p>
            <w:pPr>
              <w:spacing w:after="0"/>
              <w:rPr>
                <w:sz w:val="21"/>
                <w:szCs w:val="21"/>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392,910</w:t>
            </w: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453,480</w:t>
            </w:r>
          </w:p>
        </w:tc>
      </w:tr>
      <w:tr>
        <w:trPr>
          <w:trHeight w:val="217"/>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(18,898)</w:t>
            </w:r>
          </w:p>
        </w:tc>
        <w:tc>
          <w:tcPr>
            <w:tcW w:w="22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b w:val="1"/>
                <w:bCs w:val="1"/>
                <w:color w:val="auto"/>
              </w:rPr>
              <w:t>6,372</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(126,132)</w:t>
            </w:r>
          </w:p>
        </w:tc>
        <w:tc>
          <w:tcPr>
            <w:tcW w:w="24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(138,629)</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5,501</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(5,749)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(13,397)</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6,370</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(131,881)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(138,800)</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58,500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261,029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314,680</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b w:val="1"/>
                <w:bCs w:val="1"/>
                <w:color w:val="auto"/>
              </w:rPr>
              <w:t>5,501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Realized (gain) loss for the year</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(265,274)</w:t>
            </w:r>
          </w:p>
        </w:tc>
        <w:tc>
          <w:tcPr>
            <w:tcW w:w="280" w:type="dxa"/>
            <w:vAlign w:val="bottom"/>
          </w:tcPr>
          <w:p>
            <w:pPr>
              <w:spacing w:after="0"/>
              <w:rPr>
                <w:sz w:val="23"/>
                <w:szCs w:val="23"/>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9,554</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106,110</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(3,822)</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(159,164)</w:t>
            </w: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5,732</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(9,906)</w:t>
            </w:r>
          </w:p>
        </w:tc>
        <w:tc>
          <w:tcPr>
            <w:tcW w:w="2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(29,412)</w:t>
            </w:r>
          </w:p>
        </w:tc>
        <w:tc>
          <w:tcPr>
            <w:tcW w:w="280" w:type="dxa"/>
            <w:vAlign w:val="bottom"/>
          </w:tcPr>
          <w:p>
            <w:pPr>
              <w:spacing w:after="0"/>
              <w:rPr>
                <w:sz w:val="23"/>
                <w:szCs w:val="23"/>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3,096</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w:t>
            </w:r>
          </w:p>
        </w:tc>
        <w:tc>
          <w:tcPr>
            <w:tcW w:w="20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b w:val="1"/>
                <w:bCs w:val="1"/>
                <w:color w:val="auto"/>
              </w:rPr>
              <w:t>275</w:t>
            </w:r>
          </w:p>
        </w:tc>
        <w:tc>
          <w:tcPr>
            <w:tcW w:w="2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(407)</w:t>
            </w: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(1,383)</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5620" w:type="dxa"/>
            <w:vAlign w:val="bottom"/>
          </w:tcPr>
          <w:p>
            <w:pPr>
              <w:ind w:left="180"/>
              <w:spacing w:after="0"/>
              <w:rPr>
                <w:sz w:val="20"/>
                <w:szCs w:val="20"/>
                <w:color w:val="auto"/>
              </w:rPr>
            </w:pPr>
            <w:r>
              <w:rPr>
                <w:rFonts w:ascii="Arial" w:cs="Arial" w:eastAsia="Arial" w:hAnsi="Arial"/>
                <w:sz w:val="16"/>
                <w:szCs w:val="16"/>
                <w:color w:val="auto"/>
              </w:rPr>
              <w:t>Curtailment gains</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(9,580)</w:t>
            </w: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(29,819)</w:t>
            </w:r>
          </w:p>
        </w:tc>
        <w:tc>
          <w:tcPr>
            <w:tcW w:w="28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11,928</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(17,891)</w:t>
            </w: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b w:val="1"/>
                <w:bCs w:val="1"/>
                <w:color w:val="auto"/>
              </w:rPr>
              <w:t>132</w:t>
            </w:r>
          </w:p>
        </w:tc>
        <w:tc>
          <w:tcPr>
            <w:tcW w:w="28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847</w:t>
            </w:r>
          </w:p>
        </w:tc>
        <w:tc>
          <w:tcPr>
            <w:tcW w:w="280" w:type="dxa"/>
            <w:vAlign w:val="bottom"/>
          </w:tcPr>
          <w:p>
            <w:pPr>
              <w:spacing w:after="0"/>
              <w:rPr>
                <w:sz w:val="23"/>
                <w:szCs w:val="23"/>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(176,951)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7,250</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 for 2015 was recorded in other (expense) income, net and the amount for 2014 was recorded in income from discontinued operations, net of tax.</w:t>
      </w:r>
    </w:p>
    <w:p>
      <w:pPr>
        <w:spacing w:after="0" w:line="26" w:lineRule="exact"/>
        <w:rPr>
          <w:rFonts w:ascii="Arial" w:cs="Arial" w:eastAsia="Arial" w:hAnsi="Arial"/>
          <w:sz w:val="13"/>
          <w:szCs w:val="13"/>
          <w:color w:val="auto"/>
        </w:rPr>
      </w:pPr>
    </w:p>
    <w:p>
      <w:pPr>
        <w:ind w:left="420" w:right="220" w:hanging="412"/>
        <w:spacing w:after="0" w:line="211" w:lineRule="auto"/>
        <w:tabs>
          <w:tab w:leader="none" w:pos="4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Benefits of $1.2 million were recorded in Provision for Income Taxes related to the realized loss for the year ended December 31, 2014. The remaining $107.3 million for the year relates to the reversal of income taxes previously recorded on the unrealized gain of the Company’s investment in Berkshire Hathaway Inc. marketable securities as part of the Berkshire exchange transaction, which qualified as a tax-free distribution under IRC Section 355 and 361 (see Note 7). The amounts for 2015 and 2013 were recorded in Provision for Income Taxes.</w:t>
      </w:r>
    </w:p>
    <w:p>
      <w:pPr>
        <w:spacing w:after="0" w:line="24" w:lineRule="exact"/>
        <w:rPr>
          <w:rFonts w:ascii="Arial" w:cs="Arial" w:eastAsia="Arial" w:hAnsi="Arial"/>
          <w:sz w:val="13"/>
          <w:szCs w:val="13"/>
          <w:color w:val="auto"/>
        </w:rPr>
      </w:pPr>
    </w:p>
    <w:p>
      <w:pPr>
        <w:ind w:left="420" w:hanging="412"/>
        <w:spacing w:after="0"/>
        <w:tabs>
          <w:tab w:leader="none" w:pos="4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14).</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46" w:right="239" w:bottom="1440" w:gutter="0" w:footer="0" w:header="0"/>
        </w:sectPr>
      </w:pPr>
    </w:p>
    <w:bookmarkStart w:id="101" w:name="page102"/>
    <w:bookmarkEnd w:id="101"/>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future minimum rental payments under noncancelable operating leases approximate the following: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240" w:type="dxa"/>
            <w:vAlign w:val="bottom"/>
          </w:tcPr>
          <w:p>
            <w:pPr>
              <w:spacing w:after="0"/>
              <w:rPr>
                <w:sz w:val="20"/>
                <w:szCs w:val="20"/>
                <w:color w:val="auto"/>
              </w:rPr>
            </w:pPr>
            <w:r>
              <w:rPr>
                <w:rFonts w:ascii="Arial" w:cs="Arial" w:eastAsia="Arial" w:hAnsi="Arial"/>
                <w:sz w:val="16"/>
                <w:szCs w:val="16"/>
                <w:color w:val="auto"/>
              </w:rPr>
              <w:t>2016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106,253</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95,675</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80,188</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69,839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54,351</w:t>
            </w:r>
          </w:p>
        </w:tc>
      </w:tr>
      <w:tr>
        <w:trPr>
          <w:trHeight w:val="256"/>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214,050</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620,356</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$98.7 million due in the future under noncancelable subleases.</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Rent expense under operating leases, including a portion reported in discontinued operations, was approximately $102.6 million, $105.5 million and $ 118.5 million in 2015, 2014 and 2013, respectively. Sublease income was approximately $6.7 million, $5.4 million and $5.4 million in 2015, 2014 and 2013, respectively.</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2015, such commitments amounted to approximately $21.8 million. If such programs are not produced, the Company’s commitment would expire without obligation.</w:t>
      </w:r>
    </w:p>
    <w:p>
      <w:pPr>
        <w:spacing w:after="0" w:line="115"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b w:val="1"/>
          <w:bCs w:val="1"/>
          <w:color w:val="auto"/>
        </w:rPr>
        <w:t>Litigation and Legal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37" w:lineRule="exact"/>
        <w:rPr>
          <w:sz w:val="20"/>
          <w:szCs w:val="20"/>
          <w:color w:val="auto"/>
        </w:rPr>
      </w:pPr>
    </w:p>
    <w:p>
      <w:pPr>
        <w:ind w:right="220"/>
        <w:spacing w:after="0" w:line="222"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24" w:right="239" w:bottom="1440" w:gutter="0" w:footer="0" w:header="0"/>
        </w:sectPr>
      </w:pPr>
    </w:p>
    <w:bookmarkStart w:id="102" w:name="page103"/>
    <w:bookmarkEnd w:id="102"/>
    <w:p>
      <w:pPr>
        <w:ind w:right="360"/>
        <w:spacing w:after="0" w:line="235" w:lineRule="auto"/>
        <w:rPr>
          <w:sz w:val="20"/>
          <w:szCs w:val="20"/>
          <w:color w:val="auto"/>
        </w:rPr>
      </w:pPr>
      <w:r>
        <w:rPr>
          <w:rFonts w:ascii="Arial" w:cs="Arial" w:eastAsia="Arial" w:hAnsi="Arial"/>
          <w:sz w:val="18"/>
          <w:szCs w:val="18"/>
          <w:color w:val="auto"/>
        </w:rPr>
        <w:t>this time, Kaplan cannot predict the contents of the pending final program review determination or the ultimate impact the proceedings may have on Kaplan.</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 ex rel. 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ex rel.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37"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Gillespie’s claims and three of the four Diaz claims, but reversing and remanding on Diaz’s claim that incentive compensation for admissions representatives was improperly based solely on enrollment counts. Kaplan filed an answer to Diaz’s amended complaint on September 11, 2015. Kaplan filed a motion to dismiss, and a hearing was held on December 17, 2015. Based on a recent appellate court ruling, the judge requested further details on the pending motion related to the first-to-file bar to Diaz’s complaint. Pending a ruling on the motion, the court allowed discovery to proceed. Kaplan is preparing initial disclosures.</w:t>
      </w:r>
    </w:p>
    <w:p>
      <w:pPr>
        <w:spacing w:after="0" w:line="14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ongoing. Despite the sale of the nationally accredited Kaplan Higher Education Campuses business, Kaplan retains liability for these claims.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December 22, 2014, a former student representative filed a purported class- and collective-action lawsuit in the U.S. District Court for the Northern District of Illinois, in which she asserts claims under the Illinois Minimum Wage Law and the Fair Labor Standards Act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Freeman </w:t>
      </w:r>
      <w:r>
        <w:rPr>
          <w:rFonts w:ascii="Arial" w:cs="Arial" w:eastAsia="Arial" w:hAnsi="Arial"/>
          <w:sz w:val="18"/>
          <w:szCs w:val="18"/>
          <w:color w:val="auto"/>
        </w:rPr>
        <w:t>v</w:t>
      </w:r>
      <w:r>
        <w:rPr>
          <w:rFonts w:ascii="Arial" w:cs="Arial" w:eastAsia="Arial" w:hAnsi="Arial"/>
          <w:sz w:val="18"/>
          <w:szCs w:val="18"/>
          <w:i w:val="1"/>
          <w:iCs w:val="1"/>
          <w:color w:val="auto"/>
        </w:rPr>
        <w:t>.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Company cannot predict the outcome of this inquiry.</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April 30, 2011, KHE received a Civil Investigative Demand from the Office of the Attorney General of the State of Massachusetts. The demand primarily sought information pertaining to KHE’s former campuses in Massachusetts, known as the Charlestown and Kenmore Square campuses. The Charlestown campus closed in 2013, and the Kenmore Square campus closed in 2012. Kaplan Higher Education Corporation cooperated with the Massachusetts Attorney General and provided the requested information, as well as additional information requested in 2012 and 2013. In October 2014, the Attorney General’s office sent Kaplan a “notice of intention to file” a lawsuit letter under section 93A of the Massachusetts consumer fraud statute. The letter outlined 12 allegations against the Charlestown and Kenmore Square campuses. On July 23, 2015, Kaplan reached agreement with the Attorney General’s office to resolve the matter for $1,375,000, with the settlement taking the form of an Assurance of Discontinuance. Kaplan admitted no wrongdoing, vigorously disputes the allegations made by the Massachusetts Attorney General and denies all claims that its business conduct in Massachusetts was in any way unfair or deceptive.</w:t>
      </w:r>
    </w:p>
    <w:p>
      <w:pPr>
        <w:spacing w:after="0" w:line="14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Kaplan Higher Education Corporation has cooperated with the Delaware Attorney General and provided the information requested in the subpoena. Although KHE may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746" w:right="259" w:bottom="1440" w:gutter="0" w:footer="0" w:header="0"/>
        </w:sectPr>
      </w:pPr>
    </w:p>
    <w:bookmarkStart w:id="103" w:name="page104"/>
    <w:bookmarkEnd w:id="103"/>
    <w:p>
      <w:pPr>
        <w:ind w:right="480"/>
        <w:spacing w:after="0" w:line="235" w:lineRule="auto"/>
        <w:rPr>
          <w:sz w:val="20"/>
          <w:szCs w:val="20"/>
          <w:color w:val="auto"/>
        </w:rPr>
      </w:pPr>
      <w:r>
        <w:rPr>
          <w:rFonts w:ascii="Arial" w:cs="Arial" w:eastAsia="Arial" w:hAnsi="Arial"/>
          <w:sz w:val="18"/>
          <w:szCs w:val="18"/>
          <w:color w:val="auto"/>
        </w:rPr>
        <w:t>receive further requests for information from the Delaware Attorney General, there has been no such further correspondence to date. The Company cannot predict the outcome of this inquiry.</w:t>
      </w:r>
    </w:p>
    <w:p>
      <w:pPr>
        <w:spacing w:after="0" w:line="113"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higher education division derives the majority of its revenues from U.S. Federal financial aid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students under Title IV programs administered by the ED pursuant to the Higher Education Act (HEA),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Prior to the sale of the KHE Campuses business in September 2015, in accordance with ED regulations, some KHE schools operated individually, while others were combined into groups of two or more schools for the purpose of determining compliance with certain Title IV requirements, and each school or school group was assigned its own identification number, known as an OPEID number. As a result, as of the end of 2014, the schools in KHE had a total of 25 OPEID numbers. As a result of the sale of the KHE Campuses business in September 2015, at the end of 2015, the schools remaining in KHE have a total of 3 OPEID numbers. By the end of June 2016, KHE will have only one OPEID number for Kaplan University. Failure to comply with the requirements of the Higher Education Act or related regulations could result in the restriction or loss of the ability to participate in Title IV programs and subject the Company to financial penalties and refunds. No assurance can be given that the Kaplan schools, or individual programs within schools, will maintain their Title IV eligibility, accreditation and state authorization in the future or that the ED might not successfully assert that one or more of such schools have previously failed to comply with Title IV requirements.</w:t>
      </w:r>
    </w:p>
    <w:p>
      <w:pPr>
        <w:spacing w:after="0" w:line="141"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years ended December 31, 2015, 2014 and 2013, approximately $628 million, $806 million and $ 819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Higher Education Act and related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39"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addition, there are four open program reviews at campuses that were part of the KHE Campuses business, including the ED’s final reports on the program reviews at KHE’s Broomall, PA, and Pittsburgh, PA locations. Kaplan retains responsibility for any financial obligation resulting from the ED program reviews at the KHE Campuses business that were open at the time of sale of the campuses to ECA.</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Kaplan University derived less than 79% and less than 81% of its receipts from Title IV programs in 2015 and 2014,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46" w:right="239" w:bottom="1440" w:gutter="0" w:footer="0" w:header="0"/>
        </w:sectPr>
      </w:pPr>
    </w:p>
    <w:bookmarkStart w:id="104" w:name="page105"/>
    <w:bookmarkEnd w:id="104"/>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four reportable segments: KHE, KTP, Kaplan International, and television broadcasting.</w:t>
      </w:r>
    </w:p>
    <w:p>
      <w:pPr>
        <w:spacing w:after="0" w:line="13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material.</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11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KHE includes Kaplan’s postsecondary education businesses, made</w:t>
      </w:r>
      <w:r>
        <w:rPr>
          <w:rFonts w:ascii="Arial" w:cs="Arial" w:eastAsia="Arial" w:hAnsi="Arial"/>
          <w:sz w:val="18"/>
          <w:szCs w:val="18"/>
          <w:b w:val="1"/>
          <w:bCs w:val="1"/>
          <w:color w:val="auto"/>
        </w:rPr>
        <w:t xml:space="preserve"> </w:t>
      </w:r>
      <w:r>
        <w:rPr>
          <w:rFonts w:ascii="Arial" w:cs="Arial" w:eastAsia="Arial" w:hAnsi="Arial"/>
          <w:sz w:val="18"/>
          <w:szCs w:val="18"/>
          <w:color w:val="auto"/>
        </w:rPr>
        <w:t>up of fixed-facility colleges and online postsecondary and career programs. KHE also includes the domestic professional training and other continuing education businesses. KTP includes Kaplan’s standardized test preparation programs. Kaplan International includes professional training and postsecondary education businesses largely outside the United States, as well as English-language programs.</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in January 2015. The education division’s operating results exclude these businesses as they are included in discontinued operations, net of tax, for all periods presented.</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the past three years, with the objective of establishing lower cost levels in future periods. Across all Kaplan businesses, restructuring costs of $44.4 million, $16.8 million and $36.4 million were recorded in 2015, 2014 and 2013, respectively,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17,956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2,062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16,856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8,240</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1,750</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9,351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 and Special Incentive Program expense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17,968</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5,075</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6,289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Software asset write-offs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7,689</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209</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230</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3,862</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44,373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16,806</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36,358</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KHE incurred restructuring costs of $12.9 million, $6.5 million and $19.5 million in 2015, 2014 and 2013, respectively, primarily from severance and Special Incentive Program expense, lease obligation losses and accelerated depreciation. These costs were incurred in connection with a plan announced in September 2012 for KHE to close or consolidate operations at 13 ground campuses, additional plans announced in 2014 to close five more campuses, along with plans to consolidate facilities and reduce its workforce, and the September 2015 sale of the KHE Campuses business.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closed on September 3, 2015. In addition, Kaplan recorded a $ 6.9 million and $13.6 million other long-lived asset impairment charge in connection with its KHE Campuses business, in the second quarter of 2015 and fourth quarter of 2014, respectively.</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Kaplan International incurred restructuring costs of $1.3 million, $0.2 million and $5.8 million in 2015, 2014 and 2013, respectively. These restructuring costs were largely in Australia and included severance charges, lease obligations, and accelerated depreciation.</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Kaplan Corporate incurred restructuring costs of $29.4 million in 2015 related to accelerated depreciation, severance and Special Incentive Program expense and lease obligations losses.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2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Total accrued restructuring costs at Kaplan were $24.2 million and $12.7 million at the end of 2015 and 2014, respectively.</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five VHF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and Jacksonville television markets. All stations are network-affiliated (except for WJXT in Jacksonville), with revenues derived primarily from sales of advertising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right="160" w:firstLine="8"/>
        <w:spacing w:after="0" w:line="235" w:lineRule="auto"/>
        <w:tabs>
          <w:tab w:leader="none" w:pos="1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134" w:lineRule="exact"/>
        <w:rPr>
          <w:rFonts w:ascii="Arial" w:cs="Arial" w:eastAsia="Arial" w:hAnsi="Arial"/>
          <w:sz w:val="18"/>
          <w:szCs w:val="18"/>
          <w:color w:val="auto"/>
        </w:rPr>
      </w:pPr>
    </w:p>
    <w:p>
      <w:pPr>
        <w:ind w:right="440" w:firstLine="8"/>
        <w:spacing w:after="0" w:line="227" w:lineRule="auto"/>
        <w:tabs>
          <w:tab w:leader="none" w:pos="1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Group Dekko, a Garrett, IN-based manufacturer of electrical workspace solutions, architectural lighting, and electrical components and assemblies (acquired in November 2015); Joyce/Dayton Corp., a Dayton, OH-based manufacturer of screw jacks and other linear motion systems (acquired in May 2014); and Forney, a global supplier of products and systems that control and monitor combustion processes in electric utility and industrial applications (acquired August 2013); and</w:t>
      </w:r>
    </w:p>
    <w:p>
      <w:pPr>
        <w:spacing w:after="0" w:line="135" w:lineRule="exact"/>
        <w:rPr>
          <w:rFonts w:ascii="Arial" w:cs="Arial" w:eastAsia="Arial" w:hAnsi="Arial"/>
          <w:sz w:val="18"/>
          <w:szCs w:val="18"/>
          <w:color w:val="auto"/>
        </w:rPr>
      </w:pPr>
    </w:p>
    <w:p>
      <w:pPr>
        <w:ind w:right="200" w:firstLine="8"/>
        <w:spacing w:after="0" w:line="235" w:lineRule="auto"/>
        <w:tabs>
          <w:tab w:leader="none" w:pos="1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and The Slate Group and Foreign Policy Group, which publish online and print magazines and websites.</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November 2015, the Company announced that Trove, a digital innovation team that builds products and technologies in the news space, would largely be integrated into SocialCode.</w:t>
      </w:r>
    </w:p>
    <w:p>
      <w:pPr>
        <w:spacing w:after="0" w:line="11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2015, 2014 and 2013 totaled approximately $660 million, $712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$658 million, respectively, primarily from Kaplan’s operations outside the U.S. Additionally, revenues in 2015, 2014 and 2013 totaled approximately $319 million, $351 million, and $317 million, respectively, from Kaplan’s operations in the U.K. The Company’s long-lived assets in non-U.S. countries (excluding goodwill and other intangible assets), totaled approximately $59 million and $58 million at December 31, 2015 and 2014, respectively.</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746" w:right="279" w:bottom="1440" w:gutter="0" w:footer="0" w:header="0"/>
        </w:sectPr>
      </w:pPr>
    </w:p>
    <w:bookmarkStart w:id="106" w:name="page107"/>
    <w:bookmarkEnd w:id="106"/>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1,927,521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2,160,417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2,163,734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359,192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363,836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308,306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299,517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212,907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128,803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2,586,114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2,737,032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2,600,602</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(Loss) Income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(223,456)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65,463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50,989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164,927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187,833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145,192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(13,667)</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(21,086)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(23,468)</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(8,629)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(80,825)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232,720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149,434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(697)</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100,370</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(30,745)</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(33,397)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(33,667)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(8,623)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778,010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(120,890)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1,077,703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105,231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61,177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61,737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89,622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9,551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8,409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8,746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6,168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3,931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1,010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77,906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74,913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101,171</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262,353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24,941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16,112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10,516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278,717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35,489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15,169</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18,804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15,418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16,538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1,620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1,355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964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(81,945)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(82,301)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(60,557)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42,220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33,528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45,421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9,998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11,295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9,504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62,033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59,866</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2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1,454,520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1,781,543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312,243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305,426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712,161</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518,807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484,265</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1,778,391</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2,963,189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4,384,167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350,563</w:t>
            </w:r>
          </w:p>
        </w:tc>
        <w:tc>
          <w:tcPr>
            <w:tcW w:w="3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193,793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59,229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979,970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bl>
    <w:p>
      <w:pPr>
        <w:sectPr>
          <w:pgSz w:w="11900" w:h="16851" w:orient="portrait"/>
          <w:cols w:equalWidth="0" w:num="1">
            <w:col w:w="11420"/>
          </w:cols>
          <w:pgMar w:left="240" w:top="746" w:right="239" w:bottom="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Assets of Discontinued Operations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0"/>
          <w:szCs w:val="20"/>
          <w:color w:val="auto"/>
        </w:rPr>
      </w:pPr>
    </w:p>
    <w:p>
      <w:pPr>
        <w:spacing w:after="0"/>
        <w:tabs>
          <w:tab w:leader="none" w:pos="260" w:val="left"/>
          <w:tab w:leader="none" w:pos="1240" w:val="left"/>
          <w:tab w:leader="none" w:pos="1520" w:val="left"/>
        </w:tabs>
        <w:rPr>
          <w:sz w:val="20"/>
          <w:szCs w:val="20"/>
          <w:color w:val="auto"/>
        </w:rPr>
      </w:pPr>
      <w:r>
        <w:rPr>
          <w:rFonts w:ascii="Arial" w:cs="Arial" w:eastAsia="Arial" w:hAnsi="Arial"/>
          <w:sz w:val="16"/>
          <w:szCs w:val="16"/>
          <w:b w:val="1"/>
          <w:bCs w:val="1"/>
          <w:color w:val="auto"/>
        </w:rPr>
        <w:t>$</w:t>
        <w:tab/>
        <w:t>4,352,951</w:t>
      </w:r>
      <w:r>
        <w:rPr>
          <w:sz w:val="20"/>
          <w:szCs w:val="20"/>
          <w:color w:val="auto"/>
        </w:rPr>
        <w:tab/>
      </w:r>
      <w:r>
        <w:rPr>
          <w:rFonts w:ascii="Arial" w:cs="Arial" w:eastAsia="Arial" w:hAnsi="Arial"/>
          <w:sz w:val="16"/>
          <w:szCs w:val="16"/>
          <w:color w:val="auto"/>
        </w:rPr>
        <w:t>$</w:t>
        <w:tab/>
        <w:t>5,752,319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60"/>
          </w:cols>
          <w:pgMar w:left="28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80"/>
          </w:cols>
          <w:pgMar w:left="280" w:top="121"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849,625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1,010,058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1,080,908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301,607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304,662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293,201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770,273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840,915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783,588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6,502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6,094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7,990</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1,927,521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2,160,417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2,163,734</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55,572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83,069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71,584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16,798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(4,730)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53,661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69,153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51,653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(349,583)</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(82,034)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(76,701)</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(223,456)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65,463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50,989</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17,937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29,187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43,892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9,045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12,547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19,194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17,811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19,297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16,154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16,384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10,382</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61,177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61,737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89,622</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5,523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7,738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8,503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256,830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17,203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3,250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10,849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10,514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11,714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3,101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2,888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2,674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424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18,804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15,418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16,538</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10,202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11,551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10,879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8,720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1,143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7,008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22,673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20,802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27,472</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42,220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33,528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45,421</w:t>
            </w: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447,282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749,421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134,535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167,055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826,475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838,148</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46,228</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26,919</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1,454,520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1,781,543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003"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746" w:right="239" w:bottom="1003" w:gutter="0" w:footer="0" w:header="0"/>
          <w:type w:val="continuous"/>
        </w:sectPr>
      </w:pPr>
    </w:p>
    <w:bookmarkStart w:id="109" w:name="page110"/>
    <w:bookmarkEnd w:id="109"/>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2015,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First</w:t>
            </w: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Second</w:t>
            </w: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Third</w:t>
            </w:r>
          </w:p>
        </w:tc>
        <w:tc>
          <w:tcPr>
            <w:tcW w:w="1120" w:type="dxa"/>
            <w:vAlign w:val="bottom"/>
          </w:tcPr>
          <w:p>
            <w:pPr>
              <w:jc w:val="right"/>
              <w:ind w:right="202"/>
              <w:spacing w:after="0"/>
              <w:rPr>
                <w:sz w:val="20"/>
                <w:szCs w:val="20"/>
                <w:color w:val="auto"/>
              </w:rPr>
            </w:pPr>
            <w:r>
              <w:rPr>
                <w:rFonts w:ascii="Arial" w:cs="Arial" w:eastAsia="Arial" w:hAnsi="Arial"/>
                <w:sz w:val="14"/>
                <w:szCs w:val="14"/>
                <w:b w:val="1"/>
                <w:bCs w:val="1"/>
                <w:color w:val="auto"/>
              </w:rPr>
              <w:t>Fourth</w:t>
            </w: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   500,602</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   523,625</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   481,687</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   421,491</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66,454</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70,137</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68,898</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74,435</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80,369</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87,128</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90,847</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120,441</w:t>
            </w:r>
          </w:p>
        </w:tc>
      </w:tr>
      <w:tr>
        <w:trPr>
          <w:trHeight w:val="264"/>
        </w:trPr>
        <w:tc>
          <w:tcPr>
            <w:tcW w:w="698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647,425</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680,890</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641,432</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616,367</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75" w:lineRule="exact"/>
        <w:rPr>
          <w:sz w:val="20"/>
          <w:szCs w:val="20"/>
          <w:color w:val="auto"/>
        </w:rPr>
      </w:pPr>
    </w:p>
    <w:p>
      <w:pPr>
        <w:sectPr>
          <w:pgSz w:w="11900" w:h="16838" w:orient="portrait"/>
          <w:cols w:equalWidth="0" w:num="1">
            <w:col w:w="11420"/>
          </w:cols>
          <w:pgMar w:left="240" w:top="724" w:right="23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(Loss)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(losses)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income, net</w:t>
      </w:r>
    </w:p>
    <w:p>
      <w:pPr>
        <w:spacing w:after="0" w:line="80" w:lineRule="exact"/>
        <w:rPr>
          <w:sz w:val="20"/>
          <w:szCs w:val="20"/>
          <w:color w:val="auto"/>
        </w:rPr>
      </w:pPr>
    </w:p>
    <w:p>
      <w:pPr>
        <w:ind w:left="40" w:right="1880"/>
        <w:spacing w:after="0" w:line="361" w:lineRule="auto"/>
        <w:rPr>
          <w:sz w:val="20"/>
          <w:szCs w:val="20"/>
          <w:color w:val="auto"/>
        </w:rPr>
      </w:pPr>
      <w:r>
        <w:rPr>
          <w:rFonts w:ascii="Arial" w:cs="Arial" w:eastAsia="Arial" w:hAnsi="Arial"/>
          <w:sz w:val="16"/>
          <w:szCs w:val="16"/>
          <w:b w:val="1"/>
          <w:bCs w:val="1"/>
          <w:color w:val="auto"/>
        </w:rPr>
        <w:t>(Loss) Income from Continuing Operations Before Income Taxes Provision (Benefit) for Income Taxes</w:t>
      </w:r>
    </w:p>
    <w:p>
      <w:pPr>
        <w:ind w:left="40" w:right="3040"/>
        <w:spacing w:after="0" w:line="358" w:lineRule="auto"/>
        <w:rPr>
          <w:sz w:val="20"/>
          <w:szCs w:val="20"/>
          <w:color w:val="auto"/>
        </w:rPr>
      </w:pPr>
      <w:r>
        <w:rPr>
          <w:rFonts w:ascii="Arial" w:cs="Arial" w:eastAsia="Arial" w:hAnsi="Arial"/>
          <w:sz w:val="16"/>
          <w:szCs w:val="16"/>
          <w:b w:val="1"/>
          <w:bCs w:val="1"/>
          <w:color w:val="auto"/>
        </w:rPr>
        <w:t>(Loss) Income from Continuing Operations Income from Discontinued Operations, Net of Tax Net Income (Loss)</w:t>
      </w:r>
    </w:p>
    <w:p>
      <w:pPr>
        <w:ind w:left="40" w:right="2100"/>
        <w:spacing w:after="0" w:line="369" w:lineRule="auto"/>
        <w:rPr>
          <w:sz w:val="20"/>
          <w:szCs w:val="20"/>
          <w:color w:val="auto"/>
        </w:rPr>
      </w:pPr>
      <w:r>
        <w:rPr>
          <w:rFonts w:ascii="Arial" w:cs="Arial" w:eastAsia="Arial" w:hAnsi="Arial"/>
          <w:sz w:val="16"/>
          <w:szCs w:val="16"/>
          <w:b w:val="1"/>
          <w:bCs w:val="1"/>
          <w:color w:val="auto"/>
        </w:rPr>
        <w:t>Net (Income) Loss Attributable to Noncontrolling Interests Net Income (Loss) Attributable to Graham Holdings Company Redeemable Preferred Stock Dividends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attributable to Graham Holdings Company common stockholders</w:t>
      </w:r>
    </w:p>
    <w:p>
      <w:pPr>
        <w:spacing w:after="0" w:line="228" w:lineRule="exact"/>
        <w:rPr>
          <w:sz w:val="20"/>
          <w:szCs w:val="20"/>
          <w:color w:val="auto"/>
        </w:rPr>
      </w:pPr>
    </w:p>
    <w:p>
      <w:pPr>
        <w:ind w:left="40"/>
        <w:spacing w:after="0" w:line="372"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(loss) income per common share from continuing operations Basic income per common share from discontinued operations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(loss) per common share</w:t>
      </w:r>
    </w:p>
    <w:p>
      <w:pPr>
        <w:spacing w:after="0" w:line="383" w:lineRule="exact"/>
        <w:rPr>
          <w:sz w:val="20"/>
          <w:szCs w:val="20"/>
          <w:color w:val="auto"/>
        </w:rPr>
      </w:pPr>
    </w:p>
    <w:p>
      <w:pPr>
        <w:ind w:left="40" w:right="1980"/>
        <w:spacing w:after="0" w:line="366" w:lineRule="auto"/>
        <w:rPr>
          <w:sz w:val="20"/>
          <w:szCs w:val="20"/>
          <w:color w:val="auto"/>
        </w:rPr>
      </w:pPr>
      <w:r>
        <w:rPr>
          <w:rFonts w:ascii="Arial" w:cs="Arial" w:eastAsia="Arial" w:hAnsi="Arial"/>
          <w:sz w:val="16"/>
          <w:szCs w:val="16"/>
          <w:color w:val="auto"/>
        </w:rPr>
        <w:t>Diluted (loss) income per common share from continuing operations Diluted income per common share from discontinued operations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income (loss) per common share</w:t>
      </w:r>
    </w:p>
    <w:p>
      <w:pPr>
        <w:spacing w:after="0" w:line="113" w:lineRule="exact"/>
        <w:rPr>
          <w:sz w:val="20"/>
          <w:szCs w:val="20"/>
          <w:color w:val="auto"/>
        </w:rPr>
      </w:pPr>
    </w:p>
    <w:p>
      <w:pPr>
        <w:ind w:left="40" w:right="2860"/>
        <w:spacing w:after="0" w:line="359"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2015 Quarterly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309,223</w:t>
            </w:r>
          </w:p>
        </w:tc>
        <w:tc>
          <w:tcPr>
            <w:tcW w:w="28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311,121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302,029</w:t>
            </w:r>
          </w:p>
        </w:tc>
        <w:tc>
          <w:tcPr>
            <w:tcW w:w="30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283,780</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302,405</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276,412</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285,563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239,783</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22,197</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25,609</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14,460</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15,640</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4,738</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4,647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4,512</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5,120</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6,876</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248,591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4,233</w:t>
            </w:r>
          </w:p>
        </w:tc>
      </w:tr>
      <w:tr>
        <w:trPr>
          <w:trHeight w:val="264"/>
        </w:trPr>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638,563</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624,665</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855,155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548,556</w:t>
            </w:r>
          </w:p>
        </w:tc>
      </w:tr>
      <w:tr>
        <w:trPr>
          <w:trHeight w:val="251"/>
        </w:trPr>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8,862</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56,225</w:t>
            </w:r>
          </w:p>
        </w:tc>
        <w:tc>
          <w:tcPr>
            <w:tcW w:w="1120" w:type="dxa"/>
            <w:vAlign w:val="bottom"/>
          </w:tcPr>
          <w:p>
            <w:pPr>
              <w:jc w:val="right"/>
              <w:spacing w:after="0"/>
              <w:rPr>
                <w:sz w:val="20"/>
                <w:szCs w:val="20"/>
                <w:color w:val="auto"/>
              </w:rPr>
            </w:pPr>
            <w:r>
              <w:rPr>
                <w:rFonts w:ascii="Arial" w:cs="Arial" w:eastAsia="Arial" w:hAnsi="Arial"/>
                <w:sz w:val="16"/>
                <w:szCs w:val="16"/>
                <w:color w:val="auto"/>
              </w:rPr>
              <w:t>(213,723)</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67,811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323</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481</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(8,501)</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(8,348)</w:t>
            </w:r>
          </w:p>
        </w:tc>
        <w:tc>
          <w:tcPr>
            <w:tcW w:w="1120" w:type="dxa"/>
            <w:vAlign w:val="bottom"/>
          </w:tcPr>
          <w:p>
            <w:pPr>
              <w:jc w:val="right"/>
              <w:spacing w:after="0"/>
              <w:rPr>
                <w:sz w:val="20"/>
                <w:szCs w:val="20"/>
                <w:color w:val="auto"/>
              </w:rPr>
            </w:pPr>
            <w:r>
              <w:rPr>
                <w:rFonts w:ascii="Arial" w:cs="Arial" w:eastAsia="Arial" w:hAnsi="Arial"/>
                <w:sz w:val="16"/>
                <w:szCs w:val="16"/>
                <w:color w:val="auto"/>
              </w:rPr>
              <w:t>(7,830)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(7,975)</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11,678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21,262</w:t>
            </w:r>
          </w:p>
        </w:tc>
      </w:tr>
      <w:tr>
        <w:trPr>
          <w:trHeight w:val="251"/>
        </w:trPr>
        <w:tc>
          <w:tcPr>
            <w:tcW w:w="2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59,525</w:t>
            </w:r>
          </w:p>
        </w:tc>
        <w:tc>
          <w:tcPr>
            <w:tcW w:w="1120" w:type="dxa"/>
            <w:vAlign w:val="bottom"/>
          </w:tcPr>
          <w:p>
            <w:pPr>
              <w:jc w:val="right"/>
              <w:spacing w:after="0"/>
              <w:rPr>
                <w:sz w:val="20"/>
                <w:szCs w:val="20"/>
                <w:color w:val="auto"/>
              </w:rPr>
            </w:pPr>
            <w:r>
              <w:rPr>
                <w:rFonts w:ascii="Arial" w:cs="Arial" w:eastAsia="Arial" w:hAnsi="Arial"/>
                <w:sz w:val="16"/>
                <w:szCs w:val="16"/>
                <w:color w:val="auto"/>
              </w:rPr>
              <w:t>(261,435)</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81,609</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30,500</w:t>
            </w:r>
          </w:p>
        </w:tc>
      </w:tr>
      <w:tr>
        <w:trPr>
          <w:trHeight w:val="251"/>
        </w:trPr>
        <w:tc>
          <w:tcPr>
            <w:tcW w:w="2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(1,489)</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39,925</w:t>
            </w:r>
          </w:p>
        </w:tc>
        <w:tc>
          <w:tcPr>
            <w:tcW w:w="1120" w:type="dxa"/>
            <w:vAlign w:val="bottom"/>
          </w:tcPr>
          <w:p>
            <w:pPr>
              <w:jc w:val="right"/>
              <w:spacing w:after="0"/>
              <w:rPr>
                <w:sz w:val="20"/>
                <w:szCs w:val="20"/>
                <w:color w:val="auto"/>
              </w:rPr>
            </w:pPr>
            <w:r>
              <w:rPr>
                <w:rFonts w:ascii="Arial" w:cs="Arial" w:eastAsia="Arial" w:hAnsi="Arial"/>
                <w:sz w:val="16"/>
                <w:szCs w:val="16"/>
                <w:color w:val="auto"/>
              </w:rPr>
              <w:t>(230,935)</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51,109</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23,289</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18,502</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21,800</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58,427</w:t>
            </w:r>
          </w:p>
        </w:tc>
        <w:tc>
          <w:tcPr>
            <w:tcW w:w="1120" w:type="dxa"/>
            <w:vAlign w:val="bottom"/>
          </w:tcPr>
          <w:p>
            <w:pPr>
              <w:jc w:val="right"/>
              <w:spacing w:after="0"/>
              <w:rPr>
                <w:sz w:val="20"/>
                <w:szCs w:val="20"/>
                <w:color w:val="auto"/>
              </w:rPr>
            </w:pPr>
            <w:r>
              <w:rPr>
                <w:rFonts w:ascii="Arial" w:cs="Arial" w:eastAsia="Arial" w:hAnsi="Arial"/>
                <w:sz w:val="16"/>
                <w:szCs w:val="16"/>
                <w:color w:val="auto"/>
              </w:rPr>
              <w:t>(230,556)</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51,109</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r>
      <w:tr>
        <w:trPr>
          <w:trHeight w:val="251"/>
        </w:trPr>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21,026</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57,993</w:t>
            </w:r>
          </w:p>
        </w:tc>
        <w:tc>
          <w:tcPr>
            <w:tcW w:w="1120" w:type="dxa"/>
            <w:vAlign w:val="bottom"/>
          </w:tcPr>
          <w:p>
            <w:pPr>
              <w:jc w:val="right"/>
              <w:spacing w:after="0"/>
              <w:rPr>
                <w:sz w:val="20"/>
                <w:szCs w:val="20"/>
                <w:color w:val="auto"/>
              </w:rPr>
            </w:pPr>
            <w:r>
              <w:rPr>
                <w:rFonts w:ascii="Arial" w:cs="Arial" w:eastAsia="Arial" w:hAnsi="Arial"/>
                <w:sz w:val="16"/>
                <w:szCs w:val="16"/>
                <w:color w:val="auto"/>
              </w:rPr>
              <w:t>(230,843)</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51,169</w:t>
            </w:r>
          </w:p>
        </w:tc>
      </w:tr>
      <w:tr>
        <w:trPr>
          <w:trHeight w:val="283"/>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57,782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(230,843)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51,169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460" w:hanging="436"/>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(2,683)  $39,280   $  (231,222)  $51,169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23,289</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18,502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20,606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(230,843)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51,169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43"/>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(40.32)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8.78</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4.09</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0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(40.32)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8.72</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5,704</w:t>
            </w:r>
          </w:p>
        </w:tc>
        <w:tc>
          <w:tcPr>
            <w:tcW w:w="3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5,720</w:t>
            </w:r>
          </w:p>
        </w:tc>
        <w:tc>
          <w:tcPr>
            <w:tcW w:w="3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5,738</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5,746</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5,791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5,805</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5,837</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5,834</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4,098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56,304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(235,556)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(64,301)</w:t>
            </w:r>
          </w:p>
        </w:tc>
      </w:tr>
    </w:tbl>
    <w:p>
      <w:pPr>
        <w:spacing w:after="0" w:line="172" w:lineRule="exact"/>
        <w:rPr>
          <w:sz w:val="20"/>
          <w:szCs w:val="20"/>
          <w:color w:val="auto"/>
        </w:rPr>
      </w:pPr>
    </w:p>
    <w:p>
      <w:pPr>
        <w:sectPr>
          <w:pgSz w:w="11900" w:h="16838" w:orient="portrait"/>
          <w:cols w:equalWidth="0" w:num="2">
            <w:col w:w="6880" w:space="100"/>
            <w:col w:w="4440"/>
          </w:cols>
          <w:pgMar w:left="240" w:top="724"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24" w:right="239"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724"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2014,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140" w:type="dxa"/>
            <w:vAlign w:val="bottom"/>
          </w:tcPr>
          <w:p>
            <w:pPr>
              <w:jc w:val="center"/>
              <w:ind w:left="1948"/>
              <w:spacing w:after="0"/>
              <w:rPr>
                <w:sz w:val="20"/>
                <w:szCs w:val="20"/>
                <w:color w:val="auto"/>
              </w:rPr>
            </w:pPr>
            <w:r>
              <w:rPr>
                <w:rFonts w:ascii="Arial" w:cs="Arial" w:eastAsia="Arial" w:hAnsi="Arial"/>
                <w:sz w:val="14"/>
                <w:szCs w:val="14"/>
                <w:b w:val="1"/>
                <w:bCs w:val="1"/>
                <w:color w:val="auto"/>
              </w:rPr>
              <w:t>First</w:t>
            </w: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Second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Fourth</w:t>
            </w: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w:t>
            </w:r>
          </w:p>
        </w:tc>
        <w:tc>
          <w:tcPr>
            <w:tcW w:w="3140" w:type="dxa"/>
            <w:vAlign w:val="bottom"/>
            <w:tcBorders>
              <w:bottom w:val="single" w:sz="8" w:color="auto"/>
            </w:tcBorders>
          </w:tcPr>
          <w:p>
            <w:pPr>
              <w:jc w:val="center"/>
              <w:ind w:left="1948"/>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r>
    </w:tbl>
    <w:p>
      <w:pPr>
        <w:spacing w:after="0" w:line="36" w:lineRule="exact"/>
        <w:rPr>
          <w:sz w:val="20"/>
          <w:szCs w:val="20"/>
          <w:color w:val="auto"/>
        </w:rPr>
      </w:pPr>
    </w:p>
    <w:p>
      <w:pPr>
        <w:sectPr>
          <w:pgSz w:w="11900" w:h="16838" w:orient="portrait"/>
          <w:cols w:equalWidth="0" w:num="1">
            <w:col w:w="11420"/>
          </w:cols>
          <w:pgMar w:left="240" w:top="760"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intangibles and other long-lived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(expense), net</w:t>
      </w:r>
    </w:p>
    <w:p>
      <w:pPr>
        <w:spacing w:after="0" w:line="80" w:lineRule="exact"/>
        <w:rPr>
          <w:sz w:val="20"/>
          <w:szCs w:val="20"/>
          <w:color w:val="auto"/>
        </w:rPr>
      </w:pPr>
    </w:p>
    <w:p>
      <w:pPr>
        <w:ind w:left="40" w:right="240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40" w:right="3040"/>
        <w:spacing w:after="0" w:line="361" w:lineRule="auto"/>
        <w:rPr>
          <w:sz w:val="20"/>
          <w:szCs w:val="20"/>
          <w:color w:val="auto"/>
        </w:rPr>
      </w:pPr>
      <w:r>
        <w:rPr>
          <w:rFonts w:ascii="Arial" w:cs="Arial" w:eastAsia="Arial" w:hAnsi="Arial"/>
          <w:sz w:val="16"/>
          <w:szCs w:val="16"/>
          <w:b w:val="1"/>
          <w:bCs w:val="1"/>
          <w:color w:val="auto"/>
        </w:rPr>
        <w:t>Income from Discontinued Operations, Net of Tax Net Income</w:t>
      </w:r>
    </w:p>
    <w:p>
      <w:pPr>
        <w:ind w:left="40" w:right="2360"/>
        <w:spacing w:after="0" w:line="369" w:lineRule="auto"/>
        <w:rPr>
          <w:sz w:val="20"/>
          <w:szCs w:val="20"/>
          <w:color w:val="auto"/>
        </w:rPr>
      </w:pPr>
      <w:r>
        <w:rPr>
          <w:rFonts w:ascii="Arial" w:cs="Arial" w:eastAsia="Arial" w:hAnsi="Arial"/>
          <w:sz w:val="16"/>
          <w:szCs w:val="16"/>
          <w:b w:val="1"/>
          <w:bCs w:val="1"/>
          <w:color w:val="auto"/>
        </w:rPr>
        <w:t>Net Loss (Income) Attributable to Noncontrolling Interests Net Income Attributable to Graham Holdings Company Redeemable Preferred Stock Dividends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p>
      <w:pPr>
        <w:spacing w:after="0" w:line="228" w:lineRule="exact"/>
        <w:rPr>
          <w:sz w:val="20"/>
          <w:szCs w:val="20"/>
          <w:color w:val="auto"/>
        </w:rPr>
      </w:pPr>
    </w:p>
    <w:p>
      <w:pPr>
        <w:ind w:left="40"/>
        <w:spacing w:after="0" w:line="372"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income per common share from continuing operations Basic income per common share from discontinued operations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per common share</w:t>
      </w:r>
    </w:p>
    <w:p>
      <w:pPr>
        <w:spacing w:after="0" w:line="248" w:lineRule="exact"/>
        <w:rPr>
          <w:sz w:val="20"/>
          <w:szCs w:val="20"/>
          <w:color w:val="auto"/>
        </w:rPr>
      </w:pPr>
    </w:p>
    <w:p>
      <w:pPr>
        <w:ind w:left="40" w:right="2260"/>
        <w:spacing w:after="0" w:line="366" w:lineRule="auto"/>
        <w:rPr>
          <w:sz w:val="20"/>
          <w:szCs w:val="20"/>
          <w:color w:val="auto"/>
        </w:rPr>
      </w:pPr>
      <w:r>
        <w:rPr>
          <w:rFonts w:ascii="Arial" w:cs="Arial" w:eastAsia="Arial" w:hAnsi="Arial"/>
          <w:sz w:val="16"/>
          <w:szCs w:val="16"/>
          <w:color w:val="auto"/>
        </w:rPr>
        <w:t>Diluted income per common share from continuing operations Diluted income per common share from discontinued operations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income per common share</w:t>
      </w:r>
    </w:p>
    <w:p>
      <w:pPr>
        <w:spacing w:after="0" w:line="113" w:lineRule="exact"/>
        <w:rPr>
          <w:sz w:val="20"/>
          <w:szCs w:val="20"/>
          <w:color w:val="auto"/>
        </w:rPr>
      </w:pPr>
    </w:p>
    <w:p>
      <w:pPr>
        <w:ind w:left="40" w:right="2860"/>
        <w:spacing w:after="0" w:line="359"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2014 Quarterly comprehensive income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40" w:hanging="316"/>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522,154   $   542,964   $   543,918   $   551,381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70,115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73,587</w:t>
            </w:r>
          </w:p>
        </w:tc>
        <w:tc>
          <w:tcPr>
            <w:tcW w:w="28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72,951</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91,561</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40,351</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57,031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86,336</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84,683</w:t>
            </w:r>
          </w:p>
        </w:tc>
      </w:tr>
      <w:tr>
        <w:trPr>
          <w:trHeight w:val="264"/>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632,620</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673,582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703,205</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727,625</w:t>
            </w:r>
          </w:p>
        </w:tc>
      </w:tr>
      <w:tr>
        <w:trPr>
          <w:trHeight w:val="52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296,507</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321,163</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326,395</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317,687</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276,294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276,502</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309,583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269,779</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19,430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18,201</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18,664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18,618</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2,682</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2,936</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7,354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5,215</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r>
      <w:tr>
        <w:trPr>
          <w:trHeight w:val="264"/>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594,913</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618,802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661,996</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628,601</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37,707</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54,780</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41,209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99,024</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4,052</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91,503</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4,613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599</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641</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529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270"/>
        </w:trPr>
        <w:tc>
          <w:tcPr>
            <w:tcW w:w="1080" w:type="dxa"/>
            <w:vAlign w:val="bottom"/>
          </w:tcPr>
          <w:p>
            <w:pPr>
              <w:jc w:val="right"/>
              <w:ind w:right="19"/>
              <w:spacing w:after="0"/>
              <w:rPr>
                <w:sz w:val="20"/>
                <w:szCs w:val="20"/>
                <w:color w:val="auto"/>
              </w:rPr>
            </w:pPr>
            <w:r>
              <w:rPr>
                <w:rFonts w:ascii="Arial" w:cs="Arial" w:eastAsia="Arial" w:hAnsi="Arial"/>
                <w:sz w:val="16"/>
                <w:szCs w:val="16"/>
                <w:color w:val="auto"/>
              </w:rPr>
              <w:t>(8,788)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(8,525)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(9,298)</w:t>
            </w:r>
          </w:p>
        </w:tc>
        <w:tc>
          <w:tcPr>
            <w:tcW w:w="1100" w:type="dxa"/>
            <w:vAlign w:val="bottom"/>
          </w:tcPr>
          <w:p>
            <w:pPr>
              <w:jc w:val="right"/>
              <w:spacing w:after="0"/>
              <w:rPr>
                <w:sz w:val="20"/>
                <w:szCs w:val="20"/>
                <w:color w:val="auto"/>
              </w:rPr>
            </w:pPr>
            <w:r>
              <w:rPr>
                <w:rFonts w:ascii="Arial" w:cs="Arial" w:eastAsia="Arial" w:hAnsi="Arial"/>
                <w:sz w:val="16"/>
                <w:szCs w:val="16"/>
                <w:color w:val="auto"/>
              </w:rPr>
              <w:t>(8,922)</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133,273</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268,114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387,346</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166,843</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406,513</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26,330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478,017</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62,300</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61,900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16,100</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172,000</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104,543</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344,613</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10,230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306,017</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27,762</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405,237</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66,209</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28,649</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132,305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749,850</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76,439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334,666</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499</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132,524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750,349</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76,560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334,410</w:t>
            </w:r>
          </w:p>
        </w:tc>
      </w:tr>
      <w:tr>
        <w:trPr>
          <w:trHeight w:val="283"/>
        </w:trPr>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132,098</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750,137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76,351</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334,410</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340" w:hanging="316"/>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104,336   $   344,900   $10,142   $   305,761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27,762</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405,237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66,209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28,649</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132,098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750,137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43"/>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14.10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46.35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52.76</w:t>
            </w:r>
          </w:p>
        </w:tc>
      </w:tr>
      <w:tr>
        <w:trPr>
          <w:trHeight w:val="283"/>
        </w:trPr>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54.45</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3"/>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14.05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46.20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52.48</w:t>
            </w:r>
          </w:p>
        </w:tc>
      </w:tr>
      <w:tr>
        <w:trPr>
          <w:trHeight w:val="283"/>
        </w:trPr>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54.28</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100.48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8"/>
        </w:trPr>
        <w:tc>
          <w:tcPr>
            <w:tcW w:w="2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7,275</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7,284</w:t>
            </w:r>
          </w:p>
        </w:tc>
        <w:tc>
          <w:tcPr>
            <w:tcW w:w="3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5,671</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5,678</w:t>
            </w:r>
          </w:p>
        </w:tc>
      </w:tr>
      <w:tr>
        <w:trPr>
          <w:trHeight w:val="270"/>
        </w:trPr>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7,352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7,363</w:t>
            </w:r>
          </w:p>
        </w:tc>
        <w:tc>
          <w:tcPr>
            <w:tcW w:w="36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5,757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5,770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146,115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593,463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68,246</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240,005</w:t>
            </w:r>
          </w:p>
        </w:tc>
      </w:tr>
    </w:tbl>
    <w:p>
      <w:pPr>
        <w:spacing w:after="0" w:line="172" w:lineRule="exact"/>
        <w:rPr>
          <w:sz w:val="20"/>
          <w:szCs w:val="20"/>
          <w:color w:val="auto"/>
        </w:rPr>
      </w:pPr>
    </w:p>
    <w:p>
      <w:pPr>
        <w:sectPr>
          <w:pgSz w:w="11900" w:h="16838" w:orient="portrait"/>
          <w:cols w:equalWidth="0" w:num="2">
            <w:col w:w="6880" w:space="100"/>
            <w:col w:w="4440"/>
          </w:cols>
          <w:pgMar w:left="240" w:top="760" w:right="239" w:bottom="1440" w:gutter="0" w:footer="0" w:header="0"/>
          <w:type w:val="continuous"/>
        </w:sectPr>
      </w:pPr>
    </w:p>
    <w:p>
      <w:pPr>
        <w:ind w:right="36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and the reduction in shares outstanding as a result of the Berkshire exchange transaction that closed on June 30, 2014.</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760"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t>Quarterly impact from certain items in 2015 and 2014 (after-tax and diluted EPS amounts):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780" w:type="dxa"/>
            <w:vAlign w:val="bottom"/>
          </w:tcPr>
          <w:p>
            <w:pPr>
              <w:jc w:val="center"/>
              <w:ind w:right="145"/>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60" w:type="dxa"/>
            <w:vAlign w:val="bottom"/>
          </w:tcPr>
          <w:p>
            <w:pPr>
              <w:jc w:val="center"/>
              <w:ind w:right="85"/>
              <w:spacing w:after="0"/>
              <w:rPr>
                <w:sz w:val="20"/>
                <w:szCs w:val="20"/>
                <w:color w:val="auto"/>
              </w:rPr>
            </w:pPr>
            <w:r>
              <w:rPr>
                <w:rFonts w:ascii="Arial" w:cs="Arial" w:eastAsia="Arial" w:hAnsi="Arial"/>
                <w:sz w:val="14"/>
                <w:szCs w:val="14"/>
                <w:b w:val="1"/>
                <w:bCs w:val="1"/>
                <w:color w:val="auto"/>
                <w:w w:val="99"/>
              </w:rPr>
              <w:t>Fourth</w:t>
            </w:r>
          </w:p>
        </w:tc>
      </w:tr>
      <w:tr>
        <w:trPr>
          <w:trHeight w:val="196"/>
        </w:trPr>
        <w:tc>
          <w:tcPr>
            <w:tcW w:w="74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Quarter</w:t>
            </w:r>
          </w:p>
        </w:tc>
      </w:tr>
      <w:tr>
        <w:trPr>
          <w:trHeight w:val="258"/>
        </w:trPr>
        <w:tc>
          <w:tcPr>
            <w:tcW w:w="7400" w:type="dxa"/>
            <w:vAlign w:val="bottom"/>
          </w:tcPr>
          <w:p>
            <w:pPr>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Goodwill and long-lived assets impairment charges of $225.2 million at Kaplan and other</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9"/>
        </w:trPr>
        <w:tc>
          <w:tcPr>
            <w:tcW w:w="8280" w:type="dxa"/>
            <w:vAlign w:val="bottom"/>
            <w:gridSpan w:val="2"/>
          </w:tcPr>
          <w:p>
            <w:pPr>
              <w:ind w:left="220"/>
              <w:spacing w:after="0"/>
              <w:rPr>
                <w:sz w:val="20"/>
                <w:szCs w:val="20"/>
                <w:color w:val="auto"/>
              </w:rPr>
            </w:pPr>
            <w:r>
              <w:rPr>
                <w:rFonts w:ascii="Arial" w:cs="Arial" w:eastAsia="Arial" w:hAnsi="Arial"/>
                <w:sz w:val="16"/>
                <w:szCs w:val="16"/>
                <w:color w:val="auto"/>
              </w:rPr>
              <w:t>businesses ($4.4 million, $217.1 million and $3.7 million in the second, third and fourth quarters,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280" w:type="dxa"/>
            <w:vAlign w:val="bottom"/>
            <w:gridSpan w:val="2"/>
          </w:tcPr>
          <w:p>
            <w:pPr>
              <w:ind w:left="220"/>
              <w:spacing w:after="0"/>
              <w:rPr>
                <w:sz w:val="20"/>
                <w:szCs w:val="20"/>
                <w:color w:val="auto"/>
              </w:rPr>
            </w:pPr>
            <w:r>
              <w:rPr>
                <w:rFonts w:ascii="Arial" w:cs="Arial" w:eastAsia="Arial" w:hAnsi="Arial"/>
                <w:sz w:val="16"/>
                <w:szCs w:val="16"/>
                <w:color w:val="auto"/>
              </w:rPr>
              <w:t>respectively)</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5"/>
              <w:spacing w:after="0"/>
              <w:rPr>
                <w:sz w:val="20"/>
                <w:szCs w:val="20"/>
                <w:color w:val="auto"/>
              </w:rPr>
            </w:pPr>
            <w:r>
              <w:rPr>
                <w:rFonts w:ascii="Arial" w:cs="Arial" w:eastAsia="Arial" w:hAnsi="Arial"/>
                <w:sz w:val="16"/>
                <w:szCs w:val="16"/>
                <w:color w:val="auto"/>
              </w:rPr>
              <w:t>(37.85)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(0.63)</w:t>
            </w:r>
          </w:p>
        </w:tc>
      </w:tr>
    </w:tbl>
    <w:p>
      <w:pPr>
        <w:spacing w:after="0" w:line="48" w:lineRule="exact"/>
        <w:rPr>
          <w:sz w:val="20"/>
          <w:szCs w:val="20"/>
          <w:color w:val="auto"/>
        </w:rPr>
      </w:pPr>
    </w:p>
    <w:p>
      <w:pPr>
        <w:ind w:left="260" w:hanging="202"/>
        <w:spacing w:after="0"/>
        <w:tabs>
          <w:tab w:leader="none" w:pos="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Charges of $28.9 million related to restructuring at the education division, corporate office and other</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360" w:type="dxa"/>
            <w:vAlign w:val="bottom"/>
          </w:tcPr>
          <w:p>
            <w:pPr>
              <w:ind w:left="200"/>
              <w:spacing w:after="0"/>
              <w:rPr>
                <w:sz w:val="20"/>
                <w:szCs w:val="20"/>
                <w:color w:val="auto"/>
              </w:rPr>
            </w:pPr>
            <w:r>
              <w:rPr>
                <w:rFonts w:ascii="Arial" w:cs="Arial" w:eastAsia="Arial" w:hAnsi="Arial"/>
                <w:sz w:val="16"/>
                <w:szCs w:val="16"/>
                <w:color w:val="auto"/>
              </w:rPr>
              <w:t>businesses ($6.8 million, $10.7 million, $5.8 million and $5.5 million in the first, second, third and</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7360" w:type="dxa"/>
            <w:vAlign w:val="bottom"/>
          </w:tcPr>
          <w:p>
            <w:pPr>
              <w:ind w:left="200"/>
              <w:spacing w:after="0"/>
              <w:rPr>
                <w:sz w:val="20"/>
                <w:szCs w:val="20"/>
                <w:color w:val="auto"/>
              </w:rPr>
            </w:pPr>
            <w:r>
              <w:rPr>
                <w:rFonts w:ascii="Arial" w:cs="Arial" w:eastAsia="Arial" w:hAnsi="Arial"/>
                <w:sz w:val="16"/>
                <w:szCs w:val="16"/>
                <w:color w:val="auto"/>
              </w:rPr>
              <w:t>fourth quarters, respectively)</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(0.96)</w:t>
            </w:r>
          </w:p>
        </w:tc>
      </w:tr>
      <w:tr>
        <w:trPr>
          <w:trHeight w:val="238"/>
        </w:trPr>
        <w:tc>
          <w:tcPr>
            <w:tcW w:w="7360" w:type="dxa"/>
            <w:vAlign w:val="bottom"/>
          </w:tcPr>
          <w:p>
            <w:pPr>
              <w:spacing w:after="0"/>
              <w:rPr>
                <w:sz w:val="20"/>
                <w:szCs w:val="20"/>
                <w:color w:val="auto"/>
              </w:rPr>
            </w:pPr>
            <w:r>
              <w:rPr>
                <w:rFonts w:ascii="Arial" w:cs="Arial" w:eastAsia="Arial" w:hAnsi="Arial"/>
                <w:sz w:val="16"/>
                <w:szCs w:val="16"/>
                <w:color w:val="auto"/>
              </w:rPr>
              <w:t>Ÿ Charges of $15.3 million related to the modification of stock option awards in conjunction with the</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89"/>
        </w:trPr>
        <w:tc>
          <w:tcPr>
            <w:tcW w:w="7360" w:type="dxa"/>
            <w:vAlign w:val="bottom"/>
          </w:tcPr>
          <w:p>
            <w:pPr>
              <w:ind w:left="200"/>
              <w:spacing w:after="0"/>
              <w:rPr>
                <w:sz w:val="20"/>
                <w:szCs w:val="20"/>
                <w:color w:val="auto"/>
              </w:rPr>
            </w:pPr>
            <w:r>
              <w:rPr>
                <w:rFonts w:ascii="Arial" w:cs="Arial" w:eastAsia="Arial" w:hAnsi="Arial"/>
                <w:sz w:val="16"/>
                <w:szCs w:val="16"/>
                <w:color w:val="auto"/>
              </w:rPr>
              <w:t>Cable ONE spin-off and the modification of restricted stock awards ($11.6 million and $3.7 million in</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7360" w:type="dxa"/>
            <w:vAlign w:val="bottom"/>
          </w:tcPr>
          <w:p>
            <w:pPr>
              <w:ind w:left="200"/>
              <w:spacing w:after="0"/>
              <w:rPr>
                <w:sz w:val="20"/>
                <w:szCs w:val="20"/>
                <w:color w:val="auto"/>
              </w:rPr>
            </w:pPr>
            <w:r>
              <w:rPr>
                <w:rFonts w:ascii="Arial" w:cs="Arial" w:eastAsia="Arial" w:hAnsi="Arial"/>
                <w:sz w:val="16"/>
                <w:szCs w:val="16"/>
                <w:color w:val="auto"/>
              </w:rPr>
              <w:t>the third and fourth quarters, respectively)</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(0.63)</w:t>
            </w:r>
          </w:p>
        </w:tc>
      </w:tr>
    </w:tbl>
    <w:p>
      <w:pPr>
        <w:spacing w:after="0" w:line="48" w:lineRule="exact"/>
        <w:rPr>
          <w:sz w:val="20"/>
          <w:szCs w:val="20"/>
          <w:color w:val="auto"/>
        </w:rPr>
      </w:pPr>
    </w:p>
    <w:p>
      <w:pPr>
        <w:ind w:left="260" w:right="4240" w:hanging="202"/>
        <w:spacing w:after="0" w:line="246" w:lineRule="auto"/>
        <w:tabs>
          <w:tab w:leader="none" w:pos="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Non-operating losses, net, of $15.7 million arising from the sales of five businesses and an investment, and on the formation of a joint venture ($3.6 million gain, $5.0 million gain and $24.3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040" w:type="dxa"/>
            <w:vAlign w:val="bottom"/>
          </w:tcPr>
          <w:p>
            <w:pPr>
              <w:ind w:left="200"/>
              <w:spacing w:after="0"/>
              <w:rPr>
                <w:sz w:val="20"/>
                <w:szCs w:val="20"/>
                <w:color w:val="auto"/>
              </w:rPr>
            </w:pPr>
            <w:r>
              <w:rPr>
                <w:rFonts w:ascii="Arial" w:cs="Arial" w:eastAsia="Arial" w:hAnsi="Arial"/>
                <w:sz w:val="16"/>
                <w:szCs w:val="16"/>
                <w:color w:val="auto"/>
              </w:rPr>
              <w:t>million loss in the first, second and third quarters, respectively)</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(4.16)</w:t>
            </w:r>
          </w:p>
        </w:tc>
        <w:tc>
          <w:tcPr>
            <w:tcW w:w="500" w:type="dxa"/>
            <w:vAlign w:val="bottom"/>
          </w:tcPr>
          <w:p>
            <w:pPr>
              <w:spacing w:after="0"/>
              <w:rPr>
                <w:sz w:val="16"/>
                <w:szCs w:val="16"/>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6"/>
                <w:szCs w:val="16"/>
                <w:color w:val="auto"/>
              </w:rPr>
              <w:t>Ÿ Gain of $13.2 million from the sale of land</w:t>
            </w:r>
          </w:p>
        </w:tc>
        <w:tc>
          <w:tcPr>
            <w:tcW w:w="1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2.27</w:t>
            </w:r>
          </w:p>
        </w:tc>
      </w:tr>
    </w:tbl>
    <w:p>
      <w:pPr>
        <w:spacing w:after="0" w:line="48" w:lineRule="exact"/>
        <w:rPr>
          <w:sz w:val="20"/>
          <w:szCs w:val="20"/>
          <w:color w:val="auto"/>
        </w:rPr>
      </w:pPr>
    </w:p>
    <w:p>
      <w:pPr>
        <w:ind w:left="260" w:hanging="20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Losses, net, of $9.7 million for non-operating unrealized foreign currency (losses) gains ($4.4 million</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7040" w:type="dxa"/>
            <w:vAlign w:val="bottom"/>
          </w:tcPr>
          <w:p>
            <w:pPr>
              <w:spacing w:after="0"/>
              <w:rPr>
                <w:sz w:val="20"/>
                <w:szCs w:val="20"/>
                <w:color w:val="auto"/>
              </w:rPr>
            </w:pPr>
            <w:r>
              <w:rPr>
                <w:rFonts w:ascii="Arial" w:cs="Arial" w:eastAsia="Arial" w:hAnsi="Arial"/>
                <w:sz w:val="16"/>
                <w:szCs w:val="16"/>
                <w:color w:val="auto"/>
              </w:rPr>
              <w:t>loss, $2.3 million gain, $8.0 million loss and $0.4 million gain in the first, second, third and fourth</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7040" w:type="dxa"/>
            <w:vAlign w:val="bottom"/>
          </w:tcPr>
          <w:p>
            <w:pPr>
              <w:spacing w:after="0"/>
              <w:rPr>
                <w:sz w:val="20"/>
                <w:szCs w:val="20"/>
                <w:color w:val="auto"/>
              </w:rPr>
            </w:pPr>
            <w:r>
              <w:rPr>
                <w:rFonts w:ascii="Arial" w:cs="Arial" w:eastAsia="Arial" w:hAnsi="Arial"/>
                <w:sz w:val="16"/>
                <w:szCs w:val="16"/>
                <w:color w:val="auto"/>
              </w:rPr>
              <w:t>quarters, respectively)</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0.07</w:t>
            </w: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2014</w:t>
      </w:r>
    </w:p>
    <w:p>
      <w:pPr>
        <w:spacing w:after="0" w:line="70" w:lineRule="exact"/>
        <w:rPr>
          <w:sz w:val="20"/>
          <w:szCs w:val="20"/>
          <w:color w:val="auto"/>
        </w:rPr>
      </w:pPr>
    </w:p>
    <w:p>
      <w:pPr>
        <w:ind w:left="260" w:right="4080" w:hanging="202"/>
        <w:spacing w:after="0" w:line="246" w:lineRule="auto"/>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Charges of $20.2 million related to restructuring and early retirement program expense and related charges at the education division and corporate office ($2.9 million, $6.7 million, $8.7 million and</w:t>
      </w:r>
    </w:p>
    <w:p>
      <w:pPr>
        <w:spacing w:after="0" w:line="1" w:lineRule="exact"/>
        <w:rPr>
          <w:sz w:val="20"/>
          <w:szCs w:val="20"/>
          <w:color w:val="auto"/>
        </w:rPr>
      </w:pPr>
    </w:p>
    <w:p>
      <w:pPr>
        <w:ind w:left="260"/>
        <w:spacing w:after="0"/>
        <w:tabs>
          <w:tab w:leader="none" w:pos="7480" w:val="left"/>
          <w:tab w:leader="none" w:pos="7880" w:val="left"/>
          <w:tab w:leader="none" w:pos="8500" w:val="left"/>
          <w:tab w:leader="none" w:pos="8900" w:val="left"/>
          <w:tab w:leader="none" w:pos="9500" w:val="left"/>
          <w:tab w:leader="none" w:pos="9900" w:val="left"/>
          <w:tab w:leader="none" w:pos="10520" w:val="left"/>
          <w:tab w:leader="none" w:pos="10920" w:val="left"/>
        </w:tabs>
        <w:rPr>
          <w:sz w:val="20"/>
          <w:szCs w:val="20"/>
          <w:color w:val="auto"/>
        </w:rPr>
      </w:pPr>
      <w:r>
        <w:rPr>
          <w:rFonts w:ascii="Arial" w:cs="Arial" w:eastAsia="Arial" w:hAnsi="Arial"/>
          <w:sz w:val="16"/>
          <w:szCs w:val="16"/>
          <w:color w:val="auto"/>
        </w:rPr>
        <w:t>$1.9 million in the first, second, third and fourth quarters, respectively)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(0.39)</w:t>
        <w:tab/>
        <w:t>$</w:t>
      </w:r>
      <w:r>
        <w:rPr>
          <w:sz w:val="20"/>
          <w:szCs w:val="20"/>
          <w:color w:val="auto"/>
        </w:rPr>
        <w:tab/>
      </w:r>
      <w:r>
        <w:rPr>
          <w:rFonts w:ascii="Arial" w:cs="Arial" w:eastAsia="Arial" w:hAnsi="Arial"/>
          <w:sz w:val="16"/>
          <w:szCs w:val="16"/>
          <w:color w:val="auto"/>
        </w:rPr>
        <w:t>(0.90)</w:t>
        <w:tab/>
        <w:t>$</w:t>
      </w:r>
      <w:r>
        <w:rPr>
          <w:sz w:val="20"/>
          <w:szCs w:val="20"/>
          <w:color w:val="auto"/>
        </w:rPr>
        <w:tab/>
      </w:r>
      <w:r>
        <w:rPr>
          <w:rFonts w:ascii="Arial" w:cs="Arial" w:eastAsia="Arial" w:hAnsi="Arial"/>
          <w:sz w:val="16"/>
          <w:szCs w:val="16"/>
          <w:color w:val="auto"/>
        </w:rPr>
        <w:t>(1.50)</w:t>
        <w:tab/>
        <w:t>$</w:t>
      </w:r>
      <w:r>
        <w:rPr>
          <w:sz w:val="20"/>
          <w:szCs w:val="20"/>
          <w:color w:val="auto"/>
        </w:rPr>
        <w:tab/>
      </w:r>
      <w:r>
        <w:rPr>
          <w:rFonts w:ascii="Arial" w:cs="Arial" w:eastAsia="Arial" w:hAnsi="Arial"/>
          <w:sz w:val="16"/>
          <w:szCs w:val="16"/>
          <w:color w:val="auto"/>
        </w:rPr>
        <w:t>(0.33)</w:t>
      </w:r>
    </w:p>
    <w:p>
      <w:pPr>
        <w:spacing w:after="0" w:line="59" w:lineRule="exact"/>
        <w:rPr>
          <w:sz w:val="20"/>
          <w:szCs w:val="20"/>
          <w:color w:val="auto"/>
        </w:rPr>
      </w:pPr>
    </w:p>
    <w:p>
      <w:pPr>
        <w:ind w:left="260" w:hanging="202"/>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Intangible and other long-lived assets impairment charge of $11.2 million at Kaplan and other</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80" w:type="dxa"/>
            <w:vAlign w:val="bottom"/>
          </w:tcPr>
          <w:p>
            <w:pPr>
              <w:ind w:left="200"/>
              <w:spacing w:after="0"/>
              <w:rPr>
                <w:sz w:val="20"/>
                <w:szCs w:val="20"/>
                <w:color w:val="auto"/>
              </w:rPr>
            </w:pPr>
            <w:r>
              <w:rPr>
                <w:rFonts w:ascii="Arial" w:cs="Arial" w:eastAsia="Arial" w:hAnsi="Arial"/>
                <w:sz w:val="16"/>
                <w:szCs w:val="16"/>
                <w:color w:val="auto"/>
              </w:rPr>
              <w:t>businesses</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Ÿ Gain of $249.8 million from the sale of Classified Ventures</w:t>
            </w:r>
          </w:p>
        </w:tc>
        <w:tc>
          <w:tcPr>
            <w:tcW w:w="1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42.89</w:t>
            </w:r>
          </w:p>
        </w:tc>
      </w:tr>
      <w:tr>
        <w:trPr>
          <w:trHeight w:val="276"/>
        </w:trPr>
        <w:tc>
          <w:tcPr>
            <w:tcW w:w="6480" w:type="dxa"/>
            <w:vAlign w:val="bottom"/>
          </w:tcPr>
          <w:p>
            <w:pPr>
              <w:spacing w:after="0"/>
              <w:rPr>
                <w:sz w:val="20"/>
                <w:szCs w:val="20"/>
                <w:color w:val="auto"/>
              </w:rPr>
            </w:pPr>
            <w:r>
              <w:rPr>
                <w:rFonts w:ascii="Arial" w:cs="Arial" w:eastAsia="Arial" w:hAnsi="Arial"/>
                <w:sz w:val="16"/>
                <w:szCs w:val="16"/>
                <w:color w:val="auto"/>
              </w:rPr>
              <w:t>Ÿ Gain of $58.2 million from the Classified Ventures</w:t>
            </w:r>
            <w:r>
              <w:rPr>
                <w:rFonts w:ascii="Arial" w:cs="Arial" w:eastAsia="Arial" w:hAnsi="Arial"/>
                <w:sz w:val="18"/>
                <w:szCs w:val="18"/>
                <w:color w:val="auto"/>
              </w:rPr>
              <w:t>’</w:t>
            </w:r>
            <w:r>
              <w:rPr>
                <w:rFonts w:ascii="Arial" w:cs="Arial" w:eastAsia="Arial" w:hAnsi="Arial"/>
                <w:sz w:val="16"/>
                <w:szCs w:val="16"/>
                <w:color w:val="auto"/>
              </w:rPr>
              <w:t xml:space="preserve"> sale of apartments.com</w:t>
            </w:r>
          </w:p>
        </w:tc>
        <w:tc>
          <w:tcPr>
            <w:tcW w:w="120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399"/>
              <w:spacing w:after="0"/>
              <w:rPr>
                <w:sz w:val="20"/>
                <w:szCs w:val="20"/>
                <w:color w:val="auto"/>
              </w:rPr>
            </w:pPr>
            <w:r>
              <w:rPr>
                <w:rFonts w:ascii="Arial" w:cs="Arial" w:eastAsia="Arial" w:hAnsi="Arial"/>
                <w:sz w:val="16"/>
                <w:szCs w:val="16"/>
                <w:color w:val="auto"/>
              </w:rPr>
              <w:t>7.80</w:t>
            </w:r>
          </w:p>
        </w:tc>
        <w:tc>
          <w:tcPr>
            <w:tcW w:w="600" w:type="dxa"/>
            <w:vAlign w:val="bottom"/>
          </w:tcPr>
          <w:p>
            <w:pPr>
              <w:spacing w:after="0"/>
              <w:rPr>
                <w:sz w:val="24"/>
                <w:szCs w:val="24"/>
                <w:color w:val="auto"/>
              </w:rPr>
            </w:pPr>
          </w:p>
        </w:tc>
      </w:tr>
      <w:tr>
        <w:trPr>
          <w:trHeight w:val="264"/>
        </w:trPr>
        <w:tc>
          <w:tcPr>
            <w:tcW w:w="6480" w:type="dxa"/>
            <w:vAlign w:val="bottom"/>
          </w:tcPr>
          <w:p>
            <w:pPr>
              <w:spacing w:after="0"/>
              <w:rPr>
                <w:sz w:val="20"/>
                <w:szCs w:val="20"/>
                <w:color w:val="auto"/>
              </w:rPr>
            </w:pPr>
            <w:r>
              <w:rPr>
                <w:rFonts w:ascii="Arial" w:cs="Arial" w:eastAsia="Arial" w:hAnsi="Arial"/>
                <w:sz w:val="16"/>
                <w:szCs w:val="16"/>
                <w:color w:val="auto"/>
              </w:rPr>
              <w:t>Ÿ Gain of $266.7 million from the Berkshire exchange transaction</w:t>
            </w:r>
          </w:p>
        </w:tc>
        <w:tc>
          <w:tcPr>
            <w:tcW w:w="12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399"/>
              <w:spacing w:after="0"/>
              <w:rPr>
                <w:sz w:val="20"/>
                <w:szCs w:val="20"/>
                <w:color w:val="auto"/>
              </w:rPr>
            </w:pPr>
            <w:r>
              <w:rPr>
                <w:rFonts w:ascii="Arial" w:cs="Arial" w:eastAsia="Arial" w:hAnsi="Arial"/>
                <w:sz w:val="16"/>
                <w:szCs w:val="16"/>
                <w:color w:val="auto"/>
              </w:rPr>
              <w:t>35.73</w:t>
            </w:r>
          </w:p>
        </w:tc>
        <w:tc>
          <w:tcPr>
            <w:tcW w:w="600" w:type="dxa"/>
            <w:vAlign w:val="bottom"/>
          </w:tcPr>
          <w:p>
            <w:pPr>
              <w:spacing w:after="0"/>
              <w:rPr>
                <w:sz w:val="22"/>
                <w:szCs w:val="22"/>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Ÿ Gain of $81.8 million on the sale of the corporate headquarters building</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11.13</w:t>
            </w:r>
          </w:p>
        </w:tc>
        <w:tc>
          <w:tcPr>
            <w:tcW w:w="202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48" w:lineRule="exact"/>
        <w:rPr>
          <w:sz w:val="20"/>
          <w:szCs w:val="20"/>
          <w:color w:val="auto"/>
        </w:rPr>
      </w:pPr>
    </w:p>
    <w:p>
      <w:pPr>
        <w:ind w:left="260" w:hanging="202"/>
        <w:spacing w:after="0"/>
        <w:tabs>
          <w:tab w:leader="none" w:pos="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Losses, net, of $7.1 million for non-operating unrealized foreign currency (losses) gains ($3.2 million</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7040" w:type="dxa"/>
            <w:vAlign w:val="bottom"/>
          </w:tcPr>
          <w:p>
            <w:pPr>
              <w:spacing w:after="0"/>
              <w:rPr>
                <w:sz w:val="20"/>
                <w:szCs w:val="20"/>
                <w:color w:val="auto"/>
              </w:rPr>
            </w:pPr>
            <w:r>
              <w:rPr>
                <w:rFonts w:ascii="Arial" w:cs="Arial" w:eastAsia="Arial" w:hAnsi="Arial"/>
                <w:sz w:val="16"/>
                <w:szCs w:val="16"/>
                <w:color w:val="auto"/>
              </w:rPr>
              <w:t>gain, $1.9 million gain, $6.8 million loss and $5.5 million loss in the first, second, third and fourth</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7040" w:type="dxa"/>
            <w:vAlign w:val="bottom"/>
          </w:tcPr>
          <w:p>
            <w:pPr>
              <w:spacing w:after="0"/>
              <w:rPr>
                <w:sz w:val="20"/>
                <w:szCs w:val="20"/>
                <w:color w:val="auto"/>
              </w:rPr>
            </w:pPr>
            <w:r>
              <w:rPr>
                <w:rFonts w:ascii="Arial" w:cs="Arial" w:eastAsia="Arial" w:hAnsi="Arial"/>
                <w:sz w:val="16"/>
                <w:szCs w:val="16"/>
                <w:color w:val="auto"/>
              </w:rPr>
              <w:t>quarters, respectively)</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760"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2013–2015 and refer to Note 3 for discussion of discontinued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2015</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2014</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2013</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2012</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2011</w:t>
            </w:r>
          </w:p>
        </w:tc>
        <w:tc>
          <w:tcPr>
            <w:tcW w:w="0" w:type="dxa"/>
            <w:vAlign w:val="bottom"/>
          </w:tcPr>
          <w:p>
            <w:pPr>
              <w:spacing w:after="0"/>
              <w:rPr>
                <w:sz w:val="1"/>
                <w:szCs w:val="1"/>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2,586,114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2,737,032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2,600,602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2,585,469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2,692,906</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(Loss) income from operations</w:t>
            </w:r>
          </w:p>
        </w:tc>
        <w:tc>
          <w:tcPr>
            <w:tcW w:w="26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(80,825)</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232,720</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149,434</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(5,967)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157,430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(141,390)</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765,403</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64,731</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(48,513)</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36,507</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Net (loss) income attributable to Graham Holdings Company</w:t>
            </w:r>
          </w:p>
        </w:tc>
        <w:tc>
          <w:tcPr>
            <w:tcW w:w="260" w:type="dxa"/>
            <w:vAlign w:val="bottom"/>
          </w:tcPr>
          <w:p>
            <w:pPr>
              <w:spacing w:after="0"/>
              <w:rPr>
                <w:sz w:val="17"/>
                <w:szCs w:val="17"/>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(101,286)</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52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1,292,996</w:t>
            </w:r>
          </w:p>
        </w:tc>
        <w:tc>
          <w:tcPr>
            <w:tcW w:w="3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236,010</w:t>
            </w:r>
          </w:p>
        </w:tc>
        <w:tc>
          <w:tcPr>
            <w:tcW w:w="340" w:type="dxa"/>
            <w:vAlign w:val="bottom"/>
          </w:tcPr>
          <w:p>
            <w:pPr>
              <w:spacing w:after="0"/>
              <w:rPr>
                <w:sz w:val="14"/>
                <w:szCs w:val="1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131,218</w:t>
            </w:r>
          </w:p>
        </w:tc>
        <w:tc>
          <w:tcPr>
            <w:tcW w:w="3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116,233</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Per Share Amounts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Basic (loss) earnings per common share attributable to Graham Holdings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(25.23)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115.88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8.62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(7.17)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(loss) income</w:t>
            </w:r>
          </w:p>
        </w:tc>
        <w:tc>
          <w:tcPr>
            <w:tcW w:w="26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(17.87)</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195.81</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32.10</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17.39</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Diluted (loss) earnings per common share attributable to Graham Holdings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(25.23)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115.40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8.61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(7.17)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(loss) income</w:t>
            </w:r>
          </w:p>
        </w:tc>
        <w:tc>
          <w:tcPr>
            <w:tcW w:w="26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(17.87)</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195.03</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32.05</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17.39</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5,727</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6,470</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7,238</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7,360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7,826</w:t>
            </w: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5,727</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6,559</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7,333</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7,404</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7,905</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9.10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10.20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19.60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429.15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541.54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446.73</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348.17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342.76</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1,135,573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639,911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768,278</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327,476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250,069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4,352,951</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5,752,319</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5,811,046</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5,015,069</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5,016,986</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399,926</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399,545</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447,608</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453,384</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452,229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2,490,698</w:t>
            </w:r>
          </w:p>
        </w:tc>
        <w:tc>
          <w:tcPr>
            <w:tcW w:w="34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3,140,299</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3,300,067</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2,586,028</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2,601,896</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w:t>
      </w:r>
    </w:p>
    <w:p>
      <w:pPr>
        <w:spacing w:after="0" w:line="21" w:lineRule="exact"/>
        <w:rPr>
          <w:sz w:val="20"/>
          <w:szCs w:val="20"/>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Goodwill and other long-lived assets impairment charges of $225.2 million ($38.96 per share) at the education division and other business</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Charges of $28.9 million ($4.97 per share) related to restructuring at the education division, corporate office and other businesses</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$15.3 million ($2.64 per share) in expense related to the modification of stock option awards and restricted stock awards</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Net non-operating losses of $15.7 million ($2.82 per share) arising from the sales of five businesses and an investment, and on the formation of a joint venture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$13.2 million ($2.27 per share) gain on the sale of land</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Losses, net, of $9.7 million ($1.67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w:t>
      </w:r>
    </w:p>
    <w:p>
      <w:pPr>
        <w:spacing w:after="0" w:line="35" w:lineRule="exact"/>
        <w:rPr>
          <w:sz w:val="20"/>
          <w:szCs w:val="20"/>
          <w:color w:val="auto"/>
        </w:rPr>
      </w:pPr>
    </w:p>
    <w:p>
      <w:pPr>
        <w:ind w:left="80" w:right="180" w:hanging="72"/>
        <w:spacing w:after="0" w:line="234" w:lineRule="auto"/>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Charges of $20.2 million ($3.05 per share) related to restructuring and early retirement program expense and related charges at the education division and corporate office</w:t>
      </w:r>
    </w:p>
    <w:p>
      <w:pPr>
        <w:spacing w:after="0" w:line="1" w:lineRule="exact"/>
        <w:rPr>
          <w:rFonts w:ascii="Arial" w:cs="Arial" w:eastAsia="Arial" w:hAnsi="Arial"/>
          <w:sz w:val="15"/>
          <w:szCs w:val="15"/>
          <w:color w:val="auto"/>
        </w:rPr>
      </w:pPr>
    </w:p>
    <w:p>
      <w:pPr>
        <w:ind w:left="80" w:hanging="72"/>
        <w:spacing w:after="0"/>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Intangible and other long-lived assets impairment charge of $11.2 million ($1.69 per share) at the education division and other business</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Gain from the sale of Classified Ventures of $249.8 million ($37.68 per share)</w:t>
      </w:r>
    </w:p>
    <w:p>
      <w:pPr>
        <w:spacing w:after="0" w:line="11" w:lineRule="exact"/>
        <w:rPr>
          <w:rFonts w:ascii="Arial" w:cs="Arial" w:eastAsia="Arial" w:hAnsi="Arial"/>
          <w:sz w:val="15"/>
          <w:szCs w:val="15"/>
          <w:color w:val="auto"/>
        </w:rPr>
      </w:pPr>
    </w:p>
    <w:p>
      <w:pPr>
        <w:ind w:left="80" w:hanging="72"/>
        <w:spacing w:after="0" w:line="224" w:lineRule="auto"/>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$58.2 million ($8.78 per share) gain from the Classified Ventures</w:t>
      </w:r>
      <w:r>
        <w:rPr>
          <w:rFonts w:ascii="Arial" w:cs="Arial" w:eastAsia="Arial" w:hAnsi="Arial"/>
          <w:sz w:val="18"/>
          <w:szCs w:val="18"/>
          <w:color w:val="auto"/>
        </w:rPr>
        <w:t>’</w:t>
      </w:r>
      <w:r>
        <w:rPr>
          <w:rFonts w:ascii="Arial" w:cs="Arial" w:eastAsia="Arial" w:hAnsi="Arial"/>
          <w:sz w:val="15"/>
          <w:szCs w:val="15"/>
          <w:color w:val="auto"/>
        </w:rPr>
        <w:t xml:space="preserve"> sale of apartments.com</w:t>
      </w:r>
    </w:p>
    <w:p>
      <w:pPr>
        <w:ind w:left="80" w:hanging="72"/>
        <w:spacing w:after="0"/>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Gain from the Berkshire exchange transaction of $266.7 million ($40.23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$81.8 million ($12.34 per share) gain on the sale of the corporate headquarters building</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Losses, net, of $7.1 million ($1.08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2013</w:t>
      </w:r>
    </w:p>
    <w:p>
      <w:pPr>
        <w:spacing w:after="0" w:line="21" w:lineRule="exact"/>
        <w:rPr>
          <w:sz w:val="20"/>
          <w:szCs w:val="20"/>
          <w:color w:val="auto"/>
        </w:rPr>
      </w:pPr>
    </w:p>
    <w:p>
      <w:pPr>
        <w:ind w:left="80" w:hanging="72"/>
        <w:spacing w:after="0"/>
        <w:tabs>
          <w:tab w:leader="none" w:pos="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Charges of $25.3 million ($3.46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Intangible assets impairment charge of $3.2 million ($0.44 per share)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Write-down of a marketable equity security of $6.7 million ($0.91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Losses, net, of $8.6 million ($1.17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2012</w:t>
      </w:r>
    </w:p>
    <w:p>
      <w:pPr>
        <w:spacing w:after="0" w:line="21" w:lineRule="exact"/>
        <w:rPr>
          <w:sz w:val="20"/>
          <w:szCs w:val="20"/>
          <w:color w:val="auto"/>
        </w:rPr>
      </w:pPr>
    </w:p>
    <w:p>
      <w:pPr>
        <w:ind w:left="80" w:hanging="72"/>
        <w:spacing w:after="0"/>
        <w:tabs>
          <w:tab w:leader="none" w:pos="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Goodwill and other long-lived assets impairment charge of $81.9 million ($11.33 per share) at KTP</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Charges of $32.9 million ($4.53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Write-down of a marketable equity security of $11.2 million ($1.54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$3.7 million ($0.48 per share) gain on sale of cost method investment</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Gains, net, of $2.0 million ($0.27 per share) from non-operating unrealized foreign currency gains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2011</w:t>
      </w:r>
    </w:p>
    <w:p>
      <w:pPr>
        <w:spacing w:after="0" w:line="21" w:lineRule="exact"/>
        <w:rPr>
          <w:sz w:val="20"/>
          <w:szCs w:val="20"/>
          <w:color w:val="auto"/>
        </w:rPr>
      </w:pPr>
    </w:p>
    <w:p>
      <w:pPr>
        <w:ind w:left="80" w:hanging="72"/>
        <w:spacing w:after="0"/>
        <w:tabs>
          <w:tab w:leader="none" w:pos="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Charges of $17.9 million ($2.26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Impairment charge at one of the Company’s affiliates of $5.7 million ($0.72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Write-down of a marketable equity security of $34.6 million ($4.34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Losses, net, of $2.1 million ($0.26 per share) from non-operating unrealized foreign currency losses</w:t>
      </w:r>
    </w:p>
    <w:p>
      <w:pPr>
        <w:sectPr>
          <w:pgSz w:w="11900" w:h="16838" w:orient="portrait"/>
          <w:cols w:equalWidth="0" w:num="1">
            <w:col w:w="11400"/>
          </w:cols>
          <w:pgMar w:left="240" w:top="738" w:right="259" w:bottom="1016"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738" w:right="259" w:bottom="1016" w:gutter="0" w:footer="0" w:header="0"/>
          <w:type w:val="continuous"/>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tabs>
          <w:tab w:leader="none" w:pos="58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1080" w:right="80" w:hanging="655"/>
        <w:spacing w:after="0" w:line="243" w:lineRule="auto"/>
        <w:tabs>
          <w:tab w:leader="none" w:pos="10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Separation and Distribution Agreement, dated as of June 16, 2015, by and between the Company and Cable One, Inc. (incorporated by reference to the Company’s Current Report on Form 8-K filed June 17, 2015).</w:t>
      </w:r>
    </w:p>
    <w:p>
      <w:pPr>
        <w:spacing w:after="0" w:line="36" w:lineRule="exact"/>
        <w:rPr>
          <w:sz w:val="20"/>
          <w:szCs w:val="20"/>
          <w:color w:val="auto"/>
        </w:rPr>
      </w:pPr>
    </w:p>
    <w:p>
      <w:pPr>
        <w:ind w:left="1080" w:right="720" w:hanging="655"/>
        <w:spacing w:after="0" w:line="243" w:lineRule="auto"/>
        <w:tabs>
          <w:tab w:leader="none" w:pos="10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Restated Certificate of Incorporation of the Company dated November 13, 2003 (incorporated by reference to Exhibit 3.1 to the Company’s Annual Report on Form 10-K for the fiscal year ended December 28, 2003).</w:t>
      </w:r>
    </w:p>
    <w:p>
      <w:pPr>
        <w:spacing w:after="0" w:line="36" w:lineRule="exact"/>
        <w:rPr>
          <w:sz w:val="20"/>
          <w:szCs w:val="20"/>
          <w:color w:val="auto"/>
        </w:rPr>
      </w:pPr>
    </w:p>
    <w:p>
      <w:pPr>
        <w:ind w:left="1080" w:right="260" w:hanging="655"/>
        <w:spacing w:after="0" w:line="243" w:lineRule="auto"/>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effective November 29, 2013, to the Restated Certificate of Incorporation of the Company (incorporated by reference to Exhibit 3.1 to the Company’s Current Report on Form 8-K filed November 29, 2013).</w:t>
      </w:r>
    </w:p>
    <w:p>
      <w:pPr>
        <w:spacing w:after="0" w:line="36" w:lineRule="exact"/>
        <w:rPr>
          <w:sz w:val="20"/>
          <w:szCs w:val="20"/>
          <w:color w:val="auto"/>
        </w:rPr>
      </w:pPr>
    </w:p>
    <w:p>
      <w:pPr>
        <w:ind w:left="1080" w:right="680" w:hanging="655"/>
        <w:spacing w:after="0" w:line="243" w:lineRule="auto"/>
        <w:tabs>
          <w:tab w:leader="none" w:pos="10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By-Laws of the Company as amended and restated through November 29, 2013 (incorporated by reference to Exhibit 3.2 to the Company’s Current Report on Form 8-K filed November 29, 2013).</w:t>
      </w:r>
    </w:p>
    <w:p>
      <w:pPr>
        <w:spacing w:after="0" w:line="36" w:lineRule="exact"/>
        <w:rPr>
          <w:sz w:val="20"/>
          <w:szCs w:val="20"/>
          <w:color w:val="auto"/>
        </w:rPr>
      </w:pPr>
    </w:p>
    <w:p>
      <w:pPr>
        <w:ind w:left="1080" w:right="340" w:hanging="655"/>
        <w:spacing w:after="0" w:line="238" w:lineRule="auto"/>
        <w:tabs>
          <w:tab w:leader="none" w:pos="1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Second Supplemental Indenture dated January 30, 2009, between the Company and The Bank of New York Mellon Trust Company, N.A., as successor to The First National Bank of Chicago, as Trustee (incorporated by reference to Exhibit 10.2 to the Company’s Current Report on Form 8-K filed January 30, 2009).</w:t>
      </w:r>
    </w:p>
    <w:p>
      <w:pPr>
        <w:spacing w:after="0" w:line="40" w:lineRule="exact"/>
        <w:rPr>
          <w:sz w:val="20"/>
          <w:szCs w:val="20"/>
          <w:color w:val="auto"/>
        </w:rPr>
      </w:pPr>
    </w:p>
    <w:p>
      <w:pPr>
        <w:ind w:left="1080" w:hanging="655"/>
        <w:spacing w:after="0" w:line="236" w:lineRule="auto"/>
        <w:tabs>
          <w:tab w:leader="none" w:pos="10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Five-Year Credit Agreement, dated as of June 29, 2015, among the Company, and certain of its domestic subsidiaries as guarantors, the several lenders from time to time party thereto, Wells Fargo Bank, National Association, as Administrative Agent and JPMorgan Chase Bank, N.A., as Syndication Agent (incorporated by reference to Exhibit 10.1 to the Company’s Current Report on Form 8-K filed July 1, 2015).</w:t>
      </w:r>
    </w:p>
    <w:p>
      <w:pPr>
        <w:spacing w:after="0" w:line="41" w:lineRule="exact"/>
        <w:rPr>
          <w:sz w:val="20"/>
          <w:szCs w:val="20"/>
          <w:color w:val="auto"/>
        </w:rPr>
      </w:pPr>
    </w:p>
    <w:p>
      <w:pPr>
        <w:ind w:left="1080" w:right="80" w:hanging="750"/>
        <w:spacing w:after="0" w:line="243" w:lineRule="auto"/>
        <w:tabs>
          <w:tab w:leader="none" w:pos="1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Graham Holdings Company 2012 Incentive Compensation Plan, as amended and restated effective November 29, 2013, as adjusted to reflect the spin-off of Cable ONE.*</w:t>
      </w:r>
    </w:p>
    <w:p>
      <w:pPr>
        <w:spacing w:after="0" w:line="30"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Washington Post Company Stock Option Plan as amended and restated effective May 31, 2003 (incorporated by reference to Exhibit</w:t>
      </w:r>
    </w:p>
    <w:p>
      <w:pPr>
        <w:ind w:left="1080"/>
        <w:spacing w:after="0"/>
        <w:rPr>
          <w:sz w:val="20"/>
          <w:szCs w:val="20"/>
          <w:color w:val="auto"/>
        </w:rPr>
      </w:pPr>
      <w:r>
        <w:rPr>
          <w:rFonts w:ascii="Arial" w:cs="Arial" w:eastAsia="Arial" w:hAnsi="Arial"/>
          <w:sz w:val="17"/>
          <w:szCs w:val="17"/>
          <w:color w:val="auto"/>
        </w:rPr>
        <w:t>10.1 to The Washington Post Company’s Quarterly Report on Form 10-Q for the quarter ended September 28, 2003).*</w:t>
      </w:r>
    </w:p>
    <w:p>
      <w:pPr>
        <w:spacing w:after="0" w:line="48" w:lineRule="exact"/>
        <w:rPr>
          <w:sz w:val="20"/>
          <w:szCs w:val="20"/>
          <w:color w:val="auto"/>
        </w:rPr>
      </w:pPr>
    </w:p>
    <w:p>
      <w:pPr>
        <w:ind w:left="1080" w:right="260" w:hanging="750"/>
        <w:spacing w:after="0" w:line="243" w:lineRule="auto"/>
        <w:tabs>
          <w:tab w:leader="none" w:pos="1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Graham Holdings Company Supplemental Executive Retirement Plan as amended and restated effective December 10, 2013 (incorporated by reference to Exhibit 10.3 to Company’s Annual Report on Form 10-K for the fiscal year ended December 31, 2013).*</w:t>
      </w:r>
    </w:p>
    <w:p>
      <w:pPr>
        <w:spacing w:after="0" w:line="36" w:lineRule="exact"/>
        <w:rPr>
          <w:sz w:val="20"/>
          <w:szCs w:val="20"/>
          <w:color w:val="auto"/>
        </w:rPr>
      </w:pPr>
    </w:p>
    <w:p>
      <w:pPr>
        <w:ind w:left="1080" w:right="180" w:hanging="750"/>
        <w:spacing w:after="0" w:line="243" w:lineRule="auto"/>
        <w:tabs>
          <w:tab w:leader="none" w:pos="1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Amendment No. 1 to Graham Holdings Company Supplemental Executive Retirement Plan, effective March 31, 2014 (incorporated by reference to Exhibit 10.4 to the Company’s Annual Report on Form 10-K for the fiscal year ended December 31, 2014).*</w:t>
      </w:r>
    </w:p>
    <w:p>
      <w:pPr>
        <w:spacing w:after="0" w:line="36" w:lineRule="exact"/>
        <w:rPr>
          <w:sz w:val="20"/>
          <w:szCs w:val="20"/>
          <w:color w:val="auto"/>
        </w:rPr>
      </w:pPr>
    </w:p>
    <w:p>
      <w:pPr>
        <w:jc w:val="center"/>
        <w:ind w:right="400"/>
        <w:spacing w:after="0" w:line="243" w:lineRule="auto"/>
        <w:rPr>
          <w:sz w:val="20"/>
          <w:szCs w:val="20"/>
          <w:color w:val="auto"/>
        </w:rPr>
      </w:pPr>
      <w:r>
        <w:rPr>
          <w:rFonts w:ascii="Arial" w:cs="Arial" w:eastAsia="Arial" w:hAnsi="Arial"/>
          <w:sz w:val="17"/>
          <w:szCs w:val="17"/>
          <w:color w:val="auto"/>
        </w:rPr>
        <w:t>10.5     Graham Holdings Company Deferred Compensation Plan as amended and restated effective January 1, 2014 (incorporated by reference to Exhibit 10.4 to Company’s Annual Report on Form 10-K for the fiscal year ended December 31, 2013).*</w:t>
      </w:r>
    </w:p>
    <w:p>
      <w:pPr>
        <w:spacing w:after="0" w:line="30"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Letter Agreement between the Company and Timothy J. O’Shaughnessy, dated October 20, 2014 (incorporated by reference to Exhibit</w:t>
      </w:r>
    </w:p>
    <w:p>
      <w:pPr>
        <w:ind w:left="1080"/>
        <w:spacing w:after="0"/>
        <w:rPr>
          <w:sz w:val="20"/>
          <w:szCs w:val="20"/>
          <w:color w:val="auto"/>
        </w:rPr>
      </w:pPr>
      <w:r>
        <w:rPr>
          <w:rFonts w:ascii="Arial" w:cs="Arial" w:eastAsia="Arial" w:hAnsi="Arial"/>
          <w:sz w:val="17"/>
          <w:szCs w:val="17"/>
          <w:color w:val="auto"/>
        </w:rPr>
        <w:t>10.6 to the Company’s Annual Report on Form 10-K for the fiscal year ended December 31, 2014).*</w:t>
      </w:r>
    </w:p>
    <w:p>
      <w:pPr>
        <w:spacing w:after="0" w:line="48" w:lineRule="exact"/>
        <w:rPr>
          <w:sz w:val="20"/>
          <w:szCs w:val="20"/>
          <w:color w:val="auto"/>
        </w:rPr>
      </w:pPr>
    </w:p>
    <w:p>
      <w:pPr>
        <w:ind w:left="1080" w:right="560" w:hanging="750"/>
        <w:spacing w:after="0" w:line="243" w:lineRule="auto"/>
        <w:tabs>
          <w:tab w:leader="none" w:pos="10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Letter Agreement between the Company and Andrew S. Rosen, dated April 7, 2014 (incorporated by reference to the Company’s Quarterly Report on Form 10-Q for the quarter ended March 31, 2015). *</w:t>
      </w:r>
    </w:p>
    <w:p>
      <w:pPr>
        <w:spacing w:after="0" w:line="36" w:lineRule="exact"/>
        <w:rPr>
          <w:sz w:val="20"/>
          <w:szCs w:val="20"/>
          <w:color w:val="auto"/>
        </w:rPr>
      </w:pPr>
    </w:p>
    <w:p>
      <w:pPr>
        <w:ind w:left="1080" w:right="240" w:hanging="750"/>
        <w:spacing w:after="0" w:line="243" w:lineRule="auto"/>
        <w:tabs>
          <w:tab w:leader="none" w:pos="106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Letter Agreement between the Company and Hal S. Jones, dated July 16, 2014 (incorporated by reference to the Company’s Current Report on Form 8-K filed July 16, 2014).*</w:t>
      </w:r>
    </w:p>
    <w:p>
      <w:pPr>
        <w:spacing w:after="0" w:line="36" w:lineRule="exact"/>
        <w:rPr>
          <w:sz w:val="20"/>
          <w:szCs w:val="20"/>
          <w:color w:val="auto"/>
        </w:rPr>
      </w:pPr>
    </w:p>
    <w:p>
      <w:pPr>
        <w:ind w:left="1080" w:right="380" w:hanging="750"/>
        <w:spacing w:after="0" w:line="243" w:lineRule="auto"/>
        <w:tabs>
          <w:tab w:leader="none" w:pos="106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Letter Agreement between the Company and Gerald M. Rosberg, dated July 16, 2014 (incorporated by reference to the Company’s Current Report on Form 8-K filed July 16, 2014).*</w:t>
      </w:r>
    </w:p>
    <w:p>
      <w:pPr>
        <w:spacing w:after="0" w:line="36" w:lineRule="exact"/>
        <w:rPr>
          <w:sz w:val="20"/>
          <w:szCs w:val="20"/>
          <w:color w:val="auto"/>
        </w:rPr>
      </w:pPr>
    </w:p>
    <w:p>
      <w:pPr>
        <w:ind w:left="1080" w:right="60" w:hanging="845"/>
        <w:spacing w:after="0" w:line="243" w:lineRule="auto"/>
        <w:tabs>
          <w:tab w:leader="none" w:pos="106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7"/>
          <w:szCs w:val="17"/>
          <w:color w:val="auto"/>
        </w:rPr>
        <w:t>Tax Matters Agreement, dated as of June 16, 2015 by and between the Company and Cable One, Inc. (incorporated by reference to the Company’s Current Report on Form 8-K filed June 17, 2015).</w:t>
      </w:r>
    </w:p>
    <w:p>
      <w:pPr>
        <w:spacing w:after="0" w:line="36" w:lineRule="exact"/>
        <w:rPr>
          <w:sz w:val="20"/>
          <w:szCs w:val="20"/>
          <w:color w:val="auto"/>
        </w:rPr>
      </w:pPr>
    </w:p>
    <w:p>
      <w:pPr>
        <w:ind w:left="1080" w:right="40" w:hanging="845"/>
        <w:spacing w:after="0" w:line="243" w:lineRule="auto"/>
        <w:tabs>
          <w:tab w:leader="none" w:pos="106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Employee Matters Agreement, dated as of June 16, 2015 by and between the Company and Cable One, Inc. (incorporated by reference to the Company’s Current Report on Form 8-K filed June 17, 2015).</w:t>
      </w:r>
    </w:p>
    <w:p>
      <w:pPr>
        <w:spacing w:after="0" w:line="36"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List of subsidiaries of the Company.</w:t>
      </w:r>
    </w:p>
    <w:p>
      <w:pPr>
        <w:spacing w:after="0" w:line="75" w:lineRule="exact"/>
        <w:rPr>
          <w:sz w:val="20"/>
          <w:szCs w:val="20"/>
          <w:color w:val="auto"/>
        </w:rPr>
      </w:pPr>
    </w:p>
    <w:p>
      <w:pPr>
        <w:ind w:left="1080" w:hanging="614"/>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w:t>
      </w:r>
    </w:p>
    <w:p>
      <w:pPr>
        <w:spacing w:after="0" w:line="74" w:lineRule="exact"/>
        <w:rPr>
          <w:rFonts w:ascii="Arial" w:cs="Arial" w:eastAsia="Arial" w:hAnsi="Arial"/>
          <w:sz w:val="17"/>
          <w:szCs w:val="17"/>
          <w:color w:val="auto"/>
        </w:rPr>
      </w:pPr>
    </w:p>
    <w:p>
      <w:pPr>
        <w:ind w:left="1080" w:hanging="614"/>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Power of attorney dated February 24, 2016</w:t>
      </w:r>
    </w:p>
    <w:p>
      <w:pPr>
        <w:spacing w:after="0" w:line="75"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Rule 13a-14(a)/15d-14(a) Certification of the Chief Executive Officer.</w:t>
      </w:r>
    </w:p>
    <w:p>
      <w:pPr>
        <w:spacing w:after="0" w:line="75"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Rule 13a-14(a)/15d-14(a) Certification of the Chief Financial Officer.</w:t>
      </w:r>
    </w:p>
    <w:p>
      <w:pPr>
        <w:spacing w:after="0" w:line="75"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Section 1350 Certification of the Chief Executive Officer and the Chief Financial Officer.</w:t>
      </w:r>
    </w:p>
    <w:p>
      <w:pPr>
        <w:spacing w:after="0" w:line="75" w:lineRule="exact"/>
        <w:rPr>
          <w:sz w:val="20"/>
          <w:szCs w:val="20"/>
          <w:color w:val="auto"/>
        </w:rPr>
      </w:pPr>
    </w:p>
    <w:p>
      <w:pPr>
        <w:ind w:left="1080" w:right="40" w:hanging="709"/>
        <w:spacing w:after="0" w:line="232"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2015, formatted in Extensible Business Reporting Language (XBRL): (i) Consolidated Statements of Operations for the years ended December 31, 2015, 2014 and 2013; (ii) Consolidated Statements of Comprehensive Income for the years ended December 31, 2015, 2014 and 2013; (iii) Consolidated Balance Sheets as of December 31, 2015 and 2014; (iv) Consolidated Statements of Cash Flows for the years ended December 31, 2015, 2014 and 2013; (v) Consolidated Statements of Changes in Common Shareholders’ Equity for the years ended December 31, 2015, 2014 and 2013;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Securities Exchange Act of 1934, and otherwise are not subject to liability under these sections.</w:t>
      </w:r>
    </w:p>
    <w:p>
      <w:pPr>
        <w:spacing w:after="0" w:line="18"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ectPr>
          <w:pgSz w:w="11900" w:h="16838" w:orient="portrait"/>
          <w:cols w:equalWidth="0" w:num="1">
            <w:col w:w="11380"/>
          </w:cols>
          <w:pgMar w:left="240" w:top="738" w:right="27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380"/>
          </w:cols>
          <w:pgMar w:left="240" w:top="738" w:right="27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10.1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INCENTIVE COMPENSATION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November 29, 2013</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Adjusted to Reflect the Spin-Off of Cable One, Inc.)</w:t>
      </w:r>
    </w:p>
    <w:p>
      <w:pPr>
        <w:spacing w:after="0" w:line="220" w:lineRule="exact"/>
        <w:rPr>
          <w:sz w:val="20"/>
          <w:szCs w:val="20"/>
          <w:color w:val="auto"/>
        </w:rPr>
      </w:pPr>
    </w:p>
    <w:p>
      <w:pPr>
        <w:ind w:left="780" w:hanging="772"/>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198" w:lineRule="exact"/>
        <w:rPr>
          <w:sz w:val="20"/>
          <w:szCs w:val="20"/>
          <w:color w:val="auto"/>
        </w:rPr>
      </w:pPr>
    </w:p>
    <w:p>
      <w:pPr>
        <w:jc w:val="both"/>
        <w:ind w:right="120" w:firstLine="770"/>
        <w:spacing w:after="0" w:line="287" w:lineRule="auto"/>
        <w:rPr>
          <w:sz w:val="20"/>
          <w:szCs w:val="20"/>
          <w:color w:val="auto"/>
        </w:rPr>
      </w:pPr>
      <w:r>
        <w:rPr>
          <w:rFonts w:ascii="Arial" w:cs="Arial" w:eastAsia="Arial" w:hAnsi="Arial"/>
          <w:sz w:val="18"/>
          <w:szCs w:val="18"/>
          <w:color w:val="auto"/>
        </w:rPr>
        <w:t>This Plan is intended to promote the interests of the Company and its shareholders by providing the employees and directors of the Company with incentives and rewards to encourage them to continue in the service of the Company and with a proprietary interest in pursuing the long-term growth, profitability and financial success of the Company.</w:t>
      </w:r>
    </w:p>
    <w:p>
      <w:pPr>
        <w:spacing w:after="0" w:line="149" w:lineRule="exact"/>
        <w:rPr>
          <w:sz w:val="20"/>
          <w:szCs w:val="20"/>
          <w:color w:val="auto"/>
        </w:rPr>
      </w:pPr>
    </w:p>
    <w:p>
      <w:pPr>
        <w:ind w:left="780" w:hanging="772"/>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98" w:lineRule="exact"/>
        <w:rPr>
          <w:sz w:val="20"/>
          <w:szCs w:val="20"/>
          <w:color w:val="auto"/>
        </w:rPr>
      </w:pPr>
    </w:p>
    <w:p>
      <w:pPr>
        <w:ind w:right="500" w:firstLine="770"/>
        <w:spacing w:after="0" w:line="293" w:lineRule="auto"/>
        <w:rPr>
          <w:sz w:val="20"/>
          <w:szCs w:val="20"/>
          <w:color w:val="auto"/>
        </w:rPr>
      </w:pPr>
      <w:r>
        <w:rPr>
          <w:rFonts w:ascii="Arial" w:cs="Arial" w:eastAsia="Arial" w:hAnsi="Arial"/>
          <w:sz w:val="18"/>
          <w:szCs w:val="18"/>
          <w:color w:val="auto"/>
        </w:rPr>
        <w:t>As used in the Plan or in any instrument governing the terms of any Incentive Award, the following definitions apply to the terms indicated below:</w:t>
      </w:r>
    </w:p>
    <w:p>
      <w:pPr>
        <w:spacing w:after="0" w:line="143" w:lineRule="exact"/>
        <w:rPr>
          <w:sz w:val="20"/>
          <w:szCs w:val="20"/>
          <w:color w:val="auto"/>
        </w:rPr>
      </w:pPr>
    </w:p>
    <w:p>
      <w:pPr>
        <w:ind w:left="1440" w:hanging="44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GHC.</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“Cash Incentive Award” means an award granted pursuant to Section 8 of the Plan.</w:t>
      </w:r>
    </w:p>
    <w:p>
      <w:pPr>
        <w:spacing w:after="0" w:line="198" w:lineRule="exact"/>
        <w:rPr>
          <w:rFonts w:ascii="Arial" w:cs="Arial" w:eastAsia="Arial" w:hAnsi="Arial"/>
          <w:sz w:val="18"/>
          <w:szCs w:val="18"/>
          <w:color w:val="auto"/>
        </w:rPr>
      </w:pPr>
    </w:p>
    <w:p>
      <w:pPr>
        <w:ind w:left="1440" w:right="360" w:hanging="446"/>
        <w:spacing w:after="0" w:line="293"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all regulations, interpretations and administrative guidance issued thereunder.</w:t>
      </w:r>
    </w:p>
    <w:p>
      <w:pPr>
        <w:spacing w:after="0" w:line="142" w:lineRule="exact"/>
        <w:rPr>
          <w:rFonts w:ascii="Arial" w:cs="Arial" w:eastAsia="Arial" w:hAnsi="Arial"/>
          <w:sz w:val="18"/>
          <w:szCs w:val="18"/>
          <w:color w:val="auto"/>
        </w:rPr>
      </w:pPr>
    </w:p>
    <w:p>
      <w:pPr>
        <w:ind w:left="1440" w:right="520" w:hanging="446"/>
        <w:spacing w:after="0" w:line="287"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spacing w:after="0" w:line="148" w:lineRule="exact"/>
        <w:rPr>
          <w:rFonts w:ascii="Arial" w:cs="Arial" w:eastAsia="Arial" w:hAnsi="Arial"/>
          <w:sz w:val="18"/>
          <w:szCs w:val="18"/>
          <w:color w:val="auto"/>
        </w:rPr>
      </w:pPr>
    </w:p>
    <w:p>
      <w:pPr>
        <w:ind w:left="1440" w:right="480" w:hanging="446"/>
        <w:spacing w:after="0" w:line="293"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“Common Stock” means GHC’s Class B Common Stock, $0.01 par value per share, or any other security into which the common stock shall be changed pursuant to the adjustment provisions of Section 10 of the Plan.</w:t>
      </w:r>
    </w:p>
    <w:p>
      <w:pPr>
        <w:spacing w:after="0" w:line="142" w:lineRule="exact"/>
        <w:rPr>
          <w:rFonts w:ascii="Arial" w:cs="Arial" w:eastAsia="Arial" w:hAnsi="Arial"/>
          <w:sz w:val="18"/>
          <w:szCs w:val="18"/>
          <w:color w:val="auto"/>
        </w:rPr>
      </w:pPr>
    </w:p>
    <w:p>
      <w:pPr>
        <w:ind w:left="1440" w:hanging="44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“Company” means Graham Holdings Company and all of its Subsidiaries, collectively.</w:t>
      </w:r>
    </w:p>
    <w:p>
      <w:pPr>
        <w:spacing w:after="0" w:line="198" w:lineRule="exact"/>
        <w:rPr>
          <w:rFonts w:ascii="Arial" w:cs="Arial" w:eastAsia="Arial" w:hAnsi="Arial"/>
          <w:sz w:val="18"/>
          <w:szCs w:val="18"/>
          <w:color w:val="auto"/>
        </w:rPr>
      </w:pPr>
    </w:p>
    <w:p>
      <w:pPr>
        <w:ind w:left="1440" w:right="780" w:hanging="446"/>
        <w:spacing w:after="0" w:line="293"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“Covered Employee” means each Participant who is an executive officer (within the meaning of Rule 3b-7 under the Exchange Act) of Graham Holdings Company.</w:t>
      </w:r>
    </w:p>
    <w:p>
      <w:pPr>
        <w:spacing w:after="0" w:line="142" w:lineRule="exact"/>
        <w:rPr>
          <w:rFonts w:ascii="Arial" w:cs="Arial" w:eastAsia="Arial" w:hAnsi="Arial"/>
          <w:sz w:val="18"/>
          <w:szCs w:val="18"/>
          <w:color w:val="auto"/>
        </w:rPr>
      </w:pPr>
    </w:p>
    <w:p>
      <w:pPr>
        <w:ind w:left="1440" w:right="300" w:hanging="446"/>
        <w:spacing w:after="0" w:line="293"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“Deferred Compensation Plan” means any plan, agreement or arrangement maintained by the Company from time to time that provides opportunities for deferral of compensation.</w:t>
      </w:r>
    </w:p>
    <w:p>
      <w:pPr>
        <w:spacing w:after="0" w:line="142" w:lineRule="exact"/>
        <w:rPr>
          <w:rFonts w:ascii="Arial" w:cs="Arial" w:eastAsia="Arial" w:hAnsi="Arial"/>
          <w:sz w:val="18"/>
          <w:szCs w:val="18"/>
          <w:color w:val="auto"/>
        </w:rPr>
      </w:pPr>
    </w:p>
    <w:p>
      <w:pPr>
        <w:ind w:left="1440" w:hanging="44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98" w:lineRule="exact"/>
        <w:rPr>
          <w:rFonts w:ascii="Arial" w:cs="Arial" w:eastAsia="Arial" w:hAnsi="Arial"/>
          <w:sz w:val="18"/>
          <w:szCs w:val="18"/>
          <w:color w:val="auto"/>
        </w:rPr>
      </w:pPr>
    </w:p>
    <w:p>
      <w:pPr>
        <w:ind w:left="1440" w:right="40" w:hanging="446"/>
        <w:spacing w:after="0" w:line="283" w:lineRule="auto"/>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“Fair Market Value” means, with respect to a share of Common Stock, as of the applicable date of determination (i) the average of the high and low sales prices on the date of determination or, if not so reported for such day, the immediately preceding business day of a share of Common Stock as reported on the principal securities exchange on which shares of Common Stock are then listed or admitted to trading or (ii) if not so reported, the average of the closing bid and ask prices on the date of determination or, if not so reported for such day, on the immediately preceding business day as reported on the National Association of Securities Dealers Automated Quotation System or (iii) if not so reported, as furnished by any member of the National Association of Securities Dealers, Inc. selected by the Committee. In the event that the price of a share of Common Stock shall not be so reported, the Fair Market Value of a share of Common Stock shall be determined by the Committee in its sole discretion.</w:t>
      </w:r>
    </w:p>
    <w:p>
      <w:pPr>
        <w:sectPr>
          <w:pgSz w:w="11900" w:h="16838" w:orient="portrait"/>
          <w:cols w:equalWidth="0" w:num="1">
            <w:col w:w="11420"/>
          </w:cols>
          <w:pgMar w:left="240" w:top="773" w:right="239" w:bottom="1440" w:gutter="0" w:footer="0" w:header="0"/>
        </w:sectPr>
      </w:pPr>
    </w:p>
    <w:bookmarkStart w:id="115" w:name="page116"/>
    <w:bookmarkEnd w:id="115"/>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“GHC” means Graham Holdings Company, a Delaware corporation.</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“Incentive Award” means one or more Stock Incentive Awards and Cash Incentive Awards, collectively.</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“Option” means a stock option to purchase shares of Common Stock granted to a Participant pursuant to Section 6.</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Stock-Based Award” means an award granted to a Participant pursuant to Section 7.</w:t>
      </w:r>
    </w:p>
    <w:p>
      <w:pPr>
        <w:spacing w:after="0" w:line="198" w:lineRule="exact"/>
        <w:rPr>
          <w:rFonts w:ascii="Arial" w:cs="Arial" w:eastAsia="Arial" w:hAnsi="Arial"/>
          <w:sz w:val="18"/>
          <w:szCs w:val="18"/>
          <w:color w:val="auto"/>
        </w:rPr>
      </w:pPr>
    </w:p>
    <w:p>
      <w:pPr>
        <w:ind w:left="1440" w:right="280" w:hanging="446"/>
        <w:spacing w:after="0" w:line="287"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“Participant” means an employee or director of the Company who is eligible to participate in the Plan and to whom one or more Incentive Awards have been granted pursuant to the Plan and have not been fully settled or cancelled and, following the death of any such Person, his successors, heirs, executors and administrators, as the case may be.</w:t>
      </w:r>
    </w:p>
    <w:p>
      <w:pPr>
        <w:spacing w:after="0" w:line="148" w:lineRule="exact"/>
        <w:rPr>
          <w:rFonts w:ascii="Arial" w:cs="Arial" w:eastAsia="Arial" w:hAnsi="Arial"/>
          <w:sz w:val="18"/>
          <w:szCs w:val="18"/>
          <w:color w:val="auto"/>
        </w:rPr>
      </w:pPr>
    </w:p>
    <w:p>
      <w:pPr>
        <w:ind w:left="1440" w:right="120" w:hanging="446"/>
        <w:spacing w:after="0" w:line="293"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“Performance-Based Compensation” means compensation that satisfies the requirements of Section 162(m) of the Code for deductibility of “qualified performance-based compensation.”</w:t>
      </w:r>
    </w:p>
    <w:p>
      <w:pPr>
        <w:spacing w:after="0" w:line="142" w:lineRule="exact"/>
        <w:rPr>
          <w:rFonts w:ascii="Arial" w:cs="Arial" w:eastAsia="Arial" w:hAnsi="Arial"/>
          <w:sz w:val="18"/>
          <w:szCs w:val="18"/>
          <w:color w:val="auto"/>
        </w:rPr>
      </w:pPr>
    </w:p>
    <w:p>
      <w:pPr>
        <w:ind w:left="1440" w:right="420" w:hanging="446"/>
        <w:spacing w:after="0" w:line="293"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Measures” means such measures as are described in Section 9 on which performance goals are based in order to qualify certain awards granted hereunder as Performance-Based Compensation.</w:t>
      </w:r>
    </w:p>
    <w:p>
      <w:pPr>
        <w:spacing w:after="0" w:line="142" w:lineRule="exact"/>
        <w:rPr>
          <w:rFonts w:ascii="Arial" w:cs="Arial" w:eastAsia="Arial" w:hAnsi="Arial"/>
          <w:sz w:val="18"/>
          <w:szCs w:val="18"/>
          <w:color w:val="auto"/>
        </w:rPr>
      </w:pPr>
    </w:p>
    <w:p>
      <w:pPr>
        <w:ind w:left="1440" w:right="20" w:hanging="446"/>
        <w:spacing w:after="0" w:line="293"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Percentage” means the factor determined pursuant to a Performance Schedule that is to be applied to a Target Award and that reflects actual performance compared to the Performance Target.</w:t>
      </w:r>
    </w:p>
    <w:p>
      <w:pPr>
        <w:spacing w:after="0" w:line="142" w:lineRule="exact"/>
        <w:rPr>
          <w:rFonts w:ascii="Arial" w:cs="Arial" w:eastAsia="Arial" w:hAnsi="Arial"/>
          <w:sz w:val="18"/>
          <w:szCs w:val="18"/>
          <w:color w:val="auto"/>
        </w:rPr>
      </w:pPr>
    </w:p>
    <w:p>
      <w:pPr>
        <w:ind w:left="1440" w:right="400" w:hanging="446"/>
        <w:spacing w:after="0" w:line="287"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Period” means the period of time during which Performance Targets must be met in order to determine the degree of payout and/or vesting with respect to an Incentive Award that is intended to qualify as Performance-Based Compensation. Performance Periods may be overlapping.</w:t>
      </w:r>
    </w:p>
    <w:p>
      <w:pPr>
        <w:spacing w:after="0" w:line="148" w:lineRule="exact"/>
        <w:rPr>
          <w:rFonts w:ascii="Arial" w:cs="Arial" w:eastAsia="Arial" w:hAnsi="Arial"/>
          <w:sz w:val="18"/>
          <w:szCs w:val="18"/>
          <w:color w:val="auto"/>
        </w:rPr>
      </w:pPr>
    </w:p>
    <w:p>
      <w:pPr>
        <w:ind w:left="1440" w:right="940" w:hanging="446"/>
        <w:spacing w:after="0" w:line="293"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Schedule” means a schedule or other objective method for determining the applicable Performance Percentage to be applied to each Target Award.</w:t>
      </w:r>
    </w:p>
    <w:p>
      <w:pPr>
        <w:spacing w:after="0" w:line="142"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Target” means performance goals and objectives with respect to a Performance Period.</w:t>
      </w:r>
    </w:p>
    <w:p>
      <w:pPr>
        <w:spacing w:after="0" w:line="198" w:lineRule="exact"/>
        <w:rPr>
          <w:rFonts w:ascii="Arial" w:cs="Arial" w:eastAsia="Arial" w:hAnsi="Arial"/>
          <w:sz w:val="18"/>
          <w:szCs w:val="18"/>
          <w:color w:val="auto"/>
        </w:rPr>
      </w:pPr>
    </w:p>
    <w:p>
      <w:pPr>
        <w:ind w:left="1440" w:right="40" w:hanging="446"/>
        <w:spacing w:after="0" w:line="293" w:lineRule="auto"/>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 means a “person” as such term is used in Section 13(d) and 14(d) of the Exchange Act, including any “group” within the meaning of Section 13(d)(3) under the Exchange Act.</w:t>
      </w:r>
    </w:p>
    <w:p>
      <w:pPr>
        <w:spacing w:after="0" w:line="142"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“Plan” means this 2012 Incentive Compensation Plan, as it may be amended from time to time.</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Incentive Award” means an Option or Other Stock-Based Award granted pursuant to the terms of the Plan.</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“Subsidiary” means any “subsidiary” within the meaning of Rule 405 under the Securities Act.</w:t>
      </w:r>
    </w:p>
    <w:p>
      <w:pPr>
        <w:spacing w:after="0" w:line="198" w:lineRule="exact"/>
        <w:rPr>
          <w:sz w:val="20"/>
          <w:szCs w:val="20"/>
          <w:color w:val="auto"/>
        </w:rPr>
      </w:pPr>
    </w:p>
    <w:p>
      <w:pPr>
        <w:ind w:left="1440" w:hanging="446"/>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“Target Award” means target payout amount for an Incentive Award.</w:t>
      </w:r>
    </w:p>
    <w:p>
      <w:pPr>
        <w:spacing w:after="0" w:line="198" w:lineRule="exact"/>
        <w:rPr>
          <w:rFonts w:ascii="Arial" w:cs="Arial" w:eastAsia="Arial" w:hAnsi="Arial"/>
          <w:sz w:val="18"/>
          <w:szCs w:val="18"/>
          <w:color w:val="auto"/>
        </w:rPr>
      </w:pPr>
    </w:p>
    <w:p>
      <w:pPr>
        <w:ind w:left="780" w:hanging="772"/>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 and Limitations on Cash Incentive Awards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198" w:lineRule="exact"/>
        <w:rPr>
          <w:sz w:val="20"/>
          <w:szCs w:val="20"/>
          <w:color w:val="auto"/>
        </w:rPr>
      </w:pPr>
    </w:p>
    <w:p>
      <w:pPr>
        <w:ind w:firstLine="770"/>
        <w:spacing w:after="0" w:line="287" w:lineRule="auto"/>
        <w:rPr>
          <w:sz w:val="20"/>
          <w:szCs w:val="20"/>
          <w:color w:val="auto"/>
        </w:rPr>
      </w:pPr>
      <w:r>
        <w:rPr>
          <w:rFonts w:ascii="Arial" w:cs="Arial" w:eastAsia="Arial" w:hAnsi="Arial"/>
          <w:sz w:val="18"/>
          <w:szCs w:val="18"/>
          <w:color w:val="auto"/>
        </w:rPr>
        <w:t>The maximum number of shares of Common Stock that may be covered by Incentive Awards granted under the Plan shall not exceed 772,588 shares of Common Stock in the aggregate. The shares referred to in the preceding sentence of this paragraph shall be subject to adjustment as provided in Section 10 and the following</w:t>
      </w:r>
    </w:p>
    <w:p>
      <w:pPr>
        <w:sectPr>
          <w:pgSz w:w="11900" w:h="16838" w:orient="portrait"/>
          <w:cols w:equalWidth="0" w:num="1">
            <w:col w:w="11420"/>
          </w:cols>
          <w:pgMar w:left="240" w:top="773" w:right="239" w:bottom="1440" w:gutter="0" w:footer="0" w:header="0"/>
        </w:sectPr>
      </w:pPr>
    </w:p>
    <w:bookmarkStart w:id="116" w:name="page117"/>
    <w:bookmarkEnd w:id="116"/>
    <w:p>
      <w:pPr>
        <w:ind w:right="40"/>
        <w:spacing w:after="0" w:line="293" w:lineRule="auto"/>
        <w:rPr>
          <w:sz w:val="20"/>
          <w:szCs w:val="20"/>
          <w:color w:val="auto"/>
        </w:rPr>
      </w:pPr>
      <w:r>
        <w:rPr>
          <w:rFonts w:ascii="Arial" w:cs="Arial" w:eastAsia="Arial" w:hAnsi="Arial"/>
          <w:sz w:val="18"/>
          <w:szCs w:val="18"/>
          <w:color w:val="auto"/>
        </w:rPr>
        <w:t>provisions of this Section 3. Shares of Common Stock issued under the Plan may be either authorized and unissued shares or treasury shares, or both, at the sole discretion of the Committee.</w:t>
      </w:r>
    </w:p>
    <w:p>
      <w:pPr>
        <w:spacing w:after="0" w:line="143" w:lineRule="exact"/>
        <w:rPr>
          <w:sz w:val="20"/>
          <w:szCs w:val="20"/>
          <w:color w:val="auto"/>
        </w:rPr>
      </w:pPr>
    </w:p>
    <w:p>
      <w:pPr>
        <w:ind w:right="20" w:firstLine="770"/>
        <w:spacing w:after="0" w:line="282" w:lineRule="auto"/>
        <w:rPr>
          <w:sz w:val="20"/>
          <w:szCs w:val="20"/>
          <w:color w:val="auto"/>
        </w:rPr>
      </w:pPr>
      <w:r>
        <w:rPr>
          <w:rFonts w:ascii="Arial" w:cs="Arial" w:eastAsia="Arial" w:hAnsi="Arial"/>
          <w:sz w:val="18"/>
          <w:szCs w:val="18"/>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For purposes of clarification, in accordance with the preceding sentence if an Incentive Award is settled for cash or if shares of Common Stock are withheld to pay the exercise price of an Option or to satisfy any tax withholding requirement in connection with an Incentive Award, only the shares issued (if any), net of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be added to the number of shares of Common Stock that are available for delivery under the Plan. 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New York Stock Exchange Listed Company Manual) shall not count as used under the Plan for purposes of this Section 3.</w:t>
      </w:r>
    </w:p>
    <w:p>
      <w:pPr>
        <w:spacing w:after="0" w:line="160" w:lineRule="exact"/>
        <w:rPr>
          <w:sz w:val="20"/>
          <w:szCs w:val="20"/>
          <w:color w:val="auto"/>
        </w:rPr>
      </w:pPr>
    </w:p>
    <w:p>
      <w:pPr>
        <w:ind w:left="1440" w:hanging="446"/>
        <w:spacing w:after="0"/>
        <w:tabs>
          <w:tab w:leader="none" w:pos="14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Individual Award Limits</w:t>
      </w:r>
    </w:p>
    <w:p>
      <w:pPr>
        <w:spacing w:after="0" w:line="198" w:lineRule="exact"/>
        <w:rPr>
          <w:sz w:val="20"/>
          <w:szCs w:val="20"/>
          <w:color w:val="auto"/>
        </w:rPr>
      </w:pPr>
    </w:p>
    <w:p>
      <w:pPr>
        <w:ind w:right="20" w:firstLine="770"/>
        <w:spacing w:after="0" w:line="283" w:lineRule="auto"/>
        <w:rPr>
          <w:sz w:val="20"/>
          <w:szCs w:val="20"/>
          <w:color w:val="auto"/>
        </w:rPr>
      </w:pPr>
      <w:r>
        <w:rPr>
          <w:rFonts w:ascii="Arial" w:cs="Arial" w:eastAsia="Arial" w:hAnsi="Arial"/>
          <w:sz w:val="18"/>
          <w:szCs w:val="18"/>
          <w:color w:val="auto"/>
        </w:rPr>
        <w:t>Subject to adjustment as provided in Section 10, the maximum number of shares of Common Stock that may be covered by Incentive Awards granted under the Plan to any Covered Employee in any calendar year shall not exceed 77,258 shares. The amount payable to any Covered Employee with respect to any calendar year for all Cash Incentive Awards shall not exceed $25 million. For purposes of the preceding sentences, the phrase “amount payable with respect to any calendar year” means the amount of cash, or value of other property, required to be paid based on the achievement of applicable Performance Measures during a Performance Period that ends in a calendar year, disregarding any deferral pursuant to the terms of a Deferred Compensation Plan unless the terms of the deferral are intended to comply with the requirements for performance-based compensation under Section 162(m) of the Code.</w:t>
      </w:r>
    </w:p>
    <w:p>
      <w:pPr>
        <w:spacing w:after="0" w:line="155" w:lineRule="exact"/>
        <w:rPr>
          <w:sz w:val="20"/>
          <w:szCs w:val="20"/>
          <w:color w:val="auto"/>
        </w:rPr>
      </w:pPr>
    </w:p>
    <w:p>
      <w:pPr>
        <w:ind w:left="780" w:hanging="772"/>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98" w:lineRule="exact"/>
        <w:rPr>
          <w:sz w:val="20"/>
          <w:szCs w:val="20"/>
          <w:color w:val="auto"/>
        </w:rPr>
      </w:pPr>
    </w:p>
    <w:p>
      <w:pPr>
        <w:ind w:firstLine="770"/>
        <w:spacing w:after="0" w:line="283" w:lineRule="auto"/>
        <w:rPr>
          <w:sz w:val="20"/>
          <w:szCs w:val="20"/>
          <w:color w:val="auto"/>
        </w:rPr>
      </w:pPr>
      <w:r>
        <w:rPr>
          <w:rFonts w:ascii="Arial" w:cs="Arial" w:eastAsia="Arial" w:hAnsi="Arial"/>
          <w:sz w:val="18"/>
          <w:szCs w:val="18"/>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within the meaning of any applicable stock exchange listing rules or similar regulatory authority. The Committee shall, consistent with the terms of the Plan, from time to time designate those employees and directors of the Company who shall be granted Incentive Awards under the Plan and the amount, type and other terms and conditions of such Incentive Awards. All of the powers and responsibilities of the Committee under the Plan may be delegated by the Committee to any subcommittee thereof. In addition, the Committee may from time to time authorize a subcommittee consisting of one or more members of the Board of Directors (including members who are employees of the Company) or employees of the Company to grant Incentive Awards, subject to such restrictions and limitation as the Committee may specify and to the requirements of Delaware General Corporation Law Section 157.</w:t>
      </w:r>
    </w:p>
    <w:p>
      <w:pPr>
        <w:spacing w:after="0" w:line="152" w:lineRule="exact"/>
        <w:rPr>
          <w:sz w:val="20"/>
          <w:szCs w:val="20"/>
          <w:color w:val="auto"/>
        </w:rPr>
      </w:pPr>
    </w:p>
    <w:p>
      <w:pPr>
        <w:ind w:firstLine="770"/>
        <w:spacing w:after="0" w:line="285" w:lineRule="auto"/>
        <w:rPr>
          <w:sz w:val="20"/>
          <w:szCs w:val="20"/>
          <w:color w:val="auto"/>
        </w:rPr>
      </w:pPr>
      <w:r>
        <w:rPr>
          <w:rFonts w:ascii="Arial" w:cs="Arial" w:eastAsia="Arial" w:hAnsi="Arial"/>
          <w:sz w:val="18"/>
          <w:szCs w:val="18"/>
          <w:color w:val="auto"/>
        </w:rPr>
        <w:t>The Committee shall have full discretionary authority to administer the Plan, including discretionary authority to interpret and construe any and all provisions of the Plan and the terms of any Incentive Award (and any agreement evidencing any Incentive Award) granted thereunder and to adopt and amend from time to time such rules and regulations for the administration of the Plan as the Committee may deem necessary or appropriate. Without limiting the generality of the foregoing, the Committee shall determine whether an authorized leave of</w:t>
      </w:r>
    </w:p>
    <w:p>
      <w:pPr>
        <w:sectPr>
          <w:pgSz w:w="11900" w:h="16838" w:orient="portrait"/>
          <w:cols w:equalWidth="0" w:num="1">
            <w:col w:w="11420"/>
          </w:cols>
          <w:pgMar w:left="240" w:top="773" w:right="239" w:bottom="1440" w:gutter="0" w:footer="0" w:header="0"/>
        </w:sectPr>
      </w:pPr>
    </w:p>
    <w:bookmarkStart w:id="117" w:name="page118"/>
    <w:bookmarkEnd w:id="117"/>
    <w:p>
      <w:pPr>
        <w:ind w:right="80"/>
        <w:spacing w:after="0" w:line="284" w:lineRule="auto"/>
        <w:rPr>
          <w:sz w:val="20"/>
          <w:szCs w:val="20"/>
          <w:color w:val="auto"/>
        </w:rPr>
      </w:pPr>
      <w:r>
        <w:rPr>
          <w:rFonts w:ascii="Arial" w:cs="Arial" w:eastAsia="Arial" w:hAnsi="Arial"/>
          <w:sz w:val="18"/>
          <w:szCs w:val="18"/>
          <w:color w:val="auto"/>
        </w:rPr>
        <w:t>absence, or absence in military or government service, shall constitute termination of employment. The employment of a Participant with the Company shall be deemed to have terminated for all purposes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or simultaneously commences, services as a director of the Company shall not be deemed to have had a termination of employment for purposes of the Plan. Decisions of the Committee shall be final, binding and conclusive on all parties.</w:t>
      </w:r>
    </w:p>
    <w:p>
      <w:pPr>
        <w:spacing w:after="0" w:line="151" w:lineRule="exact"/>
        <w:rPr>
          <w:sz w:val="20"/>
          <w:szCs w:val="20"/>
          <w:color w:val="auto"/>
        </w:rPr>
      </w:pPr>
    </w:p>
    <w:p>
      <w:pPr>
        <w:ind w:right="20" w:firstLine="770"/>
        <w:spacing w:after="0" w:line="298" w:lineRule="auto"/>
        <w:rPr>
          <w:sz w:val="20"/>
          <w:szCs w:val="20"/>
          <w:color w:val="auto"/>
        </w:rPr>
      </w:pPr>
      <w:r>
        <w:rPr>
          <w:rFonts w:ascii="Arial" w:cs="Arial" w:eastAsia="Arial" w:hAnsi="Arial"/>
          <w:sz w:val="17"/>
          <w:szCs w:val="17"/>
          <w:color w:val="auto"/>
        </w:rPr>
        <w:t>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w:t>
      </w:r>
    </w:p>
    <w:p>
      <w:pPr>
        <w:spacing w:after="0" w:line="2" w:lineRule="exact"/>
        <w:rPr>
          <w:sz w:val="20"/>
          <w:szCs w:val="20"/>
          <w:color w:val="auto"/>
        </w:rPr>
      </w:pPr>
    </w:p>
    <w:p>
      <w:pPr>
        <w:ind w:right="80" w:firstLine="8"/>
        <w:spacing w:after="0" w:line="285" w:lineRule="auto"/>
        <w:tabs>
          <w:tab w:leader="none" w:pos="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provide for the payment of dividends or dividend equivalents with respect to any such Incentive Award;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Section 303A.08 of the New York Stock Exchange Listed Company Manual) without the approval of the shareholders of GHC.</w:t>
      </w:r>
    </w:p>
    <w:p>
      <w:pPr>
        <w:spacing w:after="0" w:line="151" w:lineRule="exact"/>
        <w:rPr>
          <w:sz w:val="20"/>
          <w:szCs w:val="20"/>
          <w:color w:val="auto"/>
        </w:rPr>
      </w:pPr>
    </w:p>
    <w:p>
      <w:pPr>
        <w:ind w:right="80" w:firstLine="770"/>
        <w:spacing w:after="0" w:line="287" w:lineRule="auto"/>
        <w:rPr>
          <w:sz w:val="20"/>
          <w:szCs w:val="20"/>
          <w:color w:val="auto"/>
        </w:rPr>
      </w:pPr>
      <w:r>
        <w:rPr>
          <w:rFonts w:ascii="Arial" w:cs="Arial" w:eastAsia="Arial" w:hAnsi="Arial"/>
          <w:sz w:val="18"/>
          <w:szCs w:val="18"/>
          <w:color w:val="auto"/>
        </w:rPr>
        <w:t>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49" w:lineRule="exact"/>
        <w:rPr>
          <w:sz w:val="20"/>
          <w:szCs w:val="20"/>
          <w:color w:val="auto"/>
        </w:rPr>
      </w:pPr>
    </w:p>
    <w:p>
      <w:pPr>
        <w:ind w:right="40" w:firstLine="770"/>
        <w:spacing w:after="0" w:line="284" w:lineRule="auto"/>
        <w:rPr>
          <w:sz w:val="20"/>
          <w:szCs w:val="20"/>
          <w:color w:val="auto"/>
        </w:rPr>
      </w:pPr>
      <w:r>
        <w:rPr>
          <w:rFonts w:ascii="Arial" w:cs="Arial" w:eastAsia="Arial" w:hAnsi="Arial"/>
          <w:sz w:val="18"/>
          <w:szCs w:val="18"/>
          <w:color w:val="auto"/>
        </w:rPr>
        <w:t>No member of the Committee shall be liable for any action, omission, or determination relating to the Plan, and GHC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151" w:lineRule="exact"/>
        <w:rPr>
          <w:sz w:val="20"/>
          <w:szCs w:val="20"/>
          <w:color w:val="auto"/>
        </w:rPr>
      </w:pPr>
    </w:p>
    <w:p>
      <w:pPr>
        <w:ind w:left="780" w:hanging="772"/>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98" w:lineRule="exact"/>
        <w:rPr>
          <w:sz w:val="20"/>
          <w:szCs w:val="20"/>
          <w:color w:val="auto"/>
        </w:rPr>
      </w:pPr>
    </w:p>
    <w:p>
      <w:pPr>
        <w:ind w:right="360" w:firstLine="770"/>
        <w:spacing w:after="0" w:line="287" w:lineRule="auto"/>
        <w:rPr>
          <w:sz w:val="20"/>
          <w:szCs w:val="20"/>
          <w:color w:val="auto"/>
        </w:rPr>
      </w:pPr>
      <w:r>
        <w:rPr>
          <w:rFonts w:ascii="Arial" w:cs="Arial" w:eastAsia="Arial" w:hAnsi="Arial"/>
          <w:sz w:val="18"/>
          <w:szCs w:val="18"/>
          <w:color w:val="auto"/>
        </w:rPr>
        <w:t>The Persons who shall be eligible to receive Incentive Awards pursuant to the Plan shall be those employees and directors of the Company whom the Committee shall select from time to time. Each Incentive Award granted under the Plan shall be evidenced by an instrument in writing in form and substance approved by the Committee.</w:t>
      </w:r>
    </w:p>
    <w:p>
      <w:pPr>
        <w:spacing w:after="0" w:line="149" w:lineRule="exact"/>
        <w:rPr>
          <w:sz w:val="20"/>
          <w:szCs w:val="20"/>
          <w:color w:val="auto"/>
        </w:rPr>
      </w:pPr>
    </w:p>
    <w:p>
      <w:pPr>
        <w:ind w:left="780" w:hanging="772"/>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9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Committee may from time to time grant Options, subject to the following terms and conditions: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Exercise Price</w:t>
      </w:r>
    </w:p>
    <w:p>
      <w:pPr>
        <w:spacing w:after="0" w:line="198" w:lineRule="exact"/>
        <w:rPr>
          <w:sz w:val="20"/>
          <w:szCs w:val="20"/>
          <w:color w:val="auto"/>
        </w:rPr>
      </w:pPr>
    </w:p>
    <w:p>
      <w:pPr>
        <w:ind w:right="460" w:firstLine="770"/>
        <w:spacing w:after="0" w:line="293" w:lineRule="auto"/>
        <w:rPr>
          <w:sz w:val="20"/>
          <w:szCs w:val="20"/>
          <w:color w:val="auto"/>
        </w:rPr>
      </w:pPr>
      <w:r>
        <w:rPr>
          <w:rFonts w:ascii="Arial" w:cs="Arial" w:eastAsia="Arial" w:hAnsi="Arial"/>
          <w:sz w:val="18"/>
          <w:szCs w:val="18"/>
          <w:color w:val="auto"/>
        </w:rPr>
        <w:t>The exercise price per share of Common Stock covered by any Option shall be not less than 100% of the Fair Market Value of a share of Common Stock on the date on which such Option is granted.</w:t>
      </w:r>
    </w:p>
    <w:p>
      <w:pPr>
        <w:spacing w:after="0" w:line="143" w:lineRule="exact"/>
        <w:rPr>
          <w:sz w:val="20"/>
          <w:szCs w:val="20"/>
          <w:color w:val="auto"/>
        </w:rPr>
      </w:pPr>
    </w:p>
    <w:p>
      <w:pPr>
        <w:ind w:left="1440" w:hanging="446"/>
        <w:spacing w:after="0"/>
        <w:tabs>
          <w:tab w:leader="none" w:pos="144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Term and Exercise of Options</w:t>
      </w:r>
    </w:p>
    <w:p>
      <w:pPr>
        <w:spacing w:after="0" w:line="198" w:lineRule="exact"/>
        <w:rPr>
          <w:rFonts w:ascii="Arial" w:cs="Arial" w:eastAsia="Arial" w:hAnsi="Arial"/>
          <w:sz w:val="18"/>
          <w:szCs w:val="18"/>
          <w:color w:val="auto"/>
        </w:rPr>
      </w:pPr>
    </w:p>
    <w:p>
      <w:pPr>
        <w:ind w:firstLine="778"/>
        <w:spacing w:after="0" w:line="287" w:lineRule="auto"/>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Each Option shall become vested and exercisable on such date or dates, during such period and for such number of shares of Common Stock as shall be determined by the Committee on or after the date such Option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Option shall be exercisable after the expiration of ten years from the date</w:t>
      </w:r>
    </w:p>
    <w:p>
      <w:pPr>
        <w:sectPr>
          <w:pgSz w:w="11900" w:h="16838" w:orient="portrait"/>
          <w:cols w:equalWidth="0" w:num="1">
            <w:col w:w="11400"/>
          </w:cols>
          <w:pgMar w:left="240" w:top="773" w:right="259" w:bottom="1440" w:gutter="0" w:footer="0" w:header="0"/>
        </w:sectPr>
      </w:pPr>
    </w:p>
    <w:bookmarkStart w:id="118" w:name="page119"/>
    <w:bookmarkEnd w:id="118"/>
    <w:p>
      <w:pPr>
        <w:ind w:right="100"/>
        <w:spacing w:after="0" w:line="293" w:lineRule="auto"/>
        <w:rPr>
          <w:sz w:val="20"/>
          <w:szCs w:val="20"/>
          <w:color w:val="auto"/>
        </w:rPr>
      </w:pPr>
      <w:r>
        <w:rPr>
          <w:rFonts w:ascii="Arial" w:cs="Arial" w:eastAsia="Arial" w:hAnsi="Arial"/>
          <w:sz w:val="18"/>
          <w:szCs w:val="18"/>
          <w:color w:val="auto"/>
        </w:rPr>
        <w:t xml:space="preserve">such Option is granted;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Option shall be subject to earlier termination, expiration or cancellation as provided in the Plan or in the agreement evidencing such Option.</w:t>
      </w:r>
    </w:p>
    <w:p>
      <w:pPr>
        <w:spacing w:after="0" w:line="143" w:lineRule="exact"/>
        <w:rPr>
          <w:sz w:val="20"/>
          <w:szCs w:val="20"/>
          <w:color w:val="auto"/>
        </w:rPr>
      </w:pPr>
    </w:p>
    <w:p>
      <w:pPr>
        <w:ind w:right="40" w:firstLine="778"/>
        <w:spacing w:after="0" w:line="287"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Each Option may be exercised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partial exercise of an Option shall be for an aggregate exercise price of less than $1,000. The partial exercise of an Option shall not cause the expiration, termination or cancellation of the remaining portion thereof.</w:t>
      </w:r>
    </w:p>
    <w:p>
      <w:pPr>
        <w:spacing w:after="0" w:line="148" w:lineRule="exact"/>
        <w:rPr>
          <w:rFonts w:ascii="Arial" w:cs="Arial" w:eastAsia="Arial" w:hAnsi="Arial"/>
          <w:sz w:val="18"/>
          <w:szCs w:val="18"/>
          <w:color w:val="auto"/>
        </w:rPr>
      </w:pPr>
    </w:p>
    <w:p>
      <w:pPr>
        <w:ind w:right="100" w:firstLine="778"/>
        <w:spacing w:after="0" w:line="293"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 or other method of cashless exercise.</w:t>
      </w:r>
    </w:p>
    <w:p>
      <w:pPr>
        <w:spacing w:after="0" w:line="142" w:lineRule="exact"/>
        <w:rPr>
          <w:rFonts w:ascii="Arial" w:cs="Arial" w:eastAsia="Arial" w:hAnsi="Arial"/>
          <w:sz w:val="18"/>
          <w:szCs w:val="18"/>
          <w:color w:val="auto"/>
        </w:rPr>
      </w:pPr>
    </w:p>
    <w:p>
      <w:pPr>
        <w:ind w:right="100" w:firstLine="778"/>
        <w:spacing w:after="0" w:line="285"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Options may not be sold, pledged, assigned, hypothecated, transferred, or disposed of in any manner other than by will or by the laws of descent or distribution and may be exercised, during the lifetime of a Participant, only by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Committee may permit in its discretion Options to be sold, pledged, assigned, hypothecated, transferred, or disposed of, on a general or specific basis, subject to such conditions and limitations as the Committee may determine.</w:t>
      </w:r>
    </w:p>
    <w:p>
      <w:pPr>
        <w:spacing w:after="0" w:line="151" w:lineRule="exact"/>
        <w:rPr>
          <w:rFonts w:ascii="Arial" w:cs="Arial" w:eastAsia="Arial" w:hAnsi="Arial"/>
          <w:sz w:val="18"/>
          <w:szCs w:val="18"/>
          <w:color w:val="auto"/>
        </w:rPr>
      </w:pPr>
    </w:p>
    <w:p>
      <w:pPr>
        <w:ind w:left="1440" w:hanging="446"/>
        <w:spacing w:after="0"/>
        <w:tabs>
          <w:tab w:leader="none" w:pos="144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Other Relationship</w:t>
      </w:r>
    </w:p>
    <w:p>
      <w:pPr>
        <w:spacing w:after="0" w:line="198" w:lineRule="exact"/>
        <w:rPr>
          <w:sz w:val="20"/>
          <w:szCs w:val="20"/>
          <w:color w:val="auto"/>
        </w:rPr>
      </w:pPr>
    </w:p>
    <w:p>
      <w:pPr>
        <w:ind w:firstLine="770"/>
        <w:spacing w:after="0" w:line="293" w:lineRule="auto"/>
        <w:rPr>
          <w:sz w:val="20"/>
          <w:szCs w:val="20"/>
          <w:color w:val="auto"/>
        </w:rPr>
      </w:pPr>
      <w:r>
        <w:rPr>
          <w:rFonts w:ascii="Arial" w:cs="Arial" w:eastAsia="Arial" w:hAnsi="Arial"/>
          <w:sz w:val="18"/>
          <w:szCs w:val="18"/>
          <w:color w:val="auto"/>
        </w:rPr>
        <w:t>The agreement evidencing the award of each Option shall specify the consequences with respect to such Option of the termination of the employment or other service between the Company and the Participant holding the Option.</w:t>
      </w:r>
    </w:p>
    <w:p>
      <w:pPr>
        <w:spacing w:after="0" w:line="143" w:lineRule="exact"/>
        <w:rPr>
          <w:sz w:val="20"/>
          <w:szCs w:val="20"/>
          <w:color w:val="auto"/>
        </w:rPr>
      </w:pPr>
    </w:p>
    <w:p>
      <w:pPr>
        <w:ind w:left="780" w:hanging="772"/>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98" w:lineRule="exact"/>
        <w:rPr>
          <w:sz w:val="20"/>
          <w:szCs w:val="20"/>
          <w:color w:val="auto"/>
        </w:rPr>
      </w:pPr>
    </w:p>
    <w:p>
      <w:pPr>
        <w:ind w:firstLine="770"/>
        <w:spacing w:after="0" w:line="283" w:lineRule="auto"/>
        <w:rPr>
          <w:sz w:val="20"/>
          <w:szCs w:val="20"/>
          <w:color w:val="auto"/>
        </w:rPr>
      </w:pPr>
      <w:r>
        <w:rPr>
          <w:rFonts w:ascii="Arial" w:cs="Arial" w:eastAsia="Arial" w:hAnsi="Arial"/>
          <w:sz w:val="18"/>
          <w:szCs w:val="18"/>
          <w:color w:val="auto"/>
        </w:rPr>
        <w:t xml:space="preserve">The Committee may grant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that each Other Stock-Based Award shall be denominated in, or shall have a value determined by reference to, a number of shares of Common Stock that is specified at the time of the grant of such award.</w:t>
      </w:r>
    </w:p>
    <w:p>
      <w:pPr>
        <w:spacing w:after="0" w:line="153" w:lineRule="exact"/>
        <w:rPr>
          <w:sz w:val="20"/>
          <w:szCs w:val="20"/>
          <w:color w:val="auto"/>
        </w:rPr>
      </w:pPr>
    </w:p>
    <w:p>
      <w:pPr>
        <w:ind w:left="780" w:hanging="772"/>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198" w:lineRule="exact"/>
        <w:rPr>
          <w:sz w:val="20"/>
          <w:szCs w:val="20"/>
          <w:color w:val="auto"/>
        </w:rPr>
      </w:pPr>
    </w:p>
    <w:p>
      <w:pPr>
        <w:ind w:right="60" w:firstLine="770"/>
        <w:spacing w:after="0" w:line="285" w:lineRule="auto"/>
        <w:rPr>
          <w:sz w:val="20"/>
          <w:szCs w:val="20"/>
          <w:color w:val="auto"/>
        </w:rPr>
      </w:pPr>
      <w:r>
        <w:rPr>
          <w:rFonts w:ascii="Arial" w:cs="Arial" w:eastAsia="Arial" w:hAnsi="Arial"/>
          <w:sz w:val="18"/>
          <w:szCs w:val="18"/>
          <w:color w:val="auto"/>
        </w:rPr>
        <w:t>The Committee may grant Cash Incentive Awards with respect to any Performance Period, subject to the terms and conditions of the Plan. Cash Incentive Awards may be settled in cash or in other property, including shares of Common Stock, provided that the term “Cash Incentive Award” shall exclude any Stock Incentive Award. Cash Incentive Awards may be designed to qualify as Performance-Based Compensation.</w:t>
      </w:r>
    </w:p>
    <w:p>
      <w:pPr>
        <w:spacing w:after="0" w:line="151" w:lineRule="exact"/>
        <w:rPr>
          <w:sz w:val="20"/>
          <w:szCs w:val="20"/>
          <w:color w:val="auto"/>
        </w:rPr>
      </w:pPr>
    </w:p>
    <w:p>
      <w:pPr>
        <w:ind w:left="780" w:hanging="772"/>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Calculation</w:t>
      </w:r>
    </w:p>
    <w:p>
      <w:pPr>
        <w:spacing w:after="0" w:line="198" w:lineRule="exact"/>
        <w:rPr>
          <w:sz w:val="20"/>
          <w:szCs w:val="20"/>
          <w:color w:val="auto"/>
        </w:rPr>
      </w:pPr>
    </w:p>
    <w:p>
      <w:pPr>
        <w:ind w:right="360" w:firstLine="770"/>
        <w:spacing w:after="0" w:line="293" w:lineRule="auto"/>
        <w:rPr>
          <w:sz w:val="20"/>
          <w:szCs w:val="20"/>
          <w:color w:val="auto"/>
        </w:rPr>
      </w:pPr>
      <w:r>
        <w:rPr>
          <w:rFonts w:ascii="Arial" w:cs="Arial" w:eastAsia="Arial" w:hAnsi="Arial"/>
          <w:sz w:val="18"/>
          <w:szCs w:val="18"/>
          <w:color w:val="auto"/>
        </w:rPr>
        <w:t>The amount payable with respect to an Incentive Award that is intended to qualify as Performance-Based Compensation shall be determined in any manner permitted by Section 162(m) of the Code.</w:t>
      </w:r>
    </w:p>
    <w:p>
      <w:pPr>
        <w:spacing w:after="0" w:line="143" w:lineRule="exact"/>
        <w:rPr>
          <w:sz w:val="20"/>
          <w:szCs w:val="20"/>
          <w:color w:val="auto"/>
        </w:rPr>
      </w:pPr>
    </w:p>
    <w:p>
      <w:pPr>
        <w:ind w:left="1440" w:hanging="446"/>
        <w:spacing w:after="0"/>
        <w:tabs>
          <w:tab w:leader="none" w:pos="14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Discretionary Reduction</w:t>
      </w:r>
    </w:p>
    <w:p>
      <w:pPr>
        <w:spacing w:after="0" w:line="198" w:lineRule="exact"/>
        <w:rPr>
          <w:sz w:val="20"/>
          <w:szCs w:val="20"/>
          <w:color w:val="auto"/>
        </w:rPr>
      </w:pPr>
    </w:p>
    <w:p>
      <w:pPr>
        <w:ind w:right="200" w:firstLine="770"/>
        <w:spacing w:after="0" w:line="285" w:lineRule="auto"/>
        <w:rPr>
          <w:sz w:val="20"/>
          <w:szCs w:val="20"/>
          <w:color w:val="auto"/>
        </w:rPr>
      </w:pPr>
      <w:r>
        <w:rPr>
          <w:rFonts w:ascii="Arial" w:cs="Arial" w:eastAsia="Arial" w:hAnsi="Arial"/>
          <w:sz w:val="18"/>
          <w:szCs w:val="18"/>
          <w:color w:val="auto"/>
        </w:rPr>
        <w:t>Unless otherwise specified in the agreement evidencing the grant of an Incentive Award that is intended to qualify as Performance-Based Compensation, the Committee may, in its discretion, reduce or eliminate the amount payable to any Participant with respect to the Incentive Award, based on such factors as the Committee may deem relevant, but the Committee may not increase any such amount above the amount established in accordance with</w:t>
      </w:r>
    </w:p>
    <w:p>
      <w:pPr>
        <w:sectPr>
          <w:pgSz w:w="11900" w:h="16838" w:orient="portrait"/>
          <w:cols w:equalWidth="0" w:num="1">
            <w:col w:w="11380"/>
          </w:cols>
          <w:pgMar w:left="240" w:top="773" w:right="279" w:bottom="1440" w:gutter="0" w:footer="0" w:header="0"/>
        </w:sectPr>
      </w:pPr>
    </w:p>
    <w:bookmarkStart w:id="119" w:name="page120"/>
    <w:bookmarkEnd w:id="119"/>
    <w:p>
      <w:pPr>
        <w:ind w:right="40"/>
        <w:spacing w:after="0" w:line="293" w:lineRule="auto"/>
        <w:rPr>
          <w:sz w:val="20"/>
          <w:szCs w:val="20"/>
          <w:color w:val="auto"/>
        </w:rPr>
      </w:pPr>
      <w:r>
        <w:rPr>
          <w:rFonts w:ascii="Arial" w:cs="Arial" w:eastAsia="Arial" w:hAnsi="Arial"/>
          <w:sz w:val="18"/>
          <w:szCs w:val="18"/>
          <w:color w:val="auto"/>
        </w:rPr>
        <w:t>the relevant Performance Schedule. For purposes of clarity, the Committee may exercise the discretion provided for by the foregoing sentence in a non-uniform manner among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40" w:hanging="446"/>
        <w:spacing w:after="0"/>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p>
    <w:p>
      <w:pPr>
        <w:spacing w:after="0" w:line="198" w:lineRule="exact"/>
        <w:rPr>
          <w:sz w:val="20"/>
          <w:szCs w:val="20"/>
          <w:color w:val="auto"/>
        </w:rPr>
      </w:pPr>
    </w:p>
    <w:p>
      <w:pPr>
        <w:ind w:right="20" w:firstLine="770"/>
        <w:spacing w:after="0" w:line="283" w:lineRule="auto"/>
        <w:rPr>
          <w:sz w:val="20"/>
          <w:szCs w:val="20"/>
          <w:color w:val="auto"/>
        </w:rPr>
      </w:pPr>
      <w:r>
        <w:rPr>
          <w:rFonts w:ascii="Arial" w:cs="Arial" w:eastAsia="Arial" w:hAnsi="Arial"/>
          <w:sz w:val="18"/>
          <w:szCs w:val="18"/>
          <w:color w:val="auto"/>
        </w:rPr>
        <w:t>The performance goals upon which the payment or vesting of any Incentive Award (other than Options and stock appreciation rights) that is intended to qualify as Performance-Based Compensation depends shall relate to one or more of the following Performance Measures: market price of Common Stock, earnings per share of Common Stock, net income or profit (before or after taxes), return on stockholder equity, cash flow, return on assets, earnings before interest and taxes, earnings before interest, taxes, depreciation and amortization, earnings from continuing operations, sales or revenues,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performance that can be determined pursuant to U.S. generally accepted accounting principles, or any combination of any of the foregoing.</w:t>
      </w:r>
    </w:p>
    <w:p>
      <w:pPr>
        <w:spacing w:after="0" w:line="154" w:lineRule="exact"/>
        <w:rPr>
          <w:sz w:val="20"/>
          <w:szCs w:val="20"/>
          <w:color w:val="auto"/>
        </w:rPr>
      </w:pPr>
    </w:p>
    <w:p>
      <w:pPr>
        <w:ind w:right="40" w:firstLine="770"/>
        <w:spacing w:after="0" w:line="283" w:lineRule="auto"/>
        <w:rPr>
          <w:sz w:val="20"/>
          <w:szCs w:val="20"/>
          <w:color w:val="auto"/>
        </w:rPr>
      </w:pPr>
      <w:r>
        <w:rPr>
          <w:rFonts w:ascii="Arial" w:cs="Arial" w:eastAsia="Arial" w:hAnsi="Arial"/>
          <w:sz w:val="18"/>
          <w:szCs w:val="18"/>
          <w:color w:val="auto"/>
        </w:rPr>
        <w:t>A Performance Measure (i) may relate to the performance of the Participant, GHC, a Subsidiary, any business group, any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external measure of the selected performance criteria, as the Committee deems appropriate. The measurement of any Performance Measure may exclude the impact of charges for restructurings, discontinued operations, extraordinary items, and other unusual or non-recurring items, and the cumulative effects of accounting changes, each as defined by generally accepted accounting principles and as identified in the Company’s audited financial statements, including the notes thereto.</w:t>
      </w:r>
    </w:p>
    <w:p>
      <w:pPr>
        <w:spacing w:after="0" w:line="155" w:lineRule="exact"/>
        <w:rPr>
          <w:sz w:val="20"/>
          <w:szCs w:val="20"/>
          <w:color w:val="auto"/>
        </w:rPr>
      </w:pPr>
    </w:p>
    <w:p>
      <w:pPr>
        <w:ind w:left="1440" w:hanging="446"/>
        <w:spacing w:after="0"/>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Performance Schedules</w:t>
      </w:r>
    </w:p>
    <w:p>
      <w:pPr>
        <w:spacing w:after="0" w:line="198" w:lineRule="exact"/>
        <w:rPr>
          <w:sz w:val="20"/>
          <w:szCs w:val="20"/>
          <w:color w:val="auto"/>
        </w:rPr>
      </w:pPr>
    </w:p>
    <w:p>
      <w:pPr>
        <w:ind w:firstLine="770"/>
        <w:spacing w:after="0" w:line="287" w:lineRule="auto"/>
        <w:rPr>
          <w:sz w:val="20"/>
          <w:szCs w:val="20"/>
          <w:color w:val="auto"/>
        </w:rPr>
      </w:pPr>
      <w:r>
        <w:rPr>
          <w:rFonts w:ascii="Arial" w:cs="Arial" w:eastAsia="Arial" w:hAnsi="Arial"/>
          <w:sz w:val="18"/>
          <w:szCs w:val="18"/>
          <w:color w:val="auto"/>
        </w:rPr>
        <w:t>Within 90 days after the beginning of a Performance Period, and in any case before 25% of the Performance Period has elapsed, the Committee shall establish (a) Performance Targets for such Performance Period, (b) Target Awards for each Participant, and (c) Performance Schedules for such Performance Period.</w:t>
      </w:r>
    </w:p>
    <w:p>
      <w:pPr>
        <w:spacing w:after="0" w:line="149" w:lineRule="exact"/>
        <w:rPr>
          <w:sz w:val="20"/>
          <w:szCs w:val="20"/>
          <w:color w:val="auto"/>
        </w:rPr>
      </w:pPr>
    </w:p>
    <w:p>
      <w:pPr>
        <w:ind w:left="1440" w:hanging="446"/>
        <w:spacing w:after="0"/>
        <w:tabs>
          <w:tab w:leader="none" w:pos="14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198" w:lineRule="exact"/>
        <w:rPr>
          <w:sz w:val="20"/>
          <w:szCs w:val="20"/>
          <w:color w:val="auto"/>
        </w:rPr>
      </w:pPr>
    </w:p>
    <w:p>
      <w:pPr>
        <w:ind w:right="60" w:firstLine="770"/>
        <w:spacing w:after="0" w:line="285" w:lineRule="auto"/>
        <w:rPr>
          <w:sz w:val="20"/>
          <w:szCs w:val="20"/>
          <w:color w:val="auto"/>
        </w:rPr>
      </w:pPr>
      <w:r>
        <w:rPr>
          <w:rFonts w:ascii="Arial" w:cs="Arial" w:eastAsia="Arial" w:hAnsi="Arial"/>
          <w:sz w:val="18"/>
          <w:szCs w:val="18"/>
          <w:color w:val="auto"/>
        </w:rPr>
        <w:t>The consequences with respect to a Performance-Based Award of the termination of employment of the Participant holding the Performance-Based Award shall be determined by the Committee in its sole discretion and set forth in the applicable Award Agreement, it being intended that no agreement providing for a payment to a Participant upon termination of employment without cause shall be given effect to the extent that it would cause an Incentive Award that was intended to qualify as a Performance-Based Award to fail to so qualify.</w:t>
      </w:r>
    </w:p>
    <w:p>
      <w:pPr>
        <w:spacing w:after="0" w:line="151" w:lineRule="exact"/>
        <w:rPr>
          <w:sz w:val="20"/>
          <w:szCs w:val="20"/>
          <w:color w:val="auto"/>
        </w:rPr>
      </w:pPr>
    </w:p>
    <w:p>
      <w:pPr>
        <w:ind w:left="1440" w:hanging="446"/>
        <w:spacing w:after="0"/>
        <w:tabs>
          <w:tab w:leader="none" w:pos="14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p>
    <w:p>
      <w:pPr>
        <w:spacing w:after="0" w:line="198" w:lineRule="exact"/>
        <w:rPr>
          <w:sz w:val="20"/>
          <w:szCs w:val="20"/>
          <w:color w:val="auto"/>
        </w:rPr>
      </w:pPr>
    </w:p>
    <w:p>
      <w:pPr>
        <w:ind w:right="20" w:firstLine="770"/>
        <w:spacing w:after="0" w:line="287" w:lineRule="auto"/>
        <w:rPr>
          <w:sz w:val="20"/>
          <w:szCs w:val="20"/>
          <w:color w:val="auto"/>
        </w:rPr>
      </w:pPr>
      <w:r>
        <w:rPr>
          <w:rFonts w:ascii="Arial" w:cs="Arial" w:eastAsia="Arial" w:hAnsi="Arial"/>
          <w:sz w:val="18"/>
          <w:szCs w:val="18"/>
          <w:color w:val="auto"/>
        </w:rPr>
        <w:t>Nothing in this Section 9 is intended to limit the Committee’s discretion to adopt conditions with respect to any Incentive Award that is not intended to qualify as Performance-Based Compensation. In addition, the Committee may, subject to the terms of the Plan, amend previously granted Incentive Awards in a way that disqualifies them as Performance-Based Compensation.</w:t>
      </w:r>
    </w:p>
    <w:p>
      <w:pPr>
        <w:spacing w:after="0" w:line="324" w:lineRule="exact"/>
        <w:rPr>
          <w:sz w:val="20"/>
          <w:szCs w:val="20"/>
          <w:color w:val="auto"/>
        </w:rPr>
      </w:pPr>
    </w:p>
    <w:p>
      <w:pPr>
        <w:ind w:left="780" w:hanging="772"/>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Adjustment Upon Certain Changes</w:t>
      </w:r>
    </w:p>
    <w:p>
      <w:pPr>
        <w:sectPr>
          <w:pgSz w:w="11900" w:h="16838" w:orient="portrait"/>
          <w:cols w:equalWidth="0" w:num="1">
            <w:col w:w="11360"/>
          </w:cols>
          <w:pgMar w:left="240" w:top="773" w:right="299" w:bottom="1440" w:gutter="0" w:footer="0" w:header="0"/>
        </w:sectPr>
      </w:pPr>
    </w:p>
    <w:bookmarkStart w:id="120" w:name="page121"/>
    <w:bookmarkEnd w:id="120"/>
    <w:p>
      <w:pPr>
        <w:ind w:right="100" w:firstLine="770"/>
        <w:spacing w:after="0" w:line="293" w:lineRule="auto"/>
        <w:rPr>
          <w:sz w:val="20"/>
          <w:szCs w:val="20"/>
          <w:color w:val="auto"/>
        </w:rPr>
      </w:pPr>
      <w:r>
        <w:rPr>
          <w:rFonts w:ascii="Arial" w:cs="Arial" w:eastAsia="Arial" w:hAnsi="Arial"/>
          <w:sz w:val="18"/>
          <w:szCs w:val="18"/>
          <w:color w:val="auto"/>
        </w:rPr>
        <w:t>Subject to any action by the shareholders of GHC required by law, applicable tax rules or the rules of any exchange on which shares of common stock of GHC are listed for trading:</w:t>
      </w:r>
    </w:p>
    <w:p>
      <w:pPr>
        <w:spacing w:after="0" w:line="143" w:lineRule="exact"/>
        <w:rPr>
          <w:sz w:val="20"/>
          <w:szCs w:val="20"/>
          <w:color w:val="auto"/>
        </w:rPr>
      </w:pPr>
    </w:p>
    <w:p>
      <w:pPr>
        <w:ind w:left="1440" w:hanging="446"/>
        <w:spacing w:after="0"/>
        <w:tabs>
          <w:tab w:leader="none" w:pos="14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Grants</w:t>
      </w:r>
    </w:p>
    <w:p>
      <w:pPr>
        <w:spacing w:after="0" w:line="198" w:lineRule="exact"/>
        <w:rPr>
          <w:sz w:val="20"/>
          <w:szCs w:val="20"/>
          <w:color w:val="auto"/>
        </w:rPr>
      </w:pPr>
    </w:p>
    <w:p>
      <w:pPr>
        <w:ind w:right="40" w:firstLine="770"/>
        <w:spacing w:after="0" w:line="283" w:lineRule="auto"/>
        <w:rPr>
          <w:sz w:val="20"/>
          <w:szCs w:val="20"/>
          <w:color w:val="auto"/>
        </w:rPr>
      </w:pPr>
      <w:r>
        <w:rPr>
          <w:rFonts w:ascii="Arial" w:cs="Arial" w:eastAsia="Arial" w:hAnsi="Arial"/>
          <w:sz w:val="18"/>
          <w:szCs w:val="18"/>
          <w:color w:val="auto"/>
        </w:rPr>
        <w:t>In the event of any change in the number or type of shares of common stock of GHC outstanding by reason of any stock dividend or split, recapitalization, merger, consolidation, combination or exchange of shares or similar corporate change, the type and maximum aggregate number of shares of Common Stock with respect to which the Committee may grant Incentive Awards and the maximum aggregate number of shares of Common Stock with respect to which the Committee may grant Incentive Awards to any individual Participant in any year shall be appropriately adjusted by the Committee. In the event of any change in the type or number of shares of common stock of GHC outstanding by reason of any other event or transaction, the Committee may, to the extent deemed appropriate by the Committee, make such adjustments in the number and class of shares of Common Stock with respect to which Incentive Awards may be granted.</w:t>
      </w:r>
    </w:p>
    <w:p>
      <w:pPr>
        <w:spacing w:after="0" w:line="155" w:lineRule="exact"/>
        <w:rPr>
          <w:sz w:val="20"/>
          <w:szCs w:val="20"/>
          <w:color w:val="auto"/>
        </w:rPr>
      </w:pPr>
    </w:p>
    <w:p>
      <w:pPr>
        <w:ind w:left="1440" w:hanging="446"/>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Increase or Decrease in Issued Shares Without Consideration</w:t>
      </w:r>
    </w:p>
    <w:p>
      <w:pPr>
        <w:spacing w:after="0" w:line="198" w:lineRule="exact"/>
        <w:rPr>
          <w:sz w:val="20"/>
          <w:szCs w:val="20"/>
          <w:color w:val="auto"/>
        </w:rPr>
      </w:pPr>
    </w:p>
    <w:p>
      <w:pPr>
        <w:ind w:firstLine="770"/>
        <w:spacing w:after="0" w:line="284" w:lineRule="auto"/>
        <w:rPr>
          <w:sz w:val="20"/>
          <w:szCs w:val="20"/>
          <w:color w:val="auto"/>
        </w:rPr>
      </w:pPr>
      <w:r>
        <w:rPr>
          <w:rFonts w:ascii="Arial" w:cs="Arial" w:eastAsia="Arial" w:hAnsi="Arial"/>
          <w:sz w:val="18"/>
          <w:szCs w:val="18"/>
          <w:color w:val="auto"/>
        </w:rPr>
        <w:t>In the event of any increase or decrease in the type or number of issued shares of common stock of GHC resulting from a subdivision or consolidation of shares of common stock of GHC or the payment of a stock dividend (but only on the shares of common stock of GHC), or any other increase or decrease in the number of such shares effected without receipt or payment of consideration by the Company, the Committee may, to the extent deemed appropriate by the Committee, adjust the type or number of shares of Common Stock subject to each outstanding Incentive Award and the exercise price per share of Common Stock of each such Incentive Award.</w:t>
      </w:r>
    </w:p>
    <w:p>
      <w:pPr>
        <w:spacing w:after="0" w:line="153" w:lineRule="exact"/>
        <w:rPr>
          <w:sz w:val="20"/>
          <w:szCs w:val="20"/>
          <w:color w:val="auto"/>
        </w:rPr>
      </w:pPr>
    </w:p>
    <w:p>
      <w:pPr>
        <w:ind w:left="1440" w:hanging="446"/>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Certain Mergers</w:t>
      </w:r>
    </w:p>
    <w:p>
      <w:pPr>
        <w:spacing w:after="0" w:line="198" w:lineRule="exact"/>
        <w:rPr>
          <w:sz w:val="20"/>
          <w:szCs w:val="20"/>
          <w:color w:val="auto"/>
        </w:rPr>
      </w:pPr>
    </w:p>
    <w:p>
      <w:pPr>
        <w:ind w:right="240" w:firstLine="770"/>
        <w:spacing w:after="0" w:line="284" w:lineRule="auto"/>
        <w:rPr>
          <w:sz w:val="20"/>
          <w:szCs w:val="20"/>
          <w:color w:val="auto"/>
        </w:rPr>
      </w:pPr>
      <w:r>
        <w:rPr>
          <w:rFonts w:ascii="Arial" w:cs="Arial" w:eastAsia="Arial" w:hAnsi="Arial"/>
          <w:sz w:val="18"/>
          <w:szCs w:val="18"/>
          <w:color w:val="auto"/>
        </w:rPr>
        <w:t>In the event of any merger, consolidation or similar transaction as a result of which the holders of shares of Common Stock receive consideration consisting exclusively of securities of the surviving corporation in such transaction, the Committee may, to the extent deemed appropriate by the Committee, adjust each Incentive Award outstanding on the date of such merger or consolidation so that it pertains and applies to the securities which a holder of the number of shares of Common Stock subject to such Incentive Award would have received in such merger or consolidation.</w:t>
      </w:r>
    </w:p>
    <w:p>
      <w:pPr>
        <w:spacing w:after="0" w:line="153" w:lineRule="exact"/>
        <w:rPr>
          <w:sz w:val="20"/>
          <w:szCs w:val="20"/>
          <w:color w:val="auto"/>
        </w:rPr>
      </w:pPr>
    </w:p>
    <w:p>
      <w:pPr>
        <w:ind w:left="1440" w:hanging="44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Certain Other Transactions</w:t>
      </w:r>
    </w:p>
    <w:p>
      <w:pPr>
        <w:spacing w:after="0" w:line="198" w:lineRule="exact"/>
        <w:rPr>
          <w:sz w:val="20"/>
          <w:szCs w:val="20"/>
          <w:color w:val="auto"/>
        </w:rPr>
      </w:pPr>
    </w:p>
    <w:p>
      <w:pPr>
        <w:ind w:right="180" w:firstLine="770"/>
        <w:spacing w:after="0" w:line="285" w:lineRule="auto"/>
        <w:rPr>
          <w:sz w:val="20"/>
          <w:szCs w:val="20"/>
          <w:color w:val="auto"/>
        </w:rPr>
      </w:pPr>
      <w:r>
        <w:rPr>
          <w:rFonts w:ascii="Arial" w:cs="Arial" w:eastAsia="Arial" w:hAnsi="Arial"/>
          <w:sz w:val="18"/>
          <w:szCs w:val="18"/>
          <w:color w:val="auto"/>
        </w:rPr>
        <w:t>In the event of (i) a dissolution or liquidation of GHC, (ii) a sale of all or substantially all of the Company’s assets (on a consolidated basis), or (iii) a merger, consolidation or similar transaction involving GHC in which the holders of shares of Common Stock receive securities and/or other property, including cash, other than shares of the surviving corporation in such transaction, the Committee shall, in its sole discretion, have the power to:</w:t>
      </w:r>
    </w:p>
    <w:p>
      <w:pPr>
        <w:spacing w:after="0" w:line="151" w:lineRule="exact"/>
        <w:rPr>
          <w:sz w:val="20"/>
          <w:szCs w:val="20"/>
          <w:color w:val="auto"/>
        </w:rPr>
      </w:pPr>
    </w:p>
    <w:p>
      <w:pPr>
        <w:ind w:left="780" w:firstLine="768"/>
        <w:spacing w:after="0" w:line="284" w:lineRule="auto"/>
        <w:tabs>
          <w:tab w:leader="none" w:pos="1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Incentive Award (whether or not then exercisable or vested), and, in full consideration of such cancellation, pay to the Participant to whom such Incentive Award was granted an amount in cash, for each share of Common Stock subject to such Incentive Award, equal to the value, as determined by the Committee, of such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p>
      <w:pPr>
        <w:spacing w:after="0" w:line="151" w:lineRule="exact"/>
        <w:rPr>
          <w:rFonts w:ascii="Arial" w:cs="Arial" w:eastAsia="Arial" w:hAnsi="Arial"/>
          <w:sz w:val="18"/>
          <w:szCs w:val="18"/>
          <w:color w:val="auto"/>
        </w:rPr>
      </w:pPr>
    </w:p>
    <w:p>
      <w:pPr>
        <w:ind w:left="780" w:right="100" w:firstLine="768"/>
        <w:spacing w:after="0" w:line="307" w:lineRule="auto"/>
        <w:tabs>
          <w:tab w:leader="none" w:pos="1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provide for the exchange of each Incentive Award (whether or not then exercisable or vested) for an Incentive Award with respect to some or all of the property which a holder of the number of shares of Common Stock subject to such Incentive Award would have received in such transaction and, incident thereto, make an equitable adjustment as determined by the Committee in the exercise price of the Incentive Award, or the number of shares or amount of property subject to the Incentive Award or provide</w:t>
      </w:r>
    </w:p>
    <w:p>
      <w:pPr>
        <w:sectPr>
          <w:pgSz w:w="11900" w:h="16838" w:orient="portrait"/>
          <w:cols w:equalWidth="0" w:num="1">
            <w:col w:w="11400"/>
          </w:cols>
          <w:pgMar w:left="240" w:top="773" w:right="259" w:bottom="1440" w:gutter="0" w:footer="0" w:header="0"/>
        </w:sectPr>
      </w:pPr>
    </w:p>
    <w:bookmarkStart w:id="121" w:name="page122"/>
    <w:bookmarkEnd w:id="121"/>
    <w:p>
      <w:pPr>
        <w:ind w:left="780" w:right="80"/>
        <w:spacing w:after="0" w:line="293" w:lineRule="auto"/>
        <w:rPr>
          <w:sz w:val="20"/>
          <w:szCs w:val="20"/>
          <w:color w:val="auto"/>
        </w:rPr>
      </w:pPr>
      <w:r>
        <w:rPr>
          <w:rFonts w:ascii="Arial" w:cs="Arial" w:eastAsia="Arial" w:hAnsi="Arial"/>
          <w:sz w:val="18"/>
          <w:szCs w:val="18"/>
          <w:color w:val="auto"/>
        </w:rPr>
        <w:t>for a payment (in cash or other property) to the Participant to whom such Incentive Award was granted in partial consideration for the exchange of the Incentive Award.</w:t>
      </w:r>
    </w:p>
    <w:p>
      <w:pPr>
        <w:spacing w:after="0" w:line="143" w:lineRule="exact"/>
        <w:rPr>
          <w:sz w:val="20"/>
          <w:szCs w:val="20"/>
          <w:color w:val="auto"/>
        </w:rPr>
      </w:pPr>
    </w:p>
    <w:p>
      <w:pPr>
        <w:ind w:left="1440" w:hanging="446"/>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Other Changes</w:t>
      </w:r>
    </w:p>
    <w:p>
      <w:pPr>
        <w:spacing w:after="0" w:line="198" w:lineRule="exact"/>
        <w:rPr>
          <w:sz w:val="20"/>
          <w:szCs w:val="20"/>
          <w:color w:val="auto"/>
        </w:rPr>
      </w:pPr>
    </w:p>
    <w:p>
      <w:pPr>
        <w:ind w:right="120" w:firstLine="770"/>
        <w:spacing w:after="0" w:line="284" w:lineRule="auto"/>
        <w:rPr>
          <w:sz w:val="20"/>
          <w:szCs w:val="20"/>
          <w:color w:val="auto"/>
        </w:rPr>
      </w:pPr>
      <w:r>
        <w:rPr>
          <w:rFonts w:ascii="Arial" w:cs="Arial" w:eastAsia="Arial" w:hAnsi="Arial"/>
          <w:sz w:val="18"/>
          <w:szCs w:val="18"/>
          <w:color w:val="auto"/>
        </w:rPr>
        <w:t>In the event of any change in the capitalization of GHC or corporate change other than those specifically referred to in paragraphs 10(b), (c) or (d), the Committee may make such adjustments in the number and class of shares subject to Stock Incentive Awards outstanding on the date on which such change occurs and in such other terms of such Incentive Awards, including without limitation in any Performance Schedule, Performance Target or Target Award, as the Committee may consider appropriate, provided that if any such Incentive Award is intended to be Performance-Based Compensation such adjustment is consistent with the requirements of Section 162(m) of the Code.</w:t>
      </w:r>
    </w:p>
    <w:p>
      <w:pPr>
        <w:spacing w:after="0" w:line="153" w:lineRule="exact"/>
        <w:rPr>
          <w:sz w:val="20"/>
          <w:szCs w:val="20"/>
          <w:color w:val="auto"/>
        </w:rPr>
      </w:pPr>
    </w:p>
    <w:p>
      <w:pPr>
        <w:ind w:left="1440" w:hanging="446"/>
        <w:spacing w:after="0"/>
        <w:tabs>
          <w:tab w:leader="none" w:pos="14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198" w:lineRule="exact"/>
        <w:rPr>
          <w:sz w:val="20"/>
          <w:szCs w:val="20"/>
          <w:color w:val="auto"/>
        </w:rPr>
      </w:pPr>
    </w:p>
    <w:p>
      <w:pPr>
        <w:ind w:right="60" w:firstLine="770"/>
        <w:spacing w:after="0" w:line="284" w:lineRule="auto"/>
        <w:rPr>
          <w:sz w:val="20"/>
          <w:szCs w:val="20"/>
          <w:color w:val="auto"/>
        </w:rPr>
      </w:pPr>
      <w:r>
        <w:rPr>
          <w:rFonts w:ascii="Arial" w:cs="Arial" w:eastAsia="Arial" w:hAnsi="Arial"/>
          <w:sz w:val="18"/>
          <w:szCs w:val="18"/>
          <w:color w:val="auto"/>
        </w:rPr>
        <w:t>In the event of any transaction or event described in this Section 10, including without limitation any corporate change referred to in paragraph (e) hereof, the Committee may, in its sole discretion, make such adjustments in any Performance Schedule, Performance Target or Target Award, and in such other terms of any Cash Incentive Award, as the Committee may consider appropriate in respect of such transaction or event, provided that if such Cash Incentive Award is intended to be Performance-Based Compensation such adjustment is consistent with the requirements of Section 162(m) of the Code.</w:t>
      </w:r>
    </w:p>
    <w:p>
      <w:pPr>
        <w:spacing w:after="0" w:line="153" w:lineRule="exact"/>
        <w:rPr>
          <w:sz w:val="20"/>
          <w:szCs w:val="20"/>
          <w:color w:val="auto"/>
        </w:rPr>
      </w:pPr>
    </w:p>
    <w:p>
      <w:pPr>
        <w:ind w:left="1440" w:hanging="446"/>
        <w:spacing w:after="0"/>
        <w:tabs>
          <w:tab w:leader="none" w:pos="14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 Other Rights</w:t>
      </w:r>
    </w:p>
    <w:p>
      <w:pPr>
        <w:spacing w:after="0" w:line="198" w:lineRule="exact"/>
        <w:rPr>
          <w:sz w:val="20"/>
          <w:szCs w:val="20"/>
          <w:color w:val="auto"/>
        </w:rPr>
      </w:pPr>
    </w:p>
    <w:p>
      <w:pPr>
        <w:ind w:right="40" w:firstLine="770"/>
        <w:spacing w:after="0" w:line="284" w:lineRule="auto"/>
        <w:rPr>
          <w:sz w:val="20"/>
          <w:szCs w:val="20"/>
          <w:color w:val="auto"/>
        </w:rPr>
      </w:pPr>
      <w:r>
        <w:rPr>
          <w:rFonts w:ascii="Arial" w:cs="Arial" w:eastAsia="Arial" w:hAnsi="Arial"/>
          <w:sz w:val="18"/>
          <w:szCs w:val="18"/>
          <w:color w:val="auto"/>
        </w:rPr>
        <w:t>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GHC or any other corporation. Except as expressly provided in the Plan, no issuance by GHC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153" w:lineRule="exact"/>
        <w:rPr>
          <w:sz w:val="20"/>
          <w:szCs w:val="20"/>
          <w:color w:val="auto"/>
        </w:rPr>
      </w:pPr>
    </w:p>
    <w:p>
      <w:pPr>
        <w:ind w:left="1440" w:hanging="446"/>
        <w:spacing w:after="0"/>
        <w:tabs>
          <w:tab w:leader="none" w:pos="14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Savings Clause</w:t>
      </w:r>
    </w:p>
    <w:p>
      <w:pPr>
        <w:spacing w:after="0" w:line="198" w:lineRule="exact"/>
        <w:rPr>
          <w:sz w:val="20"/>
          <w:szCs w:val="20"/>
          <w:color w:val="auto"/>
        </w:rPr>
      </w:pPr>
    </w:p>
    <w:p>
      <w:pPr>
        <w:ind w:right="540" w:firstLine="770"/>
        <w:spacing w:after="0" w:line="293" w:lineRule="auto"/>
        <w:rPr>
          <w:sz w:val="20"/>
          <w:szCs w:val="20"/>
          <w:color w:val="auto"/>
        </w:rPr>
      </w:pPr>
      <w:r>
        <w:rPr>
          <w:rFonts w:ascii="Arial" w:cs="Arial" w:eastAsia="Arial" w:hAnsi="Arial"/>
          <w:sz w:val="18"/>
          <w:szCs w:val="18"/>
          <w:color w:val="auto"/>
        </w:rPr>
        <w:t>No provision of this Section 10 shall be given effect to the extent that such provision would cause any tax to become due under Section 409A of the Code.</w:t>
      </w:r>
    </w:p>
    <w:p>
      <w:pPr>
        <w:spacing w:after="0" w:line="143" w:lineRule="exact"/>
        <w:rPr>
          <w:sz w:val="20"/>
          <w:szCs w:val="20"/>
          <w:color w:val="auto"/>
        </w:rPr>
      </w:pPr>
    </w:p>
    <w:p>
      <w:pPr>
        <w:ind w:left="780" w:hanging="772"/>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Rights Under the Plan</w:t>
      </w:r>
    </w:p>
    <w:p>
      <w:pPr>
        <w:spacing w:after="0" w:line="198" w:lineRule="exact"/>
        <w:rPr>
          <w:sz w:val="20"/>
          <w:szCs w:val="20"/>
          <w:color w:val="auto"/>
        </w:rPr>
      </w:pPr>
    </w:p>
    <w:p>
      <w:pPr>
        <w:ind w:right="20" w:firstLine="770"/>
        <w:spacing w:after="0" w:line="284" w:lineRule="auto"/>
        <w:rPr>
          <w:sz w:val="20"/>
          <w:szCs w:val="20"/>
          <w:color w:val="auto"/>
        </w:rPr>
      </w:pPr>
      <w:r>
        <w:rPr>
          <w:rFonts w:ascii="Arial" w:cs="Arial" w:eastAsia="Arial" w:hAnsi="Arial"/>
          <w:sz w:val="18"/>
          <w:szCs w:val="18"/>
          <w:color w:val="auto"/>
        </w:rPr>
        <w:t>No Person shall have any rights as a stockholder with respect to any shares of Common Stock covered by or relating to any Incentive Award until the date of the issuance of such shares on the books and records of GHC. Except as otherwise expressly provided in Section 10 hereof, no adjustment of any Incentive Award shall be made for dividends or other rights for which the record date occurs prior to the date of such issuance. Nothing in this Section 11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51" w:lineRule="exact"/>
        <w:rPr>
          <w:sz w:val="20"/>
          <w:szCs w:val="20"/>
          <w:color w:val="auto"/>
        </w:rPr>
      </w:pPr>
    </w:p>
    <w:p>
      <w:pPr>
        <w:ind w:right="80" w:firstLine="770"/>
        <w:spacing w:after="0" w:line="287" w:lineRule="auto"/>
        <w:rPr>
          <w:sz w:val="20"/>
          <w:szCs w:val="20"/>
          <w:color w:val="auto"/>
        </w:rPr>
      </w:pPr>
      <w:r>
        <w:rPr>
          <w:rFonts w:ascii="Arial" w:cs="Arial" w:eastAsia="Arial" w:hAnsi="Arial"/>
          <w:sz w:val="18"/>
          <w:szCs w:val="18"/>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49" w:lineRule="exact"/>
        <w:rPr>
          <w:sz w:val="20"/>
          <w:szCs w:val="20"/>
          <w:color w:val="auto"/>
        </w:rPr>
      </w:pPr>
    </w:p>
    <w:p>
      <w:pPr>
        <w:ind w:left="780" w:hanging="772"/>
        <w:spacing w:after="0"/>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 Special Employment Rights; No Right to Incentive Award</w:t>
      </w:r>
    </w:p>
    <w:p>
      <w:pPr>
        <w:spacing w:after="0" w:line="198" w:lineRule="exact"/>
        <w:rPr>
          <w:rFonts w:ascii="Arial" w:cs="Arial" w:eastAsia="Arial" w:hAnsi="Arial"/>
          <w:sz w:val="18"/>
          <w:szCs w:val="18"/>
          <w:color w:val="auto"/>
        </w:rPr>
      </w:pPr>
    </w:p>
    <w:p>
      <w:pPr>
        <w:ind w:firstLine="778"/>
        <w:spacing w:after="0" w:line="293" w:lineRule="auto"/>
        <w:tabs>
          <w:tab w:leader="none" w:pos="10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Nothing contained in the Plan or any Incentive Award shall confer upon any Participant any right with respect to the continuation of his employment by or service to the Company or interfere in any way with the right of</w:t>
      </w:r>
    </w:p>
    <w:p>
      <w:pPr>
        <w:sectPr>
          <w:pgSz w:w="11900" w:h="16838" w:orient="portrait"/>
          <w:cols w:equalWidth="0" w:num="1">
            <w:col w:w="11420"/>
          </w:cols>
          <w:pgMar w:left="240" w:top="773" w:right="239" w:bottom="1440" w:gutter="0" w:footer="0" w:header="0"/>
        </w:sectPr>
      </w:pPr>
    </w:p>
    <w:bookmarkStart w:id="122" w:name="page123"/>
    <w:bookmarkEnd w:id="122"/>
    <w:p>
      <w:pPr>
        <w:ind w:right="20"/>
        <w:spacing w:after="0" w:line="293" w:lineRule="auto"/>
        <w:rPr>
          <w:sz w:val="20"/>
          <w:szCs w:val="20"/>
          <w:color w:val="auto"/>
        </w:rPr>
      </w:pPr>
      <w:r>
        <w:rPr>
          <w:rFonts w:ascii="Arial" w:cs="Arial" w:eastAsia="Arial" w:hAnsi="Arial"/>
          <w:sz w:val="18"/>
          <w:szCs w:val="18"/>
          <w:color w:val="auto"/>
        </w:rPr>
        <w:t>the Company at any time to terminate such employment or service or to increase or decrease the compensation of the Participant from the rate in existence at the time of the grant of an Incentive Award.</w:t>
      </w:r>
    </w:p>
    <w:p>
      <w:pPr>
        <w:spacing w:after="0" w:line="143" w:lineRule="exact"/>
        <w:rPr>
          <w:sz w:val="20"/>
          <w:szCs w:val="20"/>
          <w:color w:val="auto"/>
        </w:rPr>
      </w:pPr>
    </w:p>
    <w:p>
      <w:pPr>
        <w:jc w:val="both"/>
        <w:ind w:right="40" w:firstLine="778"/>
        <w:spacing w:after="0" w:line="311" w:lineRule="auto"/>
        <w:tabs>
          <w:tab w:leader="none" w:pos="10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131" w:lineRule="exact"/>
        <w:rPr>
          <w:rFonts w:ascii="Arial" w:cs="Arial" w:eastAsia="Arial" w:hAnsi="Arial"/>
          <w:sz w:val="17"/>
          <w:szCs w:val="17"/>
          <w:color w:val="auto"/>
        </w:rPr>
      </w:pPr>
    </w:p>
    <w:p>
      <w:pPr>
        <w:ind w:left="780" w:hanging="772"/>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198" w:lineRule="exact"/>
        <w:rPr>
          <w:rFonts w:ascii="Arial" w:cs="Arial" w:eastAsia="Arial" w:hAnsi="Arial"/>
          <w:sz w:val="18"/>
          <w:szCs w:val="18"/>
          <w:color w:val="auto"/>
        </w:rPr>
      </w:pPr>
    </w:p>
    <w:p>
      <w:pPr>
        <w:ind w:right="100" w:firstLine="778"/>
        <w:spacing w:after="0" w:line="283" w:lineRule="auto"/>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GHC shall be under no obligation to effect the registration pursuant to the Securities Act of any shares of Common Stock to be issued hereunder or to effect similar compliance under any state laws. Notwithstanding anything herein to the contrary, GHC shall not be obligated to cause to be issued any shares of Common Stock pursuant to the Plan unless and until GHC is advised by its counsel that the issuance of such shares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certificates representing such shares bear such legends, as the Committee deems necessary or desirable.</w:t>
      </w:r>
    </w:p>
    <w:p>
      <w:pPr>
        <w:spacing w:after="0" w:line="155" w:lineRule="exact"/>
        <w:rPr>
          <w:rFonts w:ascii="Arial" w:cs="Arial" w:eastAsia="Arial" w:hAnsi="Arial"/>
          <w:sz w:val="18"/>
          <w:szCs w:val="18"/>
          <w:color w:val="auto"/>
        </w:rPr>
      </w:pPr>
    </w:p>
    <w:p>
      <w:pPr>
        <w:ind w:firstLine="778"/>
        <w:spacing w:after="0" w:line="283" w:lineRule="auto"/>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exercise of any Option granted hereunder shall only be effective at such time as counsel to GHC shall have determined that the issuance of shares of Common Stock pursuant to such exercise is in compliance with all applicable laws, regulations of governmental authority and the requirements of any securities exchange on which shares of Common Stock are traded. GHC may, in its sole discretion, defer the effectiveness of an exercise of an Option hereunder or the issuance of shares of Common Stock pursuant to any Incentive Award pending or to ensure compliance under federal or state securities laws. GHC shall inform the Participant in writing of its decision to defer the effectiveness of the exercise of an Option or the issuance of shares of Common Stock pursuant to any Incentive Award. During the period that the effectiveness of the exercise of an Option has been deferred, the Participant may, by written notice, withdraw such exercise and obtain the refund of any amount paid with respect thereto.</w:t>
      </w:r>
    </w:p>
    <w:p>
      <w:pPr>
        <w:spacing w:after="0" w:line="154" w:lineRule="exact"/>
        <w:rPr>
          <w:rFonts w:ascii="Arial" w:cs="Arial" w:eastAsia="Arial" w:hAnsi="Arial"/>
          <w:sz w:val="18"/>
          <w:szCs w:val="18"/>
          <w:color w:val="auto"/>
        </w:rPr>
      </w:pPr>
    </w:p>
    <w:p>
      <w:pPr>
        <w:ind w:left="780" w:hanging="772"/>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2"/>
          <w:numId w:val="132"/>
        </w:numPr>
        <w:rPr>
          <w:rFonts w:ascii="Arial" w:cs="Arial" w:eastAsia="Arial" w:hAnsi="Arial"/>
          <w:sz w:val="18"/>
          <w:szCs w:val="18"/>
          <w:color w:val="auto"/>
        </w:rPr>
      </w:pPr>
      <w:r>
        <w:rPr>
          <w:rFonts w:ascii="Arial" w:cs="Arial" w:eastAsia="Arial" w:hAnsi="Arial"/>
          <w:sz w:val="18"/>
          <w:szCs w:val="18"/>
          <w:u w:val="single" w:color="auto"/>
          <w:color w:val="auto"/>
        </w:rPr>
        <w:t>Cash Remittance</w:t>
      </w:r>
    </w:p>
    <w:p>
      <w:pPr>
        <w:spacing w:after="0" w:line="198" w:lineRule="exact"/>
        <w:rPr>
          <w:sz w:val="20"/>
          <w:szCs w:val="20"/>
          <w:color w:val="auto"/>
        </w:rPr>
      </w:pPr>
    </w:p>
    <w:p>
      <w:pPr>
        <w:ind w:right="60" w:firstLine="770"/>
        <w:spacing w:after="0" w:line="283" w:lineRule="auto"/>
        <w:rPr>
          <w:sz w:val="20"/>
          <w:szCs w:val="20"/>
          <w:color w:val="auto"/>
        </w:rPr>
      </w:pPr>
      <w:r>
        <w:rPr>
          <w:rFonts w:ascii="Arial" w:cs="Arial" w:eastAsia="Arial" w:hAnsi="Arial"/>
          <w:sz w:val="18"/>
          <w:szCs w:val="18"/>
          <w:color w:val="auto"/>
        </w:rPr>
        <w:t>Whenever shares of Common Stock are to be issued upon the exercise of an Option or the grant or vesting of an Incentive Award, and whenever any amount shall become payable in respect of any Incentive Award, GHC shall have the right to require the Participant to remit to GHC in cash an amount sufficient to satisfy federal, state and local withholding tax requirements, if any, attributable to such exercise, grant, vesting or payment prior to issuance of such shares or the effectiveness of the lapse of such restrictions or making of such payment. In addition, upon the exercise or settlement of any Incentive Award in cash, or the making of any other payment with respect to any Incentive Award (other than in shares of Common Stock), GHC shall have the right to withhold from any payment required to be made pursuant thereto an amount sufficient to satisfy the federal, state and local withholding tax requirements, if any, attributable to such exercise, settlement or payment.</w:t>
      </w:r>
    </w:p>
    <w:p>
      <w:pPr>
        <w:spacing w:after="0" w:line="154" w:lineRule="exact"/>
        <w:rPr>
          <w:sz w:val="20"/>
          <w:szCs w:val="20"/>
          <w:color w:val="auto"/>
        </w:rPr>
      </w:pPr>
    </w:p>
    <w:p>
      <w:pPr>
        <w:ind w:left="1440" w:hanging="446"/>
        <w:spacing w:after="0"/>
        <w:tabs>
          <w:tab w:leader="none" w:pos="14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Stock Remittance</w:t>
      </w:r>
    </w:p>
    <w:p>
      <w:pPr>
        <w:spacing w:after="0" w:line="198" w:lineRule="exact"/>
        <w:rPr>
          <w:sz w:val="20"/>
          <w:szCs w:val="20"/>
          <w:color w:val="auto"/>
        </w:rPr>
      </w:pPr>
    </w:p>
    <w:p>
      <w:pPr>
        <w:ind w:right="60" w:firstLine="770"/>
        <w:spacing w:after="0" w:line="284"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Incentive Award, the Participant may tender to GHC a number of shares of Common Stock that have been owned by the Participant for at least six months (or such other period as the Committee may determine) having a Fair Market Value at the tender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ectPr>
          <w:pgSz w:w="11900" w:h="16838" w:orient="portrait"/>
          <w:cols w:equalWidth="0" w:num="1">
            <w:col w:w="11400"/>
          </w:cols>
          <w:pgMar w:left="240" w:top="773" w:right="259" w:bottom="1440" w:gutter="0" w:footer="0" w:header="0"/>
        </w:sectPr>
      </w:pPr>
    </w:p>
    <w:bookmarkStart w:id="123" w:name="page124"/>
    <w:bookmarkEnd w:id="123"/>
    <w:p>
      <w:pPr>
        <w:ind w:left="1440" w:hanging="446"/>
        <w:spacing w:after="0"/>
        <w:tabs>
          <w:tab w:leader="none" w:pos="14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Stock Withholding</w:t>
      </w:r>
    </w:p>
    <w:p>
      <w:pPr>
        <w:spacing w:after="0" w:line="198" w:lineRule="exact"/>
        <w:rPr>
          <w:sz w:val="20"/>
          <w:szCs w:val="20"/>
          <w:color w:val="auto"/>
        </w:rPr>
      </w:pPr>
    </w:p>
    <w:p>
      <w:pPr>
        <w:jc w:val="both"/>
        <w:ind w:firstLine="770"/>
        <w:spacing w:after="0" w:line="284"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Incentive Award, GHC shall withhold a number of such shares having a Fair Market Value at the exercise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153" w:lineRule="exact"/>
        <w:rPr>
          <w:sz w:val="20"/>
          <w:szCs w:val="20"/>
          <w:color w:val="auto"/>
        </w:rPr>
      </w:pPr>
    </w:p>
    <w:p>
      <w:pPr>
        <w:ind w:left="780" w:hanging="772"/>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198" w:lineRule="exact"/>
        <w:rPr>
          <w:sz w:val="20"/>
          <w:szCs w:val="20"/>
          <w:color w:val="auto"/>
        </w:rPr>
      </w:pPr>
    </w:p>
    <w:p>
      <w:pPr>
        <w:ind w:right="120" w:firstLine="770"/>
        <w:spacing w:after="0" w:line="283" w:lineRule="auto"/>
        <w:rPr>
          <w:sz w:val="20"/>
          <w:szCs w:val="20"/>
          <w:color w:val="auto"/>
        </w:rPr>
      </w:pPr>
      <w:r>
        <w:rPr>
          <w:rFonts w:ascii="Arial" w:cs="Arial" w:eastAsia="Arial" w:hAnsi="Arial"/>
          <w:sz w:val="18"/>
          <w:szCs w:val="18"/>
          <w:color w:val="auto"/>
        </w:rPr>
        <w:t xml:space="preserve">The Board of Directors may at any time suspend or discontinue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15 shall be given effect to the extent that such provision would cause any tax to become due under Section 409A of the Code. Except as expressly provided in the Plan, no action hereunder may, without the consent of a Participant, reduce the Participant’s rights under any previously granted and outstanding Incentive Award. Nothing in the Plan shall limit the right of the Company to pay compensation of any kind outside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hanging="772"/>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w:t>
      </w:r>
    </w:p>
    <w:p>
      <w:pPr>
        <w:spacing w:after="0" w:line="19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grant to a Participant of an Incentive Award shall impose no obligation upon such Participant to exercise such Incentive Award.</w:t>
      </w:r>
    </w:p>
    <w:p>
      <w:pPr>
        <w:spacing w:after="0" w:line="198" w:lineRule="exact"/>
        <w:rPr>
          <w:rFonts w:ascii="Arial" w:cs="Arial" w:eastAsia="Arial" w:hAnsi="Arial"/>
          <w:sz w:val="18"/>
          <w:szCs w:val="18"/>
          <w:color w:val="auto"/>
        </w:rPr>
      </w:pPr>
    </w:p>
    <w:p>
      <w:pPr>
        <w:ind w:left="780" w:hanging="772"/>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p>
    <w:p>
      <w:pPr>
        <w:spacing w:after="0" w:line="198" w:lineRule="exact"/>
        <w:rPr>
          <w:sz w:val="20"/>
          <w:szCs w:val="20"/>
          <w:color w:val="auto"/>
        </w:rPr>
      </w:pPr>
    </w:p>
    <w:p>
      <w:pPr>
        <w:ind w:right="40" w:firstLine="770"/>
        <w:spacing w:after="0" w:line="283" w:lineRule="auto"/>
        <w:rPr>
          <w:sz w:val="20"/>
          <w:szCs w:val="20"/>
          <w:color w:val="auto"/>
        </w:rPr>
      </w:pPr>
      <w:r>
        <w:rPr>
          <w:rFonts w:ascii="Arial" w:cs="Arial" w:eastAsia="Arial" w:hAnsi="Arial"/>
          <w:sz w:val="18"/>
          <w:szCs w:val="18"/>
          <w:color w:val="auto"/>
        </w:rPr>
        <w:t>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GHC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155" w:lineRule="exact"/>
        <w:rPr>
          <w:sz w:val="20"/>
          <w:szCs w:val="20"/>
          <w:color w:val="auto"/>
        </w:rPr>
      </w:pPr>
    </w:p>
    <w:p>
      <w:pPr>
        <w:ind w:left="780" w:hanging="772"/>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p>
    <w:p>
      <w:pPr>
        <w:spacing w:after="0" w:line="198" w:lineRule="exact"/>
        <w:rPr>
          <w:sz w:val="20"/>
          <w:szCs w:val="20"/>
          <w:color w:val="auto"/>
        </w:rPr>
      </w:pPr>
    </w:p>
    <w:p>
      <w:pPr>
        <w:ind w:right="80" w:firstLine="770"/>
        <w:spacing w:after="0" w:line="293" w:lineRule="auto"/>
        <w:rPr>
          <w:sz w:val="20"/>
          <w:szCs w:val="20"/>
          <w:color w:val="auto"/>
        </w:rPr>
      </w:pPr>
      <w:r>
        <w:rPr>
          <w:rFonts w:ascii="Arial" w:cs="Arial" w:eastAsia="Arial" w:hAnsi="Arial"/>
          <w:sz w:val="18"/>
          <w:szCs w:val="18"/>
          <w:color w:val="auto"/>
        </w:rPr>
        <w:t>The expenses of the Plan shall be paid by GHC. Any proceeds received by GHC in connection with any Incentive Award will be used for general corporate purposes.</w:t>
      </w:r>
    </w:p>
    <w:p>
      <w:pPr>
        <w:spacing w:after="0" w:line="143" w:lineRule="exact"/>
        <w:rPr>
          <w:sz w:val="20"/>
          <w:szCs w:val="20"/>
          <w:color w:val="auto"/>
        </w:rPr>
      </w:pPr>
    </w:p>
    <w:p>
      <w:pPr>
        <w:ind w:left="780" w:hanging="772"/>
        <w:spacing w:after="0"/>
        <w:tabs>
          <w:tab w:leader="none" w:pos="7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98" w:lineRule="exact"/>
        <w:rPr>
          <w:sz w:val="20"/>
          <w:szCs w:val="20"/>
          <w:color w:val="auto"/>
        </w:rPr>
      </w:pPr>
    </w:p>
    <w:p>
      <w:pPr>
        <w:ind w:right="80" w:firstLine="770"/>
        <w:spacing w:after="0" w:line="293" w:lineRule="auto"/>
        <w:rPr>
          <w:sz w:val="20"/>
          <w:szCs w:val="20"/>
          <w:color w:val="auto"/>
        </w:rPr>
      </w:pPr>
      <w:r>
        <w:rPr>
          <w:rFonts w:ascii="Arial" w:cs="Arial" w:eastAsia="Arial" w:hAnsi="Arial"/>
          <w:sz w:val="18"/>
          <w:szCs w:val="18"/>
          <w:color w:val="auto"/>
        </w:rPr>
        <w:t>The Plan and the rights of all persons under the Plan shall be construed and administered in accordance with the laws of the State of New York without regard to its conflict of law principles.</w:t>
      </w:r>
    </w:p>
    <w:p>
      <w:pPr>
        <w:spacing w:after="0" w:line="143" w:lineRule="exact"/>
        <w:rPr>
          <w:sz w:val="20"/>
          <w:szCs w:val="20"/>
          <w:color w:val="auto"/>
        </w:rPr>
      </w:pPr>
    </w:p>
    <w:p>
      <w:pPr>
        <w:ind w:left="780" w:hanging="772"/>
        <w:spacing w:after="0"/>
        <w:tabs>
          <w:tab w:leader="none" w:pos="7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ectPr>
          <w:pgSz w:w="11900" w:h="16838" w:orient="portrait"/>
          <w:cols w:equalWidth="0" w:num="1">
            <w:col w:w="11420"/>
          </w:cols>
          <w:pgMar w:left="240" w:top="773" w:right="239" w:bottom="1440" w:gutter="0" w:footer="0" w:header="0"/>
        </w:sectPr>
      </w:pPr>
    </w:p>
    <w:bookmarkStart w:id="124" w:name="page125"/>
    <w:bookmarkEnd w:id="124"/>
    <w:p>
      <w:pPr>
        <w:ind w:firstLine="770"/>
        <w:spacing w:after="0" w:line="293" w:lineRule="auto"/>
        <w:rPr>
          <w:sz w:val="20"/>
          <w:szCs w:val="20"/>
          <w:color w:val="auto"/>
        </w:rPr>
      </w:pPr>
      <w:r>
        <w:rPr>
          <w:rFonts w:ascii="Arial" w:cs="Arial" w:eastAsia="Arial" w:hAnsi="Arial"/>
          <w:sz w:val="18"/>
          <w:szCs w:val="18"/>
          <w:color w:val="auto"/>
        </w:rPr>
        <w:t>The Plan was adopted by the Board of Directors on February 23, 2012, subject to the approval of the Plan by the shareholders of GHC. No grants of Incentive Awards may be made under the Plan after February 23, 2022.</w:t>
      </w:r>
    </w:p>
    <w:p>
      <w:pPr>
        <w:sectPr>
          <w:pgSz w:w="11900" w:h="16838" w:orient="portrait"/>
          <w:cols w:equalWidth="0" w:num="1">
            <w:col w:w="11040"/>
          </w:cols>
          <w:pgMar w:left="240" w:top="773" w:right="6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80" w:type="dxa"/>
            <w:vAlign w:val="bottom"/>
            <w:gridSpan w:val="3"/>
          </w:tcPr>
          <w:p>
            <w:pPr>
              <w:ind w:left="1020"/>
              <w:spacing w:after="0"/>
              <w:rPr>
                <w:sz w:val="20"/>
                <w:szCs w:val="20"/>
                <w:color w:val="auto"/>
              </w:rPr>
            </w:pPr>
            <w:r>
              <w:rPr>
                <w:rFonts w:ascii="Arial" w:cs="Arial" w:eastAsia="Arial" w:hAnsi="Arial"/>
                <w:sz w:val="18"/>
                <w:szCs w:val="18"/>
                <w:color w:val="auto"/>
                <w:w w:val="98"/>
              </w:rPr>
              <w:t>EXHIBIT 21</w:t>
            </w:r>
          </w:p>
        </w:tc>
      </w:tr>
      <w:tr>
        <w:trPr>
          <w:trHeight w:val="545"/>
        </w:trPr>
        <w:tc>
          <w:tcPr>
            <w:tcW w:w="6120" w:type="dxa"/>
            <w:vAlign w:val="bottom"/>
          </w:tcPr>
          <w:p>
            <w:pPr>
              <w:spacing w:after="0"/>
              <w:rPr>
                <w:sz w:val="24"/>
                <w:szCs w:val="24"/>
                <w:color w:val="auto"/>
              </w:rPr>
            </w:pPr>
          </w:p>
        </w:tc>
        <w:tc>
          <w:tcPr>
            <w:tcW w:w="3240" w:type="dxa"/>
            <w:vAlign w:val="bottom"/>
          </w:tcPr>
          <w:p>
            <w:pPr>
              <w:jc w:val="center"/>
              <w:ind w:left="1399"/>
              <w:spacing w:after="0"/>
              <w:rPr>
                <w:sz w:val="20"/>
                <w:szCs w:val="20"/>
                <w:color w:val="auto"/>
              </w:rPr>
            </w:pPr>
            <w:r>
              <w:rPr>
                <w:rFonts w:ascii="Arial" w:cs="Arial" w:eastAsia="Arial" w:hAnsi="Arial"/>
                <w:sz w:val="14"/>
                <w:szCs w:val="14"/>
                <w:color w:val="auto"/>
              </w:rPr>
              <w:t>Jurisdiction</w:t>
            </w:r>
          </w:p>
        </w:tc>
        <w:tc>
          <w:tcPr>
            <w:tcW w:w="1480" w:type="dxa"/>
            <w:vAlign w:val="bottom"/>
          </w:tcPr>
          <w:p>
            <w:pPr>
              <w:jc w:val="center"/>
              <w:ind w:left="79"/>
              <w:spacing w:after="0"/>
              <w:rPr>
                <w:sz w:val="20"/>
                <w:szCs w:val="20"/>
                <w:color w:val="auto"/>
              </w:rPr>
            </w:pPr>
            <w:r>
              <w:rPr>
                <w:rFonts w:ascii="Arial" w:cs="Arial" w:eastAsia="Arial" w:hAnsi="Arial"/>
                <w:sz w:val="14"/>
                <w:szCs w:val="14"/>
                <w:color w:val="auto"/>
              </w:rPr>
              <w:t>% of Voting</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6120" w:type="dxa"/>
            <w:vAlign w:val="bottom"/>
          </w:tcPr>
          <w:p>
            <w:pPr>
              <w:ind w:left="20"/>
              <w:spacing w:after="0"/>
              <w:rPr>
                <w:sz w:val="20"/>
                <w:szCs w:val="20"/>
                <w:color w:val="auto"/>
              </w:rPr>
            </w:pPr>
            <w:r>
              <w:rPr>
                <w:rFonts w:ascii="Arial" w:cs="Arial" w:eastAsia="Arial" w:hAnsi="Arial"/>
                <w:sz w:val="14"/>
                <w:szCs w:val="14"/>
                <w:color w:val="auto"/>
              </w:rPr>
              <w:t>Name of Subsidiary</w:t>
            </w:r>
          </w:p>
        </w:tc>
        <w:tc>
          <w:tcPr>
            <w:tcW w:w="3240" w:type="dxa"/>
            <w:vAlign w:val="bottom"/>
          </w:tcPr>
          <w:p>
            <w:pPr>
              <w:jc w:val="center"/>
              <w:ind w:left="1399"/>
              <w:spacing w:after="0"/>
              <w:rPr>
                <w:sz w:val="20"/>
                <w:szCs w:val="20"/>
                <w:color w:val="auto"/>
              </w:rPr>
            </w:pPr>
            <w:r>
              <w:rPr>
                <w:rFonts w:ascii="Arial" w:cs="Arial" w:eastAsia="Arial" w:hAnsi="Arial"/>
                <w:sz w:val="14"/>
                <w:szCs w:val="14"/>
                <w:color w:val="auto"/>
              </w:rPr>
              <w:t>of Incorporation</w:t>
            </w:r>
          </w:p>
        </w:tc>
        <w:tc>
          <w:tcPr>
            <w:tcW w:w="1480" w:type="dxa"/>
            <w:vAlign w:val="bottom"/>
          </w:tcPr>
          <w:p>
            <w:pPr>
              <w:jc w:val="center"/>
              <w:ind w:left="99"/>
              <w:spacing w:after="0"/>
              <w:rPr>
                <w:sz w:val="20"/>
                <w:szCs w:val="20"/>
                <w:color w:val="auto"/>
              </w:rPr>
            </w:pPr>
            <w:r>
              <w:rPr>
                <w:rFonts w:ascii="Arial" w:cs="Arial" w:eastAsia="Arial" w:hAnsi="Arial"/>
                <w:sz w:val="14"/>
                <w:szCs w:val="14"/>
                <w:color w:val="auto"/>
              </w:rPr>
              <w:t>Equity Owned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6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jc w:val="center"/>
              <w:ind w:left="1379"/>
              <w:spacing w:after="0"/>
              <w:rPr>
                <w:sz w:val="20"/>
                <w:szCs w:val="20"/>
                <w:color w:val="auto"/>
              </w:rPr>
            </w:pPr>
            <w:r>
              <w:rPr>
                <w:rFonts w:ascii="Arial" w:cs="Arial" w:eastAsia="Arial" w:hAnsi="Arial"/>
                <w:sz w:val="14"/>
                <w:szCs w:val="14"/>
                <w:color w:val="auto"/>
              </w:rPr>
              <w:t>or Organization</w:t>
            </w:r>
          </w:p>
        </w:tc>
        <w:tc>
          <w:tcPr>
            <w:tcW w:w="14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color w:val="auto"/>
              </w:rPr>
              <w:t>by Parent</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6"/>
                <w:szCs w:val="16"/>
                <w:color w:val="auto"/>
              </w:rPr>
              <w:t>199 Sunbeam Realty, LLC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Cybervista LLC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Dekko Acquisition Parent,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40"/>
              <w:spacing w:after="0"/>
              <w:rPr>
                <w:sz w:val="20"/>
                <w:szCs w:val="20"/>
                <w:color w:val="auto"/>
              </w:rPr>
            </w:pPr>
            <w:r>
              <w:rPr>
                <w:rFonts w:ascii="Arial" w:cs="Arial" w:eastAsia="Arial" w:hAnsi="Arial"/>
                <w:sz w:val="16"/>
                <w:szCs w:val="16"/>
                <w:color w:val="auto"/>
              </w:rPr>
              <w:t>Group Dekko Holdings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80"/>
              <w:spacing w:after="0"/>
              <w:rPr>
                <w:sz w:val="20"/>
                <w:szCs w:val="20"/>
                <w:color w:val="auto"/>
              </w:rPr>
            </w:pPr>
            <w:r>
              <w:rPr>
                <w:rFonts w:ascii="Arial" w:cs="Arial" w:eastAsia="Arial" w:hAnsi="Arial"/>
                <w:sz w:val="16"/>
                <w:szCs w:val="16"/>
                <w:color w:val="auto"/>
              </w:rPr>
              <w:t>Group Dekko, Inc.</w:t>
            </w:r>
          </w:p>
        </w:tc>
        <w:tc>
          <w:tcPr>
            <w:tcW w:w="3240" w:type="dxa"/>
            <w:vAlign w:val="bottom"/>
          </w:tcPr>
          <w:p>
            <w:pPr>
              <w:ind w:left="1420"/>
              <w:spacing w:after="0"/>
              <w:rPr>
                <w:sz w:val="20"/>
                <w:szCs w:val="20"/>
                <w:color w:val="auto"/>
              </w:rPr>
            </w:pPr>
            <w:r>
              <w:rPr>
                <w:rFonts w:ascii="Arial" w:cs="Arial" w:eastAsia="Arial" w:hAnsi="Arial"/>
                <w:sz w:val="16"/>
                <w:szCs w:val="16"/>
                <w:color w:val="auto"/>
              </w:rPr>
              <w:t>Indiana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460"/>
              <w:spacing w:after="0"/>
              <w:rPr>
                <w:sz w:val="20"/>
                <w:szCs w:val="20"/>
                <w:color w:val="auto"/>
              </w:rPr>
            </w:pPr>
            <w:r>
              <w:rPr>
                <w:rFonts w:ascii="Arial" w:cs="Arial" w:eastAsia="Arial" w:hAnsi="Arial"/>
                <w:sz w:val="16"/>
                <w:szCs w:val="16"/>
                <w:color w:val="auto"/>
              </w:rPr>
              <w:t>Dekko Global Enterprise, LLC</w:t>
            </w:r>
          </w:p>
        </w:tc>
        <w:tc>
          <w:tcPr>
            <w:tcW w:w="3240" w:type="dxa"/>
            <w:vAlign w:val="bottom"/>
          </w:tcPr>
          <w:p>
            <w:pPr>
              <w:ind w:left="1420"/>
              <w:spacing w:after="0"/>
              <w:rPr>
                <w:sz w:val="20"/>
                <w:szCs w:val="20"/>
                <w:color w:val="auto"/>
              </w:rPr>
            </w:pPr>
            <w:r>
              <w:rPr>
                <w:rFonts w:ascii="Arial" w:cs="Arial" w:eastAsia="Arial" w:hAnsi="Arial"/>
                <w:sz w:val="16"/>
                <w:szCs w:val="16"/>
                <w:color w:val="auto"/>
              </w:rPr>
              <w:t>Indiana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(a)</w:t>
            </w:r>
          </w:p>
        </w:tc>
      </w:tr>
      <w:tr>
        <w:trPr>
          <w:trHeight w:val="270"/>
        </w:trPr>
        <w:tc>
          <w:tcPr>
            <w:tcW w:w="6120" w:type="dxa"/>
            <w:vAlign w:val="bottom"/>
          </w:tcPr>
          <w:p>
            <w:pPr>
              <w:ind w:left="640"/>
              <w:spacing w:after="0"/>
              <w:rPr>
                <w:sz w:val="20"/>
                <w:szCs w:val="20"/>
                <w:color w:val="auto"/>
              </w:rPr>
            </w:pPr>
            <w:r>
              <w:rPr>
                <w:rFonts w:ascii="Arial" w:cs="Arial" w:eastAsia="Arial" w:hAnsi="Arial"/>
                <w:sz w:val="16"/>
                <w:szCs w:val="16"/>
                <w:color w:val="auto"/>
              </w:rPr>
              <w:t>Grupo Dekko Mexico SA de CV</w:t>
            </w:r>
          </w:p>
        </w:tc>
        <w:tc>
          <w:tcPr>
            <w:tcW w:w="3240" w:type="dxa"/>
            <w:vAlign w:val="bottom"/>
          </w:tcPr>
          <w:p>
            <w:pPr>
              <w:ind w:left="142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(b)</w:t>
            </w: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Forney Corporation</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Forney Maquila, LLC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FMMX S. de R.L. de C.V.</w:t>
            </w:r>
          </w:p>
        </w:tc>
        <w:tc>
          <w:tcPr>
            <w:tcW w:w="3240" w:type="dxa"/>
            <w:vAlign w:val="bottom"/>
          </w:tcPr>
          <w:p>
            <w:pPr>
              <w:ind w:left="142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(c)</w:t>
            </w: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FSM S. de R.L. de C.V</w:t>
            </w:r>
          </w:p>
        </w:tc>
        <w:tc>
          <w:tcPr>
            <w:tcW w:w="3240" w:type="dxa"/>
            <w:vAlign w:val="bottom"/>
          </w:tcPr>
          <w:p>
            <w:pPr>
              <w:ind w:left="142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(d)</w:t>
            </w: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Florida, Inc.</w:t>
            </w:r>
          </w:p>
        </w:tc>
        <w:tc>
          <w:tcPr>
            <w:tcW w:w="3240" w:type="dxa"/>
            <w:vAlign w:val="bottom"/>
          </w:tcPr>
          <w:p>
            <w:pPr>
              <w:ind w:left="1420"/>
              <w:spacing w:after="0"/>
              <w:rPr>
                <w:sz w:val="20"/>
                <w:szCs w:val="20"/>
                <w:color w:val="auto"/>
              </w:rPr>
            </w:pPr>
            <w:r>
              <w:rPr>
                <w:rFonts w:ascii="Arial" w:cs="Arial" w:eastAsia="Arial" w:hAnsi="Arial"/>
                <w:sz w:val="16"/>
                <w:szCs w:val="16"/>
                <w:color w:val="auto"/>
              </w:rPr>
              <w:t>Florida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Houston,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Michigan,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Orlando,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Graham Media Group, San Antonio,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SocialNewsDesk</w:t>
            </w:r>
          </w:p>
        </w:tc>
        <w:tc>
          <w:tcPr>
            <w:tcW w:w="3240" w:type="dxa"/>
            <w:vAlign w:val="bottom"/>
          </w:tcPr>
          <w:p>
            <w:pPr>
              <w:ind w:left="1420"/>
              <w:spacing w:after="0"/>
              <w:rPr>
                <w:sz w:val="20"/>
                <w:szCs w:val="20"/>
                <w:color w:val="auto"/>
              </w:rPr>
            </w:pPr>
            <w:r>
              <w:rPr>
                <w:rFonts w:ascii="Arial" w:cs="Arial" w:eastAsia="Arial" w:hAnsi="Arial"/>
                <w:sz w:val="16"/>
                <w:szCs w:val="16"/>
                <w:color w:val="auto"/>
              </w:rPr>
              <w:t>Florida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Joyce/Dayton Corporation</w:t>
            </w:r>
          </w:p>
        </w:tc>
        <w:tc>
          <w:tcPr>
            <w:tcW w:w="3240" w:type="dxa"/>
            <w:vAlign w:val="bottom"/>
          </w:tcPr>
          <w:p>
            <w:pPr>
              <w:ind w:left="1420"/>
              <w:spacing w:after="0"/>
              <w:rPr>
                <w:sz w:val="20"/>
                <w:szCs w:val="20"/>
                <w:color w:val="auto"/>
              </w:rPr>
            </w:pPr>
            <w:r>
              <w:rPr>
                <w:rFonts w:ascii="Arial" w:cs="Arial" w:eastAsia="Arial" w:hAnsi="Arial"/>
                <w:sz w:val="16"/>
                <w:szCs w:val="16"/>
                <w:color w:val="auto"/>
              </w:rPr>
              <w:t>Ohio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EDrive Actuators, Inc.</w:t>
            </w:r>
          </w:p>
        </w:tc>
        <w:tc>
          <w:tcPr>
            <w:tcW w:w="3240" w:type="dxa"/>
            <w:vAlign w:val="bottom"/>
          </w:tcPr>
          <w:p>
            <w:pPr>
              <w:ind w:left="1420"/>
              <w:spacing w:after="0"/>
              <w:rPr>
                <w:sz w:val="20"/>
                <w:szCs w:val="20"/>
                <w:color w:val="auto"/>
              </w:rPr>
            </w:pPr>
            <w:r>
              <w:rPr>
                <w:rFonts w:ascii="Arial" w:cs="Arial" w:eastAsia="Arial" w:hAnsi="Arial"/>
                <w:sz w:val="16"/>
                <w:szCs w:val="16"/>
                <w:color w:val="auto"/>
              </w:rPr>
              <w:t>Connecticut</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Int’l Bellows &amp; Covers,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Lowly Worm Holdings,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99.44%</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Netherlands B.V.</w:t>
            </w:r>
          </w:p>
        </w:tc>
        <w:tc>
          <w:tcPr>
            <w:tcW w:w="3240" w:type="dxa"/>
            <w:vAlign w:val="bottom"/>
          </w:tcPr>
          <w:p>
            <w:pPr>
              <w:ind w:left="1420"/>
              <w:spacing w:after="0"/>
              <w:rPr>
                <w:sz w:val="20"/>
                <w:szCs w:val="20"/>
                <w:color w:val="auto"/>
              </w:rPr>
            </w:pPr>
            <w:r>
              <w:rPr>
                <w:rFonts w:ascii="Arial" w:cs="Arial" w:eastAsia="Arial" w:hAnsi="Arial"/>
                <w:sz w:val="16"/>
                <w:szCs w:val="16"/>
                <w:color w:val="auto"/>
              </w:rPr>
              <w:t>The Netherlands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Holdings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Financial (HK)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Language Training (HK)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Institute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Shanghai Kaplan Education Investment Consulting Co. Ltd.</w:t>
            </w:r>
          </w:p>
        </w:tc>
        <w:tc>
          <w:tcPr>
            <w:tcW w:w="3240" w:type="dxa"/>
            <w:vAlign w:val="bottom"/>
          </w:tcPr>
          <w:p>
            <w:pPr>
              <w:ind w:left="142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Singapore Pte. Ltd.</w:t>
            </w:r>
          </w:p>
        </w:tc>
        <w:tc>
          <w:tcPr>
            <w:tcW w:w="3240" w:type="dxa"/>
            <w:vAlign w:val="bottom"/>
          </w:tcPr>
          <w:p>
            <w:pPr>
              <w:ind w:left="1420"/>
              <w:spacing w:after="0"/>
              <w:rPr>
                <w:sz w:val="20"/>
                <w:szCs w:val="20"/>
                <w:color w:val="auto"/>
              </w:rPr>
            </w:pPr>
            <w:r>
              <w:rPr>
                <w:rFonts w:ascii="Arial" w:cs="Arial" w:eastAsia="Arial" w:hAnsi="Arial"/>
                <w:sz w:val="16"/>
                <w:szCs w:val="16"/>
                <w:color w:val="auto"/>
              </w:rPr>
              <w:t>Singapore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Learning Institute Pte. Ltd</w:t>
            </w:r>
          </w:p>
        </w:tc>
        <w:tc>
          <w:tcPr>
            <w:tcW w:w="3240" w:type="dxa"/>
            <w:vAlign w:val="bottom"/>
          </w:tcPr>
          <w:p>
            <w:pPr>
              <w:ind w:left="1420"/>
              <w:spacing w:after="0"/>
              <w:rPr>
                <w:sz w:val="20"/>
                <w:szCs w:val="20"/>
                <w:color w:val="auto"/>
              </w:rPr>
            </w:pPr>
            <w:r>
              <w:rPr>
                <w:rFonts w:ascii="Arial" w:cs="Arial" w:eastAsia="Arial" w:hAnsi="Arial"/>
                <w:sz w:val="16"/>
                <w:szCs w:val="16"/>
                <w:color w:val="auto"/>
              </w:rPr>
              <w:t>Singapore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Higher Education Institute Pte. Ltd</w:t>
            </w:r>
          </w:p>
        </w:tc>
        <w:tc>
          <w:tcPr>
            <w:tcW w:w="3240" w:type="dxa"/>
            <w:vAlign w:val="bottom"/>
          </w:tcPr>
          <w:p>
            <w:pPr>
              <w:ind w:left="1420"/>
              <w:spacing w:after="0"/>
              <w:rPr>
                <w:sz w:val="20"/>
                <w:szCs w:val="20"/>
                <w:color w:val="auto"/>
              </w:rPr>
            </w:pPr>
            <w:r>
              <w:rPr>
                <w:rFonts w:ascii="Arial" w:cs="Arial" w:eastAsia="Arial" w:hAnsi="Arial"/>
                <w:sz w:val="16"/>
                <w:szCs w:val="16"/>
                <w:color w:val="auto"/>
              </w:rPr>
              <w:t>Singapore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Higher Education (HK)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Higher Education Academy Pte. Ltd.</w:t>
            </w:r>
          </w:p>
        </w:tc>
        <w:tc>
          <w:tcPr>
            <w:tcW w:w="3240" w:type="dxa"/>
            <w:vAlign w:val="bottom"/>
          </w:tcPr>
          <w:p>
            <w:pPr>
              <w:ind w:left="1420"/>
              <w:spacing w:after="0"/>
              <w:rPr>
                <w:sz w:val="20"/>
                <w:szCs w:val="20"/>
                <w:color w:val="auto"/>
              </w:rPr>
            </w:pPr>
            <w:r>
              <w:rPr>
                <w:rFonts w:ascii="Arial" w:cs="Arial" w:eastAsia="Arial" w:hAnsi="Arial"/>
                <w:sz w:val="16"/>
                <w:szCs w:val="16"/>
                <w:color w:val="auto"/>
              </w:rPr>
              <w:t>Singapore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Lotus Advertising Pte. Ltd</w:t>
            </w:r>
          </w:p>
        </w:tc>
        <w:tc>
          <w:tcPr>
            <w:tcW w:w="3240" w:type="dxa"/>
            <w:vAlign w:val="bottom"/>
          </w:tcPr>
          <w:p>
            <w:pPr>
              <w:ind w:left="1420"/>
              <w:spacing w:after="0"/>
              <w:rPr>
                <w:sz w:val="20"/>
                <w:szCs w:val="20"/>
                <w:color w:val="auto"/>
              </w:rPr>
            </w:pPr>
            <w:r>
              <w:rPr>
                <w:rFonts w:ascii="Arial" w:cs="Arial" w:eastAsia="Arial" w:hAnsi="Arial"/>
                <w:sz w:val="16"/>
                <w:szCs w:val="16"/>
                <w:color w:val="auto"/>
              </w:rPr>
              <w:t>Singapore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Brightstar Investment and Education Joint Stock Company</w:t>
            </w:r>
          </w:p>
        </w:tc>
        <w:tc>
          <w:tcPr>
            <w:tcW w:w="3240" w:type="dxa"/>
            <w:vAlign w:val="bottom"/>
          </w:tcPr>
          <w:p>
            <w:pPr>
              <w:ind w:left="1420"/>
              <w:spacing w:after="0"/>
              <w:rPr>
                <w:sz w:val="20"/>
                <w:szCs w:val="20"/>
                <w:color w:val="auto"/>
              </w:rPr>
            </w:pPr>
            <w:r>
              <w:rPr>
                <w:rFonts w:ascii="Arial" w:cs="Arial" w:eastAsia="Arial" w:hAnsi="Arial"/>
                <w:sz w:val="16"/>
                <w:szCs w:val="16"/>
                <w:color w:val="auto"/>
              </w:rPr>
              <w:t>Vietnam</w:t>
            </w:r>
          </w:p>
        </w:tc>
        <w:tc>
          <w:tcPr>
            <w:tcW w:w="1480" w:type="dxa"/>
            <w:vAlign w:val="bottom"/>
          </w:tcPr>
          <w:p>
            <w:pPr>
              <w:jc w:val="right"/>
              <w:spacing w:after="0"/>
              <w:rPr>
                <w:sz w:val="20"/>
                <w:szCs w:val="20"/>
                <w:color w:val="auto"/>
              </w:rPr>
            </w:pPr>
            <w:r>
              <w:rPr>
                <w:rFonts w:ascii="Arial" w:cs="Arial" w:eastAsia="Arial" w:hAnsi="Arial"/>
                <w:sz w:val="16"/>
                <w:szCs w:val="16"/>
                <w:color w:val="auto"/>
              </w:rPr>
              <w:t>49%</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The Financial Training (Shanghai) Co., Ltd.</w:t>
            </w:r>
          </w:p>
        </w:tc>
        <w:tc>
          <w:tcPr>
            <w:tcW w:w="3240" w:type="dxa"/>
            <w:vAlign w:val="bottom"/>
          </w:tcPr>
          <w:p>
            <w:pPr>
              <w:ind w:left="142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Shanghai Kai Bo Education Investment Management Co.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(e)</w:t>
            </w: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Shanghai Kai Chuang Educational Consulting Co. Ltd.</w:t>
            </w:r>
          </w:p>
        </w:tc>
        <w:tc>
          <w:tcPr>
            <w:tcW w:w="3240" w:type="dxa"/>
            <w:vAlign w:val="bottom"/>
          </w:tcPr>
          <w:p>
            <w:pPr>
              <w:ind w:left="142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85%</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Shanghai Kai Bo School</w:t>
            </w:r>
          </w:p>
        </w:tc>
        <w:tc>
          <w:tcPr>
            <w:tcW w:w="3240" w:type="dxa"/>
            <w:vAlign w:val="bottom"/>
          </w:tcPr>
          <w:p>
            <w:pPr>
              <w:ind w:left="142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Coxcourt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Accountancy &amp; Business College Holdings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(f)</w:t>
            </w: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Accountancy &amp; Business College (Ireland)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Methley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Kitagarth Services</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European Business School (Ireland)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LSB College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The Dublin Business School Limited</w:t>
            </w:r>
          </w:p>
        </w:tc>
        <w:tc>
          <w:tcPr>
            <w:tcW w:w="3240" w:type="dxa"/>
            <w:vAlign w:val="bottom"/>
          </w:tcPr>
          <w:p>
            <w:pPr>
              <w:ind w:left="142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DBS Educational Services Malaysia SDN.BHD.</w:t>
            </w:r>
          </w:p>
        </w:tc>
        <w:tc>
          <w:tcPr>
            <w:tcW w:w="3240" w:type="dxa"/>
            <w:vAlign w:val="bottom"/>
          </w:tcPr>
          <w:p>
            <w:pPr>
              <w:ind w:left="1420"/>
              <w:spacing w:after="0"/>
              <w:rPr>
                <w:sz w:val="20"/>
                <w:szCs w:val="20"/>
                <w:color w:val="auto"/>
              </w:rPr>
            </w:pPr>
            <w:r>
              <w:rPr>
                <w:rFonts w:ascii="Arial" w:cs="Arial" w:eastAsia="Arial" w:hAnsi="Arial"/>
                <w:sz w:val="16"/>
                <w:szCs w:val="16"/>
                <w:color w:val="auto"/>
              </w:rPr>
              <w:t>Malaysia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AdviseStream,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Bootcamp Education Inc.</w:t>
            </w:r>
          </w:p>
        </w:tc>
        <w:tc>
          <w:tcPr>
            <w:tcW w:w="3240" w:type="dxa"/>
            <w:vAlign w:val="bottom"/>
          </w:tcPr>
          <w:p>
            <w:pPr>
              <w:ind w:left="1420"/>
              <w:spacing w:after="0"/>
              <w:rPr>
                <w:sz w:val="20"/>
                <w:szCs w:val="20"/>
                <w:color w:val="auto"/>
              </w:rPr>
            </w:pPr>
            <w:r>
              <w:rPr>
                <w:rFonts w:ascii="Arial" w:cs="Arial" w:eastAsia="Arial" w:hAnsi="Arial"/>
                <w:sz w:val="16"/>
                <w:szCs w:val="16"/>
                <w:color w:val="auto"/>
              </w:rPr>
              <w:t>California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Campus Compliance Solutions, LLC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6"/>
                <w:szCs w:val="16"/>
                <w:color w:val="auto"/>
              </w:rPr>
              <w:t>Kaplan International, Inc.</w:t>
            </w:r>
          </w:p>
        </w:tc>
        <w:tc>
          <w:tcPr>
            <w:tcW w:w="3240" w:type="dxa"/>
            <w:vAlign w:val="bottom"/>
          </w:tcPr>
          <w:p>
            <w:pPr>
              <w:ind w:left="142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1340"/>
          </w:cols>
          <w:pgMar w:left="320" w:top="598" w:right="239" w:bottom="271"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20"/>
                <w:szCs w:val="20"/>
                <w:color w:val="auto"/>
              </w:rPr>
            </w:pPr>
            <w:r>
              <w:rPr>
                <w:rFonts w:ascii="Arial" w:cs="Arial" w:eastAsia="Arial" w:hAnsi="Arial"/>
                <w:sz w:val="16"/>
                <w:szCs w:val="16"/>
                <w:color w:val="auto"/>
              </w:rPr>
              <w:t>Kaplan Test Prep and Admissions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(Canada) Ltd.</w:t>
            </w:r>
          </w:p>
        </w:tc>
        <w:tc>
          <w:tcPr>
            <w:tcW w:w="3600" w:type="dxa"/>
            <w:vAlign w:val="bottom"/>
          </w:tcPr>
          <w:p>
            <w:pPr>
              <w:ind w:left="1620"/>
              <w:spacing w:after="0"/>
              <w:rPr>
                <w:sz w:val="20"/>
                <w:szCs w:val="20"/>
                <w:color w:val="auto"/>
              </w:rPr>
            </w:pPr>
            <w:r>
              <w:rPr>
                <w:rFonts w:ascii="Arial" w:cs="Arial" w:eastAsia="Arial" w:hAnsi="Arial"/>
                <w:sz w:val="16"/>
                <w:szCs w:val="16"/>
                <w:color w:val="auto"/>
              </w:rPr>
              <w:t>Ontario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U.S. CPA ExamPrep, Inc.</w:t>
            </w:r>
          </w:p>
        </w:tc>
        <w:tc>
          <w:tcPr>
            <w:tcW w:w="3600" w:type="dxa"/>
            <w:vAlign w:val="bottom"/>
          </w:tcPr>
          <w:p>
            <w:pPr>
              <w:ind w:left="1620"/>
              <w:spacing w:after="0"/>
              <w:rPr>
                <w:sz w:val="20"/>
                <w:szCs w:val="20"/>
                <w:color w:val="auto"/>
              </w:rPr>
            </w:pPr>
            <w:r>
              <w:rPr>
                <w:rFonts w:ascii="Arial" w:cs="Arial" w:eastAsia="Arial" w:hAnsi="Arial"/>
                <w:sz w:val="16"/>
                <w:szCs w:val="16"/>
                <w:color w:val="auto"/>
              </w:rPr>
              <w:t>Ontario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Educational Services de Mexico, S. de R.L. de C.V.</w:t>
            </w:r>
          </w:p>
        </w:tc>
        <w:tc>
          <w:tcPr>
            <w:tcW w:w="3600" w:type="dxa"/>
            <w:vAlign w:val="bottom"/>
          </w:tcPr>
          <w:p>
            <w:pPr>
              <w:ind w:left="1620"/>
              <w:spacing w:after="0"/>
              <w:rPr>
                <w:sz w:val="20"/>
                <w:szCs w:val="20"/>
                <w:color w:val="auto"/>
              </w:rPr>
            </w:pPr>
            <w:r>
              <w:rPr>
                <w:rFonts w:ascii="Arial" w:cs="Arial" w:eastAsia="Arial" w:hAnsi="Arial"/>
                <w:sz w:val="16"/>
                <w:szCs w:val="16"/>
                <w:color w:val="auto"/>
              </w:rPr>
              <w:t>Mexico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1"/>
              </w:rPr>
              <w:t>(g)</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Education HR Services Mexico, S. de R.L. de C.V.</w:t>
            </w:r>
          </w:p>
        </w:tc>
        <w:tc>
          <w:tcPr>
            <w:tcW w:w="3600" w:type="dxa"/>
            <w:vAlign w:val="bottom"/>
          </w:tcPr>
          <w:p>
            <w:pPr>
              <w:ind w:left="1620"/>
              <w:spacing w:after="0"/>
              <w:rPr>
                <w:sz w:val="20"/>
                <w:szCs w:val="20"/>
                <w:color w:val="auto"/>
              </w:rPr>
            </w:pPr>
            <w:r>
              <w:rPr>
                <w:rFonts w:ascii="Arial" w:cs="Arial" w:eastAsia="Arial" w:hAnsi="Arial"/>
                <w:sz w:val="16"/>
                <w:szCs w:val="16"/>
                <w:color w:val="auto"/>
              </w:rPr>
              <w:t>Mexico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1"/>
              </w:rPr>
              <w:t>(g)</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English Colleges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(Cairns)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(Brisbane)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Higher Education,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Andon Colleges, Inc.</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DEST Education Corporation</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California Academy of Merchandising, Art &amp; Design, Inc.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Texas Educational Ventures, LP</w:t>
            </w:r>
          </w:p>
        </w:tc>
        <w:tc>
          <w:tcPr>
            <w:tcW w:w="3600" w:type="dxa"/>
            <w:vAlign w:val="bottom"/>
          </w:tcPr>
          <w:p>
            <w:pPr>
              <w:ind w:left="1620"/>
              <w:spacing w:after="0"/>
              <w:rPr>
                <w:sz w:val="20"/>
                <w:szCs w:val="20"/>
                <w:color w:val="auto"/>
              </w:rPr>
            </w:pPr>
            <w:r>
              <w:rPr>
                <w:rFonts w:ascii="Arial" w:cs="Arial" w:eastAsia="Arial" w:hAnsi="Arial"/>
                <w:sz w:val="16"/>
                <w:szCs w:val="16"/>
                <w:color w:val="auto"/>
              </w:rPr>
              <w:t>Texas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1"/>
              </w:rPr>
              <w:t>(h)</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Iowa College Acquisition,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DF Institute, LLC</w:t>
            </w:r>
          </w:p>
        </w:tc>
        <w:tc>
          <w:tcPr>
            <w:tcW w:w="3600" w:type="dxa"/>
            <w:vAlign w:val="bottom"/>
          </w:tcPr>
          <w:p>
            <w:pPr>
              <w:ind w:left="1620"/>
              <w:spacing w:after="0"/>
              <w:rPr>
                <w:sz w:val="20"/>
                <w:szCs w:val="20"/>
                <w:color w:val="auto"/>
              </w:rPr>
            </w:pPr>
            <w:r>
              <w:rPr>
                <w:rFonts w:ascii="Arial" w:cs="Arial" w:eastAsia="Arial" w:hAnsi="Arial"/>
                <w:sz w:val="16"/>
                <w:szCs w:val="16"/>
                <w:color w:val="auto"/>
              </w:rPr>
              <w:t>Illinois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ind w:left="140"/>
              <w:spacing w:after="0"/>
              <w:rPr>
                <w:sz w:val="20"/>
                <w:szCs w:val="20"/>
                <w:color w:val="auto"/>
              </w:rPr>
            </w:pPr>
            <w:r>
              <w:rPr>
                <w:rFonts w:ascii="Arial" w:cs="Arial" w:eastAsia="Arial" w:hAnsi="Arial"/>
                <w:sz w:val="16"/>
                <w:szCs w:val="16"/>
                <w:color w:val="auto"/>
              </w:rPr>
              <w:t>SmartPros, Ltd.</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ind w:left="220"/>
              <w:spacing w:after="0"/>
              <w:rPr>
                <w:sz w:val="20"/>
                <w:szCs w:val="20"/>
                <w:color w:val="auto"/>
              </w:rPr>
            </w:pPr>
            <w:r>
              <w:rPr>
                <w:rFonts w:ascii="Arial" w:cs="Arial" w:eastAsia="Arial" w:hAnsi="Arial"/>
                <w:sz w:val="16"/>
                <w:szCs w:val="16"/>
                <w:color w:val="auto"/>
              </w:rPr>
              <w:t>Loscaozo Associates, Ltd.</w:t>
            </w:r>
          </w:p>
        </w:tc>
        <w:tc>
          <w:tcPr>
            <w:tcW w:w="3600" w:type="dxa"/>
            <w:vAlign w:val="bottom"/>
          </w:tcPr>
          <w:p>
            <w:pPr>
              <w:ind w:left="1620"/>
              <w:spacing w:after="0"/>
              <w:rPr>
                <w:sz w:val="20"/>
                <w:szCs w:val="20"/>
                <w:color w:val="auto"/>
              </w:rPr>
            </w:pPr>
            <w:r>
              <w:rPr>
                <w:rFonts w:ascii="Arial" w:cs="Arial" w:eastAsia="Arial" w:hAnsi="Arial"/>
                <w:sz w:val="16"/>
                <w:szCs w:val="16"/>
                <w:color w:val="auto"/>
              </w:rPr>
              <w:t>New Jersey</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ind w:left="220"/>
              <w:spacing w:after="0"/>
              <w:rPr>
                <w:sz w:val="20"/>
                <w:szCs w:val="20"/>
                <w:color w:val="auto"/>
              </w:rPr>
            </w:pPr>
            <w:r>
              <w:rPr>
                <w:rFonts w:ascii="Arial" w:cs="Arial" w:eastAsia="Arial" w:hAnsi="Arial"/>
                <w:sz w:val="16"/>
                <w:szCs w:val="16"/>
                <w:color w:val="auto"/>
              </w:rPr>
              <w:t>SmartPros Legal and Ethics, Ltd</w:t>
            </w:r>
          </w:p>
        </w:tc>
        <w:tc>
          <w:tcPr>
            <w:tcW w:w="3600" w:type="dxa"/>
            <w:vAlign w:val="bottom"/>
          </w:tcPr>
          <w:p>
            <w:pPr>
              <w:ind w:left="1620"/>
              <w:spacing w:after="0"/>
              <w:rPr>
                <w:sz w:val="20"/>
                <w:szCs w:val="20"/>
                <w:color w:val="auto"/>
              </w:rPr>
            </w:pPr>
            <w:r>
              <w:rPr>
                <w:rFonts w:ascii="Arial" w:cs="Arial" w:eastAsia="Arial" w:hAnsi="Arial"/>
                <w:sz w:val="16"/>
                <w:szCs w:val="16"/>
                <w:color w:val="auto"/>
              </w:rPr>
              <w:t>Massachusetts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ind w:left="220"/>
              <w:spacing w:after="0"/>
              <w:rPr>
                <w:sz w:val="20"/>
                <w:szCs w:val="20"/>
                <w:color w:val="auto"/>
              </w:rPr>
            </w:pPr>
            <w:r>
              <w:rPr>
                <w:rFonts w:ascii="Arial" w:cs="Arial" w:eastAsia="Arial" w:hAnsi="Arial"/>
                <w:sz w:val="16"/>
                <w:szCs w:val="16"/>
                <w:color w:val="auto"/>
              </w:rPr>
              <w:t>SMM, Ltd</w:t>
            </w:r>
          </w:p>
        </w:tc>
        <w:tc>
          <w:tcPr>
            <w:tcW w:w="3600" w:type="dxa"/>
            <w:vAlign w:val="bottom"/>
          </w:tcPr>
          <w:p>
            <w:pPr>
              <w:ind w:left="1620"/>
              <w:spacing w:after="0"/>
              <w:rPr>
                <w:sz w:val="20"/>
                <w:szCs w:val="20"/>
                <w:color w:val="auto"/>
              </w:rPr>
            </w:pPr>
            <w:r>
              <w:rPr>
                <w:rFonts w:ascii="Arial" w:cs="Arial" w:eastAsia="Arial" w:hAnsi="Arial"/>
                <w:sz w:val="16"/>
                <w:szCs w:val="16"/>
                <w:color w:val="auto"/>
              </w:rPr>
              <w:t>New Jersey</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Insight Schools, Inc.</w:t>
            </w:r>
          </w:p>
        </w:tc>
        <w:tc>
          <w:tcPr>
            <w:tcW w:w="3600" w:type="dxa"/>
            <w:vAlign w:val="bottom"/>
          </w:tcPr>
          <w:p>
            <w:pPr>
              <w:ind w:left="1620"/>
              <w:spacing w:after="0"/>
              <w:rPr>
                <w:sz w:val="20"/>
                <w:szCs w:val="20"/>
                <w:color w:val="auto"/>
              </w:rPr>
            </w:pPr>
            <w:r>
              <w:rPr>
                <w:rFonts w:ascii="Arial" w:cs="Arial" w:eastAsia="Arial" w:hAnsi="Arial"/>
                <w:sz w:val="16"/>
                <w:szCs w:val="16"/>
                <w:color w:val="auto"/>
              </w:rPr>
              <w:t>Oregon</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University PTY LTD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Maric Learning Systems</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New Hampshire Acquisition Corp.</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Hesser, Inc.</w:t>
            </w:r>
          </w:p>
        </w:tc>
        <w:tc>
          <w:tcPr>
            <w:tcW w:w="3600" w:type="dxa"/>
            <w:vAlign w:val="bottom"/>
          </w:tcPr>
          <w:p>
            <w:pPr>
              <w:ind w:left="1620"/>
              <w:spacing w:after="0"/>
              <w:rPr>
                <w:sz w:val="20"/>
                <w:szCs w:val="20"/>
                <w:color w:val="auto"/>
              </w:rPr>
            </w:pPr>
            <w:r>
              <w:rPr>
                <w:rFonts w:ascii="Arial" w:cs="Arial" w:eastAsia="Arial" w:hAnsi="Arial"/>
                <w:sz w:val="16"/>
                <w:szCs w:val="16"/>
                <w:color w:val="auto"/>
              </w:rPr>
              <w:t>New Hampshire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Palo Vista College of Nursing &amp; Allied Health Sciences, Inc.</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RETS Acquisition Corp.</w:t>
            </w:r>
          </w:p>
        </w:tc>
        <w:tc>
          <w:tcPr>
            <w:tcW w:w="3600" w:type="dxa"/>
            <w:vAlign w:val="bottom"/>
          </w:tcPr>
          <w:p>
            <w:pPr>
              <w:ind w:left="1620"/>
              <w:spacing w:after="0"/>
              <w:rPr>
                <w:sz w:val="20"/>
                <w:szCs w:val="20"/>
                <w:color w:val="auto"/>
              </w:rPr>
            </w:pPr>
            <w:r>
              <w:rPr>
                <w:rFonts w:ascii="Arial" w:cs="Arial" w:eastAsia="Arial" w:hAnsi="Arial"/>
                <w:sz w:val="16"/>
                <w:szCs w:val="16"/>
                <w:color w:val="auto"/>
              </w:rPr>
              <w:t>Massachusetts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StudentAdvisor,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KV EdTech Partners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Mexico Holdings,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(India) Private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India</w:t>
            </w: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(i)</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(PR) Inc.</w:t>
            </w:r>
          </w:p>
        </w:tc>
        <w:tc>
          <w:tcPr>
            <w:tcW w:w="3600" w:type="dxa"/>
            <w:vAlign w:val="bottom"/>
          </w:tcPr>
          <w:p>
            <w:pPr>
              <w:ind w:left="1620"/>
              <w:spacing w:after="0"/>
              <w:rPr>
                <w:sz w:val="20"/>
                <w:szCs w:val="20"/>
                <w:color w:val="auto"/>
              </w:rPr>
            </w:pPr>
            <w:r>
              <w:rPr>
                <w:rFonts w:ascii="Arial" w:cs="Arial" w:eastAsia="Arial" w:hAnsi="Arial"/>
                <w:sz w:val="16"/>
                <w:szCs w:val="16"/>
                <w:color w:val="auto"/>
              </w:rPr>
              <w:t>Puerto Rico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Learningpod, Inc.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MG Prep, Inc.</w:t>
            </w:r>
          </w:p>
        </w:tc>
        <w:tc>
          <w:tcPr>
            <w:tcW w:w="3600" w:type="dxa"/>
            <w:vAlign w:val="bottom"/>
          </w:tcPr>
          <w:p>
            <w:pPr>
              <w:ind w:left="1620"/>
              <w:spacing w:after="0"/>
              <w:rPr>
                <w:sz w:val="20"/>
                <w:szCs w:val="20"/>
                <w:color w:val="auto"/>
              </w:rPr>
            </w:pPr>
            <w:r>
              <w:rPr>
                <w:rFonts w:ascii="Arial" w:cs="Arial" w:eastAsia="Arial" w:hAnsi="Arial"/>
                <w:sz w:val="16"/>
                <w:szCs w:val="16"/>
                <w:color w:val="auto"/>
              </w:rPr>
              <w:t>New York</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Manhattan GMAT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K12 Learning Services,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Test Prep International, Inc.</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North America, LLC</w:t>
            </w:r>
          </w:p>
        </w:tc>
        <w:tc>
          <w:tcPr>
            <w:tcW w:w="3600" w:type="dxa"/>
            <w:vAlign w:val="bottom"/>
          </w:tcPr>
          <w:p>
            <w:pPr>
              <w:ind w:left="162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Global Solutions, LLC</w:t>
            </w:r>
          </w:p>
        </w:tc>
        <w:tc>
          <w:tcPr>
            <w:tcW w:w="360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English (Thailand), Co. Ltd.</w:t>
            </w:r>
          </w:p>
        </w:tc>
        <w:tc>
          <w:tcPr>
            <w:tcW w:w="3600" w:type="dxa"/>
            <w:vAlign w:val="bottom"/>
          </w:tcPr>
          <w:p>
            <w:pPr>
              <w:ind w:left="1620"/>
              <w:spacing w:after="0"/>
              <w:rPr>
                <w:sz w:val="20"/>
                <w:szCs w:val="20"/>
                <w:color w:val="auto"/>
              </w:rPr>
            </w:pPr>
            <w:r>
              <w:rPr>
                <w:rFonts w:ascii="Arial" w:cs="Arial" w:eastAsia="Arial" w:hAnsi="Arial"/>
                <w:sz w:val="16"/>
                <w:szCs w:val="16"/>
                <w:color w:val="auto"/>
              </w:rPr>
              <w:t>Thailand</w:t>
            </w:r>
          </w:p>
        </w:tc>
        <w:tc>
          <w:tcPr>
            <w:tcW w:w="1320" w:type="dxa"/>
            <w:vAlign w:val="bottom"/>
          </w:tcPr>
          <w:p>
            <w:pPr>
              <w:jc w:val="right"/>
              <w:spacing w:after="0"/>
              <w:rPr>
                <w:sz w:val="20"/>
                <w:szCs w:val="20"/>
                <w:color w:val="auto"/>
              </w:rPr>
            </w:pPr>
            <w:r>
              <w:rPr>
                <w:rFonts w:ascii="Arial" w:cs="Arial" w:eastAsia="Arial" w:hAnsi="Arial"/>
                <w:sz w:val="16"/>
                <w:szCs w:val="16"/>
                <w:color w:val="auto"/>
              </w:rPr>
              <w:t>99.99%</w:t>
            </w:r>
          </w:p>
        </w:tc>
        <w:tc>
          <w:tcPr>
            <w:tcW w:w="220" w:type="dxa"/>
            <w:vAlign w:val="bottom"/>
          </w:tcPr>
          <w:p>
            <w:pPr>
              <w:ind w:left="20"/>
              <w:spacing w:after="0"/>
              <w:rPr>
                <w:sz w:val="20"/>
                <w:szCs w:val="20"/>
                <w:color w:val="auto"/>
              </w:rPr>
            </w:pPr>
            <w:r>
              <w:rPr>
                <w:rFonts w:ascii="Arial" w:cs="Arial" w:eastAsia="Arial" w:hAnsi="Arial"/>
                <w:sz w:val="16"/>
                <w:szCs w:val="16"/>
                <w:color w:val="auto"/>
              </w:rPr>
              <w:t>(j)</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Hands On Consulting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Hong Kong</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Hands On Education Consultants Co., Ltd.</w:t>
            </w:r>
          </w:p>
        </w:tc>
        <w:tc>
          <w:tcPr>
            <w:tcW w:w="3600" w:type="dxa"/>
            <w:vAlign w:val="bottom"/>
          </w:tcPr>
          <w:p>
            <w:pPr>
              <w:ind w:left="1620"/>
              <w:spacing w:after="0"/>
              <w:rPr>
                <w:sz w:val="20"/>
                <w:szCs w:val="20"/>
                <w:color w:val="auto"/>
              </w:rPr>
            </w:pPr>
            <w:r>
              <w:rPr>
                <w:rFonts w:ascii="Arial" w:cs="Arial" w:eastAsia="Arial" w:hAnsi="Arial"/>
                <w:sz w:val="16"/>
                <w:szCs w:val="16"/>
                <w:color w:val="auto"/>
              </w:rPr>
              <w:t>Thailand</w:t>
            </w: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6"/>
              </w:rPr>
              <w:t>(k)</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U.K.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Education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ILA Education (NZ)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New Zealand</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ILA South Pacific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New Zealand</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English (Australia)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ILA Sydney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International (Perth) Pty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Kaplan Japan K.K.</w:t>
            </w:r>
          </w:p>
        </w:tc>
        <w:tc>
          <w:tcPr>
            <w:tcW w:w="3600" w:type="dxa"/>
            <w:vAlign w:val="bottom"/>
          </w:tcPr>
          <w:p>
            <w:pPr>
              <w:ind w:left="1620"/>
              <w:spacing w:after="0"/>
              <w:rPr>
                <w:sz w:val="20"/>
                <w:szCs w:val="20"/>
                <w:color w:val="auto"/>
              </w:rPr>
            </w:pPr>
            <w:r>
              <w:rPr>
                <w:rFonts w:ascii="Arial" w:cs="Arial" w:eastAsia="Arial" w:hAnsi="Arial"/>
                <w:sz w:val="16"/>
                <w:szCs w:val="16"/>
                <w:color w:val="auto"/>
              </w:rPr>
              <w:t>Japan</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BEO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Hong Kong</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BEO KK</w:t>
            </w:r>
          </w:p>
        </w:tc>
        <w:tc>
          <w:tcPr>
            <w:tcW w:w="3600" w:type="dxa"/>
            <w:vAlign w:val="bottom"/>
          </w:tcPr>
          <w:p>
            <w:pPr>
              <w:ind w:left="1620"/>
              <w:spacing w:after="0"/>
              <w:rPr>
                <w:sz w:val="20"/>
                <w:szCs w:val="20"/>
                <w:color w:val="auto"/>
              </w:rPr>
            </w:pPr>
            <w:r>
              <w:rPr>
                <w:rFonts w:ascii="Arial" w:cs="Arial" w:eastAsia="Arial" w:hAnsi="Arial"/>
                <w:sz w:val="16"/>
                <w:szCs w:val="16"/>
                <w:color w:val="auto"/>
              </w:rPr>
              <w:t>Japan</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BEO UK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(Beijing) Education Information Consulting Co. Ltd.</w:t>
            </w:r>
          </w:p>
        </w:tc>
        <w:tc>
          <w:tcPr>
            <w:tcW w:w="3600" w:type="dxa"/>
            <w:vAlign w:val="bottom"/>
          </w:tcPr>
          <w:p>
            <w:pPr>
              <w:ind w:left="1620"/>
              <w:spacing w:after="0"/>
              <w:rPr>
                <w:sz w:val="20"/>
                <w:szCs w:val="20"/>
                <w:color w:val="auto"/>
              </w:rPr>
            </w:pPr>
            <w:r>
              <w:rPr>
                <w:rFonts w:ascii="Arial" w:cs="Arial" w:eastAsia="Arial" w:hAnsi="Arial"/>
                <w:sz w:val="16"/>
                <w:szCs w:val="16"/>
                <w:color w:val="auto"/>
              </w:rPr>
              <w:t>China (PR)</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Pacific Language Institute, Inc.</w:t>
            </w:r>
          </w:p>
        </w:tc>
        <w:tc>
          <w:tcPr>
            <w:tcW w:w="3600" w:type="dxa"/>
            <w:vAlign w:val="bottom"/>
          </w:tcPr>
          <w:p>
            <w:pPr>
              <w:ind w:left="1620"/>
              <w:spacing w:after="0"/>
              <w:rPr>
                <w:sz w:val="20"/>
                <w:szCs w:val="20"/>
                <w:color w:val="auto"/>
              </w:rPr>
            </w:pPr>
            <w:r>
              <w:rPr>
                <w:rFonts w:ascii="Arial" w:cs="Arial" w:eastAsia="Arial" w:hAnsi="Arial"/>
                <w:sz w:val="16"/>
                <w:szCs w:val="16"/>
                <w:color w:val="auto"/>
              </w:rPr>
              <w:t>British Columbia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Education UK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Educational Services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International Language Academies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Aspect International Language Schools Limited</w:t>
            </w:r>
          </w:p>
        </w:tc>
        <w:tc>
          <w:tcPr>
            <w:tcW w:w="3600" w:type="dxa"/>
            <w:vAlign w:val="bottom"/>
          </w:tcPr>
          <w:p>
            <w:pPr>
              <w:ind w:left="1620"/>
              <w:spacing w:after="0"/>
              <w:rPr>
                <w:sz w:val="20"/>
                <w:szCs w:val="20"/>
                <w:color w:val="auto"/>
              </w:rPr>
            </w:pPr>
            <w:r>
              <w:rPr>
                <w:rFonts w:ascii="Arial" w:cs="Arial" w:eastAsia="Arial" w:hAnsi="Arial"/>
                <w:sz w:val="16"/>
                <w:szCs w:val="16"/>
                <w:color w:val="auto"/>
              </w:rPr>
              <w:t>Ireland</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bl>
    <w:p>
      <w:pPr>
        <w:sectPr>
          <w:pgSz w:w="11900" w:h="16838" w:orient="portrait"/>
          <w:cols w:equalWidth="0" w:num="1">
            <w:col w:w="11040"/>
          </w:cols>
          <w:pgMar w:left="340" w:top="776" w:right="519" w:bottom="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Aspect InternationaleSprachschule GmbH</w:t>
            </w:r>
          </w:p>
        </w:tc>
        <w:tc>
          <w:tcPr>
            <w:tcW w:w="3780" w:type="dxa"/>
            <w:vAlign w:val="bottom"/>
          </w:tcPr>
          <w:p>
            <w:pPr>
              <w:ind w:left="1740"/>
              <w:spacing w:after="0"/>
              <w:rPr>
                <w:sz w:val="20"/>
                <w:szCs w:val="20"/>
                <w:color w:val="auto"/>
              </w:rPr>
            </w:pPr>
            <w:r>
              <w:rPr>
                <w:rFonts w:ascii="Arial" w:cs="Arial" w:eastAsia="Arial" w:hAnsi="Arial"/>
                <w:sz w:val="16"/>
                <w:szCs w:val="16"/>
                <w:color w:val="auto"/>
              </w:rPr>
              <w:t>Germany</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Aspect Language Schools Limitada</w:t>
            </w:r>
          </w:p>
        </w:tc>
        <w:tc>
          <w:tcPr>
            <w:tcW w:w="3780" w:type="dxa"/>
            <w:vAlign w:val="bottom"/>
          </w:tcPr>
          <w:p>
            <w:pPr>
              <w:ind w:left="1740"/>
              <w:spacing w:after="0"/>
              <w:rPr>
                <w:sz w:val="20"/>
                <w:szCs w:val="20"/>
                <w:color w:val="auto"/>
              </w:rPr>
            </w:pPr>
            <w:r>
              <w:rPr>
                <w:rFonts w:ascii="Arial" w:cs="Arial" w:eastAsia="Arial" w:hAnsi="Arial"/>
                <w:sz w:val="16"/>
                <w:szCs w:val="16"/>
                <w:color w:val="auto"/>
              </w:rPr>
              <w:t>Columbia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Aspect Language Schools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Switzerland</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Aspect S.A.R.L. France</w:t>
            </w:r>
          </w:p>
        </w:tc>
        <w:tc>
          <w:tcPr>
            <w:tcW w:w="3780" w:type="dxa"/>
            <w:vAlign w:val="bottom"/>
          </w:tcPr>
          <w:p>
            <w:pPr>
              <w:ind w:left="1740"/>
              <w:spacing w:after="0"/>
              <w:rPr>
                <w:sz w:val="20"/>
                <w:szCs w:val="20"/>
                <w:color w:val="auto"/>
              </w:rPr>
            </w:pPr>
            <w:r>
              <w:rPr>
                <w:rFonts w:ascii="Arial" w:cs="Arial" w:eastAsia="Arial" w:hAnsi="Arial"/>
                <w:sz w:val="16"/>
                <w:szCs w:val="16"/>
                <w:color w:val="auto"/>
              </w:rPr>
              <w:t>France</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Aspect Education (Hong Kong)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Hong Kong</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Colleges, C.A.</w:t>
            </w:r>
          </w:p>
        </w:tc>
        <w:tc>
          <w:tcPr>
            <w:tcW w:w="3780" w:type="dxa"/>
            <w:vAlign w:val="bottom"/>
          </w:tcPr>
          <w:p>
            <w:pPr>
              <w:ind w:left="1740"/>
              <w:spacing w:after="0"/>
              <w:rPr>
                <w:sz w:val="20"/>
                <w:szCs w:val="20"/>
                <w:color w:val="auto"/>
              </w:rPr>
            </w:pPr>
            <w:r>
              <w:rPr>
                <w:rFonts w:ascii="Arial" w:cs="Arial" w:eastAsia="Arial" w:hAnsi="Arial"/>
                <w:sz w:val="16"/>
                <w:szCs w:val="16"/>
                <w:color w:val="auto"/>
              </w:rPr>
              <w:t>Venezuela</w:t>
            </w: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260" w:type="dxa"/>
            <w:vAlign w:val="bottom"/>
          </w:tcPr>
          <w:p>
            <w:pPr>
              <w:ind w:left="20"/>
              <w:spacing w:after="0"/>
              <w:rPr>
                <w:sz w:val="20"/>
                <w:szCs w:val="20"/>
                <w:color w:val="auto"/>
              </w:rPr>
            </w:pPr>
            <w:r>
              <w:rPr>
                <w:rFonts w:ascii="Arial" w:cs="Arial" w:eastAsia="Arial" w:hAnsi="Arial"/>
                <w:sz w:val="16"/>
                <w:szCs w:val="16"/>
                <w:color w:val="auto"/>
              </w:rPr>
              <w:t>(l)</w:t>
            </w: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Operations Mexico, S.A. de C.V.</w:t>
            </w:r>
          </w:p>
        </w:tc>
        <w:tc>
          <w:tcPr>
            <w:tcW w:w="3780" w:type="dxa"/>
            <w:vAlign w:val="bottom"/>
          </w:tcPr>
          <w:p>
            <w:pPr>
              <w:ind w:left="1740"/>
              <w:spacing w:after="0"/>
              <w:rPr>
                <w:sz w:val="20"/>
                <w:szCs w:val="20"/>
                <w:color w:val="auto"/>
              </w:rPr>
            </w:pPr>
            <w:r>
              <w:rPr>
                <w:rFonts w:ascii="Arial" w:cs="Arial" w:eastAsia="Arial" w:hAnsi="Arial"/>
                <w:sz w:val="16"/>
                <w:szCs w:val="16"/>
                <w:color w:val="auto"/>
              </w:rPr>
              <w:t>Mexico</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20"/>
              <w:spacing w:after="0"/>
              <w:rPr>
                <w:sz w:val="20"/>
                <w:szCs w:val="20"/>
                <w:color w:val="auto"/>
              </w:rPr>
            </w:pPr>
            <w:r>
              <w:rPr>
                <w:rFonts w:ascii="Arial" w:cs="Arial" w:eastAsia="Arial" w:hAnsi="Arial"/>
                <w:sz w:val="16"/>
                <w:szCs w:val="16"/>
                <w:color w:val="auto"/>
                <w:w w:val="91"/>
              </w:rPr>
              <w:t>(m)</w:t>
            </w: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KI HR Services Mexico, S.A. de C.V.</w:t>
            </w:r>
          </w:p>
        </w:tc>
        <w:tc>
          <w:tcPr>
            <w:tcW w:w="3780" w:type="dxa"/>
            <w:vAlign w:val="bottom"/>
          </w:tcPr>
          <w:p>
            <w:pPr>
              <w:ind w:left="1740"/>
              <w:spacing w:after="0"/>
              <w:rPr>
                <w:sz w:val="20"/>
                <w:szCs w:val="20"/>
                <w:color w:val="auto"/>
              </w:rPr>
            </w:pPr>
            <w:r>
              <w:rPr>
                <w:rFonts w:ascii="Arial" w:cs="Arial" w:eastAsia="Arial" w:hAnsi="Arial"/>
                <w:sz w:val="16"/>
                <w:szCs w:val="16"/>
                <w:color w:val="auto"/>
              </w:rPr>
              <w:t>Mexico</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20"/>
              <w:spacing w:after="0"/>
              <w:rPr>
                <w:sz w:val="20"/>
                <w:szCs w:val="20"/>
                <w:color w:val="auto"/>
              </w:rPr>
            </w:pPr>
            <w:r>
              <w:rPr>
                <w:rFonts w:ascii="Arial" w:cs="Arial" w:eastAsia="Arial" w:hAnsi="Arial"/>
                <w:sz w:val="16"/>
                <w:szCs w:val="16"/>
                <w:color w:val="auto"/>
                <w:w w:val="91"/>
              </w:rPr>
              <w:t>(m)</w:t>
            </w: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Pro Linguis</w:t>
            </w:r>
          </w:p>
        </w:tc>
        <w:tc>
          <w:tcPr>
            <w:tcW w:w="3780" w:type="dxa"/>
            <w:vAlign w:val="bottom"/>
          </w:tcPr>
          <w:p>
            <w:pPr>
              <w:ind w:left="1740"/>
              <w:spacing w:after="0"/>
              <w:rPr>
                <w:sz w:val="20"/>
                <w:szCs w:val="20"/>
                <w:color w:val="auto"/>
              </w:rPr>
            </w:pPr>
            <w:r>
              <w:rPr>
                <w:rFonts w:ascii="Arial" w:cs="Arial" w:eastAsia="Arial" w:hAnsi="Arial"/>
                <w:sz w:val="16"/>
                <w:szCs w:val="16"/>
                <w:color w:val="auto"/>
              </w:rPr>
              <w:t>Switzerland</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West of England Language Services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The Salisbury School of English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(Manly)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Holdings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Higher Education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Tecnologias Servicios Logisticos y Aplicaciones, S.A.U.</w:t>
            </w:r>
          </w:p>
        </w:tc>
        <w:tc>
          <w:tcPr>
            <w:tcW w:w="3780" w:type="dxa"/>
            <w:vAlign w:val="bottom"/>
          </w:tcPr>
          <w:p>
            <w:pPr>
              <w:ind w:left="1740"/>
              <w:spacing w:after="0"/>
              <w:rPr>
                <w:sz w:val="20"/>
                <w:szCs w:val="20"/>
                <w:color w:val="auto"/>
              </w:rPr>
            </w:pPr>
            <w:r>
              <w:rPr>
                <w:rFonts w:ascii="Arial" w:cs="Arial" w:eastAsia="Arial" w:hAnsi="Arial"/>
                <w:sz w:val="16"/>
                <w:szCs w:val="16"/>
                <w:color w:val="auto"/>
              </w:rPr>
              <w:t>Spain</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Financial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Altior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Altior Consulting &amp; Training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Hawksmere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Holborn College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Colleges U.K.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Colleges Private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India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Colleges (Private)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Pakistan</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Glasgow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Colleges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Nigeria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20"/>
              <w:spacing w:after="0"/>
              <w:rPr>
                <w:sz w:val="20"/>
                <w:szCs w:val="20"/>
                <w:color w:val="auto"/>
              </w:rPr>
            </w:pPr>
            <w:r>
              <w:rPr>
                <w:rFonts w:ascii="Arial" w:cs="Arial" w:eastAsia="Arial" w:hAnsi="Arial"/>
                <w:sz w:val="16"/>
                <w:szCs w:val="16"/>
                <w:color w:val="auto"/>
              </w:rPr>
              <w:t>(n)</w:t>
            </w: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Liverpool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NT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US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College London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Brighton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UWE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Bournemouth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Bath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York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University of York International Pathway College LLP</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Partner Services HK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Hong Kong</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ind w:left="20"/>
              <w:spacing w:after="0"/>
              <w:rPr>
                <w:sz w:val="20"/>
                <w:szCs w:val="20"/>
                <w:color w:val="auto"/>
              </w:rPr>
            </w:pPr>
            <w:r>
              <w:rPr>
                <w:rFonts w:ascii="Arial" w:cs="Arial" w:eastAsia="Arial" w:hAnsi="Arial"/>
                <w:sz w:val="16"/>
                <w:szCs w:val="16"/>
                <w:color w:val="auto"/>
              </w:rPr>
              <w:t>(o)</w:t>
            </w: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Law School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Open Learning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Open Learning (Essex)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Publishing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Professional Awards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6"/>
                <w:szCs w:val="16"/>
                <w:color w:val="auto"/>
              </w:rPr>
              <w:t>Mander Portman Woodward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Kensington Student Services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Justin Craig Education Holdings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Justin Craig Education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England &amp; Wales</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Australia Holdings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Australia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Carrick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International (Melbourne &amp; Adelaide)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Carrick Higher Education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CMC - Training at Work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Carrick Education Group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Asia Pacific Finance Institute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Higher Education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Business School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Bradford College Australia Pty Ltd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Tribeca Learning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Education Pty Limited</w:t>
            </w:r>
          </w:p>
        </w:tc>
        <w:tc>
          <w:tcPr>
            <w:tcW w:w="3780" w:type="dxa"/>
            <w:vAlign w:val="bottom"/>
          </w:tcPr>
          <w:p>
            <w:pPr>
              <w:ind w:left="1740"/>
              <w:spacing w:after="0"/>
              <w:rPr>
                <w:sz w:val="20"/>
                <w:szCs w:val="20"/>
                <w:color w:val="auto"/>
              </w:rPr>
            </w:pPr>
            <w:r>
              <w:rPr>
                <w:rFonts w:ascii="Arial" w:cs="Arial" w:eastAsia="Arial" w:hAnsi="Arial"/>
                <w:sz w:val="16"/>
                <w:szCs w:val="16"/>
                <w:color w:val="auto"/>
              </w:rPr>
              <w:t>Australia</w:t>
            </w: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23"/>
                <w:szCs w:val="23"/>
                <w:color w:val="auto"/>
              </w:rPr>
            </w:pPr>
          </w:p>
        </w:tc>
      </w:tr>
    </w:tbl>
    <w:p>
      <w:pPr>
        <w:sectPr>
          <w:pgSz w:w="11900" w:h="16838" w:orient="portrait"/>
          <w:cols w:equalWidth="0" w:num="1">
            <w:col w:w="11080"/>
          </w:cols>
          <w:pgMar w:left="340" w:top="776" w:right="479" w:bottom="0"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tbl>
      <w:tblPr>
        <w:tblLayout w:type="fixed"/>
        <w:tblInd w:w="100" w:type="dxa"/>
        <w:tblCellMar>
          <w:top w:w="0" w:type="dxa"/>
          <w:left w:w="0" w:type="dxa"/>
          <w:bottom w:w="0" w:type="dxa"/>
          <w:right w:w="0" w:type="dxa"/>
        </w:tblCellMar>
      </w:tblPr>
      <w:tr>
        <w:trPr>
          <w:trHeight w:val="195"/>
        </w:trPr>
        <w:tc>
          <w:tcPr>
            <w:tcW w:w="6060" w:type="dxa"/>
            <w:vAlign w:val="bottom"/>
          </w:tcPr>
          <w:p>
            <w:pPr>
              <w:spacing w:after="0"/>
              <w:rPr>
                <w:sz w:val="20"/>
                <w:szCs w:val="20"/>
                <w:color w:val="auto"/>
              </w:rPr>
            </w:pPr>
            <w:r>
              <w:rPr>
                <w:rFonts w:ascii="Arial" w:cs="Arial" w:eastAsia="Arial" w:hAnsi="Arial"/>
                <w:sz w:val="16"/>
                <w:szCs w:val="16"/>
                <w:color w:val="auto"/>
              </w:rPr>
              <w:t>Score! Learning, Inc.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95.85%</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eScore.com, Inc.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Score! Educational Centers, Inc.</w:t>
            </w:r>
          </w:p>
        </w:tc>
        <w:tc>
          <w:tcPr>
            <w:tcW w:w="3300" w:type="dxa"/>
            <w:vAlign w:val="bottom"/>
          </w:tcPr>
          <w:p>
            <w:pPr>
              <w:ind w:left="1460"/>
              <w:spacing w:after="0"/>
              <w:rPr>
                <w:sz w:val="20"/>
                <w:szCs w:val="20"/>
                <w:color w:val="auto"/>
              </w:rPr>
            </w:pPr>
            <w:r>
              <w:rPr>
                <w:rFonts w:ascii="Arial" w:cs="Arial" w:eastAsia="Arial" w:hAnsi="Arial"/>
                <w:sz w:val="16"/>
                <w:szCs w:val="16"/>
                <w:color w:val="auto"/>
              </w:rPr>
              <w:t>California</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PCH, Inc.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Inc.</w:t>
            </w:r>
          </w:p>
        </w:tc>
        <w:tc>
          <w:tcPr>
            <w:tcW w:w="3300" w:type="dxa"/>
            <w:vAlign w:val="bottom"/>
          </w:tcPr>
          <w:p>
            <w:pPr>
              <w:ind w:left="1460"/>
              <w:spacing w:after="0"/>
              <w:rPr>
                <w:sz w:val="20"/>
                <w:szCs w:val="20"/>
                <w:color w:val="auto"/>
              </w:rPr>
            </w:pPr>
            <w:r>
              <w:rPr>
                <w:rFonts w:ascii="Arial" w:cs="Arial" w:eastAsia="Arial" w:hAnsi="Arial"/>
                <w:sz w:val="16"/>
                <w:szCs w:val="16"/>
                <w:color w:val="auto"/>
              </w:rPr>
              <w:t>Nevada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Carlisle,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E. MO,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S. IL,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Living Assistance Services,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Homecare,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Support Services,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Rehabilitation,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NC PA,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NE PA,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Westmoreland,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32.31%</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Geriatric Care Management,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of Carlisle, Inc.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of E. MO,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of NC PA,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of S. IL,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NE Ohio, Inc.</w:t>
            </w:r>
          </w:p>
        </w:tc>
        <w:tc>
          <w:tcPr>
            <w:tcW w:w="3300" w:type="dxa"/>
            <w:vAlign w:val="bottom"/>
          </w:tcPr>
          <w:p>
            <w:pPr>
              <w:ind w:left="1460"/>
              <w:spacing w:after="0"/>
              <w:rPr>
                <w:sz w:val="20"/>
                <w:szCs w:val="20"/>
                <w:color w:val="auto"/>
              </w:rPr>
            </w:pPr>
            <w:r>
              <w:rPr>
                <w:rFonts w:ascii="Arial" w:cs="Arial" w:eastAsia="Arial" w:hAnsi="Arial"/>
                <w:sz w:val="16"/>
                <w:szCs w:val="16"/>
                <w:color w:val="auto"/>
              </w:rPr>
              <w:t>Ohio</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Community Services of NE Ohio, Inc.</w:t>
            </w:r>
          </w:p>
        </w:tc>
        <w:tc>
          <w:tcPr>
            <w:tcW w:w="3300" w:type="dxa"/>
            <w:vAlign w:val="bottom"/>
          </w:tcPr>
          <w:p>
            <w:pPr>
              <w:ind w:left="1460"/>
              <w:spacing w:after="0"/>
              <w:rPr>
                <w:sz w:val="20"/>
                <w:szCs w:val="20"/>
                <w:color w:val="auto"/>
              </w:rPr>
            </w:pPr>
            <w:r>
              <w:rPr>
                <w:rFonts w:ascii="Arial" w:cs="Arial" w:eastAsia="Arial" w:hAnsi="Arial"/>
                <w:sz w:val="16"/>
                <w:szCs w:val="16"/>
                <w:color w:val="auto"/>
              </w:rPr>
              <w:t>Ohio</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of Maryland, Inc.</w:t>
            </w:r>
          </w:p>
        </w:tc>
        <w:tc>
          <w:tcPr>
            <w:tcW w:w="3300" w:type="dxa"/>
            <w:vAlign w:val="bottom"/>
          </w:tcPr>
          <w:p>
            <w:pPr>
              <w:ind w:left="1460"/>
              <w:spacing w:after="0"/>
              <w:rPr>
                <w:sz w:val="20"/>
                <w:szCs w:val="20"/>
                <w:color w:val="auto"/>
              </w:rPr>
            </w:pPr>
            <w:r>
              <w:rPr>
                <w:rFonts w:ascii="Arial" w:cs="Arial" w:eastAsia="Arial" w:hAnsi="Arial"/>
                <w:sz w:val="16"/>
                <w:szCs w:val="16"/>
                <w:color w:val="auto"/>
              </w:rPr>
              <w:t>Maryland</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25.82%</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Hospice &amp; Palliative Care Services of Westmoreland,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Private Care of IL &amp; MO,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Home Health Utilization Management,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Celtic Healthcare Technology Solutions, LLC</w:t>
            </w:r>
          </w:p>
        </w:tc>
        <w:tc>
          <w:tcPr>
            <w:tcW w:w="3300" w:type="dxa"/>
            <w:vAlign w:val="bottom"/>
          </w:tcPr>
          <w:p>
            <w:pPr>
              <w:ind w:left="1460"/>
              <w:spacing w:after="0"/>
              <w:rPr>
                <w:sz w:val="20"/>
                <w:szCs w:val="20"/>
                <w:color w:val="auto"/>
              </w:rPr>
            </w:pPr>
            <w:r>
              <w:rPr>
                <w:rFonts w:ascii="Arial" w:cs="Arial" w:eastAsia="Arial" w:hAnsi="Arial"/>
                <w:sz w:val="16"/>
                <w:szCs w:val="16"/>
                <w:color w:val="auto"/>
              </w:rPr>
              <w:t>Pennsylvania</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Post NW, LLC</w:t>
            </w:r>
          </w:p>
        </w:tc>
        <w:tc>
          <w:tcPr>
            <w:tcW w:w="3300" w:type="dxa"/>
            <w:vAlign w:val="bottom"/>
          </w:tcPr>
          <w:p>
            <w:pPr>
              <w:ind w:left="1460"/>
              <w:spacing w:after="0"/>
              <w:rPr>
                <w:sz w:val="20"/>
                <w:szCs w:val="20"/>
                <w:color w:val="auto"/>
              </w:rPr>
            </w:pPr>
            <w:r>
              <w:rPr>
                <w:rFonts w:ascii="Arial" w:cs="Arial" w:eastAsia="Arial" w:hAnsi="Arial"/>
                <w:sz w:val="16"/>
                <w:szCs w:val="16"/>
                <w:color w:val="auto"/>
              </w:rPr>
              <w:t>New York</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Residential Healthcare Group, Inc.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RHH Holdings Co.</w:t>
            </w:r>
          </w:p>
        </w:tc>
        <w:tc>
          <w:tcPr>
            <w:tcW w:w="3300" w:type="dxa"/>
            <w:vAlign w:val="bottom"/>
          </w:tcPr>
          <w:p>
            <w:pPr>
              <w:ind w:left="1460"/>
              <w:spacing w:after="0"/>
              <w:rPr>
                <w:sz w:val="20"/>
                <w:szCs w:val="20"/>
                <w:color w:val="auto"/>
              </w:rPr>
            </w:pPr>
            <w:r>
              <w:rPr>
                <w:rFonts w:ascii="Arial" w:cs="Arial" w:eastAsia="Arial" w:hAnsi="Arial"/>
                <w:sz w:val="16"/>
                <w:szCs w:val="16"/>
                <w:color w:val="auto"/>
              </w:rPr>
              <w:t>Michigan</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Residential Home Health, LLC</w:t>
            </w:r>
          </w:p>
        </w:tc>
        <w:tc>
          <w:tcPr>
            <w:tcW w:w="3300" w:type="dxa"/>
            <w:vAlign w:val="bottom"/>
          </w:tcPr>
          <w:p>
            <w:pPr>
              <w:ind w:left="1460"/>
              <w:spacing w:after="0"/>
              <w:rPr>
                <w:sz w:val="20"/>
                <w:szCs w:val="20"/>
                <w:color w:val="auto"/>
              </w:rPr>
            </w:pPr>
            <w:r>
              <w:rPr>
                <w:rFonts w:ascii="Arial" w:cs="Arial" w:eastAsia="Arial" w:hAnsi="Arial"/>
                <w:sz w:val="16"/>
                <w:szCs w:val="16"/>
                <w:color w:val="auto"/>
              </w:rPr>
              <w:t>Michigan</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Care Transition Specialists, LLP</w:t>
            </w:r>
          </w:p>
        </w:tc>
        <w:tc>
          <w:tcPr>
            <w:tcW w:w="3300" w:type="dxa"/>
            <w:vAlign w:val="bottom"/>
          </w:tcPr>
          <w:p>
            <w:pPr>
              <w:ind w:left="1460"/>
              <w:spacing w:after="0"/>
              <w:rPr>
                <w:sz w:val="20"/>
                <w:szCs w:val="20"/>
                <w:color w:val="auto"/>
              </w:rPr>
            </w:pPr>
            <w:r>
              <w:rPr>
                <w:rFonts w:ascii="Arial" w:cs="Arial" w:eastAsia="Arial" w:hAnsi="Arial"/>
                <w:sz w:val="16"/>
                <w:szCs w:val="16"/>
                <w:color w:val="auto"/>
              </w:rPr>
              <w:t>Michigan</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Residential Hospice, LLC</w:t>
            </w:r>
          </w:p>
        </w:tc>
        <w:tc>
          <w:tcPr>
            <w:tcW w:w="3300" w:type="dxa"/>
            <w:vAlign w:val="bottom"/>
          </w:tcPr>
          <w:p>
            <w:pPr>
              <w:ind w:left="1460"/>
              <w:spacing w:after="0"/>
              <w:rPr>
                <w:sz w:val="20"/>
                <w:szCs w:val="20"/>
                <w:color w:val="auto"/>
              </w:rPr>
            </w:pPr>
            <w:r>
              <w:rPr>
                <w:rFonts w:ascii="Arial" w:cs="Arial" w:eastAsia="Arial" w:hAnsi="Arial"/>
                <w:sz w:val="16"/>
                <w:szCs w:val="16"/>
                <w:color w:val="auto"/>
              </w:rPr>
              <w:t>Michigan</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RHM-KCINO, LLC</w:t>
            </w:r>
          </w:p>
        </w:tc>
        <w:tc>
          <w:tcPr>
            <w:tcW w:w="3300" w:type="dxa"/>
            <w:vAlign w:val="bottom"/>
          </w:tcPr>
          <w:p>
            <w:pPr>
              <w:ind w:left="1460"/>
              <w:spacing w:after="0"/>
              <w:rPr>
                <w:sz w:val="20"/>
                <w:szCs w:val="20"/>
                <w:color w:val="auto"/>
              </w:rPr>
            </w:pPr>
            <w:r>
              <w:rPr>
                <w:rFonts w:ascii="Arial" w:cs="Arial" w:eastAsia="Arial" w:hAnsi="Arial"/>
                <w:sz w:val="16"/>
                <w:szCs w:val="16"/>
                <w:color w:val="auto"/>
              </w:rPr>
              <w:t>Michigan</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RHH Ventures Illinois, LLC</w:t>
            </w:r>
          </w:p>
        </w:tc>
        <w:tc>
          <w:tcPr>
            <w:tcW w:w="3300" w:type="dxa"/>
            <w:vAlign w:val="bottom"/>
          </w:tcPr>
          <w:p>
            <w:pPr>
              <w:ind w:left="1460"/>
              <w:spacing w:after="0"/>
              <w:rPr>
                <w:sz w:val="20"/>
                <w:szCs w:val="20"/>
                <w:color w:val="auto"/>
              </w:rPr>
            </w:pPr>
            <w:r>
              <w:rPr>
                <w:rFonts w:ascii="Arial" w:cs="Arial" w:eastAsia="Arial" w:hAnsi="Arial"/>
                <w:sz w:val="16"/>
                <w:szCs w:val="16"/>
                <w:color w:val="auto"/>
              </w:rPr>
              <w:t>Illinois</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Social Code LLC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The Slate Group, LLC</w:t>
            </w:r>
          </w:p>
        </w:tc>
        <w:tc>
          <w:tcPr>
            <w:tcW w:w="330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w:t>
      </w:r>
    </w:p>
    <w:p>
      <w:pPr>
        <w:spacing w:after="0" w:line="299" w:lineRule="exact"/>
        <w:rPr>
          <w:sz w:val="20"/>
          <w:szCs w:val="20"/>
          <w:color w:val="auto"/>
        </w:rPr>
      </w:pPr>
    </w:p>
    <w:p>
      <w:pPr>
        <w:ind w:left="820" w:right="60" w:hanging="326"/>
        <w:spacing w:after="0" w:line="253"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Group Dekko Holdings Inc. owns 40% of the Capital Units of Dekko Global Enterprise, LLC and Group Dekko, Inc. owns 60% of Capital Units of Dekko Global Enterprise LLC. The combined ownership by Group Dekko Holdings Inc. and Group Dekko, Inc. in Dekko Global Enterprise, LLC is 100%.</w:t>
      </w:r>
    </w:p>
    <w:p>
      <w:pPr>
        <w:spacing w:after="0" w:line="52" w:lineRule="exact"/>
        <w:rPr>
          <w:rFonts w:ascii="Arial" w:cs="Arial" w:eastAsia="Arial" w:hAnsi="Arial"/>
          <w:sz w:val="16"/>
          <w:szCs w:val="16"/>
          <w:color w:val="auto"/>
        </w:rPr>
      </w:pPr>
    </w:p>
    <w:p>
      <w:pPr>
        <w:ind w:left="820" w:hanging="326"/>
        <w:spacing w:after="0" w:line="251"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54" w:lineRule="exact"/>
        <w:rPr>
          <w:rFonts w:ascii="Arial" w:cs="Arial" w:eastAsia="Arial" w:hAnsi="Arial"/>
          <w:sz w:val="16"/>
          <w:szCs w:val="16"/>
          <w:color w:val="auto"/>
        </w:rPr>
      </w:pPr>
    </w:p>
    <w:p>
      <w:pPr>
        <w:ind w:left="820" w:right="40" w:hanging="326"/>
        <w:spacing w:after="0" w:line="260"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47" w:lineRule="exact"/>
        <w:rPr>
          <w:rFonts w:ascii="Arial" w:cs="Arial" w:eastAsia="Arial" w:hAnsi="Arial"/>
          <w:sz w:val="16"/>
          <w:szCs w:val="16"/>
          <w:color w:val="auto"/>
        </w:rPr>
      </w:pPr>
    </w:p>
    <w:p>
      <w:pPr>
        <w:ind w:left="820" w:right="440" w:hanging="326"/>
        <w:spacing w:after="0" w:line="260"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47" w:lineRule="exact"/>
        <w:rPr>
          <w:rFonts w:ascii="Arial" w:cs="Arial" w:eastAsia="Arial" w:hAnsi="Arial"/>
          <w:sz w:val="16"/>
          <w:szCs w:val="16"/>
          <w:color w:val="auto"/>
        </w:rPr>
      </w:pPr>
    </w:p>
    <w:p>
      <w:pPr>
        <w:ind w:left="820" w:right="220" w:hanging="326"/>
        <w:spacing w:after="0" w:line="260" w:lineRule="auto"/>
        <w:tabs>
          <w:tab w:leader="none" w:pos="8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w:t>
      </w:r>
    </w:p>
    <w:p>
      <w:pPr>
        <w:sectPr>
          <w:pgSz w:w="11900" w:h="16838" w:orient="portrait"/>
          <w:cols w:equalWidth="0" w:num="1">
            <w:col w:w="11260"/>
          </w:cols>
          <w:pgMar w:left="240" w:top="776" w:right="399" w:bottom="797" w:gutter="0" w:footer="0" w:header="0"/>
        </w:sectPr>
      </w:pPr>
    </w:p>
    <w:bookmarkStart w:id="131" w:name="page132"/>
    <w:bookmarkEnd w:id="131"/>
    <w:p>
      <w:pPr>
        <w:ind w:left="326"/>
        <w:spacing w:after="0"/>
        <w:rPr>
          <w:sz w:val="20"/>
          <w:szCs w:val="20"/>
          <w:color w:val="auto"/>
        </w:rPr>
      </w:pPr>
      <w:r>
        <w:rPr>
          <w:rFonts w:ascii="Arial" w:cs="Arial" w:eastAsia="Arial" w:hAnsi="Arial"/>
          <w:sz w:val="16"/>
          <w:szCs w:val="16"/>
          <w:color w:val="auto"/>
        </w:rPr>
        <w:t>Shanghai Kaplan Education Investment Consulting Co. Ltd in Shanghai Kai Bo Education Investment Management Co. Limited is 100%.</w:t>
      </w:r>
    </w:p>
    <w:p>
      <w:pPr>
        <w:spacing w:after="0" w:line="113" w:lineRule="exact"/>
        <w:rPr>
          <w:sz w:val="20"/>
          <w:szCs w:val="20"/>
          <w:color w:val="auto"/>
        </w:rPr>
      </w:pPr>
    </w:p>
    <w:p>
      <w:pPr>
        <w:ind w:left="326" w:right="220" w:hanging="326"/>
        <w:spacing w:after="0" w:line="260"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Coxcourt Limited also owns 43.11% voting stock in Accountancy &amp; Business College Holdings Limited. The combined stock ownership of Kaplan Netherlands B.V. and Coxcourt Limited in Accountancy &amp; Business College Holdings Limited is 100%.</w:t>
      </w:r>
    </w:p>
    <w:p>
      <w:pPr>
        <w:spacing w:after="0" w:line="47" w:lineRule="exact"/>
        <w:rPr>
          <w:rFonts w:ascii="Arial" w:cs="Arial" w:eastAsia="Arial" w:hAnsi="Arial"/>
          <w:sz w:val="16"/>
          <w:szCs w:val="16"/>
          <w:color w:val="auto"/>
        </w:rPr>
      </w:pPr>
    </w:p>
    <w:p>
      <w:pPr>
        <w:ind w:left="326" w:right="160" w:hanging="326"/>
        <w:spacing w:after="0" w:line="253"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52" w:lineRule="exact"/>
        <w:rPr>
          <w:rFonts w:ascii="Arial" w:cs="Arial" w:eastAsia="Arial" w:hAnsi="Arial"/>
          <w:sz w:val="16"/>
          <w:szCs w:val="16"/>
          <w:color w:val="auto"/>
        </w:rPr>
      </w:pPr>
    </w:p>
    <w:p>
      <w:pPr>
        <w:ind w:left="326" w:right="240" w:hanging="326"/>
        <w:spacing w:after="0" w:line="260"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Quest Ventures, LLC is a Limited Partner of Texas Educational Ventures, LP. The combined ownership of Educational Ventures (Texas), Inc. and Quest Ventures, LLC in Texas Educational Ventures, LP is 100%.</w:t>
      </w:r>
    </w:p>
    <w:p>
      <w:pPr>
        <w:spacing w:after="0" w:line="47" w:lineRule="exact"/>
        <w:rPr>
          <w:rFonts w:ascii="Arial" w:cs="Arial" w:eastAsia="Arial" w:hAnsi="Arial"/>
          <w:sz w:val="16"/>
          <w:szCs w:val="16"/>
          <w:color w:val="auto"/>
        </w:rPr>
      </w:pPr>
    </w:p>
    <w:p>
      <w:pPr>
        <w:ind w:left="326" w:hanging="326"/>
        <w:spacing w:after="0" w:line="260"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47" w:lineRule="exact"/>
        <w:rPr>
          <w:rFonts w:ascii="Arial" w:cs="Arial" w:eastAsia="Arial" w:hAnsi="Arial"/>
          <w:sz w:val="16"/>
          <w:szCs w:val="16"/>
          <w:color w:val="auto"/>
        </w:rPr>
      </w:pPr>
    </w:p>
    <w:p>
      <w:pPr>
        <w:ind w:left="326" w:right="200" w:hanging="326"/>
        <w:spacing w:after="0" w:line="253"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Inc. each own 1 share or .00334% of Kaplan International English (Thailand), Co. Ltd. The combined ownership of Kaplan International North America, LLC, Kaplan Test Prep International, Inc. and Kaplan, Inc. in Kaplan International English (Thailand), Co. Ltd. is 99.99%.</w:t>
      </w:r>
    </w:p>
    <w:p>
      <w:pPr>
        <w:spacing w:after="0" w:line="52" w:lineRule="exact"/>
        <w:rPr>
          <w:rFonts w:ascii="Arial" w:cs="Arial" w:eastAsia="Arial" w:hAnsi="Arial"/>
          <w:sz w:val="16"/>
          <w:szCs w:val="16"/>
          <w:color w:val="auto"/>
        </w:rPr>
      </w:pPr>
    </w:p>
    <w:p>
      <w:pPr>
        <w:ind w:left="326" w:right="200" w:hanging="326"/>
        <w:spacing w:after="0" w:line="253"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52" w:lineRule="exact"/>
        <w:rPr>
          <w:rFonts w:ascii="Arial" w:cs="Arial" w:eastAsia="Arial" w:hAnsi="Arial"/>
          <w:sz w:val="16"/>
          <w:szCs w:val="16"/>
          <w:color w:val="auto"/>
        </w:rPr>
      </w:pPr>
    </w:p>
    <w:p>
      <w:pPr>
        <w:ind w:left="326" w:right="280" w:hanging="326"/>
        <w:spacing w:after="0" w:line="260"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47" w:lineRule="exact"/>
        <w:rPr>
          <w:rFonts w:ascii="Arial" w:cs="Arial" w:eastAsia="Arial" w:hAnsi="Arial"/>
          <w:sz w:val="16"/>
          <w:szCs w:val="16"/>
          <w:color w:val="auto"/>
        </w:rPr>
      </w:pPr>
    </w:p>
    <w:p>
      <w:pPr>
        <w:ind w:left="326" w:right="120" w:hanging="326"/>
        <w:spacing w:after="0" w:line="253"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52" w:lineRule="exact"/>
        <w:rPr>
          <w:rFonts w:ascii="Arial" w:cs="Arial" w:eastAsia="Arial" w:hAnsi="Arial"/>
          <w:sz w:val="16"/>
          <w:szCs w:val="16"/>
          <w:color w:val="auto"/>
        </w:rPr>
      </w:pPr>
    </w:p>
    <w:p>
      <w:pPr>
        <w:ind w:left="326" w:right="140" w:hanging="326"/>
        <w:spacing w:after="0" w:line="260"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47" w:lineRule="exact"/>
        <w:rPr>
          <w:rFonts w:ascii="Arial" w:cs="Arial" w:eastAsia="Arial" w:hAnsi="Arial"/>
          <w:sz w:val="16"/>
          <w:szCs w:val="16"/>
          <w:color w:val="auto"/>
        </w:rPr>
      </w:pPr>
    </w:p>
    <w:p>
      <w:pPr>
        <w:ind w:left="326" w:right="160" w:hanging="326"/>
        <w:spacing w:after="0" w:line="251" w:lineRule="auto"/>
        <w:tabs>
          <w:tab w:leader="none" w:pos="3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US Limited, Kaplan International College London Limited, Kaplan UWE Limited, Kaplan Bournemouth Limited and Kaplan Brighton Limited each owns 12.5% of Kaplan PartnerServices HK Limited. The combined ownership of Kaplan NT Limited, Kaplan Liverpool Limited, Kaplan Glasgow Limited, Kaplan US Limited, Kaplan International College London Limited, Kaplan UWE Limited, Kaplan Bournemouth Limited and Kaplan Brighton Limited is 100%.</w:t>
      </w:r>
    </w:p>
    <w:p>
      <w:pPr>
        <w:spacing w:after="0" w:line="310" w:lineRule="exact"/>
        <w:rPr>
          <w:rFonts w:ascii="Arial" w:cs="Arial" w:eastAsia="Arial" w:hAnsi="Arial"/>
          <w:sz w:val="16"/>
          <w:szCs w:val="16"/>
          <w:color w:val="auto"/>
        </w:rPr>
      </w:pPr>
    </w:p>
    <w:p>
      <w:pPr>
        <w:ind w:left="326" w:right="340"/>
        <w:spacing w:after="0" w:line="260" w:lineRule="auto"/>
        <w:rPr>
          <w:rFonts w:ascii="Arial" w:cs="Arial" w:eastAsia="Arial" w:hAnsi="Arial"/>
          <w:sz w:val="16"/>
          <w:szCs w:val="16"/>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0906"/>
          </w:cols>
          <w:pgMar w:left="734" w:top="628" w:right="2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(Registration No. 333-189559 and 33-54295) of Graham Holdings Company, of our report dated February 26, 2016 relating to the financial statements and the effectiveness of internal control over financial reporting, which appears in the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9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25"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February 24, 2016</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HAL S. JONES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2015,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900"/>
        <w:spacing w:after="0" w:line="305"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120"/>
        <w:spacing w:after="0" w:line="246"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00"/>
        <w:spacing w:after="0" w:line="246" w:lineRule="auto"/>
        <w:rPr>
          <w:sz w:val="20"/>
          <w:szCs w:val="20"/>
          <w:color w:val="auto"/>
        </w:rPr>
      </w:pPr>
      <w:r>
        <w:rPr>
          <w:rFonts w:ascii="Arial" w:cs="Arial" w:eastAsia="Arial" w:hAnsi="Arial"/>
          <w:sz w:val="18"/>
          <w:szCs w:val="18"/>
          <w:color w:val="auto"/>
        </w:rPr>
        <w:t>Hal S. Jones, Senior Vice President - Finance (Principal Financial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Wallace R. Cooney, Vice President - Finance (Principal Accounting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Barry Diller,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H.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James H. Shelton,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60" w:space="500"/>
            <w:col w:w="5560"/>
          </w:cols>
          <w:pgMar w:left="240" w:top="598"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9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9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2015 (the “Report”), Timothy J. O'Shaughnessy,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204"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62" w:lineRule="auto"/>
        <w:tabs>
          <w:tab w:leader="none" w:pos="27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lowerLetter"/>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lvl w:ilvl="1">
      <w:lvlJc w:val="left"/>
      <w:lvlText w:val="%2."/>
      <w:numFmt w:val="decimal"/>
      <w:start w:val="1"/>
    </w:lvl>
  </w:abstractNum>
  <w:abstractNum w:abstractNumId="37">
    <w:nsid w:val="46B7D447"/>
    <w:multiLevelType w:val="hybridMultilevel"/>
    <w:lvl w:ilvl="0">
      <w:lvlJc w:val="left"/>
      <w:lvlText w:val="%1."/>
      <w:numFmt w:val="decimal"/>
      <w:start w:val="2"/>
    </w:lvl>
    <w:lvl w:ilvl="1">
      <w:lvlJc w:val="left"/>
      <w:lvlText w:val="%2"/>
      <w:numFmt w:val="decimal"/>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1."/>
      <w:numFmt w:val="decimal"/>
      <w:start w:val="2"/>
    </w:lvl>
  </w:abstractNum>
  <w:abstractNum w:abstractNumId="52">
    <w:nsid w:val="6AA78F7F"/>
    <w:multiLevelType w:val="hybridMultilevel"/>
    <w:lvl w:ilvl="0">
      <w:lvlJc w:val="left"/>
      <w:lvlText w:val="%1."/>
      <w:numFmt w:val="decimal"/>
      <w:start w:val="3"/>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decimal"/>
      <w:start w:val="4"/>
    </w:lvl>
  </w:abstractNum>
  <w:abstractNum w:abstractNumId="58">
    <w:nsid w:val="73A1821B"/>
    <w:multiLevelType w:val="hybridMultilevel"/>
    <w:lvl w:ilvl="0">
      <w:lvlJc w:val="left"/>
      <w:lvlText w:val="%1."/>
      <w:numFmt w:val="decimal"/>
      <w:start w:val="5"/>
    </w:lvl>
  </w:abstractNum>
  <w:abstractNum w:abstractNumId="59">
    <w:nsid w:val="7DE67713"/>
    <w:multiLevelType w:val="hybridMultilevel"/>
    <w:lvl w:ilvl="0">
      <w:lvlJc w:val="left"/>
      <w:lvlText w:val="%1."/>
      <w:numFmt w:val="decimal"/>
      <w:start w:val="6"/>
    </w:lvl>
  </w:abstractNum>
  <w:abstractNum w:abstractNumId="60">
    <w:nsid w:val="555C55B5"/>
    <w:multiLevelType w:val="hybridMultilevel"/>
    <w:lvl w:ilvl="0">
      <w:lvlJc w:val="left"/>
      <w:lvlText w:val="%1."/>
      <w:numFmt w:val="decimal"/>
      <w:start w:val="7"/>
    </w:lvl>
  </w:abstractNum>
  <w:abstractNum w:abstractNumId="61">
    <w:nsid w:val="3FA62ACA"/>
    <w:multiLevelType w:val="hybridMultilevel"/>
    <w:lvl w:ilvl="0">
      <w:lvlJc w:val="left"/>
      <w:lvlText w:val="%1."/>
      <w:numFmt w:val="decimal"/>
      <w:start w:val="8"/>
    </w:lvl>
  </w:abstractNum>
  <w:abstractNum w:abstractNumId="62">
    <w:nsid w:val="14FCE74E"/>
    <w:multiLevelType w:val="hybridMultilevel"/>
    <w:lvl w:ilvl="0">
      <w:lvlJc w:val="left"/>
      <w:lvlText w:val="%1."/>
      <w:numFmt w:val="decimal"/>
      <w:start w:val="10"/>
    </w:lvl>
  </w:abstractNum>
  <w:abstractNum w:abstractNumId="63">
    <w:nsid w:val="6A3DD3E8"/>
    <w:multiLevelType w:val="hybridMultilevel"/>
    <w:lvl w:ilvl="0">
      <w:lvlJc w:val="left"/>
      <w:lvlText w:val="%1."/>
      <w:numFmt w:val="decimal"/>
      <w:start w:val="1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12"/>
    </w:lvl>
  </w:abstractNum>
  <w:abstractNum w:abstractNumId="66">
    <w:nsid w:val="53299938"/>
    <w:multiLevelType w:val="hybridMultilevel"/>
    <w:lvl w:ilvl="0">
      <w:lvlJc w:val="left"/>
      <w:lvlText w:val="%1."/>
      <w:numFmt w:val="decimal"/>
      <w:start w:val="13"/>
    </w:lvl>
  </w:abstractNum>
  <w:abstractNum w:abstractNumId="67">
    <w:nsid w:val="1FBFE8E0"/>
    <w:multiLevelType w:val="hybridMultilevel"/>
    <w:lvl w:ilvl="0">
      <w:lvlJc w:val="left"/>
      <w:lvlText w:val="%1."/>
      <w:numFmt w:val="decimal"/>
      <w:start w:val="14"/>
    </w:lvl>
  </w:abstractNum>
  <w:abstractNum w:abstractNumId="68">
    <w:nsid w:val="5092CA79"/>
    <w:multiLevelType w:val="hybridMultilevel"/>
    <w:lvl w:ilvl="0">
      <w:lvlJc w:val="left"/>
      <w:lvlText w:val="$"/>
      <w:numFmt w:val="bullet"/>
      <w:start w:val="1"/>
    </w:lvl>
    <w:lvl w:ilvl="1">
      <w:lvlJc w:val="left"/>
      <w:lvlText w:val="(%2)"/>
      <w:numFmt w:val="decimal"/>
      <w:start w:val="320"/>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decimal"/>
      <w:start w:val="15"/>
    </w:lvl>
  </w:abstractNum>
  <w:abstractNum w:abstractNumId="72">
    <w:nsid w:val="2A155DBC"/>
    <w:multiLevelType w:val="hybridMultilevel"/>
    <w:lvl w:ilvl="0">
      <w:lvlJc w:val="left"/>
      <w:lvlText w:val="%1."/>
      <w:numFmt w:val="decimal"/>
      <w:start w:val="16"/>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decimal"/>
      <w:start w:val="17"/>
    </w:lvl>
  </w:abstractNum>
  <w:abstractNum w:abstractNumId="75">
    <w:nsid w:val="51088277"/>
    <w:multiLevelType w:val="hybridMultilevel"/>
    <w:lvl w:ilvl="0">
      <w:lvlJc w:val="left"/>
      <w:lvlText w:val="%1."/>
      <w:numFmt w:val="decimal"/>
      <w:start w:val="18"/>
    </w:lvl>
  </w:abstractNum>
  <w:abstractNum w:abstractNumId="76">
    <w:nsid w:val="1CA0C5FA"/>
    <w:multiLevelType w:val="hybridMultilevel"/>
    <w:lvl w:ilvl="0">
      <w:lvlJc w:val="left"/>
      <w:lvlText w:val="%1."/>
      <w:numFmt w:val="decimal"/>
      <w:start w:val="19"/>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emdash "/>
      <w:numFmt w:val="bullet"/>
      <w:start w:val="1"/>
    </w:lvl>
  </w:abstractNum>
  <w:abstractNum w:abstractNumId="79">
    <w:nsid w:val="7C58FD05"/>
    <w:multiLevelType w:val="hybridMultilevel"/>
    <w:lvl w:ilvl="0">
      <w:lvlJc w:val="left"/>
      <w:lvlText w:val="%1."/>
      <w:numFmt w:val="decimal"/>
      <w:start w:val="20"/>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Ÿ"/>
      <w:numFmt w:val="bullet"/>
      <w:start w:val="1"/>
    </w:lvl>
  </w:abstractNum>
  <w:abstractNum w:abstractNumId="84">
    <w:nsid w:val="3C5991AA"/>
    <w:multiLevelType w:val="hybridMultilevel"/>
    <w:lvl w:ilvl="0">
      <w:lvlJc w:val="left"/>
      <w:lvlText w:val="Ÿ"/>
      <w:numFmt w:val="bullet"/>
      <w:start w:val="1"/>
    </w:lvl>
  </w:abstractNum>
  <w:abstractNum w:abstractNumId="85">
    <w:nsid w:val="4BD8591A"/>
    <w:multiLevelType w:val="hybridMultilevel"/>
    <w:lvl w:ilvl="0">
      <w:lvlJc w:val="left"/>
      <w:lvlText w:val="Ÿ"/>
      <w:numFmt w:val="bullet"/>
      <w:start w:val="1"/>
    </w:lvl>
  </w:abstractNum>
  <w:abstractNum w:abstractNumId="86">
    <w:nsid w:val="78DF6A55"/>
    <w:multiLevelType w:val="hybridMultilevel"/>
    <w:lvl w:ilvl="0">
      <w:lvlJc w:val="left"/>
      <w:lvlText w:val="Ÿ"/>
      <w:numFmt w:val="bullet"/>
      <w:start w:val="1"/>
    </w:lvl>
  </w:abstractNum>
  <w:abstractNum w:abstractNumId="87">
    <w:nsid w:val="39B7AAA2"/>
    <w:multiLevelType w:val="hybridMultilevel"/>
    <w:lvl w:ilvl="0">
      <w:lvlJc w:val="left"/>
      <w:lvlText w:val="Ÿ"/>
      <w:numFmt w:val="bullet"/>
      <w:start w:val="1"/>
    </w:lvl>
  </w:abstractNum>
  <w:abstractNum w:abstractNumId="88">
    <w:nsid w:val="2B0D8DBE"/>
    <w:multiLevelType w:val="hybridMultilevel"/>
    <w:lvl w:ilvl="0">
      <w:lvlJc w:val="left"/>
      <w:lvlText w:val="Ÿ"/>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decimal"/>
      <w:start w:val="23"/>
    </w:lvl>
  </w:abstractNum>
  <w:abstractNum w:abstractNumId="95">
    <w:nsid w:val="1DF029D3"/>
    <w:multiLevelType w:val="hybridMultilevel"/>
    <w:lvl w:ilvl="0">
      <w:lvlJc w:val="left"/>
      <w:lvlText w:val="%1"/>
      <w:numFmt w:val="decimal"/>
      <w:start w:val="101"/>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1."/>
      <w:numFmt w:val="decimal"/>
      <w:start w:val="2"/>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11"/>
    </w:lvl>
  </w:abstractNum>
  <w:abstractNum w:abstractNumId="100">
    <w:nsid w:val="5B25ACE2"/>
    <w:multiLevelType w:val="hybridMultilevel"/>
    <w:lvl w:ilvl="0">
      <w:lvlJc w:val="left"/>
      <w:lvlText w:val="%1"/>
      <w:numFmt w:val="decimal"/>
      <w:start w:val="1"/>
    </w:lvl>
    <w:lvl w:ilvl="1">
      <w:lvlJc w:val="left"/>
      <w:lvlText w:val="(%2)"/>
      <w:numFmt w:val="lowerLetter"/>
      <w:start w:val="27"/>
    </w:lvl>
  </w:abstractNum>
  <w:abstractNum w:abstractNumId="101">
    <w:nsid w:val="175DFCF0"/>
    <w:multiLevelType w:val="hybridMultilevel"/>
    <w:lvl w:ilvl="0">
      <w:lvlJc w:val="left"/>
      <w:lvlText w:val="%1."/>
      <w:numFmt w:val="decimal"/>
      <w:start w:val="3"/>
    </w:lvl>
    <w:lvl w:ilvl="1">
      <w:lvlJc w:val="left"/>
      <w:lvlText w:val="(%2)"/>
      <w:numFmt w:val="lowerLetter"/>
      <w:start w:val="1"/>
    </w:lvl>
  </w:abstractNum>
  <w:abstractNum w:abstractNumId="102">
    <w:nsid w:val="4F97E3E4"/>
    <w:multiLevelType w:val="hybridMultilevel"/>
    <w:lvl w:ilvl="0">
      <w:lvlJc w:val="left"/>
      <w:lvlText w:val="(%1)"/>
      <w:numFmt w:val="lowerLetter"/>
      <w:start w:val="2"/>
    </w:lvl>
  </w:abstractNum>
  <w:abstractNum w:abstractNumId="103">
    <w:nsid w:val="53B0A9E"/>
    <w:multiLevelType w:val="hybridMultilevel"/>
    <w:lvl w:ilvl="0">
      <w:lvlJc w:val="left"/>
      <w:lvlText w:val="%1."/>
      <w:numFmt w:val="decimal"/>
      <w:start w:val="4"/>
    </w:lvl>
  </w:abstractNum>
  <w:abstractNum w:abstractNumId="104">
    <w:nsid w:val="34FD6B4F"/>
    <w:multiLevelType w:val="hybridMultilevel"/>
    <w:lvl w:ilvl="0">
      <w:lvlJc w:val="left"/>
      <w:lvlText w:val="(%1)"/>
      <w:numFmt w:val="lowerRoman"/>
      <w:start w:val="4"/>
    </w:lvl>
  </w:abstractNum>
  <w:abstractNum w:abstractNumId="105">
    <w:nsid w:val="5915FF32"/>
    <w:multiLevelType w:val="hybridMultilevel"/>
    <w:lvl w:ilvl="0">
      <w:lvlJc w:val="left"/>
      <w:lvlText w:val="%1."/>
      <w:numFmt w:val="decimal"/>
      <w:start w:val="5"/>
    </w:lvl>
  </w:abstractNum>
  <w:abstractNum w:abstractNumId="106">
    <w:nsid w:val="56438D15"/>
    <w:multiLevelType w:val="hybridMultilevel"/>
    <w:lvl w:ilvl="0">
      <w:lvlJc w:val="left"/>
      <w:lvlText w:val="%1."/>
      <w:numFmt w:val="decimal"/>
      <w:start w:val="6"/>
    </w:lvl>
    <w:lvl w:ilvl="1">
      <w:lvlJc w:val="left"/>
      <w:lvlText w:val="(%2)"/>
      <w:numFmt w:val="lowerLetter"/>
      <w:start w:val="1"/>
    </w:lvl>
  </w:abstractNum>
  <w:abstractNum w:abstractNumId="107">
    <w:nsid w:val="519E3149"/>
    <w:multiLevelType w:val="hybridMultilevel"/>
    <w:lvl w:ilvl="0">
      <w:lvlJc w:val="left"/>
      <w:lvlText w:val="%1"/>
      <w:numFmt w:val="decimal"/>
      <w:start w:val="1"/>
    </w:lvl>
    <w:lvl w:ilvl="1">
      <w:lvlJc w:val="left"/>
      <w:lvlText w:val="(%2)"/>
      <w:numFmt w:val="lowerLetter"/>
      <w:start w:val="2"/>
    </w:lvl>
  </w:abstractNum>
  <w:abstractNum w:abstractNumId="108">
    <w:nsid w:val="2C6E4AFD"/>
    <w:multiLevelType w:val="hybridMultilevel"/>
    <w:lvl w:ilvl="0">
      <w:lvlJc w:val="left"/>
      <w:lvlText w:val="(%1)"/>
      <w:numFmt w:val="decimal"/>
      <w:start w:val="1"/>
    </w:lvl>
    <w:lvl w:ilvl="1">
      <w:lvlJc w:val="left"/>
      <w:lvlText w:val="%2"/>
      <w:numFmt w:val="lowerLetter"/>
      <w:start w:val="1"/>
    </w:lvl>
  </w:abstractNum>
  <w:abstractNum w:abstractNumId="109">
    <w:nsid w:val="17A1B582"/>
    <w:multiLevelType w:val="hybridMultilevel"/>
    <w:lvl w:ilvl="0">
      <w:lvlJc w:val="left"/>
      <w:lvlText w:val="(%1)"/>
      <w:numFmt w:val="decimal"/>
      <w:start w:val="2"/>
    </w:lvl>
    <w:lvl w:ilvl="1">
      <w:lvlJc w:val="left"/>
      <w:lvlText w:val="(%2)"/>
      <w:numFmt w:val="lowerLetter"/>
      <w:start w:val="3"/>
    </w:lvl>
  </w:abstractNum>
  <w:abstractNum w:abstractNumId="110">
    <w:nsid w:val="4DF72E4E"/>
    <w:multiLevelType w:val="hybridMultilevel"/>
    <w:lvl w:ilvl="0">
      <w:lvlJc w:val="left"/>
      <w:lvlText w:val="%1."/>
      <w:numFmt w:val="decimal"/>
      <w:start w:val="7"/>
    </w:lvl>
  </w:abstractNum>
  <w:abstractNum w:abstractNumId="111">
    <w:nsid w:val="5046B5A9"/>
    <w:multiLevelType w:val="hybridMultilevel"/>
    <w:lvl w:ilvl="0">
      <w:lvlJc w:val="left"/>
      <w:lvlText w:val="%1."/>
      <w:numFmt w:val="decimal"/>
      <w:start w:val="8"/>
    </w:lvl>
  </w:abstractNum>
  <w:abstractNum w:abstractNumId="112">
    <w:nsid w:val="5D888A08"/>
    <w:multiLevelType w:val="hybridMultilevel"/>
    <w:lvl w:ilvl="0">
      <w:lvlJc w:val="left"/>
      <w:lvlText w:val="%1."/>
      <w:numFmt w:val="decimal"/>
      <w:start w:val="9"/>
    </w:lvl>
    <w:lvl w:ilvl="1">
      <w:lvlJc w:val="left"/>
      <w:lvlText w:val="(%2)"/>
      <w:numFmt w:val="lowerLetter"/>
      <w:start w:val="1"/>
    </w:lvl>
  </w:abstractNum>
  <w:abstractNum w:abstractNumId="113">
    <w:nsid w:val="2A082C70"/>
    <w:multiLevelType w:val="hybridMultilevel"/>
    <w:lvl w:ilvl="0">
      <w:lvlJc w:val="left"/>
      <w:lvlText w:val="(%1)"/>
      <w:numFmt w:val="lowerLetter"/>
      <w:start w:val="2"/>
    </w:lvl>
  </w:abstractNum>
  <w:abstractNum w:abstractNumId="114">
    <w:nsid w:val="5EC6AFD4"/>
    <w:multiLevelType w:val="hybridMultilevel"/>
    <w:lvl w:ilvl="0">
      <w:lvlJc w:val="left"/>
      <w:lvlText w:val="(%1)"/>
      <w:numFmt w:val="lowerLetter"/>
      <w:start w:val="3"/>
    </w:lvl>
  </w:abstractNum>
  <w:abstractNum w:abstractNumId="115">
    <w:nsid w:val="19E21BB2"/>
    <w:multiLevelType w:val="hybridMultilevel"/>
    <w:lvl w:ilvl="0">
      <w:lvlJc w:val="left"/>
      <w:lvlText w:val="(%1)"/>
      <w:numFmt w:val="lowerLetter"/>
      <w:start w:val="4"/>
    </w:lvl>
  </w:abstractNum>
  <w:abstractNum w:abstractNumId="116">
    <w:nsid w:val="75E0858A"/>
    <w:multiLevelType w:val="hybridMultilevel"/>
    <w:lvl w:ilvl="0">
      <w:lvlJc w:val="left"/>
      <w:lvlText w:val="(%1)"/>
      <w:numFmt w:val="lowerLetter"/>
      <w:start w:val="5"/>
    </w:lvl>
  </w:abstractNum>
  <w:abstractNum w:abstractNumId="117">
    <w:nsid w:val="57A61A29"/>
    <w:multiLevelType w:val="hybridMultilevel"/>
    <w:lvl w:ilvl="0">
      <w:lvlJc w:val="left"/>
      <w:lvlText w:val="(%1)"/>
      <w:numFmt w:val="lowerLetter"/>
      <w:start w:val="6"/>
    </w:lvl>
  </w:abstractNum>
  <w:abstractNum w:abstractNumId="118">
    <w:nsid w:val="5399C654"/>
    <w:multiLevelType w:val="hybridMultilevel"/>
    <w:lvl w:ilvl="0">
      <w:lvlJc w:val="left"/>
      <w:lvlText w:val="%1."/>
      <w:numFmt w:val="decimal"/>
      <w:start w:val="10"/>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lowerLetter"/>
      <w:start w:val="2"/>
    </w:lvl>
  </w:abstractNum>
  <w:abstractNum w:abstractNumId="121">
    <w:nsid w:val="B37E80A"/>
    <w:multiLevelType w:val="hybridMultilevel"/>
    <w:lvl w:ilvl="0">
      <w:lvlJc w:val="left"/>
      <w:lvlText w:val="(%1)"/>
      <w:numFmt w:val="lowerLetter"/>
      <w:start w:val="3"/>
    </w:lvl>
  </w:abstractNum>
  <w:abstractNum w:abstractNumId="122">
    <w:nsid w:val="2157F6BC"/>
    <w:multiLevelType w:val="hybridMultilevel"/>
    <w:lvl w:ilvl="0">
      <w:lvlJc w:val="left"/>
      <w:lvlText w:val="(%1)"/>
      <w:numFmt w:val="lowerLetter"/>
      <w:start w:val="4"/>
    </w:lvl>
  </w:abstractNum>
  <w:abstractNum w:abstractNumId="123">
    <w:nsid w:val="704E1DD5"/>
    <w:multiLevelType w:val="hybridMultilevel"/>
    <w:lvl w:ilvl="0">
      <w:lvlJc w:val="left"/>
      <w:lvlText w:val="(%1)"/>
      <w:numFmt w:val="lowerRoman"/>
      <w:start w:val="1"/>
    </w:lvl>
  </w:abstractNum>
  <w:abstractNum w:abstractNumId="124">
    <w:nsid w:val="57D2F10E"/>
    <w:multiLevelType w:val="hybridMultilevel"/>
    <w:lvl w:ilvl="0">
      <w:lvlJc w:val="left"/>
      <w:lvlText w:val="(%1)"/>
      <w:numFmt w:val="lowerLetter"/>
      <w:start w:val="5"/>
    </w:lvl>
  </w:abstractNum>
  <w:abstractNum w:abstractNumId="125">
    <w:nsid w:val="BFFAE18"/>
    <w:multiLevelType w:val="hybridMultilevel"/>
    <w:lvl w:ilvl="0">
      <w:lvlJc w:val="left"/>
      <w:lvlText w:val="(%1)"/>
      <w:numFmt w:val="lowerLetter"/>
      <w:start w:val="6"/>
    </w:lvl>
  </w:abstractNum>
  <w:abstractNum w:abstractNumId="126">
    <w:nsid w:val="E3E47A8"/>
    <w:multiLevelType w:val="hybridMultilevel"/>
    <w:lvl w:ilvl="0">
      <w:lvlJc w:val="left"/>
      <w:lvlText w:val="(%1)"/>
      <w:numFmt w:val="lowerLetter"/>
      <w:start w:val="7"/>
    </w:lvl>
  </w:abstractNum>
  <w:abstractNum w:abstractNumId="127">
    <w:nsid w:val="2E48F044"/>
    <w:multiLevelType w:val="hybridMultilevel"/>
    <w:lvl w:ilvl="0">
      <w:lvlJc w:val="left"/>
      <w:lvlText w:val="(%1)"/>
      <w:numFmt w:val="lowerLetter"/>
      <w:start w:val="8"/>
    </w:lvl>
  </w:abstractNum>
  <w:abstractNum w:abstractNumId="128">
    <w:nsid w:val="49D0FEAC"/>
    <w:multiLevelType w:val="hybridMultilevel"/>
    <w:lvl w:ilvl="0">
      <w:lvlJc w:val="left"/>
      <w:lvlText w:val="%1."/>
      <w:numFmt w:val="decimal"/>
      <w:start w:val="11"/>
    </w:lvl>
  </w:abstractNum>
  <w:abstractNum w:abstractNumId="129">
    <w:nsid w:val="4BEE5A5B"/>
    <w:multiLevelType w:val="hybridMultilevel"/>
    <w:lvl w:ilvl="0">
      <w:lvlJc w:val="left"/>
      <w:lvlText w:val="%1."/>
      <w:numFmt w:val="decimal"/>
      <w:start w:val="12"/>
    </w:lvl>
    <w:lvl w:ilvl="1">
      <w:lvlJc w:val="left"/>
      <w:lvlText w:val="(%2)"/>
      <w:numFmt w:val="lowerLetter"/>
      <w:start w:val="1"/>
    </w:lvl>
  </w:abstractNum>
  <w:abstractNum w:abstractNumId="130">
    <w:nsid w:val="5551B9F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1">
    <w:nsid w:val="24F6AB8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32">
    <w:nsid w:val="634C574C"/>
    <w:multiLevelType w:val="hybridMultilevel"/>
    <w:lvl w:ilvl="0">
      <w:lvlJc w:val="left"/>
      <w:lvlText w:val="(%1)"/>
      <w:numFmt w:val="lowerLetter"/>
      <w:start w:val="2"/>
    </w:lvl>
  </w:abstractNum>
  <w:abstractNum w:abstractNumId="133">
    <w:nsid w:val="24E99DD7"/>
    <w:multiLevelType w:val="hybridMultilevel"/>
    <w:lvl w:ilvl="0">
      <w:lvlJc w:val="left"/>
      <w:lvlText w:val="(%1)"/>
      <w:numFmt w:val="lowerLetter"/>
      <w:start w:val="3"/>
    </w:lvl>
  </w:abstractNum>
  <w:abstractNum w:abstractNumId="134">
    <w:nsid w:val="2A31B62D"/>
    <w:multiLevelType w:val="hybridMultilevel"/>
    <w:lvl w:ilvl="0">
      <w:lvlJc w:val="left"/>
      <w:lvlText w:val="%1."/>
      <w:numFmt w:val="decimal"/>
      <w:start w:val="15"/>
    </w:lvl>
  </w:abstractNum>
  <w:abstractNum w:abstractNumId="135">
    <w:nsid w:val="1849C29B"/>
    <w:multiLevelType w:val="hybridMultilevel"/>
    <w:lvl w:ilvl="0">
      <w:lvlJc w:val="left"/>
      <w:lvlText w:val="%1."/>
      <w:numFmt w:val="decimal"/>
      <w:start w:val="16"/>
    </w:lvl>
  </w:abstractNum>
  <w:abstractNum w:abstractNumId="136">
    <w:nsid w:val="7DFF9D09"/>
    <w:multiLevelType w:val="hybridMultilevel"/>
    <w:lvl w:ilvl="0">
      <w:lvlJc w:val="left"/>
      <w:lvlText w:val="%1."/>
      <w:numFmt w:val="decimal"/>
      <w:start w:val="18"/>
    </w:lvl>
  </w:abstractNum>
  <w:abstractNum w:abstractNumId="137">
    <w:nsid w:val="754342"/>
    <w:multiLevelType w:val="hybridMultilevel"/>
    <w:lvl w:ilvl="0">
      <w:lvlJc w:val="left"/>
      <w:lvlText w:val="%1."/>
      <w:numFmt w:val="decimal"/>
      <w:start w:val="19"/>
    </w:lvl>
  </w:abstractNum>
  <w:abstractNum w:abstractNumId="138">
    <w:nsid w:val="69E7F3E5"/>
    <w:multiLevelType w:val="hybridMultilevel"/>
    <w:lvl w:ilvl="0">
      <w:lvlJc w:val="left"/>
      <w:lvlText w:val="%1."/>
      <w:numFmt w:val="decimal"/>
      <w:start w:val="20"/>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lowerLetter"/>
      <w:start w:val="6"/>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2019-12-29T14:36:31Z</dcterms:created>
  <dcterms:modified xsi:type="dcterms:W3CDTF">2019-12-29T14:36:31Z</dcterms:modified>
</cp:coreProperties>
</file>