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2007</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360" w:type="dxa"/>
            <w:vAlign w:val="bottom"/>
          </w:tcPr>
          <w:p>
            <w:pPr>
              <w:jc w:val="center"/>
              <w:ind w:right="3224"/>
              <w:spacing w:after="0"/>
              <w:rPr>
                <w:sz w:val="20"/>
                <w:szCs w:val="20"/>
                <w:color w:val="auto"/>
              </w:rPr>
            </w:pPr>
            <w:r>
              <w:rPr>
                <w:rFonts w:ascii="Arial" w:cs="Arial" w:eastAsia="Arial" w:hAnsi="Arial"/>
                <w:sz w:val="18"/>
                <w:szCs w:val="18"/>
                <w:b w:val="1"/>
                <w:bCs w:val="1"/>
                <w:color w:val="auto"/>
                <w:w w:val="88"/>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6360" w:type="dxa"/>
            <w:vAlign w:val="bottom"/>
          </w:tcPr>
          <w:p>
            <w:pPr>
              <w:jc w:val="center"/>
              <w:ind w:right="32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6360" w:type="dxa"/>
            <w:vAlign w:val="bottom"/>
          </w:tcPr>
          <w:p>
            <w:pPr>
              <w:jc w:val="center"/>
              <w:ind w:right="3244"/>
              <w:spacing w:after="0"/>
              <w:rPr>
                <w:sz w:val="20"/>
                <w:szCs w:val="20"/>
                <w:color w:val="auto"/>
              </w:rPr>
            </w:pPr>
            <w:r>
              <w:rPr>
                <w:rFonts w:ascii="Arial" w:cs="Arial" w:eastAsia="Arial" w:hAnsi="Arial"/>
                <w:sz w:val="18"/>
                <w:szCs w:val="18"/>
                <w:b w:val="1"/>
                <w:bCs w:val="1"/>
                <w:color w:val="auto"/>
                <w:w w:val="88"/>
              </w:rPr>
              <w:t>1150 15th Street, N.W. Washington, D.C.</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20071</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360" w:type="dxa"/>
            <w:vAlign w:val="bottom"/>
          </w:tcPr>
          <w:p>
            <w:pPr>
              <w:jc w:val="right"/>
              <w:ind w:right="1364"/>
              <w:spacing w:after="0"/>
              <w:rPr>
                <w:sz w:val="20"/>
                <w:szCs w:val="20"/>
                <w:color w:val="auto"/>
              </w:rPr>
            </w:pPr>
            <w:r>
              <w:rPr>
                <w:rFonts w:ascii="Arial" w:cs="Arial" w:eastAsia="Arial" w:hAnsi="Arial"/>
                <w:sz w:val="18"/>
                <w:szCs w:val="18"/>
                <w:b w:val="1"/>
                <w:bCs w:val="1"/>
                <w:color w:val="auto"/>
              </w:rPr>
              <w:t>(202) 334-6000</w:t>
            </w:r>
          </w:p>
        </w:tc>
        <w:tc>
          <w:tcPr>
            <w:tcW w:w="1520" w:type="dxa"/>
            <w:vAlign w:val="bottom"/>
          </w:tcPr>
          <w:p>
            <w:pPr>
              <w:spacing w:after="0"/>
              <w:rPr>
                <w:sz w:val="24"/>
                <w:szCs w:val="24"/>
                <w:color w:val="auto"/>
              </w:rPr>
            </w:pPr>
          </w:p>
        </w:tc>
      </w:tr>
      <w:tr>
        <w:trPr>
          <w:trHeight w:val="174"/>
        </w:trPr>
        <w:tc>
          <w:tcPr>
            <w:tcW w:w="6360" w:type="dxa"/>
            <w:vAlign w:val="bottom"/>
          </w:tcPr>
          <w:p>
            <w:pPr>
              <w:jc w:val="center"/>
              <w:ind w:left="23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right="3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8520" w:type="dxa"/>
            <w:vAlign w:val="bottom"/>
          </w:tcPr>
          <w:p>
            <w:pPr>
              <w:ind w:left="3060"/>
              <w:spacing w:after="0" w:line="207" w:lineRule="exact"/>
              <w:rPr>
                <w:sz w:val="20"/>
                <w:szCs w:val="20"/>
                <w:color w:val="auto"/>
              </w:rPr>
            </w:pPr>
            <w:r>
              <w:rPr>
                <w:rFonts w:ascii="Arial" w:cs="Arial" w:eastAsia="Arial" w:hAnsi="Arial"/>
                <w:sz w:val="18"/>
                <w:szCs w:val="18"/>
                <w:color w:val="auto"/>
                <w:w w:val="98"/>
              </w:rPr>
              <w:t xml:space="preserve">Large accelerated filer </w:t>
            </w: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Accelerated filer </w:t>
            </w: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Non-accelerated filer </w:t>
            </w:r>
            <w:r>
              <w:rPr>
                <w:rFonts w:ascii="MS PGothic" w:cs="MS PGothic" w:eastAsia="MS PGothic" w:hAnsi="MS PGothic"/>
                <w:sz w:val="18"/>
                <w:szCs w:val="18"/>
                <w:color w:val="auto"/>
                <w:w w:val="98"/>
              </w:rPr>
              <w:t>☐</w:t>
            </w:r>
          </w:p>
        </w:tc>
        <w:tc>
          <w:tcPr>
            <w:tcW w:w="2900" w:type="dxa"/>
            <w:vAlign w:val="bottom"/>
          </w:tcPr>
          <w:p>
            <w:pPr>
              <w:spacing w:after="0"/>
              <w:rPr>
                <w:sz w:val="23"/>
                <w:szCs w:val="23"/>
                <w:color w:val="auto"/>
              </w:rPr>
            </w:pPr>
          </w:p>
        </w:tc>
      </w:tr>
      <w:tr>
        <w:trPr>
          <w:trHeight w:val="378"/>
        </w:trPr>
        <w:tc>
          <w:tcPr>
            <w:tcW w:w="8520" w:type="dxa"/>
            <w:vAlign w:val="bottom"/>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9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tc>
      </w:tr>
      <w:tr>
        <w:trPr>
          <w:trHeight w:val="358"/>
        </w:trPr>
        <w:tc>
          <w:tcPr>
            <w:tcW w:w="8520" w:type="dxa"/>
            <w:vAlign w:val="bottom"/>
          </w:tcPr>
          <w:p>
            <w:pPr>
              <w:ind w:left="460"/>
              <w:spacing w:after="0"/>
              <w:rPr>
                <w:sz w:val="20"/>
                <w:szCs w:val="20"/>
                <w:color w:val="auto"/>
              </w:rPr>
            </w:pPr>
            <w:r>
              <w:rPr>
                <w:rFonts w:ascii="Arial" w:cs="Arial" w:eastAsia="Arial" w:hAnsi="Arial"/>
                <w:sz w:val="18"/>
                <w:szCs w:val="18"/>
                <w:color w:val="auto"/>
              </w:rPr>
              <w:t>Shares outstanding at October 31, 2007:</w:t>
            </w:r>
          </w:p>
        </w:tc>
        <w:tc>
          <w:tcPr>
            <w:tcW w:w="2900" w:type="dxa"/>
            <w:vAlign w:val="bottom"/>
          </w:tcPr>
          <w:p>
            <w:pPr>
              <w:spacing w:after="0"/>
              <w:rPr>
                <w:sz w:val="24"/>
                <w:szCs w:val="24"/>
                <w:color w:val="auto"/>
              </w:rPr>
            </w:pPr>
          </w:p>
        </w:tc>
      </w:tr>
      <w:tr>
        <w:trPr>
          <w:trHeight w:val="412"/>
        </w:trPr>
        <w:tc>
          <w:tcPr>
            <w:tcW w:w="8520" w:type="dxa"/>
            <w:vAlign w:val="bottom"/>
          </w:tcPr>
          <w:p>
            <w:pPr>
              <w:ind w:left="920"/>
              <w:spacing w:after="0"/>
              <w:rPr>
                <w:sz w:val="20"/>
                <w:szCs w:val="20"/>
                <w:color w:val="auto"/>
              </w:rPr>
            </w:pPr>
            <w:r>
              <w:rPr>
                <w:rFonts w:ascii="Arial" w:cs="Arial" w:eastAsia="Arial" w:hAnsi="Arial"/>
                <w:sz w:val="18"/>
                <w:szCs w:val="18"/>
                <w:color w:val="auto"/>
              </w:rPr>
              <w:t>Class A Common Stock</w:t>
            </w:r>
          </w:p>
        </w:tc>
        <w:tc>
          <w:tcPr>
            <w:tcW w:w="2900" w:type="dxa"/>
            <w:vAlign w:val="bottom"/>
          </w:tcPr>
          <w:p>
            <w:pPr>
              <w:ind w:left="760"/>
              <w:spacing w:after="0"/>
              <w:rPr>
                <w:sz w:val="20"/>
                <w:szCs w:val="20"/>
                <w:color w:val="auto"/>
              </w:rPr>
            </w:pPr>
            <w:r>
              <w:rPr>
                <w:rFonts w:ascii="Arial" w:cs="Arial" w:eastAsia="Arial" w:hAnsi="Arial"/>
                <w:sz w:val="18"/>
                <w:szCs w:val="18"/>
                <w:color w:val="auto"/>
              </w:rPr>
              <w:t>1,291,693 Shares</w:t>
            </w:r>
          </w:p>
        </w:tc>
      </w:tr>
      <w:tr>
        <w:trPr>
          <w:trHeight w:val="222"/>
        </w:trPr>
        <w:tc>
          <w:tcPr>
            <w:tcW w:w="8520" w:type="dxa"/>
            <w:vAlign w:val="bottom"/>
          </w:tcPr>
          <w:p>
            <w:pPr>
              <w:ind w:left="920"/>
              <w:spacing w:after="0"/>
              <w:rPr>
                <w:sz w:val="20"/>
                <w:szCs w:val="20"/>
                <w:color w:val="auto"/>
              </w:rPr>
            </w:pPr>
            <w:r>
              <w:rPr>
                <w:rFonts w:ascii="Arial" w:cs="Arial" w:eastAsia="Arial" w:hAnsi="Arial"/>
                <w:sz w:val="18"/>
                <w:szCs w:val="18"/>
                <w:color w:val="auto"/>
              </w:rPr>
              <w:t>Class B Common Stock</w:t>
            </w:r>
          </w:p>
        </w:tc>
        <w:tc>
          <w:tcPr>
            <w:tcW w:w="2900" w:type="dxa"/>
            <w:vAlign w:val="bottom"/>
          </w:tcPr>
          <w:p>
            <w:pPr>
              <w:ind w:left="760"/>
              <w:spacing w:after="0"/>
              <w:rPr>
                <w:sz w:val="20"/>
                <w:szCs w:val="20"/>
                <w:color w:val="auto"/>
              </w:rPr>
            </w:pPr>
            <w:r>
              <w:rPr>
                <w:rFonts w:ascii="Arial" w:cs="Arial" w:eastAsia="Arial" w:hAnsi="Arial"/>
                <w:sz w:val="18"/>
                <w:szCs w:val="18"/>
                <w:color w:val="auto"/>
              </w:rPr>
              <w:t>8,214,799 Shares</w:t>
            </w:r>
          </w:p>
        </w:tc>
      </w:tr>
      <w:tr>
        <w:trPr>
          <w:trHeight w:val="215"/>
        </w:trPr>
        <w:tc>
          <w:tcPr>
            <w:tcW w:w="85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20" w:type="dxa"/>
            <w:vAlign w:val="bottom"/>
            <w:gridSpan w:val="9"/>
          </w:tcPr>
          <w:p>
            <w:pPr>
              <w:jc w:val="center"/>
              <w:ind w:right="2760"/>
              <w:spacing w:after="0"/>
              <w:rPr>
                <w:sz w:val="20"/>
                <w:szCs w:val="20"/>
                <w:color w:val="auto"/>
              </w:rPr>
            </w:pPr>
            <w:r>
              <w:rPr>
                <w:rFonts w:ascii="Arial" w:cs="Arial" w:eastAsia="Arial" w:hAnsi="Arial"/>
                <w:sz w:val="18"/>
                <w:szCs w:val="18"/>
                <w:b w:val="1"/>
                <w:bCs w:val="1"/>
                <w:color w:val="auto"/>
                <w:w w:val="97"/>
              </w:rPr>
              <w:t>THE WASHINGTON POST COMPANY</w:t>
            </w:r>
          </w:p>
        </w:tc>
        <w:tc>
          <w:tcPr>
            <w:tcW w:w="320" w:type="dxa"/>
            <w:vAlign w:val="bottom"/>
          </w:tcPr>
          <w:p>
            <w:pPr>
              <w:spacing w:after="0"/>
              <w:rPr>
                <w:sz w:val="19"/>
                <w:szCs w:val="19"/>
                <w:color w:val="auto"/>
              </w:rPr>
            </w:pPr>
          </w:p>
        </w:tc>
      </w:tr>
      <w:tr>
        <w:trPr>
          <w:trHeight w:val="378"/>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20" w:type="dxa"/>
            <w:vAlign w:val="bottom"/>
            <w:gridSpan w:val="9"/>
          </w:tcPr>
          <w:p>
            <w:pPr>
              <w:jc w:val="center"/>
              <w:ind w:right="2760"/>
              <w:spacing w:after="0"/>
              <w:rPr>
                <w:sz w:val="20"/>
                <w:szCs w:val="20"/>
                <w:color w:val="auto"/>
              </w:rPr>
            </w:pPr>
            <w:r>
              <w:rPr>
                <w:rFonts w:ascii="Arial" w:cs="Arial" w:eastAsia="Arial" w:hAnsi="Arial"/>
                <w:sz w:val="18"/>
                <w:szCs w:val="18"/>
                <w:b w:val="1"/>
                <w:bCs w:val="1"/>
                <w:color w:val="auto"/>
                <w:w w:val="91"/>
              </w:rPr>
              <w:t>Index to Form 10-Q</w:t>
            </w:r>
          </w:p>
        </w:tc>
        <w:tc>
          <w:tcPr>
            <w:tcW w:w="320" w:type="dxa"/>
            <w:vAlign w:val="bottom"/>
          </w:tcPr>
          <w:p>
            <w:pPr>
              <w:spacing w:after="0"/>
              <w:rPr>
                <w:sz w:val="24"/>
                <w:szCs w:val="24"/>
                <w:color w:val="auto"/>
              </w:rPr>
            </w:pPr>
          </w:p>
        </w:tc>
      </w:tr>
      <w:tr>
        <w:trPr>
          <w:trHeight w:val="380"/>
        </w:trPr>
        <w:tc>
          <w:tcPr>
            <w:tcW w:w="880" w:type="dxa"/>
            <w:vAlign w:val="bottom"/>
            <w:gridSpan w:val="2"/>
          </w:tcPr>
          <w:p>
            <w:pPr>
              <w:spacing w:after="0"/>
              <w:rPr>
                <w:sz w:val="20"/>
                <w:szCs w:val="20"/>
                <w:color w:val="auto"/>
              </w:rPr>
            </w:pPr>
            <w:r>
              <w:rPr>
                <w:rFonts w:ascii="Arial" w:cs="Arial" w:eastAsia="Arial" w:hAnsi="Arial"/>
                <w:sz w:val="18"/>
                <w:szCs w:val="18"/>
                <w:color w:val="auto"/>
              </w:rPr>
              <w:t>PART I.</w:t>
            </w:r>
          </w:p>
        </w:tc>
        <w:tc>
          <w:tcPr>
            <w:tcW w:w="102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320" w:type="dxa"/>
            <w:vAlign w:val="bottom"/>
          </w:tcPr>
          <w:p>
            <w:pPr>
              <w:spacing w:after="0"/>
              <w:rPr>
                <w:sz w:val="24"/>
                <w:szCs w:val="24"/>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4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720" w:type="dxa"/>
            <w:vAlign w:val="bottom"/>
            <w:tcBorders>
              <w:top w:val="single" w:sz="8" w:color="0000EE"/>
            </w:tcBorders>
            <w:gridSpan w:val="4"/>
          </w:tcPr>
          <w:p>
            <w:pPr>
              <w:spacing w:after="0"/>
              <w:rPr>
                <w:sz w:val="24"/>
                <w:szCs w:val="24"/>
                <w:color w:val="auto"/>
              </w:rPr>
            </w:pPr>
          </w:p>
        </w:tc>
        <w:tc>
          <w:tcPr>
            <w:tcW w:w="8020" w:type="dxa"/>
            <w:vAlign w:val="bottom"/>
            <w:gridSpan w:val="9"/>
          </w:tcPr>
          <w:p>
            <w:pPr>
              <w:spacing w:after="0"/>
              <w:rPr>
                <w:sz w:val="24"/>
                <w:szCs w:val="24"/>
                <w:color w:val="auto"/>
              </w:rPr>
            </w:pPr>
          </w:p>
        </w:tc>
        <w:tc>
          <w:tcPr>
            <w:tcW w:w="320" w:type="dxa"/>
            <w:vAlign w:val="bottom"/>
          </w:tcPr>
          <w:p>
            <w:pPr>
              <w:spacing w:after="0"/>
              <w:rPr>
                <w:sz w:val="24"/>
                <w:szCs w:val="24"/>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1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a. Condensed Consolidated Statements of Income (Unaudited) for the Thirteen and Thirty-Nine Weeks Ended September 30, 2007 and October</w:t>
              </w:r>
            </w:hyperlink>
          </w:p>
        </w:tc>
        <w:tc>
          <w:tcPr>
            <w:tcW w:w="32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3"/>
              </w:rPr>
            </w:pPr>
            <w:hyperlink w:anchor="page3">
              <w:r>
                <w:rPr>
                  <w:rFonts w:ascii="Arial" w:cs="Arial" w:eastAsia="Arial" w:hAnsi="Arial"/>
                  <w:sz w:val="18"/>
                  <w:szCs w:val="18"/>
                  <w:color w:val="0000EE"/>
                  <w:w w:val="83"/>
                </w:rPr>
                <w:t>1, 2006</w:t>
              </w:r>
            </w:hyperlink>
          </w:p>
        </w:tc>
        <w:tc>
          <w:tcPr>
            <w:tcW w:w="7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17"/>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b. Condensed Consolidated Statements of Comprehensive Income (Unaudited) for the Thirteen and Thirty-Nine Weeks Ended September 30,</w:t>
              </w:r>
            </w:hyperlink>
          </w:p>
        </w:tc>
        <w:tc>
          <w:tcPr>
            <w:tcW w:w="32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2007 and October 1, 2006</w:t>
              </w:r>
            </w:hyperlink>
          </w:p>
        </w:tc>
        <w:tc>
          <w:tcPr>
            <w:tcW w:w="7860" w:type="dxa"/>
            <w:vAlign w:val="bottom"/>
            <w:tcBorders>
              <w:top w:val="single" w:sz="8" w:color="0000EE"/>
            </w:tcBorders>
            <w:gridSpan w:val="7"/>
          </w:tcPr>
          <w:p>
            <w:pPr>
              <w:spacing w:after="0"/>
              <w:rPr>
                <w:sz w:val="17"/>
                <w:szCs w:val="17"/>
                <w:color w:val="auto"/>
              </w:rPr>
            </w:pPr>
          </w:p>
        </w:tc>
        <w:tc>
          <w:tcPr>
            <w:tcW w:w="30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8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 Condensed Consolidated Balance Sheets at September 30, 2007 (Unaudited) and December 31, 2006</w:t>
              </w:r>
            </w:hyperlink>
          </w:p>
        </w:tc>
        <w:tc>
          <w:tcPr>
            <w:tcW w:w="294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2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d. Condensed Consolidated Statements of Cash Flows (Unaudited) for the Thirty-Nine Weeks Ended September 30, 2007 and October 1, 2006</w:t>
              </w:r>
            </w:hyperlink>
          </w:p>
        </w:tc>
        <w:tc>
          <w:tcPr>
            <w:tcW w:w="20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e. Notes to Condensed Consolidated Financial Statements (Unaudited)</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22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Results of Operations and Financial Condition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392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6"/>
              </w:rPr>
            </w:pPr>
            <w:hyperlink w:anchor="page28">
              <w:r>
                <w:rPr>
                  <w:rFonts w:ascii="Arial" w:cs="Arial" w:eastAsia="Arial" w:hAnsi="Arial"/>
                  <w:sz w:val="18"/>
                  <w:szCs w:val="18"/>
                  <w:color w:val="0000EE"/>
                  <w:w w:val="86"/>
                </w:rPr>
                <w:t>Controls and Procedures</w:t>
              </w:r>
            </w:hyperlink>
          </w:p>
        </w:tc>
        <w:tc>
          <w:tcPr>
            <w:tcW w:w="2460" w:type="dxa"/>
            <w:vAlign w:val="bottom"/>
            <w:tcBorders>
              <w:top w:val="single" w:sz="8" w:color="0000EE"/>
            </w:tcBorders>
            <w:gridSpan w:val="4"/>
          </w:tcPr>
          <w:p>
            <w:pPr>
              <w:spacing w:after="0"/>
              <w:rPr>
                <w:sz w:val="24"/>
                <w:szCs w:val="24"/>
                <w:color w:val="auto"/>
              </w:rPr>
            </w:pPr>
          </w:p>
        </w:tc>
        <w:tc>
          <w:tcPr>
            <w:tcW w:w="6020" w:type="dxa"/>
            <w:vAlign w:val="bottom"/>
            <w:gridSpan w:val="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022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32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22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240" w:type="dxa"/>
            <w:vAlign w:val="bottom"/>
            <w:tcBorders>
              <w:top w:val="single" w:sz="8" w:color="0000EE"/>
            </w:tcBorders>
            <w:gridSpan w:val="1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598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880" w:type="dxa"/>
            <w:vAlign w:val="bottom"/>
            <w:gridSpan w:val="2"/>
          </w:tcPr>
          <w:p>
            <w:pPr>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Signatures</w:t>
              </w:r>
            </w:hyperlink>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7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000" w:type="dxa"/>
            <w:vAlign w:val="bottom"/>
          </w:tcPr>
          <w:p>
            <w:pPr>
              <w:jc w:val="right"/>
              <w:ind w:right="4252"/>
              <w:spacing w:after="0"/>
              <w:rPr>
                <w:sz w:val="20"/>
                <w:szCs w:val="20"/>
                <w:color w:val="auto"/>
              </w:rPr>
            </w:pPr>
            <w:r>
              <w:rPr>
                <w:rFonts w:ascii="Arial" w:cs="Arial" w:eastAsia="Arial" w:hAnsi="Arial"/>
                <w:sz w:val="18"/>
                <w:szCs w:val="18"/>
                <w:b w:val="1"/>
                <w:bCs w:val="1"/>
                <w:color w:val="auto"/>
                <w:w w:val="91"/>
              </w:rPr>
              <w:t>Financial Statements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6940" w:type="dxa"/>
            <w:vAlign w:val="bottom"/>
            <w:gridSpan w:val="3"/>
          </w:tcPr>
          <w:p>
            <w:pPr>
              <w:spacing w:after="0"/>
              <w:rPr>
                <w:sz w:val="20"/>
                <w:szCs w:val="20"/>
                <w:color w:val="auto"/>
              </w:rPr>
            </w:pPr>
            <w:r>
              <w:rPr>
                <w:rFonts w:ascii="Arial" w:cs="Arial" w:eastAsia="Arial" w:hAnsi="Arial"/>
                <w:sz w:val="18"/>
                <w:szCs w:val="18"/>
                <w:color w:val="auto"/>
              </w:rPr>
              <w:t>The Washington Post Company</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940" w:type="dxa"/>
            <w:vAlign w:val="bottom"/>
            <w:gridSpan w:val="3"/>
          </w:tcPr>
          <w:p>
            <w:pPr>
              <w:spacing w:after="0"/>
              <w:rPr>
                <w:sz w:val="20"/>
                <w:szCs w:val="20"/>
                <w:color w:val="auto"/>
              </w:rPr>
            </w:pPr>
            <w:r>
              <w:rPr>
                <w:rFonts w:ascii="Arial" w:cs="Arial" w:eastAsia="Arial" w:hAnsi="Arial"/>
                <w:sz w:val="18"/>
                <w:szCs w:val="18"/>
                <w:color w:val="auto"/>
              </w:rPr>
              <w:t>Condensed Consolidated Statements of Income (Unaudited)</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5"/>
              </w:rPr>
              <w:t>Thirteen Weeks Ended</w:t>
            </w:r>
          </w:p>
        </w:tc>
        <w:tc>
          <w:tcPr>
            <w:tcW w:w="120" w:type="dxa"/>
            <w:vAlign w:val="bottom"/>
          </w:tcPr>
          <w:p>
            <w:pPr>
              <w:spacing w:after="0"/>
              <w:rPr>
                <w:sz w:val="24"/>
                <w:szCs w:val="24"/>
                <w:color w:val="auto"/>
              </w:rPr>
            </w:pPr>
          </w:p>
        </w:tc>
        <w:tc>
          <w:tcPr>
            <w:tcW w:w="18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October 1,</w:t>
            </w:r>
          </w:p>
        </w:tc>
        <w:tc>
          <w:tcPr>
            <w:tcW w:w="280" w:type="dxa"/>
            <w:vAlign w:val="bottom"/>
          </w:tcPr>
          <w:p>
            <w:pPr>
              <w:spacing w:after="0"/>
              <w:rPr>
                <w:sz w:val="11"/>
                <w:szCs w:val="11"/>
                <w:color w:val="auto"/>
              </w:rPr>
            </w:pPr>
          </w:p>
        </w:tc>
        <w:tc>
          <w:tcPr>
            <w:tcW w:w="10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b w:val="1"/>
                <w:bCs w:val="1"/>
                <w:color w:val="auto"/>
                <w:w w:val="86"/>
              </w:rPr>
              <w:t>October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94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514,595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420,604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1,493,863</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1,238,782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Advertising</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282,251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312,238</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893,352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985,793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Circulation and subscriber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207,990</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195,243</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613,941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580,205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6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17,668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18,809</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1,022,504</w:t>
            </w: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946,894</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3,054,885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2,864,215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Operating</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456,725</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427,031</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1,354,395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1,259,059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395,804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349,763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1,198,705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1,098,788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55,722</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49,929</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163,231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148,466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and goodwill impairment charge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3,787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11,525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912,038</w:t>
            </w: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838,248</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2,727,164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2,520,605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110,466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108,646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94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in (losses) earnings of affiliates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3,011</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2,967</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Other, net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10,121</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4,708</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 and cumulative effect of change in accounting principle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116,962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109,296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44,500</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36,000</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72,462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73,296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w w:val="93"/>
              </w:rPr>
              <w:t>Cumulative effect of change in method of accounting for share-based payments, net of taxes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(5,075)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income</w:t>
            </w:r>
          </w:p>
        </w:tc>
        <w:tc>
          <w:tcPr>
            <w:tcW w:w="6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72,462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73,296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Redeemable preferred stock dividends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common shares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72,225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73,051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204,756</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3"/>
            <w:vMerge w:val="restart"/>
          </w:tcPr>
          <w:p>
            <w:pPr>
              <w:spacing w:after="0"/>
              <w:rPr>
                <w:sz w:val="20"/>
                <w:szCs w:val="20"/>
                <w:color w:val="auto"/>
              </w:rPr>
            </w:pPr>
            <w:r>
              <w:rPr>
                <w:rFonts w:ascii="Arial" w:cs="Arial" w:eastAsia="Arial" w:hAnsi="Arial"/>
                <w:sz w:val="18"/>
                <w:szCs w:val="18"/>
                <w:color w:val="auto"/>
              </w:rPr>
              <w:t>Basic earnings per share:</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40" w:type="dxa"/>
            <w:vAlign w:val="bottom"/>
            <w:gridSpan w:val="3"/>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available for common stock</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per share:</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40" w:type="dxa"/>
            <w:vAlign w:val="bottom"/>
            <w:gridSpan w:val="3"/>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available for common stock</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3"/>
            <w:vMerge w:val="restart"/>
          </w:tcPr>
          <w:p>
            <w:pPr>
              <w:spacing w:after="0"/>
              <w:rPr>
                <w:sz w:val="20"/>
                <w:szCs w:val="20"/>
                <w:color w:val="auto"/>
              </w:rPr>
            </w:pPr>
            <w:r>
              <w:rPr>
                <w:rFonts w:ascii="Arial" w:cs="Arial" w:eastAsia="Arial" w:hAnsi="Arial"/>
                <w:sz w:val="18"/>
                <w:szCs w:val="18"/>
                <w:color w:val="auto"/>
              </w:rPr>
              <w:t>Dividends declared per common share</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40" w:type="dxa"/>
            <w:vAlign w:val="bottom"/>
            <w:gridSpan w:val="3"/>
            <w:vMerge w:val="continue"/>
          </w:tcPr>
          <w:p>
            <w:pPr>
              <w:spacing w:after="0"/>
              <w:rPr>
                <w:sz w:val="18"/>
                <w:szCs w:val="18"/>
                <w:color w:val="auto"/>
              </w:rPr>
            </w:pP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8.20</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average number of common shares outstanding</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9,473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9,581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Diluted average number of common shares outstanding</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9,509</w:t>
            </w: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9,617</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0" w:type="dxa"/>
            <w:vAlign w:val="bottom"/>
          </w:tcPr>
          <w:p>
            <w:pPr>
              <w:jc w:val="right"/>
              <w:ind w:right="1092"/>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1"/>
              </w:rPr>
              <w:t>Thirteen Weeks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0"/>
              </w:rPr>
              <w:t>Thirty-Nine Weeks Ended</w:t>
            </w:r>
          </w:p>
        </w:tc>
        <w:tc>
          <w:tcPr>
            <w:tcW w:w="0" w:type="dxa"/>
            <w:vAlign w:val="bottom"/>
          </w:tcPr>
          <w:p>
            <w:pPr>
              <w:spacing w:after="0"/>
              <w:rPr>
                <w:sz w:val="1"/>
                <w:szCs w:val="1"/>
                <w:color w:val="auto"/>
              </w:rPr>
            </w:pPr>
          </w:p>
        </w:tc>
      </w:tr>
      <w:tr>
        <w:trPr>
          <w:trHeight w:val="129"/>
        </w:trPr>
        <w:tc>
          <w:tcPr>
            <w:tcW w:w="56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October 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October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72,462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$ 73,296</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205,708</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228,914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 adjustment</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12,014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23,473</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440"/>
              <w:spacing w:after="0"/>
              <w:rPr>
                <w:sz w:val="20"/>
                <w:szCs w:val="20"/>
                <w:color w:val="auto"/>
              </w:rPr>
            </w:pPr>
            <w:r>
              <w:rPr>
                <w:rFonts w:ascii="Arial" w:cs="Arial" w:eastAsia="Arial" w:hAnsi="Arial"/>
                <w:sz w:val="18"/>
                <w:szCs w:val="18"/>
                <w:color w:val="auto"/>
              </w:rPr>
              <w:t>Change in unrealized gain on available-for-sale securities</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28,508</w:t>
            </w:r>
          </w:p>
        </w:tc>
        <w:tc>
          <w:tcPr>
            <w:tcW w:w="620" w:type="dxa"/>
            <w:vAlign w:val="bottom"/>
          </w:tcPr>
          <w:p>
            <w:pPr>
              <w:jc w:val="right"/>
              <w:spacing w:after="0"/>
              <w:rPr>
                <w:sz w:val="20"/>
                <w:szCs w:val="20"/>
                <w:color w:val="auto"/>
              </w:rPr>
            </w:pPr>
            <w:r>
              <w:rPr>
                <w:rFonts w:ascii="Arial" w:cs="Arial" w:eastAsia="Arial" w:hAnsi="Arial"/>
                <w:sz w:val="18"/>
                <w:szCs w:val="18"/>
                <w:color w:val="auto"/>
              </w:rPr>
              <w:t>9,735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40,915</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Pension and other postretirement plan adjustments</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(1,125)</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Pr>
          <w:p>
            <w:pPr>
              <w:ind w:left="440"/>
              <w:spacing w:after="0"/>
              <w:rPr>
                <w:sz w:val="20"/>
                <w:szCs w:val="20"/>
                <w:color w:val="auto"/>
              </w:rPr>
            </w:pPr>
            <w:r>
              <w:rPr>
                <w:rFonts w:ascii="Arial" w:cs="Arial" w:eastAsia="Arial" w:hAnsi="Arial"/>
                <w:sz w:val="18"/>
                <w:szCs w:val="18"/>
                <w:color w:val="auto"/>
                <w:w w:val="88"/>
              </w:rPr>
              <w:t>Less: reclassification adjustment for realized gains included in net income</w:t>
            </w: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(2,035)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(33,614)</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39,397</w:t>
            </w:r>
          </w:p>
        </w:tc>
        <w:tc>
          <w:tcPr>
            <w:tcW w:w="3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60,988</w:t>
            </w:r>
          </w:p>
        </w:tc>
        <w:tc>
          <w:tcPr>
            <w:tcW w:w="3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440"/>
              <w:spacing w:after="0"/>
              <w:rPr>
                <w:sz w:val="20"/>
                <w:szCs w:val="20"/>
                <w:color w:val="auto"/>
              </w:rPr>
            </w:pPr>
            <w:r>
              <w:rPr>
                <w:rFonts w:ascii="Arial" w:cs="Arial" w:eastAsia="Arial" w:hAnsi="Arial"/>
                <w:sz w:val="18"/>
                <w:szCs w:val="18"/>
                <w:color w:val="auto"/>
                <w:w w:val="94"/>
              </w:rPr>
              <w:t>Income tax (expense) benefit related to other comprehensive income</w:t>
            </w: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(12,264)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(3,003)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(20,979)</w:t>
            </w:r>
          </w:p>
        </w:tc>
        <w:tc>
          <w:tcPr>
            <w:tcW w:w="680" w:type="dxa"/>
            <w:vAlign w:val="bottom"/>
          </w:tcPr>
          <w:p>
            <w:pPr>
              <w:jc w:val="right"/>
              <w:spacing w:after="0"/>
              <w:rPr>
                <w:sz w:val="20"/>
                <w:szCs w:val="20"/>
                <w:color w:val="auto"/>
              </w:rPr>
            </w:pPr>
            <w:r>
              <w:rPr>
                <w:rFonts w:ascii="Arial" w:cs="Arial" w:eastAsia="Arial" w:hAnsi="Arial"/>
                <w:sz w:val="18"/>
                <w:szCs w:val="18"/>
                <w:color w:val="auto"/>
              </w:rPr>
              <w:t>1,433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27,133</w:t>
            </w:r>
          </w:p>
        </w:tc>
        <w:tc>
          <w:tcPr>
            <w:tcW w:w="36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40,009</w:t>
            </w:r>
          </w:p>
        </w:tc>
        <w:tc>
          <w:tcPr>
            <w:tcW w:w="3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60" w:type="dxa"/>
            <w:vAlign w:val="bottom"/>
          </w:tcPr>
          <w:p>
            <w:pPr>
              <w:spacing w:after="0"/>
              <w:rPr>
                <w:sz w:val="20"/>
                <w:szCs w:val="20"/>
                <w:color w:val="auto"/>
              </w:rPr>
            </w:pPr>
            <w:r>
              <w:rPr>
                <w:rFonts w:ascii="Arial" w:cs="Arial" w:eastAsia="Arial" w:hAnsi="Arial"/>
                <w:sz w:val="18"/>
                <w:szCs w:val="18"/>
                <w:color w:val="auto"/>
              </w:rPr>
              <w:t>Comprehensive income</w:t>
            </w:r>
          </w:p>
        </w:tc>
        <w:tc>
          <w:tcPr>
            <w:tcW w:w="180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99,595</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$ 83,256</w:t>
            </w:r>
          </w:p>
        </w:tc>
        <w:tc>
          <w:tcPr>
            <w:tcW w:w="220" w:type="dxa"/>
            <w:vAlign w:val="bottom"/>
          </w:tcPr>
          <w:p>
            <w:pPr>
              <w:spacing w:after="0"/>
              <w:rPr>
                <w:sz w:val="19"/>
                <w:szCs w:val="19"/>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245,717</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240,433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20" w:type="dxa"/>
            <w:vAlign w:val="bottom"/>
            <w:vMerge w:val="restart"/>
          </w:tcPr>
          <w:p>
            <w:pPr>
              <w:jc w:val="right"/>
              <w:ind w:right="1432"/>
              <w:spacing w:after="0"/>
              <w:rPr>
                <w:sz w:val="20"/>
                <w:szCs w:val="20"/>
                <w:color w:val="auto"/>
              </w:rPr>
            </w:pPr>
            <w:r>
              <w:rPr>
                <w:rFonts w:ascii="Arial" w:cs="Arial" w:eastAsia="Arial" w:hAnsi="Arial"/>
                <w:sz w:val="18"/>
                <w:szCs w:val="18"/>
                <w:color w:val="auto"/>
                <w:w w:val="79"/>
              </w:rPr>
              <w:t>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6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5"/>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580" w:type="dxa"/>
            <w:vAlign w:val="bottom"/>
          </w:tcPr>
          <w:p>
            <w:pPr>
              <w:spacing w:after="0"/>
              <w:rPr>
                <w:sz w:val="15"/>
                <w:szCs w:val="15"/>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40" w:type="dxa"/>
            <w:vAlign w:val="bottom"/>
            <w:gridSpan w:val="2"/>
            <w:vMerge w:val="continue"/>
          </w:tcPr>
          <w:p>
            <w:pPr>
              <w:spacing w:after="0"/>
              <w:rPr>
                <w:sz w:val="12"/>
                <w:szCs w:val="12"/>
                <w:color w:val="auto"/>
              </w:rPr>
            </w:pPr>
          </w:p>
        </w:tc>
        <w:tc>
          <w:tcPr>
            <w:tcW w:w="4580" w:type="dxa"/>
            <w:vAlign w:val="bottom"/>
          </w:tcPr>
          <w:p>
            <w:pPr>
              <w:spacing w:after="0"/>
              <w:rPr>
                <w:sz w:val="12"/>
                <w:szCs w:val="12"/>
                <w:color w:val="auto"/>
              </w:rPr>
            </w:pPr>
          </w:p>
        </w:tc>
        <w:tc>
          <w:tcPr>
            <w:tcW w:w="76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6"/>
              </w:rPr>
              <w:t>(unaudited)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45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4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4580" w:type="dxa"/>
            <w:vAlign w:val="bottom"/>
            <w:tcBorders>
              <w:right w:val="single" w:sz="8" w:color="CCEEFF"/>
            </w:tcBorders>
            <w:shd w:val="clear" w:color="auto" w:fill="CCEEFF"/>
          </w:tcPr>
          <w:p>
            <w:pPr>
              <w:ind w:left="4520"/>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330,550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348,148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Investments in marketable equity securities</w:t>
            </w:r>
          </w:p>
        </w:tc>
        <w:tc>
          <w:tcPr>
            <w:tcW w:w="45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44,580</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28,923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 net</w:t>
            </w:r>
          </w:p>
        </w:tc>
        <w:tc>
          <w:tcPr>
            <w:tcW w:w="45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440,866</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423,403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Inventories</w:t>
            </w:r>
          </w:p>
        </w:tc>
        <w:tc>
          <w:tcPr>
            <w:tcW w:w="45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19,744</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19,973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income taxes</w:t>
            </w:r>
          </w:p>
        </w:tc>
        <w:tc>
          <w:tcPr>
            <w:tcW w:w="45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37,146</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Income taxes receivable</w:t>
            </w:r>
          </w:p>
        </w:tc>
        <w:tc>
          <w:tcPr>
            <w:tcW w:w="4580" w:type="dxa"/>
            <w:vAlign w:val="bottom"/>
          </w:tcPr>
          <w:p>
            <w:pPr>
              <w:spacing w:after="0"/>
              <w:rPr>
                <w:sz w:val="12"/>
                <w:szCs w:val="12"/>
                <w:color w:val="auto"/>
              </w:rPr>
            </w:pP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11,328</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45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69,315</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5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953,529</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934,825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45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Buildings</w:t>
            </w:r>
          </w:p>
        </w:tc>
        <w:tc>
          <w:tcPr>
            <w:tcW w:w="45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342,455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331,682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Machinery, equipment and fixtures</w:t>
            </w:r>
          </w:p>
        </w:tc>
        <w:tc>
          <w:tcPr>
            <w:tcW w:w="45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2,100,381</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1,939,110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Leasehold improvements</w:t>
            </w:r>
          </w:p>
        </w:tc>
        <w:tc>
          <w:tcPr>
            <w:tcW w:w="45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234,615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204,797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458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rPr>
                <w:sz w:val="12"/>
                <w:szCs w:val="12"/>
                <w:color w:val="auto"/>
              </w:rPr>
            </w:pPr>
          </w:p>
        </w:tc>
        <w:tc>
          <w:tcPr>
            <w:tcW w:w="45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2,677,451</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2,475,589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Less accumulated depreciation</w:t>
            </w:r>
          </w:p>
        </w:tc>
        <w:tc>
          <w:tcPr>
            <w:tcW w:w="458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(1,573,396)</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(1,433,060)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458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rPr>
                <w:sz w:val="12"/>
                <w:szCs w:val="12"/>
                <w:color w:val="auto"/>
              </w:rPr>
            </w:pPr>
          </w:p>
        </w:tc>
        <w:tc>
          <w:tcPr>
            <w:tcW w:w="45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1,104,055</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1,042,529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Land</w:t>
            </w:r>
          </w:p>
        </w:tc>
        <w:tc>
          <w:tcPr>
            <w:tcW w:w="45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48,065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42,030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Construction in progress</w:t>
            </w:r>
          </w:p>
        </w:tc>
        <w:tc>
          <w:tcPr>
            <w:tcW w:w="45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123,980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133,750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5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1,276,100</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1,218,309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in marketable equity securities</w:t>
            </w:r>
          </w:p>
        </w:tc>
        <w:tc>
          <w:tcPr>
            <w:tcW w:w="45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351,063</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325,805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Investments in affiliates</w:t>
            </w:r>
          </w:p>
        </w:tc>
        <w:tc>
          <w:tcPr>
            <w:tcW w:w="45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99,204</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64,691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 net</w:t>
            </w:r>
          </w:p>
        </w:tc>
        <w:tc>
          <w:tcPr>
            <w:tcW w:w="45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1,414,401</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1,240,251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Indefinite-lived intangible assets, net</w:t>
            </w:r>
          </w:p>
        </w:tc>
        <w:tc>
          <w:tcPr>
            <w:tcW w:w="45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520,971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517,742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Amortized intangible assets, net</w:t>
            </w:r>
          </w:p>
        </w:tc>
        <w:tc>
          <w:tcPr>
            <w:tcW w:w="45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42,258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31,799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Prepaid pension cost</w:t>
            </w:r>
          </w:p>
        </w:tc>
        <w:tc>
          <w:tcPr>
            <w:tcW w:w="45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992,320</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975,292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charges and other assets</w:t>
            </w:r>
          </w:p>
        </w:tc>
        <w:tc>
          <w:tcPr>
            <w:tcW w:w="45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65,137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5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4580" w:type="dxa"/>
            <w:vAlign w:val="bottom"/>
          </w:tcPr>
          <w:p>
            <w:pPr>
              <w:ind w:left="4520"/>
              <w:spacing w:after="0"/>
              <w:rPr>
                <w:sz w:val="20"/>
                <w:szCs w:val="20"/>
                <w:color w:val="auto"/>
              </w:rPr>
            </w:pPr>
            <w:r>
              <w:rPr>
                <w:rFonts w:ascii="Arial" w:cs="Arial" w:eastAsia="Arial" w:hAnsi="Arial"/>
                <w:sz w:val="5"/>
                <w:szCs w:val="5"/>
                <w:color w:val="auto"/>
                <w:w w:val="70"/>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5,714,983</w:t>
            </w:r>
          </w:p>
        </w:tc>
        <w:tc>
          <w:tcPr>
            <w:tcW w:w="38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5,381,372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Liabilities and Shareholders’ Equity</w:t>
            </w:r>
          </w:p>
        </w:tc>
        <w:tc>
          <w:tcPr>
            <w:tcW w:w="45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4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 and accrued liabilities</w:t>
            </w:r>
          </w:p>
        </w:tc>
        <w:tc>
          <w:tcPr>
            <w:tcW w:w="4580" w:type="dxa"/>
            <w:vAlign w:val="bottom"/>
            <w:tcBorders>
              <w:right w:val="single" w:sz="8" w:color="CCEEFF"/>
            </w:tcBorders>
            <w:shd w:val="clear" w:color="auto" w:fill="CCEEFF"/>
          </w:tcPr>
          <w:p>
            <w:pPr>
              <w:ind w:left="4520"/>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562,547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509,375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45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378,101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283,475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Dividends declared</w:t>
            </w:r>
          </w:p>
        </w:tc>
        <w:tc>
          <w:tcPr>
            <w:tcW w:w="45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19,720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Income taxes payable</w:t>
            </w:r>
          </w:p>
        </w:tc>
        <w:tc>
          <w:tcPr>
            <w:tcW w:w="4580" w:type="dxa"/>
            <w:vAlign w:val="bottom"/>
          </w:tcPr>
          <w:p>
            <w:pPr>
              <w:spacing w:after="0"/>
              <w:rPr>
                <w:sz w:val="12"/>
                <w:szCs w:val="12"/>
                <w:color w:val="auto"/>
              </w:rPr>
            </w:pPr>
          </w:p>
        </w:tc>
        <w:tc>
          <w:tcPr>
            <w:tcW w:w="11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Short-term borrowings</w:t>
            </w:r>
          </w:p>
        </w:tc>
        <w:tc>
          <w:tcPr>
            <w:tcW w:w="45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4,825</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5,622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5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965,193</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803,200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Postretirement benefits other than pensions</w:t>
            </w:r>
          </w:p>
        </w:tc>
        <w:tc>
          <w:tcPr>
            <w:tcW w:w="45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85,255</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81,337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45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319,195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324,143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w:t>
            </w:r>
          </w:p>
        </w:tc>
        <w:tc>
          <w:tcPr>
            <w:tcW w:w="45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637,442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599,487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Long-term debt</w:t>
            </w:r>
          </w:p>
        </w:tc>
        <w:tc>
          <w:tcPr>
            <w:tcW w:w="45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400,972</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401,571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458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rPr>
                <w:sz w:val="12"/>
                <w:szCs w:val="12"/>
                <w:color w:val="auto"/>
              </w:rPr>
            </w:pPr>
          </w:p>
        </w:tc>
        <w:tc>
          <w:tcPr>
            <w:tcW w:w="45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2,408,057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2,209,738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Redeemable preferred stock</w:t>
            </w:r>
          </w:p>
        </w:tc>
        <w:tc>
          <w:tcPr>
            <w:tcW w:w="4580" w:type="dxa"/>
            <w:vAlign w:val="bottom"/>
          </w:tcPr>
          <w:p>
            <w:pPr>
              <w:spacing w:after="0"/>
              <w:rPr>
                <w:sz w:val="13"/>
                <w:szCs w:val="13"/>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11,826</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w:t>
            </w:r>
          </w:p>
        </w:tc>
        <w:tc>
          <w:tcPr>
            <w:tcW w:w="4580" w:type="dxa"/>
            <w:vAlign w:val="bottom"/>
            <w:tcBorders>
              <w:right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40" w:type="dxa"/>
            <w:vAlign w:val="bottom"/>
            <w:gridSpan w:val="2"/>
          </w:tcPr>
          <w:p>
            <w:pPr>
              <w:spacing w:after="0" w:line="155" w:lineRule="exact"/>
              <w:rPr>
                <w:sz w:val="20"/>
                <w:szCs w:val="20"/>
                <w:color w:val="auto"/>
              </w:rPr>
            </w:pPr>
            <w:r>
              <w:rPr>
                <w:rFonts w:ascii="Arial" w:cs="Arial" w:eastAsia="Arial" w:hAnsi="Arial"/>
                <w:sz w:val="14"/>
                <w:szCs w:val="14"/>
                <w:color w:val="auto"/>
              </w:rPr>
              <w:t>Common shareholders’ equity</w:t>
            </w:r>
          </w:p>
        </w:tc>
        <w:tc>
          <w:tcPr>
            <w:tcW w:w="4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w:t>
            </w:r>
          </w:p>
        </w:tc>
        <w:tc>
          <w:tcPr>
            <w:tcW w:w="45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Capital in excess of par value</w:t>
            </w:r>
          </w:p>
        </w:tc>
        <w:tc>
          <w:tcPr>
            <w:tcW w:w="45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213,076</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205,820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Retained earnings</w:t>
            </w:r>
          </w:p>
        </w:tc>
        <w:tc>
          <w:tcPr>
            <w:tcW w:w="45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4,246,832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4,120,143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Accumulated other comprehensive income</w:t>
            </w:r>
          </w:p>
        </w:tc>
        <w:tc>
          <w:tcPr>
            <w:tcW w:w="4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Cumulative foreign currency translation adjustment</w:t>
            </w:r>
          </w:p>
        </w:tc>
        <w:tc>
          <w:tcPr>
            <w:tcW w:w="45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40,189</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22,689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860"/>
              <w:spacing w:after="0" w:line="149" w:lineRule="exact"/>
              <w:rPr>
                <w:sz w:val="20"/>
                <w:szCs w:val="20"/>
                <w:color w:val="auto"/>
              </w:rPr>
            </w:pPr>
            <w:r>
              <w:rPr>
                <w:rFonts w:ascii="Arial" w:cs="Arial" w:eastAsia="Arial" w:hAnsi="Arial"/>
                <w:sz w:val="14"/>
                <w:szCs w:val="14"/>
                <w:color w:val="auto"/>
              </w:rPr>
              <w:t>Unrealized gain on available-for-sale securities</w:t>
            </w:r>
          </w:p>
        </w:tc>
        <w:tc>
          <w:tcPr>
            <w:tcW w:w="45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109,163</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84,614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Unrealized gain on pension and other postretirement plans</w:t>
            </w:r>
          </w:p>
        </w:tc>
        <w:tc>
          <w:tcPr>
            <w:tcW w:w="45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268,218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270,258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420"/>
              <w:spacing w:after="0" w:line="149" w:lineRule="exact"/>
              <w:rPr>
                <w:sz w:val="20"/>
                <w:szCs w:val="20"/>
                <w:color w:val="auto"/>
              </w:rPr>
            </w:pPr>
            <w:r>
              <w:rPr>
                <w:rFonts w:ascii="Arial" w:cs="Arial" w:eastAsia="Arial" w:hAnsi="Arial"/>
                <w:sz w:val="14"/>
                <w:szCs w:val="14"/>
                <w:color w:val="auto"/>
              </w:rPr>
              <w:t>Cost of Class B common stock held in treasury</w:t>
            </w:r>
          </w:p>
        </w:tc>
        <w:tc>
          <w:tcPr>
            <w:tcW w:w="458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(1,602,378)</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(1,564,010)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458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rPr>
                <w:sz w:val="12"/>
                <w:szCs w:val="12"/>
                <w:color w:val="auto"/>
              </w:rPr>
            </w:pPr>
          </w:p>
        </w:tc>
        <w:tc>
          <w:tcPr>
            <w:tcW w:w="458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3,295,100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3,159,514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5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4580" w:type="dxa"/>
            <w:vAlign w:val="bottom"/>
          </w:tcPr>
          <w:p>
            <w:pPr>
              <w:ind w:left="4520"/>
              <w:spacing w:after="0"/>
              <w:rPr>
                <w:sz w:val="20"/>
                <w:szCs w:val="20"/>
                <w:color w:val="auto"/>
              </w:rPr>
            </w:pPr>
            <w:r>
              <w:rPr>
                <w:rFonts w:ascii="Arial" w:cs="Arial" w:eastAsia="Arial" w:hAnsi="Arial"/>
                <w:sz w:val="5"/>
                <w:szCs w:val="5"/>
                <w:color w:val="auto"/>
                <w:w w:val="70"/>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5,714,983</w:t>
            </w:r>
          </w:p>
        </w:tc>
        <w:tc>
          <w:tcPr>
            <w:tcW w:w="38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5,381,372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580" w:type="dxa"/>
            <w:vAlign w:val="bottom"/>
            <w:vMerge w:val="restart"/>
          </w:tcPr>
          <w:p>
            <w:pPr>
              <w:ind w:left="840"/>
              <w:spacing w:after="0"/>
              <w:rPr>
                <w:sz w:val="20"/>
                <w:szCs w:val="20"/>
                <w:color w:val="auto"/>
              </w:rPr>
            </w:pPr>
            <w:r>
              <w:rPr>
                <w:rFonts w:ascii="Arial" w:cs="Arial" w:eastAsia="Arial" w:hAnsi="Arial"/>
                <w:sz w:val="18"/>
                <w:szCs w:val="18"/>
                <w:color w:val="auto"/>
              </w:rPr>
              <w:t>5</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2"/>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380" w:type="dxa"/>
            <w:vAlign w:val="bottom"/>
          </w:tcPr>
          <w:p>
            <w:pPr>
              <w:spacing w:after="0"/>
              <w:rPr>
                <w:sz w:val="11"/>
                <w:szCs w:val="11"/>
                <w:color w:val="auto"/>
              </w:rPr>
            </w:pPr>
          </w:p>
        </w:tc>
        <w:tc>
          <w:tcPr>
            <w:tcW w:w="12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5"/>
              </w:rPr>
              <w:t>October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4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205,708</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$ 228,914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Cumulative effect of change in accounting principle</w:t>
            </w: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of property, plant and equipment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163,231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10,833</w:t>
            </w:r>
          </w:p>
        </w:tc>
        <w:tc>
          <w:tcPr>
            <w:tcW w:w="740" w:type="dxa"/>
            <w:vAlign w:val="bottom"/>
          </w:tcPr>
          <w:p>
            <w:pPr>
              <w:jc w:val="right"/>
              <w:spacing w:after="0"/>
              <w:rPr>
                <w:sz w:val="20"/>
                <w:szCs w:val="20"/>
                <w:color w:val="auto"/>
              </w:rPr>
            </w:pPr>
            <w:r>
              <w:rPr>
                <w:rFonts w:ascii="Arial" w:cs="Arial" w:eastAsia="Arial" w:hAnsi="Arial"/>
                <w:sz w:val="18"/>
                <w:szCs w:val="18"/>
                <w:color w:val="auto"/>
              </w:rPr>
              <w:t>4,428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Goodwill impairment charge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Net pension benefit</w:t>
            </w: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(16,691)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Early retirement program expense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Net gain from sale of property, plant and equipment</w:t>
            </w: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(8,398)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disposition of marketable equity securities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Foreign exchange gain</w:t>
            </w: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(13,777)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Cost method and other investment write-downs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Equity in (earnings) losses of affiliates, net of distributions</w:t>
            </w: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(7,736)</w:t>
            </w:r>
          </w:p>
        </w:tc>
        <w:tc>
          <w:tcPr>
            <w:tcW w:w="740" w:type="dxa"/>
            <w:vAlign w:val="bottom"/>
          </w:tcPr>
          <w:p>
            <w:pPr>
              <w:jc w:val="right"/>
              <w:spacing w:after="0"/>
              <w:rPr>
                <w:sz w:val="20"/>
                <w:szCs w:val="20"/>
                <w:color w:val="auto"/>
              </w:rPr>
            </w:pPr>
            <w:r>
              <w:rPr>
                <w:rFonts w:ascii="Arial" w:cs="Arial" w:eastAsia="Arial" w:hAnsi="Arial"/>
                <w:sz w:val="18"/>
                <w:szCs w:val="18"/>
                <w:color w:val="auto"/>
              </w:rPr>
              <w:t>1,366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deferred income taxes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30,232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Change in assets and liabilities: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(Increase) decrease in accounts receivable, net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(8,088)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Decrease (increase) in inventories</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124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Increase (decrease) in accounts payable and accrued liabilities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37,663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Increase in deferred revenue</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75,314</w:t>
            </w:r>
          </w:p>
        </w:tc>
        <w:tc>
          <w:tcPr>
            <w:tcW w:w="740" w:type="dxa"/>
            <w:vAlign w:val="bottom"/>
          </w:tcPr>
          <w:p>
            <w:pPr>
              <w:jc w:val="right"/>
              <w:spacing w:after="0"/>
              <w:rPr>
                <w:sz w:val="20"/>
                <w:szCs w:val="20"/>
                <w:color w:val="auto"/>
              </w:rPr>
            </w:pPr>
            <w:r>
              <w:rPr>
                <w:rFonts w:ascii="Arial" w:cs="Arial" w:eastAsia="Arial" w:hAnsi="Arial"/>
                <w:sz w:val="18"/>
                <w:szCs w:val="18"/>
                <w:color w:val="auto"/>
              </w:rPr>
              <w:t>37,345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Increase in income taxes receivable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(16,964)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Decrease in other assets and other liabilities, net</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7,631</w:t>
            </w:r>
          </w:p>
        </w:tc>
        <w:tc>
          <w:tcPr>
            <w:tcW w:w="740" w:type="dxa"/>
            <w:vAlign w:val="bottom"/>
          </w:tcPr>
          <w:p>
            <w:pPr>
              <w:jc w:val="right"/>
              <w:spacing w:after="0"/>
              <w:rPr>
                <w:sz w:val="20"/>
                <w:szCs w:val="20"/>
                <w:color w:val="auto"/>
              </w:rPr>
            </w:pPr>
            <w:r>
              <w:rPr>
                <w:rFonts w:ascii="Arial" w:cs="Arial" w:eastAsia="Arial" w:hAnsi="Arial"/>
                <w:sz w:val="18"/>
                <w:szCs w:val="18"/>
                <w:color w:val="auto"/>
              </w:rPr>
              <w:t>39,842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(1,721)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457,361</w:t>
            </w:r>
          </w:p>
        </w:tc>
        <w:tc>
          <w:tcPr>
            <w:tcW w:w="4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410,643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(213,694)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(199,251)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certain businesses, net of cash acquired</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(175,922)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Investments in marketable equity securities</w:t>
            </w: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marketable equity securities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Proceeds from the sale of property, plant and equipment</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16,055</w:t>
            </w:r>
          </w:p>
        </w:tc>
        <w:tc>
          <w:tcPr>
            <w:tcW w:w="740" w:type="dxa"/>
            <w:vAlign w:val="bottom"/>
          </w:tcPr>
          <w:p>
            <w:pPr>
              <w:jc w:val="right"/>
              <w:spacing w:after="0"/>
              <w:rPr>
                <w:sz w:val="20"/>
                <w:szCs w:val="20"/>
                <w:color w:val="auto"/>
              </w:rPr>
            </w:pPr>
            <w:r>
              <w:rPr>
                <w:rFonts w:ascii="Arial" w:cs="Arial" w:eastAsia="Arial" w:hAnsi="Arial"/>
                <w:sz w:val="18"/>
                <w:szCs w:val="18"/>
                <w:color w:val="auto"/>
              </w:rPr>
              <w:t>4,585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affiliates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(14,881)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400" w:type="dxa"/>
            <w:vAlign w:val="bottom"/>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(387,791)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(240,405)</w:t>
            </w: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(59,298)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Principal payments on debt</w:t>
            </w: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(3,038)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(27,711)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shares repurchased</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(42,035)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Cash overdraft</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6,029</w:t>
            </w:r>
          </w:p>
        </w:tc>
        <w:tc>
          <w:tcPr>
            <w:tcW w:w="740" w:type="dxa"/>
            <w:vAlign w:val="bottom"/>
          </w:tcPr>
          <w:p>
            <w:pPr>
              <w:jc w:val="right"/>
              <w:spacing w:after="0"/>
              <w:rPr>
                <w:sz w:val="20"/>
                <w:szCs w:val="20"/>
                <w:color w:val="auto"/>
              </w:rPr>
            </w:pPr>
            <w:r>
              <w:rPr>
                <w:rFonts w:ascii="Arial" w:cs="Arial" w:eastAsia="Arial" w:hAnsi="Arial"/>
                <w:sz w:val="18"/>
                <w:szCs w:val="18"/>
                <w:color w:val="auto"/>
              </w:rPr>
              <w:t>8,972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5,588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4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(91,842)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Effect of currency exchange rate change</w:t>
            </w: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4,674</w:t>
            </w:r>
          </w:p>
        </w:tc>
        <w:tc>
          <w:tcPr>
            <w:tcW w:w="4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(17,598)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400" w:type="dxa"/>
            <w:vAlign w:val="bottom"/>
            <w:gridSpan w:val="2"/>
          </w:tcPr>
          <w:p>
            <w:pPr>
              <w:spacing w:after="0"/>
              <w:rPr>
                <w:sz w:val="20"/>
                <w:szCs w:val="20"/>
                <w:color w:val="auto"/>
              </w:rPr>
            </w:pPr>
            <w:r>
              <w:rPr>
                <w:rFonts w:ascii="Arial" w:cs="Arial" w:eastAsia="Arial" w:hAnsi="Arial"/>
                <w:sz w:val="18"/>
                <w:szCs w:val="18"/>
                <w:color w:val="auto"/>
              </w:rPr>
              <w:t>Beginning cash and cash equivalents</w:t>
            </w: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348,148</w:t>
            </w:r>
          </w:p>
        </w:tc>
        <w:tc>
          <w:tcPr>
            <w:tcW w:w="4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215,861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330,550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$ 321,513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jc w:val="right"/>
              <w:ind w:right="3552"/>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4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8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Results of operations at the Kaplan education division, when examined on a quarterly basis, reflect the volatility of Kaplan stock compensation charges, as well as other seasonal effects. Results of other operations, when examined on a quarterly basis, also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 except as discussed in Note 10: Income Taxes.</w:t>
      </w:r>
    </w:p>
    <w:p>
      <w:pPr>
        <w:spacing w:after="0" w:line="11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Washington Post Company (the “Company”) generally reports on a 13 week fiscal quarter ending on the Sunday nearest the calendar quarter-end. With the exception of the newspaper publishing operations, subsidiaries of the Company report on a calendar-quarter basis.</w:t>
      </w:r>
    </w:p>
    <w:p>
      <w:pPr>
        <w:spacing w:after="0" w:line="13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 2007, the Company made changes to certain departments and cost centers at several of its divisions. Prior year amounts were reclassified to conform with the current year presentation, resulting in a net increase to selling, general and administrative expenses and a net decrease to operating expenses. Certain other amounts in previously issued financial statements have also been reclassified to conform with the current year presentation.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1: Acquisitions and Dispositions.</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the third quarter of 2007, Kaplan acquired two businesses in their professional division and one business in their higher education division, totaling $43.3 million. These acquisitions include the education division of the Financial Services Institute of Australia. In the second quarter of 2007, the Company completed four business acquisitions, primarily in the education division, totaling $29.1 million. These included Kaplan higher education division’s acquisitions of Sagemont Virtual, a leader in the growing field of online high school instruction that has been doing business as the University of Miami Online High School, and Virtual Sage, a developer of online high school courses. In the first quarter of 2007, Kaplan acquired two businesses in their professional division totaling $115.8 million. These acquisitions included EduNeering Holdings, Inc., a Princeton, N.J. based provider of knowledge management solutions for organizations in the pharmaceutical, medical device, healthcare, energy and manufacturing sectors. Also in the first quarter of 2007, the cable division acquired subscribers in the Boise, Idaho area for $4.3 million. Most of the purchase price for these acquisitions has been allocated to goodwill and other intangibles on a preliminary basis.</w:t>
      </w:r>
    </w:p>
    <w:p>
      <w:pPr>
        <w:spacing w:after="0" w:line="118"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In July 2007, the television broadcasting division entered into a transaction to sell and lease back its current Miami television station facility; a $9.5 million gain was recorded as a reduction to expense in the third quarter. An additional $1.9 million deferred gain will be amortized over the leaseback period. The television broadcasting division has purchased land and is building a new Miami television station facility which is expected to be completed in 2009.</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October 2007, the Company acquired the outstanding stock of CourseAdvisor Inc., a premier online lead generation provider, headquartered in Wakefield, MA. In 2006, The Washington Post Company made a small investment in CourseAdvisor. Through its search engine marketing expertise and proprietary technology platform, CourseAdvisor generates student leads for the post-secondary education market. CourseAdvisor will operate as an independent subsidiary of The Washington Post Company.</w:t>
      </w:r>
    </w:p>
    <w:p>
      <w:pPr>
        <w:spacing w:after="0" w:line="14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the third quarter of 2006, Kaplan acquired 3 businesses in their professional services division totaling $2.5 million. In the second quarter of 2006, Kaplan acquired two businesses in their professional and K12 learning services divisions totaling $59.7 million. These acquisitions included Tribeca, a leading education provider to the Australian financial services sector as well as SpellRead, a provider of reading and writing programs. In the first quarter of 2006, Kaplan acquired two businesses in their professional and higher education divisions; these acquisitions totaled $7.2 million.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Pro forma results of operations for current and prior years, assuming the acquisitions occurred at the beginning of 2006, are not materially different from reported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Note 2: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at September 30, 2007 and December 31, 2006 consist of the following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September 30,</w:t>
            </w:r>
          </w:p>
        </w:tc>
        <w:tc>
          <w:tcPr>
            <w:tcW w:w="6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31,</w:t>
            </w:r>
          </w:p>
        </w:tc>
      </w:tr>
      <w:tr>
        <w:trPr>
          <w:trHeight w:val="175"/>
        </w:trPr>
        <w:tc>
          <w:tcPr>
            <w:tcW w:w="44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2006</w:t>
            </w: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30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213,705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213,705</w:t>
            </w: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Gross unrealized gains</w:t>
            </w:r>
          </w:p>
        </w:tc>
        <w:tc>
          <w:tcPr>
            <w:tcW w:w="2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181,938</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141,023</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30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395,643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354,728</w:t>
            </w:r>
          </w:p>
        </w:tc>
      </w:tr>
      <w:tr>
        <w:trPr>
          <w:trHeight w:val="20"/>
        </w:trPr>
        <w:tc>
          <w:tcPr>
            <w:tcW w:w="4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were no additional investments made in marketable equity securities during the first nine months of 2007. The Company made $42.9 million in investments in marketable equity securities during the first nine months of 2006.</w:t>
      </w:r>
    </w:p>
    <w:p>
      <w:pPr>
        <w:spacing w:after="0" w:line="13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No sales of marketable equity securities were made in the first nine months of 2007. During the third quarter and first nine months of 2006, the Company sold marketable equity securities for a pre-tax gain of $2.0 million and $33.6 million, respectively.</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As of September 30, 2007 and December 31, 2006, the Company has commercial paper and money market investments of $123.0 million and $142.9 million, respectively, that are classified as “cash and cash equivalents” on the Company’s consolidated balance sheet.</w:t>
      </w:r>
    </w:p>
    <w:p>
      <w:pPr>
        <w:spacing w:after="0" w:line="13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the first nine months of 2007, $8.9 million of the equity in earnings of affiliates is due to a gain on the sale of land at the Company’s Bowater Mersey Paper Company Limited affiliate. During the second quarter of 2007, the Company made $14.6 million in investments in affiliates. This includes a 40% interest in ACE Education, a provider of education in China that provides preparation courses for entry to U.K. universities, along with degree and professional training programs at campuses throughout China. Under the ACE Education purchase agreement, the Company has the option of purchasing an additional interest between January 2008 and December 2009 which would increase the Company’s ownership interest to 74%.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3: Borrowings.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75"/>
        </w:trPr>
        <w:tc>
          <w:tcPr>
            <w:tcW w:w="5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5.5% unsecured notes due February 15, 2009</w:t>
            </w:r>
          </w:p>
        </w:tc>
        <w:tc>
          <w:tcPr>
            <w:tcW w:w="214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60" w:type="dxa"/>
            <w:vAlign w:val="bottom"/>
            <w:shd w:val="clear" w:color="auto" w:fill="CCEEFF"/>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Other indebtedness</w:t>
            </w:r>
          </w:p>
        </w:tc>
        <w:tc>
          <w:tcPr>
            <w:tcW w:w="1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9"/>
                <w:szCs w:val="19"/>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6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Less current portion</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5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60" w:type="dxa"/>
            <w:vAlign w:val="bottom"/>
            <w:shd w:val="clear" w:color="auto" w:fill="CCEEFF"/>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Company’s other indebtedness at September 30, 2007 and December 31, 2006 is at interest rates of 5% to 8% and matures from 2007 to 2010.</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third quarter of 2007 and 2006, the Company had average borrowings outstanding of approximately $405.7 million and $417.5 million, respectively, at average annual interest rates of approximately 5.5%. During the third quarter of 2007 and 2006, the Company incurred net interest expense of $3.0 million and $3.4 million, respectively.</w:t>
      </w:r>
    </w:p>
    <w:p>
      <w:pPr>
        <w:spacing w:after="0" w:line="140"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During the first nine months of 2007 and 2006, the Company had average borrowings outstanding of approximately $405.6 million and $422.2 million, respectively, at average annual interest rates of approximately 5.5%. During the first nine months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2007 and 2006, the Company incurred net interest expense of $9.1 million and $12.0 million,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4: Business Segments.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summarizes financial information related to each of the Company’s business segments. The 2007 and 2006 asset information is as of September 30, 2007 and December 31, 2006, respectively.</w:t>
      </w:r>
    </w:p>
    <w:p>
      <w:pPr>
        <w:spacing w:after="0" w:line="11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40"/>
          </w:cols>
          <w:pgMar w:left="240" w:top="459" w:right="9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Newspaper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Television</w:t>
            </w:r>
          </w:p>
        </w:tc>
        <w:tc>
          <w:tcPr>
            <w:tcW w:w="10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Magazine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Cable</w:t>
            </w: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Education</w:t>
            </w:r>
          </w:p>
        </w:tc>
        <w:tc>
          <w:tcPr>
            <w:tcW w:w="10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Publishing</w:t>
            </w:r>
          </w:p>
        </w:tc>
        <w:tc>
          <w:tcPr>
            <w:tcW w:w="140" w:type="dxa"/>
            <w:vAlign w:val="bottom"/>
          </w:tcPr>
          <w:p>
            <w:pPr>
              <w:spacing w:after="0"/>
              <w:rPr>
                <w:sz w:val="14"/>
                <w:szCs w:val="14"/>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Broadcasting</w:t>
            </w:r>
          </w:p>
        </w:tc>
        <w:tc>
          <w:tcPr>
            <w:tcW w:w="10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1"/>
              </w:rPr>
              <w:t>Television</w:t>
            </w:r>
          </w:p>
        </w:tc>
        <w:tc>
          <w:tcPr>
            <w:tcW w:w="12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Office</w:t>
            </w:r>
          </w:p>
        </w:tc>
        <w:tc>
          <w:tcPr>
            <w:tcW w:w="8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2007</w:t>
            </w:r>
          </w:p>
        </w:tc>
        <w:tc>
          <w:tcPr>
            <w:tcW w:w="3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514,595</w:t>
            </w:r>
          </w:p>
        </w:tc>
        <w:tc>
          <w:tcPr>
            <w:tcW w:w="140" w:type="dxa"/>
            <w:vAlign w:val="bottom"/>
          </w:tcPr>
          <w:p>
            <w:pPr>
              <w:spacing w:after="0"/>
              <w:rPr>
                <w:sz w:val="18"/>
                <w:szCs w:val="18"/>
                <w:color w:val="auto"/>
              </w:rPr>
            </w:pP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$210,181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77,758</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62,477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157,752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(259)</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7"/>
              </w:rPr>
              <w:t>$1,022,504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37,555</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8,781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35,997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29,771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(8,645)</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110,466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116,962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15,861</w:t>
            </w:r>
          </w:p>
        </w:tc>
        <w:tc>
          <w:tcPr>
            <w:tcW w:w="140" w:type="dxa"/>
            <w:vAlign w:val="bottom"/>
          </w:tcPr>
          <w:p>
            <w:pPr>
              <w:spacing w:after="0" w:line="20" w:lineRule="exact"/>
              <w:rPr>
                <w:sz w:val="1"/>
                <w:szCs w:val="1"/>
                <w:color w:val="auto"/>
              </w:rPr>
            </w:pPr>
          </w:p>
        </w:tc>
        <w:tc>
          <w:tcPr>
            <w:tcW w:w="24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9,467</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2,357</w:t>
            </w:r>
          </w:p>
        </w:tc>
        <w:tc>
          <w:tcPr>
            <w:tcW w:w="24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534</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27,138</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ind w:left="280"/>
              <w:spacing w:after="0"/>
              <w:rPr>
                <w:sz w:val="20"/>
                <w:szCs w:val="20"/>
                <w:color w:val="auto"/>
              </w:rPr>
            </w:pPr>
            <w:r>
              <w:rPr>
                <w:rFonts w:ascii="Arial" w:cs="Arial" w:eastAsia="Arial" w:hAnsi="Arial"/>
                <w:sz w:val="18"/>
                <w:szCs w:val="18"/>
                <w:color w:val="auto"/>
                <w:w w:val="86"/>
              </w:rPr>
              <w:t>365</w:t>
            </w:r>
          </w:p>
        </w:tc>
        <w:tc>
          <w:tcPr>
            <w:tcW w:w="160" w:type="dxa"/>
            <w:vAlign w:val="bottom"/>
          </w:tcPr>
          <w:p>
            <w:pPr>
              <w:spacing w:after="0" w:line="20" w:lineRule="exact"/>
              <w:rPr>
                <w:sz w:val="1"/>
                <w:szCs w:val="1"/>
                <w:color w:val="auto"/>
              </w:rPr>
            </w:pPr>
          </w:p>
        </w:tc>
        <w:tc>
          <w:tcPr>
            <w:tcW w:w="36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60" w:type="dxa"/>
            <w:vAlign w:val="bottom"/>
            <w:gridSpan w:val="3"/>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55,722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Net pension credit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60" w:type="dxa"/>
            <w:vAlign w:val="bottom"/>
            <w:gridSpan w:val="3"/>
          </w:tcPr>
          <w:p>
            <w:pPr>
              <w:spacing w:after="0"/>
              <w:rPr>
                <w:sz w:val="20"/>
                <w:szCs w:val="20"/>
                <w:color w:val="auto"/>
              </w:rPr>
            </w:pPr>
            <w:r>
              <w:rPr>
                <w:rFonts w:ascii="Arial" w:cs="Arial" w:eastAsia="Arial" w:hAnsi="Arial"/>
                <w:sz w:val="18"/>
                <w:szCs w:val="18"/>
                <w:color w:val="auto"/>
              </w:rPr>
              <w:t>(expense)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(796)</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(2,362)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9,282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1,840,164</w:t>
            </w: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$773,325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457,427</w:t>
            </w:r>
          </w:p>
        </w:tc>
        <w:tc>
          <w:tcPr>
            <w:tcW w:w="7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87"/>
              </w:rPr>
              <w:t>$806,078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1,197,525</w:t>
            </w: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$145,617</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$5,220,136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Investments in marketable equity securities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395,643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5,714,983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Newspaper</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4"/>
              </w:rPr>
              <w:t>Television</w:t>
            </w:r>
          </w:p>
        </w:tc>
        <w:tc>
          <w:tcPr>
            <w:tcW w:w="100" w:type="dxa"/>
            <w:vAlign w:val="bottom"/>
          </w:tcPr>
          <w:p>
            <w:pPr>
              <w:spacing w:after="0" w:line="20" w:lineRule="exact"/>
              <w:rPr>
                <w:sz w:val="1"/>
                <w:szCs w:val="1"/>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Magazine</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Cable</w:t>
            </w:r>
          </w:p>
        </w:tc>
        <w:tc>
          <w:tcPr>
            <w:tcW w:w="8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line="20" w:lineRule="exact"/>
              <w:rPr>
                <w:sz w:val="1"/>
                <w:szCs w:val="1"/>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vMerge w:val="continue"/>
          </w:tcPr>
          <w:p>
            <w:pPr>
              <w:spacing w:after="0"/>
              <w:rPr>
                <w:sz w:val="24"/>
                <w:szCs w:val="24"/>
                <w:color w:val="auto"/>
              </w:rPr>
            </w:pPr>
          </w:p>
        </w:tc>
        <w:tc>
          <w:tcPr>
            <w:tcW w:w="84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Education</w:t>
            </w:r>
          </w:p>
        </w:tc>
        <w:tc>
          <w:tcPr>
            <w:tcW w:w="10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Publishing</w:t>
            </w:r>
          </w:p>
        </w:tc>
        <w:tc>
          <w:tcPr>
            <w:tcW w:w="140" w:type="dxa"/>
            <w:vAlign w:val="bottom"/>
          </w:tcPr>
          <w:p>
            <w:pPr>
              <w:spacing w:after="0"/>
              <w:rPr>
                <w:sz w:val="14"/>
                <w:szCs w:val="14"/>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Broadcasting</w:t>
            </w:r>
          </w:p>
        </w:tc>
        <w:tc>
          <w:tcPr>
            <w:tcW w:w="10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1"/>
              </w:rPr>
              <w:t>Television</w:t>
            </w:r>
          </w:p>
        </w:tc>
        <w:tc>
          <w:tcPr>
            <w:tcW w:w="12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Office</w:t>
            </w:r>
          </w:p>
        </w:tc>
        <w:tc>
          <w:tcPr>
            <w:tcW w:w="8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2006</w:t>
            </w:r>
          </w:p>
        </w:tc>
        <w:tc>
          <w:tcPr>
            <w:tcW w:w="3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420,604</w:t>
            </w:r>
          </w:p>
        </w:tc>
        <w:tc>
          <w:tcPr>
            <w:tcW w:w="140" w:type="dxa"/>
            <w:vAlign w:val="bottom"/>
          </w:tcPr>
          <w:p>
            <w:pPr>
              <w:spacing w:after="0"/>
              <w:rPr>
                <w:sz w:val="18"/>
                <w:szCs w:val="18"/>
                <w:color w:val="auto"/>
              </w:rPr>
            </w:pP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$225,630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82,195</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76,128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142,337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946,894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38,369</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17,685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32,869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27,898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(8,313)</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108,646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109,296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12,510</w:t>
            </w:r>
          </w:p>
        </w:tc>
        <w:tc>
          <w:tcPr>
            <w:tcW w:w="140" w:type="dxa"/>
            <w:vAlign w:val="bottom"/>
          </w:tcPr>
          <w:p>
            <w:pPr>
              <w:spacing w:after="0" w:line="20" w:lineRule="exact"/>
              <w:rPr>
                <w:sz w:val="1"/>
                <w:szCs w:val="1"/>
                <w:color w:val="auto"/>
              </w:rPr>
            </w:pPr>
          </w:p>
        </w:tc>
        <w:tc>
          <w:tcPr>
            <w:tcW w:w="24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8,977</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2,482</w:t>
            </w:r>
          </w:p>
        </w:tc>
        <w:tc>
          <w:tcPr>
            <w:tcW w:w="24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634</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24,961</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ind w:left="280"/>
              <w:spacing w:after="0"/>
              <w:rPr>
                <w:sz w:val="20"/>
                <w:szCs w:val="20"/>
                <w:color w:val="auto"/>
              </w:rPr>
            </w:pPr>
            <w:r>
              <w:rPr>
                <w:rFonts w:ascii="Arial" w:cs="Arial" w:eastAsia="Arial" w:hAnsi="Arial"/>
                <w:sz w:val="18"/>
                <w:szCs w:val="18"/>
                <w:color w:val="auto"/>
                <w:w w:val="86"/>
              </w:rPr>
              <w:t>365</w:t>
            </w:r>
          </w:p>
        </w:tc>
        <w:tc>
          <w:tcPr>
            <w:tcW w:w="160" w:type="dxa"/>
            <w:vAlign w:val="bottom"/>
          </w:tcPr>
          <w:p>
            <w:pPr>
              <w:spacing w:after="0" w:line="20" w:lineRule="exact"/>
              <w:rPr>
                <w:sz w:val="1"/>
                <w:szCs w:val="1"/>
                <w:color w:val="auto"/>
              </w:rPr>
            </w:pPr>
          </w:p>
        </w:tc>
        <w:tc>
          <w:tcPr>
            <w:tcW w:w="36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60" w:type="dxa"/>
            <w:vAlign w:val="bottom"/>
            <w:gridSpan w:val="3"/>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Amortization expense and goodwill impairment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charge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Net pension (expense)credit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(703)</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(3,297)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314</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1,569,404</w:t>
            </w: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$821,615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458,751</w:t>
            </w:r>
          </w:p>
        </w:tc>
        <w:tc>
          <w:tcPr>
            <w:tcW w:w="7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87"/>
              </w:rPr>
              <w:t>$788,450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1,178,132</w:t>
            </w: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$145,601</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$4,961,953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Investments in marketable equity securities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354,728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5,381,372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10</w:t>
            </w: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Newspaper</w:t>
            </w:r>
          </w:p>
        </w:tc>
        <w:tc>
          <w:tcPr>
            <w:tcW w:w="10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Television</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Magazine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Cable</w:t>
            </w: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Education</w:t>
            </w:r>
          </w:p>
        </w:tc>
        <w:tc>
          <w:tcPr>
            <w:tcW w:w="1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Broadcasting</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200" w:type="dxa"/>
            <w:vAlign w:val="bottom"/>
          </w:tcPr>
          <w:p>
            <w:pPr>
              <w:spacing w:after="0"/>
              <w:rPr>
                <w:sz w:val="14"/>
                <w:szCs w:val="14"/>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4"/>
              </w:rPr>
              <w:t>Television</w:t>
            </w:r>
          </w:p>
        </w:tc>
        <w:tc>
          <w:tcPr>
            <w:tcW w:w="120" w:type="dxa"/>
            <w:vAlign w:val="bottom"/>
          </w:tcPr>
          <w:p>
            <w:pPr>
              <w:spacing w:after="0"/>
              <w:rPr>
                <w:sz w:val="14"/>
                <w:szCs w:val="1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Office</w:t>
            </w:r>
          </w:p>
        </w:tc>
        <w:tc>
          <w:tcPr>
            <w:tcW w:w="8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2007</w:t>
            </w:r>
          </w:p>
        </w:tc>
        <w:tc>
          <w:tcPr>
            <w:tcW w:w="32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1,493,863</w:t>
            </w:r>
          </w:p>
        </w:tc>
        <w:tc>
          <w:tcPr>
            <w:tcW w:w="160" w:type="dxa"/>
            <w:vAlign w:val="bottom"/>
          </w:tcPr>
          <w:p>
            <w:pPr>
              <w:spacing w:after="0"/>
              <w:rPr>
                <w:sz w:val="18"/>
                <w:szCs w:val="18"/>
                <w:color w:val="auto"/>
              </w:rPr>
            </w:pPr>
          </w:p>
        </w:tc>
        <w:tc>
          <w:tcPr>
            <w:tcW w:w="1020" w:type="dxa"/>
            <w:vAlign w:val="bottom"/>
            <w:gridSpan w:val="4"/>
          </w:tcPr>
          <w:p>
            <w:pPr>
              <w:jc w:val="right"/>
              <w:ind w:right="240"/>
              <w:spacing w:after="0"/>
              <w:rPr>
                <w:sz w:val="20"/>
                <w:szCs w:val="20"/>
                <w:color w:val="auto"/>
              </w:rPr>
            </w:pPr>
            <w:r>
              <w:rPr>
                <w:rFonts w:ascii="Arial" w:cs="Arial" w:eastAsia="Arial" w:hAnsi="Arial"/>
                <w:sz w:val="18"/>
                <w:szCs w:val="18"/>
                <w:color w:val="auto"/>
              </w:rPr>
              <w:t>$657,236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246,455</w:t>
            </w:r>
          </w:p>
        </w:tc>
        <w:tc>
          <w:tcPr>
            <w:tcW w:w="680" w:type="dxa"/>
            <w:vAlign w:val="bottom"/>
            <w:gridSpan w:val="2"/>
          </w:tcPr>
          <w:p>
            <w:pPr>
              <w:spacing w:after="0"/>
              <w:rPr>
                <w:sz w:val="20"/>
                <w:szCs w:val="20"/>
                <w:color w:val="auto"/>
              </w:rPr>
            </w:pPr>
            <w:r>
              <w:rPr>
                <w:rFonts w:ascii="Arial" w:cs="Arial" w:eastAsia="Arial" w:hAnsi="Arial"/>
                <w:sz w:val="18"/>
                <w:szCs w:val="18"/>
                <w:color w:val="auto"/>
                <w:w w:val="87"/>
              </w:rPr>
              <w:t>$197,138</w:t>
            </w:r>
          </w:p>
        </w:tc>
        <w:tc>
          <w:tcPr>
            <w:tcW w:w="1120" w:type="dxa"/>
            <w:vAlign w:val="bottom"/>
            <w:gridSpan w:val="4"/>
          </w:tcPr>
          <w:p>
            <w:pPr>
              <w:jc w:val="right"/>
              <w:ind w:right="260"/>
              <w:spacing w:after="0"/>
              <w:rPr>
                <w:sz w:val="20"/>
                <w:szCs w:val="20"/>
                <w:color w:val="auto"/>
              </w:rPr>
            </w:pPr>
            <w:r>
              <w:rPr>
                <w:rFonts w:ascii="Arial" w:cs="Arial" w:eastAsia="Arial" w:hAnsi="Arial"/>
                <w:sz w:val="18"/>
                <w:szCs w:val="18"/>
                <w:color w:val="auto"/>
              </w:rPr>
              <w:t>$461,148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(955)</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7"/>
              </w:rPr>
              <w:t>$3,054,885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109,446</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41,465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100,611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89,887</w:t>
            </w: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 (27,626)</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327,721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Equity in earnings of affiliates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342,208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44,213</w:t>
            </w:r>
          </w:p>
        </w:tc>
        <w:tc>
          <w:tcPr>
            <w:tcW w:w="160" w:type="dxa"/>
            <w:vAlign w:val="bottom"/>
          </w:tcPr>
          <w:p>
            <w:pPr>
              <w:spacing w:after="0" w:line="20" w:lineRule="exact"/>
              <w:rPr>
                <w:sz w:val="1"/>
                <w:szCs w:val="1"/>
                <w:color w:val="auto"/>
              </w:rPr>
            </w:pPr>
          </w:p>
        </w:tc>
        <w:tc>
          <w:tcPr>
            <w:tcW w:w="24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4"/>
              </w:rPr>
              <w:t>28,277</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7,089</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1,643</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94"/>
              </w:rPr>
              <w:t>80,914</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1,095</w:t>
            </w:r>
          </w:p>
        </w:tc>
        <w:tc>
          <w:tcPr>
            <w:tcW w:w="160" w:type="dxa"/>
            <w:vAlign w:val="bottom"/>
          </w:tcPr>
          <w:p>
            <w:pPr>
              <w:spacing w:after="0" w:line="20" w:lineRule="exact"/>
              <w:rPr>
                <w:sz w:val="1"/>
                <w:szCs w:val="1"/>
                <w:color w:val="auto"/>
              </w:rPr>
            </w:pPr>
          </w:p>
        </w:tc>
        <w:tc>
          <w:tcPr>
            <w:tcW w:w="36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620" w:type="dxa"/>
            <w:vAlign w:val="bottom"/>
            <w:gridSpan w:val="3"/>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163,231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9,781</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Net pension credit (expense)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(2,544)</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(7,562)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763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27,056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16,691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Newspaper</w:t>
            </w:r>
          </w:p>
        </w:tc>
        <w:tc>
          <w:tcPr>
            <w:tcW w:w="1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Television</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Magazine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Cable</w:t>
            </w: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rPr>
                <w:sz w:val="24"/>
                <w:szCs w:val="2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Education</w:t>
            </w:r>
          </w:p>
        </w:tc>
        <w:tc>
          <w:tcPr>
            <w:tcW w:w="1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Broadcasting</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200" w:type="dxa"/>
            <w:vAlign w:val="bottom"/>
          </w:tcPr>
          <w:p>
            <w:pPr>
              <w:spacing w:after="0"/>
              <w:rPr>
                <w:sz w:val="14"/>
                <w:szCs w:val="14"/>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4"/>
              </w:rPr>
              <w:t>Television</w:t>
            </w:r>
          </w:p>
        </w:tc>
        <w:tc>
          <w:tcPr>
            <w:tcW w:w="120" w:type="dxa"/>
            <w:vAlign w:val="bottom"/>
          </w:tcPr>
          <w:p>
            <w:pPr>
              <w:spacing w:after="0"/>
              <w:rPr>
                <w:sz w:val="14"/>
                <w:szCs w:val="1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Office</w:t>
            </w:r>
          </w:p>
        </w:tc>
        <w:tc>
          <w:tcPr>
            <w:tcW w:w="8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2006</w:t>
            </w:r>
          </w:p>
        </w:tc>
        <w:tc>
          <w:tcPr>
            <w:tcW w:w="32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1,238,782</w:t>
            </w:r>
          </w:p>
        </w:tc>
        <w:tc>
          <w:tcPr>
            <w:tcW w:w="160" w:type="dxa"/>
            <w:vAlign w:val="bottom"/>
          </w:tcPr>
          <w:p>
            <w:pPr>
              <w:spacing w:after="0"/>
              <w:rPr>
                <w:sz w:val="18"/>
                <w:szCs w:val="18"/>
                <w:color w:val="auto"/>
              </w:rPr>
            </w:pPr>
          </w:p>
        </w:tc>
        <w:tc>
          <w:tcPr>
            <w:tcW w:w="1020" w:type="dxa"/>
            <w:vAlign w:val="bottom"/>
            <w:gridSpan w:val="4"/>
          </w:tcPr>
          <w:p>
            <w:pPr>
              <w:jc w:val="right"/>
              <w:ind w:right="240"/>
              <w:spacing w:after="0"/>
              <w:rPr>
                <w:sz w:val="20"/>
                <w:szCs w:val="20"/>
                <w:color w:val="auto"/>
              </w:rPr>
            </w:pPr>
            <w:r>
              <w:rPr>
                <w:rFonts w:ascii="Arial" w:cs="Arial" w:eastAsia="Arial" w:hAnsi="Arial"/>
                <w:sz w:val="18"/>
                <w:szCs w:val="18"/>
                <w:color w:val="auto"/>
              </w:rPr>
              <w:t>$714,668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257,079</w:t>
            </w:r>
          </w:p>
        </w:tc>
        <w:tc>
          <w:tcPr>
            <w:tcW w:w="680" w:type="dxa"/>
            <w:vAlign w:val="bottom"/>
            <w:gridSpan w:val="2"/>
          </w:tcPr>
          <w:p>
            <w:pPr>
              <w:spacing w:after="0"/>
              <w:rPr>
                <w:sz w:val="20"/>
                <w:szCs w:val="20"/>
                <w:color w:val="auto"/>
              </w:rPr>
            </w:pPr>
            <w:r>
              <w:rPr>
                <w:rFonts w:ascii="Arial" w:cs="Arial" w:eastAsia="Arial" w:hAnsi="Arial"/>
                <w:sz w:val="18"/>
                <w:szCs w:val="18"/>
                <w:color w:val="auto"/>
                <w:w w:val="87"/>
              </w:rPr>
              <w:t>$235,079</w:t>
            </w:r>
          </w:p>
        </w:tc>
        <w:tc>
          <w:tcPr>
            <w:tcW w:w="1120" w:type="dxa"/>
            <w:vAlign w:val="bottom"/>
            <w:gridSpan w:val="4"/>
          </w:tcPr>
          <w:p>
            <w:pPr>
              <w:jc w:val="right"/>
              <w:ind w:right="260"/>
              <w:spacing w:after="0"/>
              <w:rPr>
                <w:sz w:val="20"/>
                <w:szCs w:val="20"/>
                <w:color w:val="auto"/>
              </w:rPr>
            </w:pPr>
            <w:r>
              <w:rPr>
                <w:rFonts w:ascii="Arial" w:cs="Arial" w:eastAsia="Arial" w:hAnsi="Arial"/>
                <w:sz w:val="18"/>
                <w:szCs w:val="18"/>
                <w:color w:val="auto"/>
              </w:rPr>
              <w:t>$418,607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7"/>
              </w:rPr>
              <w:t>$2,864,215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124,902</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34,349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111,010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10,484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93,206</w:t>
            </w: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 (30,341)</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343,610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368,489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36,120</w:t>
            </w:r>
          </w:p>
        </w:tc>
        <w:tc>
          <w:tcPr>
            <w:tcW w:w="160" w:type="dxa"/>
            <w:vAlign w:val="bottom"/>
          </w:tcPr>
          <w:p>
            <w:pPr>
              <w:spacing w:after="0" w:line="20" w:lineRule="exact"/>
              <w:rPr>
                <w:sz w:val="1"/>
                <w:szCs w:val="1"/>
                <w:color w:val="auto"/>
              </w:rPr>
            </w:pPr>
          </w:p>
        </w:tc>
        <w:tc>
          <w:tcPr>
            <w:tcW w:w="24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4"/>
              </w:rPr>
              <w:t>26,733</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7,383</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1,910</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94"/>
              </w:rPr>
              <w:t>75,386</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ind w:left="260"/>
              <w:spacing w:after="0"/>
              <w:rPr>
                <w:sz w:val="20"/>
                <w:szCs w:val="20"/>
                <w:color w:val="auto"/>
              </w:rPr>
            </w:pPr>
            <w:r>
              <w:rPr>
                <w:rFonts w:ascii="Arial" w:cs="Arial" w:eastAsia="Arial" w:hAnsi="Arial"/>
                <w:sz w:val="18"/>
                <w:szCs w:val="18"/>
                <w:color w:val="auto"/>
                <w:w w:val="86"/>
              </w:rPr>
              <w:t>934</w:t>
            </w:r>
          </w:p>
        </w:tc>
        <w:tc>
          <w:tcPr>
            <w:tcW w:w="160" w:type="dxa"/>
            <w:vAlign w:val="bottom"/>
          </w:tcPr>
          <w:p>
            <w:pPr>
              <w:spacing w:after="0" w:line="20" w:lineRule="exact"/>
              <w:rPr>
                <w:sz w:val="1"/>
                <w:szCs w:val="1"/>
                <w:color w:val="auto"/>
              </w:rPr>
            </w:pPr>
          </w:p>
        </w:tc>
        <w:tc>
          <w:tcPr>
            <w:tcW w:w="36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620" w:type="dxa"/>
            <w:vAlign w:val="bottom"/>
            <w:gridSpan w:val="3"/>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148,466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Amortization expense and goodwill impairment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charge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1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Net pension (expense) credit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(2,021)</w:t>
            </w:r>
          </w:p>
        </w:tc>
        <w:tc>
          <w:tcPr>
            <w:tcW w:w="1020" w:type="dxa"/>
            <w:vAlign w:val="bottom"/>
            <w:gridSpan w:val="4"/>
          </w:tcPr>
          <w:p>
            <w:pPr>
              <w:jc w:val="right"/>
              <w:ind w:right="180"/>
              <w:spacing w:after="0"/>
              <w:rPr>
                <w:sz w:val="20"/>
                <w:szCs w:val="20"/>
                <w:color w:val="auto"/>
              </w:rPr>
            </w:pPr>
            <w:r>
              <w:rPr>
                <w:rFonts w:ascii="Arial" w:cs="Arial" w:eastAsia="Arial" w:hAnsi="Arial"/>
                <w:sz w:val="18"/>
                <w:szCs w:val="18"/>
                <w:color w:val="auto"/>
                <w:w w:val="99"/>
              </w:rPr>
              <w:t>$ (53,875)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944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25,668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(2,900)</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(33,334)</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Higher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Test</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Overhead</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Education</w:t>
            </w:r>
          </w:p>
        </w:tc>
        <w:tc>
          <w:tcPr>
            <w:tcW w:w="1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Preparation</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Professional</w:t>
            </w:r>
          </w:p>
        </w:tc>
        <w:tc>
          <w:tcPr>
            <w:tcW w:w="2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Other</w:t>
            </w: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Education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2007</w:t>
            </w:r>
          </w:p>
        </w:tc>
        <w:tc>
          <w:tcPr>
            <w:tcW w:w="1000" w:type="dxa"/>
            <w:vAlign w:val="bottom"/>
            <w:tcBorders>
              <w:bottom w:val="single" w:sz="8" w:color="CCEEFF"/>
            </w:tcBorders>
            <w:shd w:val="clear" w:color="auto" w:fill="CCEEFF"/>
          </w:tcPr>
          <w:p>
            <w:pPr>
              <w:spacing w:after="0"/>
              <w:rPr>
                <w:sz w:val="16"/>
                <w:szCs w:val="16"/>
                <w:color w:val="auto"/>
              </w:rPr>
            </w:pPr>
          </w:p>
        </w:tc>
        <w:tc>
          <w:tcPr>
            <w:tcW w:w="3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2140" w:type="dxa"/>
            <w:vAlign w:val="bottom"/>
            <w:gridSpan w:val="4"/>
          </w:tcPr>
          <w:p>
            <w:pPr>
              <w:jc w:val="right"/>
              <w:ind w:right="100"/>
              <w:spacing w:after="0"/>
              <w:rPr>
                <w:sz w:val="20"/>
                <w:szCs w:val="20"/>
                <w:color w:val="auto"/>
              </w:rPr>
            </w:pPr>
            <w:r>
              <w:rPr>
                <w:rFonts w:ascii="Arial" w:cs="Arial" w:eastAsia="Arial" w:hAnsi="Arial"/>
                <w:sz w:val="18"/>
                <w:szCs w:val="18"/>
                <w:color w:val="auto"/>
              </w:rPr>
              <w:t>$ 251,611</w:t>
            </w:r>
          </w:p>
        </w:tc>
        <w:tc>
          <w:tcPr>
            <w:tcW w:w="1020" w:type="dxa"/>
            <w:vAlign w:val="bottom"/>
            <w:gridSpan w:val="4"/>
          </w:tcPr>
          <w:p>
            <w:pPr>
              <w:jc w:val="right"/>
              <w:ind w:right="220"/>
              <w:spacing w:after="0"/>
              <w:rPr>
                <w:sz w:val="20"/>
                <w:szCs w:val="20"/>
                <w:color w:val="auto"/>
              </w:rPr>
            </w:pPr>
            <w:r>
              <w:rPr>
                <w:rFonts w:ascii="Arial" w:cs="Arial" w:eastAsia="Arial" w:hAnsi="Arial"/>
                <w:sz w:val="18"/>
                <w:szCs w:val="18"/>
                <w:color w:val="auto"/>
                <w:w w:val="97"/>
              </w:rPr>
              <w:t>$ 155,649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$ 107,309</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294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514,595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27,340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28,214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w:t>
            </w:r>
          </w:p>
        </w:tc>
        <w:tc>
          <w:tcPr>
            <w:tcW w:w="11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 (26,403)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Identifiable assets</w:t>
            </w:r>
          </w:p>
        </w:tc>
        <w:tc>
          <w:tcPr>
            <w:tcW w:w="2140" w:type="dxa"/>
            <w:vAlign w:val="bottom"/>
            <w:gridSpan w:val="4"/>
          </w:tcPr>
          <w:p>
            <w:pPr>
              <w:jc w:val="right"/>
              <w:ind w:right="100"/>
              <w:spacing w:after="0"/>
              <w:rPr>
                <w:sz w:val="20"/>
                <w:szCs w:val="20"/>
                <w:color w:val="auto"/>
              </w:rPr>
            </w:pPr>
            <w:r>
              <w:rPr>
                <w:rFonts w:ascii="Arial" w:cs="Arial" w:eastAsia="Arial" w:hAnsi="Arial"/>
                <w:sz w:val="18"/>
                <w:szCs w:val="18"/>
                <w:color w:val="auto"/>
              </w:rPr>
              <w:t>$643,327</w:t>
            </w:r>
          </w:p>
        </w:tc>
        <w:tc>
          <w:tcPr>
            <w:tcW w:w="1020" w:type="dxa"/>
            <w:vAlign w:val="bottom"/>
            <w:gridSpan w:val="4"/>
          </w:tcPr>
          <w:p>
            <w:pPr>
              <w:jc w:val="right"/>
              <w:ind w:right="220"/>
              <w:spacing w:after="0"/>
              <w:rPr>
                <w:sz w:val="20"/>
                <w:szCs w:val="20"/>
                <w:color w:val="auto"/>
              </w:rPr>
            </w:pPr>
            <w:r>
              <w:rPr>
                <w:rFonts w:ascii="Arial" w:cs="Arial" w:eastAsia="Arial" w:hAnsi="Arial"/>
                <w:sz w:val="18"/>
                <w:szCs w:val="18"/>
                <w:color w:val="auto"/>
                <w:w w:val="97"/>
              </w:rPr>
              <w:t>$ 384,714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$ 776,229</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35,894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1,840,164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Amortization expense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3,493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Kaplan stock-based incentive compensation</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12,046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360" w:type="dxa"/>
            <w:vAlign w:val="bottom"/>
            <w:gridSpan w:val="3"/>
          </w:tcPr>
          <w:p>
            <w:pPr>
              <w:spacing w:after="0"/>
              <w:rPr>
                <w:sz w:val="20"/>
                <w:szCs w:val="20"/>
                <w:color w:val="auto"/>
              </w:rPr>
            </w:pPr>
            <w:r>
              <w:rPr>
                <w:rFonts w:ascii="Arial" w:cs="Arial" w:eastAsia="Arial" w:hAnsi="Arial"/>
                <w:sz w:val="18"/>
                <w:szCs w:val="18"/>
                <w:color w:val="auto"/>
              </w:rPr>
              <w:t>2006</w:t>
            </w:r>
          </w:p>
        </w:tc>
        <w:tc>
          <w:tcPr>
            <w:tcW w:w="3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1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$ 211,195</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7"/>
              </w:rPr>
              <w:t>$ 117,119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92,290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Income (loss) from operations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20,007</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24,586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11,496</w:t>
            </w:r>
          </w:p>
        </w:tc>
        <w:tc>
          <w:tcPr>
            <w:tcW w:w="1160" w:type="dxa"/>
            <w:vAlign w:val="bottom"/>
            <w:gridSpan w:val="4"/>
          </w:tcPr>
          <w:p>
            <w:pPr>
              <w:ind w:left="220"/>
              <w:spacing w:after="0"/>
              <w:rPr>
                <w:sz w:val="20"/>
                <w:szCs w:val="20"/>
                <w:color w:val="auto"/>
              </w:rPr>
            </w:pPr>
            <w:r>
              <w:rPr>
                <w:rFonts w:ascii="Arial" w:cs="Arial" w:eastAsia="Arial" w:hAnsi="Arial"/>
                <w:sz w:val="18"/>
                <w:szCs w:val="18"/>
                <w:color w:val="auto"/>
              </w:rPr>
              <w:t>$ (17,720)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21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$632,873</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7"/>
              </w:rPr>
              <w:t>$ 341,262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$ 548,533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46,736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1,569,404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5,758</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2,964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2,584</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1,204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Kaplan stock-based incentive compensation</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5,887</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4460" w:type="dxa"/>
            <w:vAlign w:val="bottom"/>
            <w:gridSpan w:val="4"/>
          </w:tcPr>
          <w:p>
            <w:pPr>
              <w:spacing w:after="0"/>
              <w:rPr>
                <w:sz w:val="20"/>
                <w:szCs w:val="20"/>
                <w:color w:val="auto"/>
              </w:rPr>
            </w:pPr>
            <w:r>
              <w:rPr>
                <w:rFonts w:ascii="Arial" w:cs="Arial" w:eastAsia="Arial" w:hAnsi="Arial"/>
                <w:sz w:val="18"/>
                <w:szCs w:val="18"/>
                <w:color w:val="auto"/>
              </w:rPr>
              <w:t>Nine Month Period</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3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(in thousands)</w:t>
            </w:r>
          </w:p>
        </w:tc>
        <w:tc>
          <w:tcPr>
            <w:tcW w:w="3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Higher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Test</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Overhead</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Education</w:t>
            </w:r>
          </w:p>
        </w:tc>
        <w:tc>
          <w:tcPr>
            <w:tcW w:w="1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Preparation</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Professional</w:t>
            </w:r>
          </w:p>
        </w:tc>
        <w:tc>
          <w:tcPr>
            <w:tcW w:w="2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Other</w:t>
            </w: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Education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2007</w:t>
            </w:r>
          </w:p>
        </w:tc>
        <w:tc>
          <w:tcPr>
            <w:tcW w:w="1000" w:type="dxa"/>
            <w:vAlign w:val="bottom"/>
            <w:tcBorders>
              <w:bottom w:val="single" w:sz="8" w:color="CCEEFF"/>
            </w:tcBorders>
            <w:shd w:val="clear" w:color="auto" w:fill="CCEEFF"/>
          </w:tcPr>
          <w:p>
            <w:pPr>
              <w:spacing w:after="0"/>
              <w:rPr>
                <w:sz w:val="16"/>
                <w:szCs w:val="16"/>
                <w:color w:val="auto"/>
              </w:rPr>
            </w:pPr>
          </w:p>
        </w:tc>
        <w:tc>
          <w:tcPr>
            <w:tcW w:w="3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2140" w:type="dxa"/>
            <w:vAlign w:val="bottom"/>
            <w:gridSpan w:val="4"/>
          </w:tcPr>
          <w:p>
            <w:pPr>
              <w:jc w:val="right"/>
              <w:ind w:right="100"/>
              <w:spacing w:after="0"/>
              <w:rPr>
                <w:sz w:val="20"/>
                <w:szCs w:val="20"/>
                <w:color w:val="auto"/>
              </w:rPr>
            </w:pPr>
            <w:r>
              <w:rPr>
                <w:rFonts w:ascii="Arial" w:cs="Arial" w:eastAsia="Arial" w:hAnsi="Arial"/>
                <w:sz w:val="18"/>
                <w:szCs w:val="18"/>
                <w:color w:val="auto"/>
              </w:rPr>
              <w:t>$743,332</w:t>
            </w:r>
          </w:p>
        </w:tc>
        <w:tc>
          <w:tcPr>
            <w:tcW w:w="1020" w:type="dxa"/>
            <w:vAlign w:val="bottom"/>
            <w:gridSpan w:val="4"/>
          </w:tcPr>
          <w:p>
            <w:pPr>
              <w:jc w:val="right"/>
              <w:ind w:right="220"/>
              <w:spacing w:after="0"/>
              <w:rPr>
                <w:sz w:val="20"/>
                <w:szCs w:val="20"/>
                <w:color w:val="auto"/>
              </w:rPr>
            </w:pPr>
            <w:r>
              <w:rPr>
                <w:rFonts w:ascii="Arial" w:cs="Arial" w:eastAsia="Arial" w:hAnsi="Arial"/>
                <w:sz w:val="18"/>
                <w:szCs w:val="18"/>
                <w:color w:val="auto"/>
                <w:w w:val="97"/>
              </w:rPr>
              <w:t>$ 438,447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$ 312,022</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974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(912)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1,493,863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89,291</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68,806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26,918</w:t>
            </w:r>
          </w:p>
        </w:tc>
        <w:tc>
          <w:tcPr>
            <w:tcW w:w="11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 (75,376)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21,402</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10,508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9,754</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2,549</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9,781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Kaplan stock-based incentive compensation</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35,265</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35,265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2006</w:t>
            </w:r>
          </w:p>
        </w:tc>
        <w:tc>
          <w:tcPr>
            <w:tcW w:w="1000" w:type="dxa"/>
            <w:vAlign w:val="bottom"/>
            <w:tcBorders>
              <w:bottom w:val="single" w:sz="8" w:color="CCEEFF"/>
            </w:tcBorders>
            <w:shd w:val="clear" w:color="auto" w:fill="CCEEFF"/>
          </w:tcPr>
          <w:p>
            <w:pPr>
              <w:spacing w:after="0"/>
              <w:rPr>
                <w:sz w:val="17"/>
                <w:szCs w:val="17"/>
                <w:color w:val="auto"/>
              </w:rPr>
            </w:pPr>
          </w:p>
        </w:tc>
        <w:tc>
          <w:tcPr>
            <w:tcW w:w="3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2140" w:type="dxa"/>
            <w:vAlign w:val="bottom"/>
            <w:gridSpan w:val="4"/>
          </w:tcPr>
          <w:p>
            <w:pPr>
              <w:jc w:val="right"/>
              <w:ind w:right="100"/>
              <w:spacing w:after="0"/>
              <w:rPr>
                <w:sz w:val="20"/>
                <w:szCs w:val="20"/>
                <w:color w:val="auto"/>
              </w:rPr>
            </w:pPr>
            <w:r>
              <w:rPr>
                <w:rFonts w:ascii="Arial" w:cs="Arial" w:eastAsia="Arial" w:hAnsi="Arial"/>
                <w:sz w:val="18"/>
                <w:szCs w:val="18"/>
                <w:color w:val="auto"/>
              </w:rPr>
              <w:t>$623,830</w:t>
            </w:r>
          </w:p>
        </w:tc>
        <w:tc>
          <w:tcPr>
            <w:tcW w:w="1020" w:type="dxa"/>
            <w:vAlign w:val="bottom"/>
            <w:gridSpan w:val="4"/>
          </w:tcPr>
          <w:p>
            <w:pPr>
              <w:jc w:val="right"/>
              <w:ind w:right="220"/>
              <w:spacing w:after="0"/>
              <w:rPr>
                <w:sz w:val="20"/>
                <w:szCs w:val="20"/>
                <w:color w:val="auto"/>
              </w:rPr>
            </w:pPr>
            <w:r>
              <w:rPr>
                <w:rFonts w:ascii="Arial" w:cs="Arial" w:eastAsia="Arial" w:hAnsi="Arial"/>
                <w:sz w:val="18"/>
                <w:szCs w:val="18"/>
                <w:color w:val="auto"/>
                <w:w w:val="97"/>
              </w:rPr>
              <w:t>$ 344,137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$ 270,815</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1,238,782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74,374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70,041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26,654</w:t>
            </w:r>
          </w:p>
        </w:tc>
        <w:tc>
          <w:tcPr>
            <w:tcW w:w="11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 (46,167)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17,683</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8,298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6,843</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3,296</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3,036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Kaplan stock-based incentive compensation</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11,153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Education products and services are provided through the Company’s subsidiary Kaplan, Inc. Kaplan’s businesses include higher education services, which includes Kaplan’s domestic and international post-secondary education businesses, including fixed facility colleges which offer bachelor’s degrees, associate’s degrees and diploma programs primarily in the fields of healthcare, business and information technology; and online post-secondary and career programs. Kaplan’s businesses also include test preparation, which is made up of Kaplan Test Prep and Admissions, providing test preparation services for college and graduate school entrance exams; as well as K12 and Score!, which offer multi-media learning and private tutoring to children and educational resources to parents. Kaplan’s businesses also include Kaplan Professional, which provides education and career services to business people and other professionals domestically and internationally. For segment reporting purposes, the education division now has three primary segments, as compared to two primary segments in 2006. The education division’s primary segments are higher education, test preparation and professional. Kaplan corporate overhead and “Other” is also included; “Other” includes Kaplan stock compensation expense and amortization of certain intangibles. Certain minor changes were made to Kaplan’s segment reporting in the third quarter of 2007 due to changes in the management structure.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Newspaper publishing includes the publication of newspapers in the Washington, D.C. area and Everett, Washington; newsprint warehousing and recycling facilities; and the Company’s electronic media publishing business (primarily washingtonpost.com).</w:t>
      </w:r>
    </w:p>
    <w:p>
      <w:pPr>
        <w:spacing w:after="0" w:line="1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magazine publishing division consists of the publication of a weekly news magazine, Newsweek, which has one domestic and three English-language international editions (and, in conjunction with others, publishes eight foreign-language editions around the world) and the publication of Arthur Frommer’s Budget Travel. The third quarter and first nine months of 2006 results of the magazine publishing division also include revenue of $6.3 million and $19.6 million, respectively, and operating losses of $8.1 million and $7.3 million respectively, for PostNewsweek Tech Media, which was sold on December 22, 2006.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Revenues from both newspaper and magazine publishing operations are derived from advertising and, to a lesser extent, from circulation.</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Cable television operations consist of cable systems offering basic cable, digital cable, pay television, cable modem, telephony and other services to subscribers in midwestern, western, and southern states. The principal source of revenue is monthly subscription fees charged for services.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Corporate office includes the expenses of the Company’s corporate office.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5: Goodwill and Other Intangible Assets.</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Company’s intangible assets with an indefinite life are principally from franchise agreements at its cable division. Amortized intangible assets are primarily mastheads, customer relationship intangibles and non-compete agreements, with amortization periods up to ten years.</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third quarter of 2006, the Company completed a review of the carrying value of goodwill at PostNewsweek Tech Media, which was part of the magazine publishing division. As a result of this review, the Company recorded an impairment charge of $9.9 million to write-down Post Newsweek Tech Media’s goodwill to its estimated fair value.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Company’s goodwill and other intangible assets as of September 30, 2007 and December 31, 2006 were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80" w:type="dxa"/>
            <w:vAlign w:val="bottom"/>
          </w:tcPr>
          <w:p>
            <w:pPr>
              <w:jc w:val="right"/>
              <w:ind w:right="139"/>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4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440"/>
              <w:spacing w:after="0"/>
              <w:rPr>
                <w:sz w:val="20"/>
                <w:szCs w:val="20"/>
                <w:color w:val="auto"/>
              </w:rPr>
            </w:pPr>
            <w:r>
              <w:rPr>
                <w:rFonts w:ascii="Arial" w:cs="Arial" w:eastAsia="Arial" w:hAnsi="Arial"/>
                <w:sz w:val="18"/>
                <w:szCs w:val="18"/>
                <w:color w:val="auto"/>
              </w:rPr>
              <w:t>Goodwill</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$1,712,803</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298,402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$1,414,401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Indefinite-lived intangible assets</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684,777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163,806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440"/>
              <w:spacing w:after="0"/>
              <w:rPr>
                <w:sz w:val="20"/>
                <w:szCs w:val="20"/>
                <w:color w:val="auto"/>
              </w:rPr>
            </w:pPr>
            <w:r>
              <w:rPr>
                <w:rFonts w:ascii="Arial" w:cs="Arial" w:eastAsia="Arial" w:hAnsi="Arial"/>
                <w:sz w:val="18"/>
                <w:szCs w:val="18"/>
                <w:color w:val="auto"/>
              </w:rPr>
              <w:t>Amortized intangible assets</w:t>
            </w:r>
          </w:p>
        </w:tc>
        <w:tc>
          <w:tcPr>
            <w:tcW w:w="44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79,746</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37,488</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2,477,326</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499,696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1,977,630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rPr>
              <w:t>2006</w:t>
            </w:r>
          </w:p>
        </w:tc>
        <w:tc>
          <w:tcPr>
            <w:tcW w:w="4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80" w:type="dxa"/>
            <w:vAlign w:val="bottom"/>
            <w:vMerge w:val="continue"/>
          </w:tcPr>
          <w:p>
            <w:pPr>
              <w:spacing w:after="0"/>
              <w:rPr>
                <w:sz w:val="18"/>
                <w:szCs w:val="18"/>
                <w:color w:val="auto"/>
              </w:rPr>
            </w:pPr>
          </w:p>
        </w:tc>
        <w:tc>
          <w:tcPr>
            <w:tcW w:w="4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$1,538,653</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298,402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440"/>
              <w:spacing w:after="0"/>
              <w:rPr>
                <w:sz w:val="20"/>
                <w:szCs w:val="20"/>
                <w:color w:val="auto"/>
              </w:rPr>
            </w:pPr>
            <w:r>
              <w:rPr>
                <w:rFonts w:ascii="Arial" w:cs="Arial" w:eastAsia="Arial" w:hAnsi="Arial"/>
                <w:sz w:val="18"/>
                <w:szCs w:val="18"/>
                <w:color w:val="auto"/>
              </w:rPr>
              <w:t>Indefinite-lived intangible assets</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681,548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163,806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517,742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Amortized intangible assets</w:t>
            </w:r>
          </w:p>
        </w:tc>
        <w:tc>
          <w:tcPr>
            <w:tcW w:w="44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58,454</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26,655</w:t>
            </w:r>
          </w:p>
        </w:tc>
        <w:tc>
          <w:tcPr>
            <w:tcW w:w="2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80" w:type="dxa"/>
            <w:vAlign w:val="bottom"/>
          </w:tcPr>
          <w:p>
            <w:pPr>
              <w:spacing w:after="0"/>
              <w:rPr>
                <w:sz w:val="19"/>
                <w:szCs w:val="19"/>
                <w:color w:val="auto"/>
              </w:rPr>
            </w:pPr>
          </w:p>
        </w:tc>
        <w:tc>
          <w:tcPr>
            <w:tcW w:w="5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2,278,655</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488,863</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1,789,792</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4440" w:type="dxa"/>
            <w:vAlign w:val="bottom"/>
            <w:vMerge w:val="restart"/>
          </w:tcPr>
          <w:p>
            <w:pPr>
              <w:jc w:val="right"/>
              <w:ind w:right="2732"/>
              <w:spacing w:after="0"/>
              <w:rPr>
                <w:sz w:val="20"/>
                <w:szCs w:val="20"/>
                <w:color w:val="auto"/>
              </w:rPr>
            </w:pPr>
            <w:r>
              <w:rPr>
                <w:rFonts w:ascii="Arial" w:cs="Arial" w:eastAsia="Arial" w:hAnsi="Arial"/>
                <w:sz w:val="18"/>
                <w:szCs w:val="18"/>
                <w:color w:val="auto"/>
              </w:rPr>
              <w:t>13</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8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goodwill and other intangible assets during the nine months ended September 30, 2007 was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Television</w:t>
            </w:r>
          </w:p>
        </w:tc>
        <w:tc>
          <w:tcPr>
            <w:tcW w:w="10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w w:val="91"/>
              </w:rPr>
              <w:t>Magazine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Cable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Education</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Broadcasting</w:t>
            </w: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w w:val="83"/>
              </w:rPr>
              <w:t>Publishing</w:t>
            </w:r>
          </w:p>
        </w:tc>
        <w:tc>
          <w:tcPr>
            <w:tcW w:w="22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7"/>
              </w:rPr>
              <w:t>Television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845,754</w:t>
            </w:r>
          </w:p>
        </w:tc>
        <w:tc>
          <w:tcPr>
            <w:tcW w:w="2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80,651</w:t>
            </w: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203,165</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w w:val="85"/>
              </w:rPr>
              <w:t>$ 25,015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85,666</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1,240,251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153,002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462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20,686</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1,019,442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81,113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203,165</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5"/>
              </w:rPr>
              <w:t>$ 25,015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85,666</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1,414,401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Indefinite-Lived Intangible Assets, net</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2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year</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508,480</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Acquisitions</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511,709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Amortized intangible assets, net</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2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year</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Acquisitions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20,860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(9,781)</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(876)</w:t>
            </w:r>
          </w:p>
        </w:tc>
        <w:tc>
          <w:tcPr>
            <w:tcW w:w="8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(10,833)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2007</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goodwill and other intangible assets during the nine-months ended October 1, 2006 was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w w:val="93"/>
              </w:rPr>
              <w:t>Television</w:t>
            </w:r>
          </w:p>
        </w:tc>
        <w:tc>
          <w:tcPr>
            <w:tcW w:w="2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Magazine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Cable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6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Broadcasting</w:t>
            </w: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Publishing</w:t>
            </w:r>
          </w:p>
        </w:tc>
        <w:tc>
          <w:tcPr>
            <w:tcW w:w="120" w:type="dxa"/>
            <w:vAlign w:val="bottom"/>
          </w:tcPr>
          <w:p>
            <w:pPr>
              <w:spacing w:after="0"/>
              <w:rPr>
                <w:sz w:val="14"/>
                <w:szCs w:val="14"/>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7"/>
              </w:rPr>
              <w:t>Television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Beginning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686,532</w:t>
            </w:r>
          </w:p>
        </w:tc>
        <w:tc>
          <w:tcPr>
            <w:tcW w:w="16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80,651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203,165</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$ 69,556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85,666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1,125,570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Foreign currency exchange rate changes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 charge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(9,864)</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Balance at October 1, 2006</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769,799</w:t>
            </w:r>
          </w:p>
        </w:tc>
        <w:tc>
          <w:tcPr>
            <w:tcW w:w="16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80,651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203,165</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$ 59,692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85,666</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1,198,973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Beginning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486,330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494,692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Balance at October 1, 2006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486,330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494,692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Beginning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14,428</w:t>
            </w:r>
          </w:p>
        </w:tc>
        <w:tc>
          <w:tcPr>
            <w:tcW w:w="16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6,676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1,710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22,814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Foreign currency exchange rate changes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Balance at October 1, 2006</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12,799</w:t>
            </w:r>
          </w:p>
        </w:tc>
        <w:tc>
          <w:tcPr>
            <w:tcW w:w="16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5,800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1,194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19,793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6: Antidilutive Securities.</w:t>
      </w:r>
    </w:p>
    <w:p>
      <w:pPr>
        <w:spacing w:after="0" w:line="9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third quarter and first nine months of 2007 diluted earnings per share amount excludes the effects of 7,500 stock options outstanding, as their inclusion would be antidilutive. The third quarter and first nine months of 2006 diluted earnings per share amount excludes the effects of 13,000 stock options outstanding as their inclusion would be antidilutive.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7: Pension and Postretirement Plans.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The total cost (income) arising from the Company’s defined benefit pension plans for the third quarter and nine months ended September 30, 2007 and October 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2006 consists of the following components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ind w:left="275"/>
              <w:spacing w:after="0"/>
              <w:rPr>
                <w:sz w:val="20"/>
                <w:szCs w:val="20"/>
                <w:color w:val="auto"/>
              </w:rPr>
            </w:pPr>
            <w:r>
              <w:rPr>
                <w:rFonts w:ascii="Arial" w:cs="Arial" w:eastAsia="Arial" w:hAnsi="Arial"/>
                <w:sz w:val="14"/>
                <w:szCs w:val="14"/>
                <w:b w:val="1"/>
                <w:bCs w:val="1"/>
                <w:color w:val="auto"/>
                <w:w w:val="83"/>
              </w:rPr>
              <w:t>Pension Plans</w:t>
            </w: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6"/>
          </w:tcPr>
          <w:p>
            <w:pPr>
              <w:jc w:val="right"/>
              <w:ind w:right="360"/>
              <w:spacing w:after="0" w:line="142" w:lineRule="exact"/>
              <w:rPr>
                <w:sz w:val="20"/>
                <w:szCs w:val="20"/>
                <w:color w:val="auto"/>
              </w:rPr>
            </w:pPr>
            <w:r>
              <w:rPr>
                <w:rFonts w:ascii="Arial" w:cs="Arial" w:eastAsia="Arial" w:hAnsi="Arial"/>
                <w:sz w:val="14"/>
                <w:szCs w:val="14"/>
                <w:b w:val="1"/>
                <w:bCs w:val="1"/>
                <w:color w:val="auto"/>
                <w:w w:val="95"/>
              </w:rPr>
              <w:t>Thirteen Weeks Ended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4"/>
          </w:tcPr>
          <w:p>
            <w:pPr>
              <w:jc w:val="right"/>
              <w:ind w:right="135"/>
              <w:spacing w:after="0" w:line="142" w:lineRule="exact"/>
              <w:rPr>
                <w:sz w:val="20"/>
                <w:szCs w:val="20"/>
                <w:color w:val="auto"/>
              </w:rPr>
            </w:pPr>
            <w:r>
              <w:rPr>
                <w:rFonts w:ascii="Arial" w:cs="Arial" w:eastAsia="Arial" w:hAnsi="Arial"/>
                <w:sz w:val="14"/>
                <w:szCs w:val="14"/>
                <w:b w:val="1"/>
                <w:bCs w:val="1"/>
                <w:color w:val="auto"/>
                <w:w w:val="90"/>
              </w:rPr>
              <w:t>Thirty-Nine Weeks Ended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11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October 1,</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September 30,</w:t>
            </w: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October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7,446</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6,545</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20,599</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$ 20,879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12,501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11,674</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34,718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(24,028)</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(72,346)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(70,524)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(830)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(3,347)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(16,691)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(16,712)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Early retirement program expense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389</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50,046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(income) cost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(5,892)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(16,691)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$ 33,334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center"/>
              <w:ind w:right="172"/>
              <w:spacing w:after="0"/>
              <w:rPr>
                <w:sz w:val="20"/>
                <w:szCs w:val="20"/>
                <w:color w:val="auto"/>
              </w:rPr>
            </w:pPr>
            <w:r>
              <w:rPr>
                <w:rFonts w:ascii="Arial" w:cs="Arial" w:eastAsia="Arial" w:hAnsi="Arial"/>
                <w:sz w:val="14"/>
                <w:szCs w:val="14"/>
                <w:b w:val="1"/>
                <w:bCs w:val="1"/>
                <w:color w:val="auto"/>
                <w:w w:val="94"/>
              </w:rPr>
              <w:t>SERP</w:t>
            </w:r>
          </w:p>
        </w:tc>
        <w:tc>
          <w:tcPr>
            <w:tcW w:w="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6"/>
          </w:tcPr>
          <w:p>
            <w:pPr>
              <w:jc w:val="right"/>
              <w:ind w:right="360"/>
              <w:spacing w:after="0" w:line="142" w:lineRule="exact"/>
              <w:rPr>
                <w:sz w:val="20"/>
                <w:szCs w:val="20"/>
                <w:color w:val="auto"/>
              </w:rPr>
            </w:pPr>
            <w:r>
              <w:rPr>
                <w:rFonts w:ascii="Arial" w:cs="Arial" w:eastAsia="Arial" w:hAnsi="Arial"/>
                <w:sz w:val="14"/>
                <w:szCs w:val="14"/>
                <w:b w:val="1"/>
                <w:bCs w:val="1"/>
                <w:color w:val="auto"/>
                <w:w w:val="95"/>
              </w:rPr>
              <w:t>Thirteen Weeks Ended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4"/>
          </w:tcPr>
          <w:p>
            <w:pPr>
              <w:jc w:val="right"/>
              <w:ind w:right="135"/>
              <w:spacing w:after="0" w:line="142" w:lineRule="exact"/>
              <w:rPr>
                <w:sz w:val="20"/>
                <w:szCs w:val="20"/>
                <w:color w:val="auto"/>
              </w:rPr>
            </w:pPr>
            <w:r>
              <w:rPr>
                <w:rFonts w:ascii="Arial" w:cs="Arial" w:eastAsia="Arial" w:hAnsi="Arial"/>
                <w:sz w:val="14"/>
                <w:szCs w:val="14"/>
                <w:b w:val="1"/>
                <w:bCs w:val="1"/>
                <w:color w:val="auto"/>
                <w:w w:val="90"/>
              </w:rPr>
              <w:t>Thirty-Nine Weeks Ended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11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October 1,</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September 30,</w:t>
            </w: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October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734</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2,306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Recognized actuarial loss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397</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periodic cost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Early retirement program expense</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1,666</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2006, the Company raised its assumption on the discount rate from 5.75% to 6.0% for its defined benefit pension plans.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total cost arising from the Company’s postretirement plans for the third quarter and nine months ended September 30, 2007 and October 1, 2006, consists of the following components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1200"/>
              <w:spacing w:after="0"/>
              <w:rPr>
                <w:sz w:val="20"/>
                <w:szCs w:val="20"/>
                <w:color w:val="auto"/>
              </w:rPr>
            </w:pPr>
            <w:r>
              <w:rPr>
                <w:rFonts w:ascii="Arial" w:cs="Arial" w:eastAsia="Arial" w:hAnsi="Arial"/>
                <w:sz w:val="14"/>
                <w:szCs w:val="14"/>
                <w:b w:val="1"/>
                <w:bCs w:val="1"/>
                <w:color w:val="auto"/>
                <w:w w:val="99"/>
              </w:rPr>
              <w:t>Postretirement Plans</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5"/>
          </w:tcPr>
          <w:p>
            <w:pPr>
              <w:jc w:val="right"/>
              <w:ind w:right="298"/>
              <w:spacing w:after="0" w:line="142" w:lineRule="exact"/>
              <w:rPr>
                <w:sz w:val="20"/>
                <w:szCs w:val="20"/>
                <w:color w:val="auto"/>
              </w:rPr>
            </w:pPr>
            <w:r>
              <w:rPr>
                <w:rFonts w:ascii="Arial" w:cs="Arial" w:eastAsia="Arial" w:hAnsi="Arial"/>
                <w:sz w:val="14"/>
                <w:szCs w:val="14"/>
                <w:b w:val="1"/>
                <w:bCs w:val="1"/>
                <w:color w:val="auto"/>
                <w:w w:val="99"/>
              </w:rPr>
              <w:t>Thirteen Weeks Ended</w:t>
            </w:r>
          </w:p>
        </w:tc>
        <w:tc>
          <w:tcPr>
            <w:tcW w:w="6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4"/>
          </w:tcPr>
          <w:p>
            <w:pPr>
              <w:jc w:val="right"/>
              <w:ind w:right="216"/>
              <w:spacing w:after="0" w:line="142" w:lineRule="exact"/>
              <w:rPr>
                <w:sz w:val="20"/>
                <w:szCs w:val="20"/>
                <w:color w:val="auto"/>
              </w:rPr>
            </w:pPr>
            <w:r>
              <w:rPr>
                <w:rFonts w:ascii="Arial" w:cs="Arial" w:eastAsia="Arial" w:hAnsi="Arial"/>
                <w:sz w:val="14"/>
                <w:szCs w:val="14"/>
                <w:b w:val="1"/>
                <w:bCs w:val="1"/>
                <w:color w:val="auto"/>
                <w:w w:val="94"/>
              </w:rPr>
              <w:t>Thirty-Nine Weeks Ended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1"/>
                <w:szCs w:val="11"/>
                <w:color w:val="auto"/>
              </w:rPr>
            </w:pPr>
          </w:p>
        </w:tc>
        <w:tc>
          <w:tcPr>
            <w:tcW w:w="12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October 1,</w:t>
            </w:r>
          </w:p>
        </w:tc>
        <w:tc>
          <w:tcPr>
            <w:tcW w:w="14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6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5"/>
              </w:rPr>
              <w:t>October 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89"/>
              </w:rPr>
              <w:t>2006</w:t>
            </w:r>
          </w:p>
        </w:tc>
        <w:tc>
          <w:tcPr>
            <w:tcW w:w="6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2,743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1,772</w:t>
            </w:r>
          </w:p>
        </w:tc>
        <w:tc>
          <w:tcPr>
            <w:tcW w:w="18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3,681</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(509)</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(3,528)</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(410)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(1,230)</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2,454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1,666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third quarter of 2006, the Company amended certain of its postretirement medical plans to modify the cost sharing between retirees and the Company; these amendments resulted in a greater portion of the overall cost of postretirement medical plan expenses to be paid for by retirees in the future. The amendments resulted in a significant decrease in the Company’s total postretirement benefit cost in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Note 8: Other Non-Operating Income (Expense).</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recorded other non-operating income, net, of $10.1 million for the third quarter of 2007, compared to non-operating income, net, of $4.7 million for the third quarter of 2006. For the first nine months of 2007 and 2006,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recorded other non-operating income, net, of $15.3 million and $38.2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non-operating income (expense) for the thirteen and thirty-nine weeks ended September 30, 2007 and October 1, 2006, is as follows (in millions):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98"/>
              </w:rPr>
              <w:t>Thirteen Weeks Ended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3"/>
              </w:rPr>
              <w:t>Thirty-Nine Weeks Ended</w:t>
            </w:r>
          </w:p>
        </w:tc>
        <w:tc>
          <w:tcPr>
            <w:tcW w:w="0" w:type="dxa"/>
            <w:vAlign w:val="bottom"/>
          </w:tcPr>
          <w:p>
            <w:pPr>
              <w:spacing w:after="0"/>
              <w:rPr>
                <w:sz w:val="1"/>
                <w:szCs w:val="1"/>
                <w:color w:val="auto"/>
              </w:rPr>
            </w:pPr>
          </w:p>
        </w:tc>
      </w:tr>
      <w:tr>
        <w:trPr>
          <w:trHeight w:val="129"/>
        </w:trPr>
        <w:tc>
          <w:tcPr>
            <w:tcW w:w="5740" w:type="dxa"/>
            <w:vAlign w:val="bottom"/>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5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October 1,</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5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October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2006</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gains, net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Gain on sale of marketable equity securities</w:t>
            </w:r>
          </w:p>
        </w:tc>
        <w:tc>
          <w:tcPr>
            <w:tcW w:w="18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gains (losses), net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7</w:t>
            </w:r>
          </w:p>
        </w:tc>
        <w:tc>
          <w:tcPr>
            <w:tcW w:w="360" w:type="dxa"/>
            <w:vAlign w:val="bottom"/>
          </w:tcPr>
          <w:p>
            <w:pPr>
              <w:spacing w:after="0"/>
              <w:rPr>
                <w:sz w:val="19"/>
                <w:szCs w:val="19"/>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15.3</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9: Earnings Per Share.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earnings per share (basic and diluted) for the third quarter and first nine months of 2007 and 2006, are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0"/>
              </w:rPr>
              <w:t>Thirteen Weeks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0"/>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3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October 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3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October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Income before cumulative effect of change in accounting principle, after redeemable preferred stock</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72,225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73,051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204,756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233,008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w w:val="97"/>
              </w:rPr>
              <w:t>Cumulative effect of change in method of accounting for share-based payments, net of taxes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(5,075)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72,225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73,051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204,756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227,933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 – basic</w:t>
            </w: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9,473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9,581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9,496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shares: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Stock options and restricted stock</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 diluted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24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available for common stock</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available for common stock</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jc w:val="right"/>
              <w:ind w:right="1352"/>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2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10: Income Taxes.</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Results for 2007 include an additional $12.9 million in income tax expense related to Bowater Mersey, the Company’s 49% owned affiliate based in Canada. The Company previously recorded deferred income taxes on the equity in earnings (losses) of Bowater Mersey based on the 5% dividend withholding rate provided in the tax treaty between the U.S. and Canada. In the second quarter of 2007, the Company obtained additional information related to Bowater Mersey’s Canadian tax position and determined that deferred income taxes on the equity in earnings (losses) of this investment should be recorded at a 35% tax rate. The Company concluded that this charge is not material to the Company’s financial positions or results of operations for 2007 and prior years, based on its consideration of quantitative and qualitative factors. Also included in 2007 is a $6.3 million income tax benefit related to a change in certain state income tax laws enacted in the second quarter of 2007. Both of these items are non-cash items in the current period, impacting the Company’s long-term net deferred income tax liabilities. The effective tax rate for the first nine months of 2007 was 39.9%, compared to 36.5% for the first nine months of 2006. Excluding the impact of the items mentioned above, the effective tax rate for the first nine months of 2007 was 38.0%.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Note 11: Subsequent Events</w:t>
      </w:r>
    </w:p>
    <w:p>
      <w:pPr>
        <w:spacing w:after="0" w:line="90"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On October 3, 2007 a majority of the Company’s Class A shareholders voted to convert 430,557, or 25%, of the Class A shares of the Company to an equal number of Class B shares. The conversion had no impact on the voting rights of the Class A and Class B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Note 12: 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June 2006, the Financial Accounting Standards Board (“FASB”) issued FASB Interpretation No. 48 (FIN 48), “Accounting for Uncertainty in Income Taxes — an Interpretation of FASB Statement No. 109.” FIN 48 prescribes a comprehensive model of how a company should recognize, measure, present and disclose in its financial statements uncertain tax positions that the company has taken or expects to take on a tax return. The Company implemented FIN 48 in the first quarter of 2007 and there was no impact on the Company’s financial position or results of operations as a result of implementation. The Company has determined that there are no material transactions or material tax positions taken by the Company that would fail to meet the more likely than not threshold established by FIN 48 for recognizing transactions or tax positions in financial statements. In making this determination, the Company presumes that all matters will be examined with full knowledge of all relevant information by appropriate taxing authorities and that the Company will pursue, if necessary, resolution by related appeals or litigation. The Company has accrued a tax liability for certain tax positions reflected in the financial statements where it is uncertain the full tax benefit associated with the tax positions will ultimately be recognized. The amount of, and changes to, this accrued tax liability are not material to the Company’s financial position or results of operations.</w:t>
      </w:r>
    </w:p>
    <w:p>
      <w:pPr>
        <w:spacing w:after="0" w:line="123"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Company files income tax returns in the U.S. and various state and foreign jurisdictions, with the U.S. Federal considered the only major tax jurisdiction. In January 2007, the Internal Revenue Service completed their examinations of the Company’s consolidated federal corporate income tax returns through 2004. The Company does not expect the total amount of unrecognized tax benefits to significantly increase or decrease within the next 12 months.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Other Pronouncements</w:t>
      </w:r>
    </w:p>
    <w:p>
      <w:pPr>
        <w:spacing w:after="0" w:line="9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In September 2006, the FASB issued Statement of Financial Accounting Standards (SFAS) No. 157 “Fair Value Measurements” which defines fair value, establishes a framework for consistently measuring fair value under generally accepted accounting principles, and expands disclosures about fair value measurements. SFAS 157 is effective for fiscal years beginning after November 15, 2007. Management is currently evaluating the effect that adoption of this statement will have on the Company’s consolidated financial statements.</w:t>
      </w:r>
    </w:p>
    <w:p>
      <w:pPr>
        <w:spacing w:after="0" w:line="11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February 2007, the FASB issued SFAS 159 “The Fair Value Option for Financial Liabilities – Including an Amendment of FASB Statement No. 115.” SFAS 159 permits entities to choose to measure eligible items at fair value at specified election dates and report unrealized gains and losses on items for which the fair value option has been elected in earnings at such subsequent reporting date. SFAS 159 is effective for fiscal years beginning after November 15, 2007. Management is currently evaluating the effect that adoption of this statement will have on the Company’s consolidated financial statements.</w:t>
      </w:r>
    </w:p>
    <w:p>
      <w:pPr>
        <w:spacing w:after="0" w:line="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24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Results of Operations and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consolidated financial statements and the notes thereto.</w:t>
      </w:r>
    </w:p>
    <w:p>
      <w:pPr>
        <w:spacing w:after="0" w:line="90"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Revenues and expenses in the first and third quarters are customarily lower than those in the second and fourth quarters because of significant seasonal fluctuations in advertising volume.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Net income for the third quarter of 2007 was $72.5 million ($7.60 per share), compared to net income of $73.3 million ($7.60 per share) for the third quarter of last year.</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Results for the third quarter of 2007 included a gain from the sale of property at the Company’s television station in Miami (after-tax impact of $5.9 million, or $0.62 per share). Results for the third quarter of 2006 included a goodwill impairment charge at PostNewsweek Tech Media, which was part of the magazine publishing segment (after-tax impact of $6.3 million, or $0.65 per share) and gains from the sales of property and marketable securities (after-tax impact of $2.8 million, or $0.29 per share).</w:t>
      </w:r>
    </w:p>
    <w:p>
      <w:pPr>
        <w:spacing w:after="0" w:line="1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Revenue for the third quarter of 2007 was $1,022.5 million, up 8% from $946.9 million in 2006. The increase is due mostly to significant revenue growth at the education and cable television divisions. Revenues were down at the Company’s newspaper publishing, magazine publishing and television broadcasting divisions.</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Operating income was up 2% for the third quarter of 2007 to $110.5 million, from $108.6 million in 2006 due to the $9.5 million gain from the sale of property at the Company’s television station in Miami in the third quarter of 2007, and the $9.9 million goodwill impairment charge in the third quarter of 2006. The results were offset by a decline in operating income at the newspaper publishing division as a result of reduced print advertising revenues at The Washington Post newspaper and a $6.2 million increase in Kaplan stock compensation expense.</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the first nine months of 2007, net income totaled $205.7 million ($21.48 per share), compared with $228.9 million ($23.71 per share) for the same period of 2006. Results for the first nine months of 2007 included additional net income tax expense of $6.6 million ($0.70 per share) as the result of a $12.9 million ($1.36 per share) increase in taxes associated with Bowater Mersey and a tax benefit of $6.3 million ($0.66 per share) associated with recent changes in certain state income tax laws. Both of these are non-cash items in the current period, impacting the Company’s long-term net deferred income tax liabilities. Also included in the first nine months of 2007 is a significant increase in equity in earnings of affiliates primarily from a gain on the sale of land at the Company’s Bowater Mersey affiliate (after-tax impact of $6.5 million, or $0.68 per share) and a gain from the sale of property at the Company’s television station in Miami (after-tax impact of $5.9 million, or $0.62 per share). Results for the first nine months of 2006 included charges related to early retirement plan buyouts (after-tax impact of $31.7 million, or $3.30 per share), a goodwill impairment charge (after-tax impact of $6.3 million, or $0.65 per share), transition costs at Kaplan (after-tax impact of $4.8 million, or $0.50 per share) and a charge for the cumulative effect of a change in accounting for Kaplan equity awards (after-tax impact of $5.1 million, or $0.53 per share) in connection with the Company’s adoption of Statement of Financial Accounting Standards No. 123R (SFAS 123R), “Share-Based Payment.” These items were offset by insurance recoveries from cable division losses related to Hurricane Katrina (after-tax impact of $6.4 million, or $0.67 per share) and gains from the sales of property and marketable securities (after-tax impact of $22.4 million, or $2.33 per share).</w:t>
      </w:r>
    </w:p>
    <w:p>
      <w:pPr>
        <w:spacing w:after="0" w:line="124" w:lineRule="exact"/>
        <w:rPr>
          <w:sz w:val="20"/>
          <w:szCs w:val="20"/>
          <w:color w:val="auto"/>
        </w:rPr>
      </w:pPr>
    </w:p>
    <w:p>
      <w:pPr>
        <w:jc w:val="center"/>
        <w:ind w:right="160"/>
        <w:spacing w:after="0" w:line="440" w:lineRule="auto"/>
        <w:rPr>
          <w:sz w:val="20"/>
          <w:szCs w:val="20"/>
          <w:color w:val="auto"/>
        </w:rPr>
      </w:pPr>
      <w:r>
        <w:rPr>
          <w:rFonts w:ascii="Arial" w:cs="Arial" w:eastAsia="Arial" w:hAnsi="Arial"/>
          <w:sz w:val="18"/>
          <w:szCs w:val="18"/>
          <w:color w:val="auto"/>
        </w:rPr>
        <w:t>Revenue for the first nine months of 2007 was $3,054.9 million, up 7% from $2,864.2 million for the first nine months of 2006, due to increased revenues at the 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Company’s education and cable divisions, offset by revenue declines at the Company’s other divisions. Operating income for the first nine months of 2007 decreased to $327.7 million, from $343.6 million in the first nine months of 2006, due to weakness in advertising demand at the newspaper publishing, magazine publishing and television broadcasting divisions; a $24.1 million increase in Kaplan stock compensation expense in the first nine months of 2007; and $10.4 million in insurance recoveries recorded during the second quarter of 2006 from cable division losses related to Hurricane Katrina. These were offset by a $9.5 million gain from the sale of property at the Company’s television station in Miami in 2007, and several unusual items in 2006 including $50.9 million in pre-tax charges associated with early retirement plan buyouts; a $9.9 million goodwill impairment charge; and $6.9 million in transition costs at Kaplan.</w:t>
      </w:r>
    </w:p>
    <w:p>
      <w:pPr>
        <w:spacing w:after="0" w:line="12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Company’s operating income for the third quarter and first nine months of 2007 included $5.9 million and $16.7 million of net pension credits, respectively, compared to $5.3 million and $16.7 million, respectively, for the same periods of 2006, excluding charges related to early retirement programs.</w:t>
      </w:r>
    </w:p>
    <w:p>
      <w:pPr>
        <w:spacing w:after="0" w:line="7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color w:val="auto"/>
        </w:rPr>
        <w:t>Education Division</w:t>
      </w:r>
      <w:r>
        <w:rPr>
          <w:rFonts w:ascii="Arial" w:cs="Arial" w:eastAsia="Arial" w:hAnsi="Arial"/>
          <w:sz w:val="16"/>
          <w:szCs w:val="16"/>
          <w:color w:val="auto"/>
        </w:rPr>
        <w:t>. Education division revenue totaled $514.6 million for the third quarter of 2007, a 22% increase over revenue of $420.6 million for the same</w:t>
      </w:r>
      <w:r>
        <w:rPr>
          <w:rFonts w:ascii="Arial" w:cs="Arial" w:eastAsia="Arial" w:hAnsi="Arial"/>
          <w:sz w:val="16"/>
          <w:szCs w:val="16"/>
          <w:b w:val="1"/>
          <w:bCs w:val="1"/>
          <w:color w:val="auto"/>
        </w:rPr>
        <w:t xml:space="preserve"> </w:t>
      </w:r>
      <w:r>
        <w:rPr>
          <w:rFonts w:ascii="Arial" w:cs="Arial" w:eastAsia="Arial" w:hAnsi="Arial"/>
          <w:sz w:val="16"/>
          <w:szCs w:val="16"/>
          <w:color w:val="auto"/>
        </w:rPr>
        <w:t>period of 2006. Excluding revenue from acquired businesses, education division revenue increased 12% for the third quarter of 2007. Kaplan reported operating income of $37.6 million for the third quarter of 2007, down 2% from $38.4 million in the third quarter of 2006. For the first nine months of 2007, education division revenue totaled $1,493.9 million, a 21% increase over revenue of $1,238.8 million for the same period of 2006. Excluding revenue from acquired businesses, education division revenue increased 12% for the first nine months of 2007. Kaplan reported operating income of $109.4 million for the first nine months of 2007, a decline of 12% from $124.9 million for the first nine months of 2006.</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second quarter of 2006, Kaplan acquired Tribeca Learning Limited, a leading provider of education to the Australian financial services sector, and incurred $6.9 million in transition costs, which are included in the Professional education results. A summary of Kaplan’s operating results for the third quarter and the first nine months of 2007 compared to 2006 is as follows: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8"/>
              </w:rPr>
              <w:t>Third Quarter</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rPr>
              <w:t>YTD</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80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gridSpan w:val="4"/>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251,611</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211,195</w:t>
            </w: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743,332</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623,830</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Test preparation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155,649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117,119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438,447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344,137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4"/>
          </w:tcPr>
          <w:p>
            <w:pPr>
              <w:ind w:left="440"/>
              <w:spacing w:after="0"/>
              <w:rPr>
                <w:sz w:val="20"/>
                <w:szCs w:val="20"/>
                <w:color w:val="auto"/>
              </w:rPr>
            </w:pPr>
            <w:r>
              <w:rPr>
                <w:rFonts w:ascii="Arial" w:cs="Arial" w:eastAsia="Arial" w:hAnsi="Arial"/>
                <w:sz w:val="18"/>
                <w:szCs w:val="18"/>
                <w:color w:val="auto"/>
              </w:rPr>
              <w:t>Professional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107,309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92,290</w:t>
            </w: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312,022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270,815</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Kaplan corporate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4"/>
          </w:tcPr>
          <w:p>
            <w:pPr>
              <w:ind w:left="44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(912)</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514,595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420,604</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1,493,863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1,238,782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gridSpan w:val="4"/>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27,340</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20,007</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89,291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74,374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4"/>
          </w:tcPr>
          <w:p>
            <w:pPr>
              <w:ind w:left="440"/>
              <w:spacing w:after="0"/>
              <w:rPr>
                <w:sz w:val="20"/>
                <w:szCs w:val="20"/>
                <w:color w:val="auto"/>
              </w:rPr>
            </w:pPr>
            <w:r>
              <w:rPr>
                <w:rFonts w:ascii="Arial" w:cs="Arial" w:eastAsia="Arial" w:hAnsi="Arial"/>
                <w:sz w:val="18"/>
                <w:szCs w:val="18"/>
                <w:color w:val="auto"/>
              </w:rPr>
              <w:t>Test preparation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24,586</w:t>
            </w: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68,806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70,041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8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Professional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11,496</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26,654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4"/>
          </w:tcPr>
          <w:p>
            <w:pPr>
              <w:ind w:left="440"/>
              <w:spacing w:after="0"/>
              <w:rPr>
                <w:sz w:val="20"/>
                <w:szCs w:val="20"/>
                <w:color w:val="auto"/>
              </w:rPr>
            </w:pPr>
            <w:r>
              <w:rPr>
                <w:rFonts w:ascii="Arial" w:cs="Arial" w:eastAsia="Arial" w:hAnsi="Arial"/>
                <w:sz w:val="18"/>
                <w:szCs w:val="18"/>
                <w:color w:val="auto"/>
              </w:rPr>
              <w:t>Kaplan corporate overhead</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(10,864)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(10,636)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(30,330)</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(31,978)</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(15,539)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(7,084)</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(45,046)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(14,189)</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4"/>
          </w:tcPr>
          <w:p>
            <w:pPr>
              <w:ind w:left="44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109,446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124,902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Other includes charges accrued for stock-based incentive compensation and amortization of certain intangibles.</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Higher education includes Kaplan’s domestic and international post-secondary education businesses, including fixed-facility colleges as well as online post-secondary and career programs. Higher education revenue grew by 19% in both the third quarter and the first nine months of 2007. Enrollments increased 14% to 79,600 at September 30, 2007, compared to 69,800 at September 30, 2006, due to enrollment growth in the online programs and timing of course start dates. Higher education results for the online programs in the first nine months of 2007 benefited from increases in both price and demand for higher priced advanced programs. Results at the fixed-facility colleges also benefited from course fee increases, but as previously disclosed, were adversely affected by $2.7 million in lease termination charges in the first quarter of 2007.</w:t>
      </w:r>
    </w:p>
    <w:p>
      <w:pPr>
        <w:spacing w:after="0" w:line="12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Test preparation includes Kaplan’s standardized test preparation and English- language course offerings, as well as the K12 and Score! businesses. Test preparation revenue grew 33% in the third quarter of 2007 and 27% for the first nine months of 2007 largely due to the Aspect and PMBR acquisitions made in October 2006. Excluding revenue from acquired businesses, revenue grew 2% in the third quarter of 2007 and 3% in the first nine months of 2007 due to overall strength in the traditional test preparation courses, offset by declines in revenue from the K12 and Score! businesses. Operating income for test preparation increased in the third quarter of 2007 due largely to the Aspect and PMBR acquisitions, offset by continued weakness from the K12 and Score! businesses. Operating results for the first nine months of 2007 were down due to weaker results from the K12 and Score! businesses, offset by strong results at Aspect and PMBR. Score! revenue and operating results are down primarily due to a 13% enrollment decline.</w:t>
      </w:r>
    </w:p>
    <w:p>
      <w:pPr>
        <w:spacing w:after="0" w:line="11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Kaplan management has recently announced plans to restructure the SCORE! business. In order to implement a revised business model, 75 SCORE! centers will be closed. After closings and consolidations 80 SCORE! centers will remain open that focus on providing computer-assisted instruction and small-group tutoring. The restructuring plan includes relocating certain management and terminating certain employees from centers to be closed. The Company expects to incur approximately $16 million in expenses in the fourth quarter of 2007 related to lease obligations, severance and accelerated depreciation of fixed assets. A portion of the estimated lease obligation expenses included above may not be recognized until the first quarter of 2008. The Company completed an impairment review of Score! long lived assets and intangibles in the third quarter of 2007 and has determined that no impairment charge was necessary.</w:t>
      </w:r>
    </w:p>
    <w:p>
      <w:pPr>
        <w:spacing w:after="0" w:line="1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Professional includes Kaplan’s domestic and overseas professional businesses. Professional revenue grew 16% and 15% in the third quarter and first nine months of 2007 largely due to the May 2006 acquisition of Tribeca; the March 2007 acquisition of EduNeering Holdings, Inc., a Princeton, NJ-based provider of knowledge management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solutions for organizations in the pharmaceutical, medical device, healthcare, energy and manufacturing sectors; and the August 2007 acquisition of the education division of Financial Services Institute of Australia. Excluding revenue from acquired businesses, Professional revenue grew 7% in the third quarter of 2007 and 6% in the first nine months of 2007. The revenue increases are a result of higher revenues at Kaplan Professional (UK) due primarily to favorable exchange rates and from growth in the Schweser CFA exam course offerings, offset by continued soft market demand for Professional’s insurance, securities, real estate book publishing and real estate course offerings. Operating income increased for the first nine months of 2007 due to the $6.9 million in transition costs at Tribeca in 2006, offset by weakness in Professional’s insurance, securities and real estate businesses. Kaplan Professional (UK) operating results are down in the third quarter and first nine months of 2007 due to increases in staffing, occupancy and business development expenses associated with the overall growth in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Corporate represents unallocated expenses of Kaplan, Inc.’s corporate office and other minor activities.</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Other includes charges for incentive compensation arising from equity awards under the Kaplan stock option plan, which was established for certain members of Kaplan’s management. Kaplan recorded stock compensation expense of $12.0 million and $5.9 million in the third quarter of 2007 and 2006, respectively, and $35.3 million and $11.2 million in the first nine months of 2007 and 2006, respectively, related to this plan (excluding stock compensation recorded in the first quarter of 2006 related to a change in accounting discussed below). In addition, Other includes amortization of certain intangibles, which increased due to recent Kaplan acquisitions.</w:t>
      </w:r>
    </w:p>
    <w:p>
      <w:pPr>
        <w:spacing w:after="0" w:line="13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 xml:space="preserve">Newspaper Publishing Division. </w:t>
      </w:r>
      <w:r>
        <w:rPr>
          <w:rFonts w:ascii="Arial" w:cs="Arial" w:eastAsia="Arial" w:hAnsi="Arial"/>
          <w:sz w:val="16"/>
          <w:szCs w:val="16"/>
          <w:color w:val="auto"/>
        </w:rPr>
        <w:t>Newspaper publishing division revenue totaled $210.2 million for the third quarter of 2007, a decrease of 7% from $225.6</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in the third quarter of 2006; division revenue decreased 8% to $657.2 million for the first nine months of 2007, from $714.7 million for the first nine months of 2006. Division operating income for the third quarter declined 50% to $8.8 million, from $17.7 million in the third quarter of 2006; operating income increased 21% to $41.5 million for the first nine months of 2007, compared to $34.3 million for the first nine months of 2006. The decline in operating results for the third quarter is due primarily to a decline in division revenues and a $2.3 million pre-tax gain on the sale of property in 2006, offset by a reduction in newspaper division operating expenses, including a newsprint expense decline of 22%. The increase in operating income for the first nine months of 2007 is due primarily to $47.1 million in pre-tax charges associated with early retirement plan buyouts at The Washington Post during 2006. Excluding this charge, operating income was down for the first nine months of 2007 due to a decline in division revenues, partially offset by a reduction in newspaper division operating expenses, including a 20% reduction in newsprint expense.</w:t>
      </w:r>
    </w:p>
    <w:p>
      <w:pPr>
        <w:spacing w:after="0" w:line="11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Print advertising revenue at The Post in the third quarter declined 13% to $113.1 million, from $129.4 million in the third quarter of 2006, and decreased 14% to $366.6 million for the first nine months of 2007, from $427.6 million in the same period of 2006. The declines are due to reductions in real estate, classified, retail and zones. Classified recruitment advertising revenue declined 27% to $12.4 million for the third quarter of 2007, from $17.0 million in the third quarter of 2006, and was down 26% to $41.3 million in the first nine months of 2007, compared to $55.6 million in the first nine months of 2006.</w:t>
      </w:r>
    </w:p>
    <w:p>
      <w:pPr>
        <w:spacing w:after="0" w:line="113"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For the first nine months of 2007, Post daily and Sunday circulation declined 3.5% and 3.7%, respectively, compared to the same period of the prior year. For the nine months ended September 30, 2007, average daily circulation at The Post totaled 638,800 and average Sunday circulation totaled 905,300.</w:t>
      </w:r>
    </w:p>
    <w:p>
      <w:pPr>
        <w:spacing w:after="0" w:line="8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Revenue generated by the Company’s online publishing activities, primarily washingtonpost.com, increased 11% to $27.2 million for the third quarter of 2007, from $24.5 million for the third quarter of 2006; online revenues increased 11%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$80.5 million in the first nine months of 2007, from $72.7 million for the first nine months of 2006. Display online advertising revenues grew 15% and 16% for the third quarter and first nine months of 2007, respectively. Online classified advertising revenue on washingtonpost.com increased 12% and 9% for the third quarter and first nine months of 2007, respectively. A small portion of the Company’s online publishing revenues is included in the magazine publishing division.</w:t>
      </w:r>
    </w:p>
    <w:p>
      <w:pPr>
        <w:spacing w:after="0" w:line="101"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b w:val="1"/>
          <w:bCs w:val="1"/>
          <w:color w:val="auto"/>
        </w:rPr>
        <w:t xml:space="preserve">Television Broadcasting Division. </w:t>
      </w:r>
      <w:r>
        <w:rPr>
          <w:rFonts w:ascii="Arial" w:cs="Arial" w:eastAsia="Arial" w:hAnsi="Arial"/>
          <w:sz w:val="16"/>
          <w:szCs w:val="16"/>
          <w:color w:val="auto"/>
        </w:rPr>
        <w:t>Revenue for the television broadcasting division decreased 5% in the third quarter of 2007 to $77.8 million, from $82.2</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in 2006; operating income for the third quarter of 2007 increased 10% to $36.0 million, from $32.9 million in 2006. The decrease in revenue is due to a $7.6 million decline in third quarter 2007 political advertising revenue. The increase in operating income is due to a $9.5 million gain on the sale of property at the Miami television station; this was offset by revenue declines and increased programming expenses.</w:t>
      </w:r>
    </w:p>
    <w:p>
      <w:pPr>
        <w:spacing w:after="0" w:line="10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July 2007, the Company entered into a transaction to sell and lease back its current Miami television station facility; a $9.5 million gain was recorded as a reduction to expense in the third quarter of 2007. The Company has purchased land and is building a new Miami television station facility, which is expected to be completed in 2009.</w:t>
      </w:r>
    </w:p>
    <w:p>
      <w:pPr>
        <w:spacing w:after="0" w:line="140"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For the first nine months of 2007, revenue decreased 4% to $246.5 million, from $257.1 million; operating income for the first nine months of 2007 declined 9% to $100.6 million, from $111.0 million in the same period of 2006. The decrease in revenue is due to $6.3 million in incremental winter Olympics-related advertising at the Company’s NBC affiliates in the first quarter of 2006 and a $9.9 million decrease in political advertising revenue. The decline in operating income is due to the revenue declines and increased programming expenses, offset by the $9.5 million gain on the sale of property at the Miami television station.</w:t>
      </w:r>
    </w:p>
    <w:p>
      <w:pPr>
        <w:spacing w:after="0" w:line="9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color w:val="auto"/>
        </w:rPr>
        <w:t>Magazine Publishing Division</w:t>
      </w:r>
      <w:r>
        <w:rPr>
          <w:rFonts w:ascii="Arial" w:cs="Arial" w:eastAsia="Arial" w:hAnsi="Arial"/>
          <w:sz w:val="16"/>
          <w:szCs w:val="16"/>
          <w:color w:val="auto"/>
        </w:rPr>
        <w:t>. Revenue for the magazine publishing division totaled $62.5 million for the third quarter of 2007, an 18% decline from $76.1</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third quarter of 2006; division revenue totaled $197.1 million for the first nine months of 2007, a 16% decrease from $235.1 million for the first nine months of 2006. Magazine publishing division results in the third quarter and first nine months of 2006 included revenue of $6.3 million and $19.6 million, respectively, from PostNewsweek Tech Media, which was sold in December 2006. The remainder of the revenue declines is due primarily to a 13% and 12% reduction in Newsweek advertising revenue for the third quarter and first nine months of 2007, respectively, due to fewer ad pages and lower rates at both the Newsweek domestic and international editions, offset by increases at Arthur Frommer’s Budget Travel.</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Operating income totaled $7.0 million in the third quarter of 2007, an increase from $0.1 million for the third quarter of 2006. Magazine publishing division results in the third quarter of 2006 included an operating loss of $8.1 million from PostNewsweek Tech Media, largely the result of a goodwill impairment charge of $9.9 million. Excluding PostNewsweek Tech Media, operating income at the magazine publishing division was down, due primarily to advertising revenue reductions, offset by lower overall operating expenses. Operating income totaled $13.9 million for the first nine months of 2007, an increase from $10.5 million in the first nine months of 2006. Magazine publishing division results in the first nine months of 2006 included an operating loss of $7.3 million from PostNewsweek Tech Media, largely the result of a goodwill impairment charge of $9.9 million. Excluding PostNewsweek Tech Media, operating income at the magazine publishing division was down, due primarily to advertising revenue reductions, offset by lower overall operating costs and an increased pension credit.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Cable Television Division</w:t>
      </w:r>
      <w:r>
        <w:rPr>
          <w:rFonts w:ascii="Arial" w:cs="Arial" w:eastAsia="Arial" w:hAnsi="Arial"/>
          <w:sz w:val="18"/>
          <w:szCs w:val="18"/>
          <w:color w:val="auto"/>
        </w:rPr>
        <w:t>. Cable division revenue of $157.8 million for the third quarter of 2007 represents an 11% increase over 2006 third quarter revenue of</w:t>
      </w:r>
      <w:r>
        <w:rPr>
          <w:rFonts w:ascii="Arial" w:cs="Arial" w:eastAsia="Arial" w:hAnsi="Arial"/>
          <w:sz w:val="18"/>
          <w:szCs w:val="18"/>
          <w:b w:val="1"/>
          <w:bCs w:val="1"/>
          <w:color w:val="auto"/>
        </w:rPr>
        <w:t xml:space="preserve"> </w:t>
      </w:r>
      <w:r>
        <w:rPr>
          <w:rFonts w:ascii="Arial" w:cs="Arial" w:eastAsia="Arial" w:hAnsi="Arial"/>
          <w:sz w:val="18"/>
          <w:szCs w:val="18"/>
          <w:color w:val="auto"/>
        </w:rPr>
        <w:t>$142.3 million; for the first nine months of 2007, revenue increased 10% to $461.1 million, from $418.6 million in the same period of 2006. The 2007 revenue increase is due to continued growth in the division’s cable modem and digital revenues, along with revenues from telephone services. The cable division last implemented a basic video cable service rate increase of $3 per month at most of its systems effective February 1, 2006. The Company does not plan to implement an overall basic video cable rate increase in 2007; however, in September 2007, a $3.05 monthly rate increase was implemented for a majority of high-speed data subscribers.</w:t>
      </w:r>
    </w:p>
    <w:p>
      <w:pPr>
        <w:spacing w:after="0" w:line="14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Cable division operating income increased to $29.8 million in the third quarter of 2007, versus $27.9 million in the third quarter of 2006; cable division operating income for the first nine months of 2007 declined to $89.9 million, from $93.2 million for the first nine months of 2006. Cable division results for the first nine months of 2006 benefited from $10.4 million in insurance recoveries from cable division losses related to Hurricane Katrina. Excluding the insurance recoveries, cable division operating income increased in the first nine months of 2007, along with improved results in the third quarter of 2007. These increases are due to the division’s revenue growth, offset by higher depreciation expense and increases in programming, telephony and technical costs.</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September 30, 2007, Revenue Generating Units (RGUs) grew 10% due to continued growth in high-speed data and telephony subscribers and increases in the basic video and digital video subscriber categories. The cable division began offering telephone service on a very limited basis in the second quarter of 2006; as of September 30, 2007, telephone service is being offered in all or part of systems representing 88% of homes passed. RGUs include about 7,000 subscribers who receive free basic cable service, primarily local governments, schools and other organizations as required by the various franchise agreements. A summary of RGUs is as follows: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3"/>
              </w:rPr>
              <w:t>September 30,</w:t>
            </w:r>
          </w:p>
        </w:tc>
        <w:tc>
          <w:tcPr>
            <w:tcW w:w="4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September 30,</w:t>
            </w:r>
          </w:p>
        </w:tc>
      </w:tr>
      <w:tr>
        <w:trPr>
          <w:trHeight w:val="168"/>
        </w:trPr>
        <w:tc>
          <w:tcPr>
            <w:tcW w:w="7980" w:type="dxa"/>
            <w:vAlign w:val="bottom"/>
            <w:gridSpan w:val="2"/>
          </w:tcPr>
          <w:p>
            <w:pPr>
              <w:spacing w:after="0"/>
              <w:rPr>
                <w:sz w:val="20"/>
                <w:szCs w:val="20"/>
                <w:color w:val="auto"/>
              </w:rPr>
            </w:pPr>
            <w:r>
              <w:rPr>
                <w:rFonts w:ascii="Arial" w:cs="Arial" w:eastAsia="Arial" w:hAnsi="Arial"/>
                <w:sz w:val="14"/>
                <w:szCs w:val="14"/>
                <w:b w:val="1"/>
                <w:bCs w:val="1"/>
                <w:color w:val="auto"/>
              </w:rPr>
              <w:t>Cable Television Division Subscribers</w:t>
            </w:r>
          </w:p>
        </w:tc>
        <w:tc>
          <w:tcPr>
            <w:tcW w:w="126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2007</w:t>
            </w:r>
          </w:p>
        </w:tc>
        <w:tc>
          <w:tcPr>
            <w:tcW w:w="126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699,268</w:t>
            </w:r>
          </w:p>
        </w:tc>
        <w:tc>
          <w:tcPr>
            <w:tcW w:w="4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689,981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Digital</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221,033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210,520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High-speed data</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329,815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276,434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Telephony</w:t>
            </w:r>
          </w:p>
        </w:tc>
        <w:tc>
          <w:tcPr>
            <w:tcW w:w="4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40,225</w:t>
            </w:r>
          </w:p>
        </w:tc>
        <w:tc>
          <w:tcPr>
            <w:tcW w:w="4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1,290,341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1,177,668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Below are details of Cable division capital expenditures for the first nine months of 2007 and 2006, as defined by the NCTA Standard Reporting Categories (in millions):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2007</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2006</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Customer Premise Equipment</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Commercial</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Scaleable Infrastructure</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Line Extensions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Upgrade/Rebuild</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Support Capital</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7"/>
        </w:trPr>
        <w:tc>
          <w:tcPr>
            <w:tcW w:w="51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102.5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104.8</w:t>
            </w:r>
          </w:p>
        </w:tc>
      </w:tr>
      <w:tr>
        <w:trPr>
          <w:trHeight w:val="20"/>
        </w:trPr>
        <w:tc>
          <w:tcPr>
            <w:tcW w:w="5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140"/>
        <w:spacing w:after="0" w:line="310" w:lineRule="auto"/>
        <w:rPr>
          <w:sz w:val="20"/>
          <w:szCs w:val="20"/>
          <w:color w:val="auto"/>
        </w:rPr>
      </w:pPr>
      <w:r>
        <w:rPr>
          <w:rFonts w:ascii="Arial" w:cs="Arial" w:eastAsia="Arial" w:hAnsi="Arial"/>
          <w:sz w:val="16"/>
          <w:szCs w:val="16"/>
          <w:b w:val="1"/>
          <w:bCs w:val="1"/>
          <w:color w:val="auto"/>
        </w:rPr>
        <w:t xml:space="preserve">Corporate Office. </w:t>
      </w:r>
      <w:r>
        <w:rPr>
          <w:rFonts w:ascii="Arial" w:cs="Arial" w:eastAsia="Arial" w:hAnsi="Arial"/>
          <w:sz w:val="16"/>
          <w:szCs w:val="16"/>
          <w:color w:val="auto"/>
        </w:rPr>
        <w:t>The corporate office operating expenses were $8.6 million and $27.6 million for the third quarter and first nine months of 2007, respectively,</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with $8.3 million and $30.3 million for the third quarter and first nine months of 2006, respectively. The decrease for the first nine months of 2007 is due to $3.8 million in pre-tax charges recorded in the second quarter of 2006 associated with early retirement plan buyouts at the corporate office.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October 2007, the Company acquired the outstanding stock of CourseAdvisor Inc., a premier online lead generation provider, headquartered in Wakefield, MA. In 2006, The Washington Post Company made a small investment in CourseAdvisor. Through its search engine marketing expertise and proprietary technology platform, CourseAdvisor generates student leads for the post-secondary education market. CourseAdvisor will operate as an independent subsidiary of The Washington Post Company.</w:t>
      </w:r>
    </w:p>
    <w:p>
      <w:pPr>
        <w:spacing w:after="0" w:line="13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Equity in Earnings (Losses) of Affiliates</w:t>
      </w:r>
      <w:r>
        <w:rPr>
          <w:rFonts w:ascii="Arial" w:cs="Arial" w:eastAsia="Arial" w:hAnsi="Arial"/>
          <w:sz w:val="16"/>
          <w:szCs w:val="16"/>
          <w:color w:val="auto"/>
        </w:rPr>
        <w:t>. The Company’s equity in losses of affiliates for the third quarter of 2007 was $0.6 million, compared to losses of $0.6</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third quarter of 2006. For the first nine months of 2007, the Company’s equity in earnings of affiliates totaled $8.3 million, compared to losses of $1.4 million for the same period of 2006. In the first quarter of 2007, the equity in earnings of affiliates included a gain of $8.9 million on the sale of land at the Company’s Bowater Mersey Paper Company Limited affiliate. The Company holds a 49% interest in Bowater Mersey Paper Company.</w:t>
      </w:r>
    </w:p>
    <w:p>
      <w:pPr>
        <w:spacing w:after="0" w:line="10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Other Non-Operating Income (Expense). </w:t>
      </w:r>
      <w:r>
        <w:rPr>
          <w:rFonts w:ascii="Arial" w:cs="Arial" w:eastAsia="Arial" w:hAnsi="Arial"/>
          <w:sz w:val="18"/>
          <w:szCs w:val="18"/>
          <w:color w:val="auto"/>
        </w:rPr>
        <w:t>The Company recorded other non-operating income, net, of $10.1 million for the third quarter of 2007,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non-operating income, net, of $4.7 million for the third quarter of 2006. The third quarter 2007 non-operating income, net, included $9.2 million in foreign currency gains. The third quarter 2006 non-operating income, net, included $2.0 million in pre-tax gains related to sales of marketable securities and $2.9 million in foreign currency gains, offset by other non-operating items.</w:t>
      </w:r>
    </w:p>
    <w:p>
      <w:pPr>
        <w:spacing w:after="0" w:line="142"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The Company recorded other non-operating income, net, of $15.3 million for the first nine months of 2007, compared to other non-operating income, net, of $38.2 million for the same period of the prior year. The 2007 non-operating income included $13.8 million in foreign currency gains. The 2006 non-operating income, net, included pre-tax gains of $33.6 million related to the sales of marketable securities and foreign currency gains of $5.8 million.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non-operating income (expense) for the thirty-nine weeks ended September 30, 2007 and October 1, 2006, is as follows (in millions):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gains, net</w:t>
            </w:r>
          </w:p>
        </w:tc>
        <w:tc>
          <w:tcPr>
            <w:tcW w:w="3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Gains on sale of marketable equity securities</w:t>
            </w:r>
          </w:p>
        </w:tc>
        <w:tc>
          <w:tcPr>
            <w:tcW w:w="242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33.6</w:t>
            </w:r>
          </w:p>
        </w:tc>
        <w:tc>
          <w:tcPr>
            <w:tcW w:w="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Gain (loss) on cost method and other investments</w:t>
            </w:r>
          </w:p>
        </w:tc>
        <w:tc>
          <w:tcPr>
            <w:tcW w:w="3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(0.8)</w:t>
            </w: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Other gains (losses), net</w:t>
            </w:r>
          </w:p>
        </w:tc>
        <w:tc>
          <w:tcPr>
            <w:tcW w:w="24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7"/>
              </w:rPr>
              <w:t>(0.4)</w:t>
            </w: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42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15.3</w:t>
            </w: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38.2</w:t>
            </w:r>
          </w:p>
        </w:tc>
        <w:tc>
          <w:tcPr>
            <w:tcW w:w="60" w:type="dxa"/>
            <w:vAlign w:val="bottom"/>
            <w:shd w:val="clear" w:color="auto" w:fill="CCEEFF"/>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auto"/>
        </w:rPr>
        <w:t>Net Interest Expense</w:t>
      </w:r>
      <w:r>
        <w:rPr>
          <w:rFonts w:ascii="Arial" w:cs="Arial" w:eastAsia="Arial" w:hAnsi="Arial"/>
          <w:sz w:val="18"/>
          <w:szCs w:val="18"/>
          <w:color w:val="auto"/>
        </w:rPr>
        <w:t>. The Company incurred net interest expense of $3.0 million and $9.1 million for the third quarter and first nine months of 2007,</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compared to $3.4 million and $12.0 million for the same periods of 2006. At September 30, 2007, the Company had $405.8 million in borrowings outstanding at an average interest rate of 5.5%.</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r>
        <w:rPr>
          <w:rFonts w:ascii="Arial" w:cs="Arial" w:eastAsia="Arial" w:hAnsi="Arial"/>
          <w:sz w:val="18"/>
          <w:szCs w:val="18"/>
          <w:color w:val="auto"/>
        </w:rPr>
        <w:t>. The effective tax rate for the third quarter of 2007 was 38.0%, compared to 32.9% for the third quarter of 2006.</w:t>
      </w:r>
    </w:p>
    <w:p>
      <w:pPr>
        <w:spacing w:after="0" w:line="1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effective tax rate for the first nine months of 2007 was 39.9%, compared to 36.5% for the first nine months of 2006. As previously discussed, results for the first nine months of 2007 included an additional $12.9 million in income tax expense related to the Company’s Bowater Mersey affiliate and a $6.3 million income tax benefit related to a change in certain state income tax laws enacted in the second quarter of 2007. Both of these are non-cash items in the current period, impacting the Company’s long-term net deferred income tax liabilities. Excluding the impact of these items, the effective tax rate for the first nine months of 2007 was 38.0%.</w:t>
      </w:r>
    </w:p>
    <w:p>
      <w:pPr>
        <w:spacing w:after="0" w:line="137" w:lineRule="exact"/>
        <w:rPr>
          <w:sz w:val="20"/>
          <w:szCs w:val="20"/>
          <w:color w:val="auto"/>
        </w:rPr>
      </w:pPr>
    </w:p>
    <w:p>
      <w:pPr>
        <w:jc w:val="both"/>
        <w:ind w:right="120"/>
        <w:spacing w:after="0" w:line="306" w:lineRule="auto"/>
        <w:rPr>
          <w:sz w:val="20"/>
          <w:szCs w:val="20"/>
          <w:color w:val="auto"/>
        </w:rPr>
      </w:pPr>
      <w:r>
        <w:rPr>
          <w:rFonts w:ascii="Arial" w:cs="Arial" w:eastAsia="Arial" w:hAnsi="Arial"/>
          <w:sz w:val="15"/>
          <w:szCs w:val="15"/>
          <w:b w:val="1"/>
          <w:bCs w:val="1"/>
          <w:color w:val="auto"/>
        </w:rPr>
        <w:t>Cumulative Effect of Change in Accounting Principle</w:t>
      </w:r>
      <w:r>
        <w:rPr>
          <w:rFonts w:ascii="Arial" w:cs="Arial" w:eastAsia="Arial" w:hAnsi="Arial"/>
          <w:sz w:val="15"/>
          <w:szCs w:val="15"/>
          <w:color w:val="auto"/>
        </w:rPr>
        <w:t>. In the first quarter of 2006, the Company adopted SFAS 123R, which requires companies to record the</w:t>
      </w:r>
      <w:r>
        <w:rPr>
          <w:rFonts w:ascii="Arial" w:cs="Arial" w:eastAsia="Arial" w:hAnsi="Arial"/>
          <w:sz w:val="15"/>
          <w:szCs w:val="15"/>
          <w:b w:val="1"/>
          <w:bCs w:val="1"/>
          <w:color w:val="auto"/>
        </w:rPr>
        <w:t xml:space="preserve"> </w:t>
      </w:r>
      <w:r>
        <w:rPr>
          <w:rFonts w:ascii="Arial" w:cs="Arial" w:eastAsia="Arial" w:hAnsi="Arial"/>
          <w:sz w:val="15"/>
          <w:szCs w:val="15"/>
          <w:color w:val="auto"/>
        </w:rPr>
        <w:t>cost of employee services in exchange for stock options based on the grant-date fair value of the awards. SFAS 123R did not have any impact on the Company’s results of operations for Company stock options as the Company adopted the fair-value-based method of accounting for Company stock options in 2002.</w:t>
      </w:r>
    </w:p>
    <w:p>
      <w:pPr>
        <w:spacing w:after="0" w:line="1"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However, the adoption of SFAS 123R required the Company to change its accounting for Kaplan equity awards from the intrinsic value method to the fair-value-based method of accounting. As a result, in the first quarter of 2006, the Company reported a $5.1 million after-tax charge for the cumulative effect of change in accounting for Kaplan equity awards ($8.2 million in pre-tax Kaplan stock compensation expense).</w:t>
      </w:r>
    </w:p>
    <w:p>
      <w:pPr>
        <w:spacing w:after="0" w:line="103" w:lineRule="exact"/>
        <w:rPr>
          <w:sz w:val="20"/>
          <w:szCs w:val="20"/>
          <w:color w:val="auto"/>
        </w:rPr>
      </w:pPr>
    </w:p>
    <w:p>
      <w:pPr>
        <w:ind w:right="300"/>
        <w:spacing w:after="0" w:line="310" w:lineRule="auto"/>
        <w:rPr>
          <w:sz w:val="20"/>
          <w:szCs w:val="20"/>
          <w:color w:val="auto"/>
        </w:rPr>
      </w:pPr>
      <w:r>
        <w:rPr>
          <w:rFonts w:ascii="Arial" w:cs="Arial" w:eastAsia="Arial" w:hAnsi="Arial"/>
          <w:sz w:val="16"/>
          <w:szCs w:val="16"/>
          <w:b w:val="1"/>
          <w:bCs w:val="1"/>
          <w:color w:val="auto"/>
        </w:rPr>
        <w:t xml:space="preserve">Earnings Per Share. </w:t>
      </w:r>
      <w:r>
        <w:rPr>
          <w:rFonts w:ascii="Arial" w:cs="Arial" w:eastAsia="Arial" w:hAnsi="Arial"/>
          <w:sz w:val="16"/>
          <w:szCs w:val="16"/>
          <w:color w:val="auto"/>
        </w:rPr>
        <w:t>The calculation of diluted earnings per share for the third quarter and first nine months of 2007 was based on 9,508,752 and 9,531,195</w:t>
      </w:r>
      <w:r>
        <w:rPr>
          <w:rFonts w:ascii="Arial" w:cs="Arial" w:eastAsia="Arial" w:hAnsi="Arial"/>
          <w:sz w:val="16"/>
          <w:szCs w:val="16"/>
          <w:b w:val="1"/>
          <w:bCs w:val="1"/>
          <w:color w:val="auto"/>
        </w:rPr>
        <w:t xml:space="preserve"> </w:t>
      </w:r>
      <w:r>
        <w:rPr>
          <w:rFonts w:ascii="Arial" w:cs="Arial" w:eastAsia="Arial" w:hAnsi="Arial"/>
          <w:sz w:val="16"/>
          <w:szCs w:val="16"/>
          <w:color w:val="auto"/>
        </w:rPr>
        <w:t>weighted average shares outstanding, respectively, compared to 9,616,651 and 9,611,950, respectively, for the third quarter and first nine months of 2006. The Company repurchased 54,506 shares of its Class B common stock at a cost of $42.0 million during the first nine months of 2007.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90"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Acquisitions and Dispositions. </w:t>
      </w:r>
      <w:r>
        <w:rPr>
          <w:rFonts w:ascii="Arial" w:cs="Arial" w:eastAsia="Arial" w:hAnsi="Arial"/>
          <w:sz w:val="16"/>
          <w:szCs w:val="16"/>
          <w:color w:val="auto"/>
        </w:rPr>
        <w:t>In the third quarter of 2007, Kaplan acquired two businesses in their professional division and one business in their higher</w:t>
      </w:r>
      <w:r>
        <w:rPr>
          <w:rFonts w:ascii="Arial" w:cs="Arial" w:eastAsia="Arial" w:hAnsi="Arial"/>
          <w:sz w:val="16"/>
          <w:szCs w:val="16"/>
          <w:b w:val="1"/>
          <w:bCs w:val="1"/>
          <w:color w:val="auto"/>
        </w:rPr>
        <w:t xml:space="preserve"> </w:t>
      </w:r>
      <w:r>
        <w:rPr>
          <w:rFonts w:ascii="Arial" w:cs="Arial" w:eastAsia="Arial" w:hAnsi="Arial"/>
          <w:sz w:val="16"/>
          <w:szCs w:val="16"/>
          <w:color w:val="auto"/>
        </w:rPr>
        <w:t>education division, totaling $43.3 million. These acquisitions include the education division of the Financial Services Institute of Australia. In the second quarter of 2007, the Company completed four business acquisitions, primarily in the education division, totaling $29.1 million. These included Kaplan higher education division’s acquisitions of Sagemont Virtual, a leader in the growing field of online high school instruction that has been doing business as the University of Miami Online High School, and Virtual Sage, a developer of online high school courses. In the first quarter of 2007, Kaplan acquired two businesses in their professional division totaling $115.8 million. These acquisitions included EduNeering Holdings, Inc.,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Princeton, N.J. based provider of knowledge management solutions for organizations in the pharmaceutical, medical device, healthcare, energy and manufacturing sectors. Also in the first quarter of 2007, the cable division acquired subscribers in the Boise, Idaho area for $4.3 million. Most of the purchase price for these acquisitions has been allocated to goodwill and other intangibles on a preliminary basis.</w:t>
      </w:r>
    </w:p>
    <w:p>
      <w:pPr>
        <w:spacing w:after="0" w:line="140"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In July 2007, the television broadcasting division entered into a transaction to sell and lease back its current Miami television station facility; a $9.5 million gain was recorded as a reduction to expense in the third quarter. An additional $1.9 million deferred gain will be amortized over the leaseback period. The television broadcasting division has purchased land and is building a new Miami television station facility which is expected to be completed in 2009.</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October 2007, the Company acquired the outstanding stock of CourseAdvisor Inc., a premier online lead generation provider, headquartered in Wakefield, MA. In 2006, The Washington Post Company made a small investment in CourseAdvisor. Through its search engine marketing expertise and proprietary technology platform, CourseAdvisor generates student leads for the post-secondary education market. CourseAdvisor will operate as an independent subsidiary of The Washington Post Company.</w:t>
      </w:r>
    </w:p>
    <w:p>
      <w:pPr>
        <w:spacing w:after="0" w:line="137" w:lineRule="exact"/>
        <w:rPr>
          <w:sz w:val="20"/>
          <w:szCs w:val="20"/>
          <w:color w:val="auto"/>
        </w:rPr>
      </w:pPr>
    </w:p>
    <w:p>
      <w:pPr>
        <w:jc w:val="both"/>
        <w:ind w:right="180"/>
        <w:spacing w:after="0" w:line="275"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the first nine months of 2007, the Company’s capital expenditures totaled $213.7 million. The Company estimates that its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will be in the range of $275 million to $300 million in 2007.</w:t>
      </w:r>
    </w:p>
    <w:p>
      <w:pPr>
        <w:spacing w:after="0" w:line="120" w:lineRule="exact"/>
        <w:rPr>
          <w:sz w:val="20"/>
          <w:szCs w:val="20"/>
          <w:color w:val="auto"/>
        </w:rPr>
      </w:pPr>
    </w:p>
    <w:p>
      <w:pPr>
        <w:jc w:val="both"/>
        <w:ind w:right="180"/>
        <w:spacing w:after="0" w:line="301" w:lineRule="auto"/>
        <w:rPr>
          <w:sz w:val="20"/>
          <w:szCs w:val="20"/>
          <w:color w:val="auto"/>
        </w:rPr>
      </w:pPr>
      <w:r>
        <w:rPr>
          <w:rFonts w:ascii="Arial" w:cs="Arial" w:eastAsia="Arial" w:hAnsi="Arial"/>
          <w:sz w:val="16"/>
          <w:szCs w:val="16"/>
          <w:b w:val="1"/>
          <w:bCs w:val="1"/>
          <w:color w:val="auto"/>
        </w:rPr>
        <w:t xml:space="preserve">Liquidity. </w:t>
      </w:r>
      <w:r>
        <w:rPr>
          <w:rFonts w:ascii="Arial" w:cs="Arial" w:eastAsia="Arial" w:hAnsi="Arial"/>
          <w:sz w:val="16"/>
          <w:szCs w:val="16"/>
          <w:color w:val="auto"/>
        </w:rPr>
        <w:t>The Company’s borrowings have declined by $1.4 million, to $405.8 million at September 30, 2007, as compared to borrowings of $407.2 million at</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2006</w:t>
      </w:r>
      <w:r>
        <w:rPr>
          <w:rFonts w:ascii="Arial" w:cs="Arial" w:eastAsia="Arial" w:hAnsi="Arial"/>
          <w:sz w:val="16"/>
          <w:szCs w:val="16"/>
          <w:i w:val="1"/>
          <w:iCs w:val="1"/>
          <w:color w:val="auto"/>
        </w:rPr>
        <w:t>.</w:t>
      </w:r>
      <w:r>
        <w:rPr>
          <w:rFonts w:ascii="Arial" w:cs="Arial" w:eastAsia="Arial" w:hAnsi="Arial"/>
          <w:sz w:val="16"/>
          <w:szCs w:val="16"/>
          <w:color w:val="auto"/>
        </w:rPr>
        <w:t xml:space="preserve"> At September 30, 2007, the Company has $330.6 million in cash and cash equivalents, compared to $348.1 million at December 31, 2006. The Company had commercial paper and money market investments of $123.0 million and $142.9 million that are classified ad “Cash and cash equivalents” in the Company’s Consolidated Balance Sheet as of September 30, 2007and December 31, 2006, respectively.</w:t>
      </w:r>
    </w:p>
    <w:p>
      <w:pPr>
        <w:spacing w:after="0" w:line="109"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At September 30, 2007, the Company had $405.8 million in total debt outstanding, which comprised $399.6 million of 5.5 percent unsecured notes due February 15, 2009, and $6.2 million in other debt.</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third quarter of 2007 and 2006, the Company had average borrowings outstanding of approximately $405.7 million and $417.5 million, respectively, at average annual interest rates of approximately 5.5%. During the third quarter of 2007 and 2006, the Company incurred net interest expense of $3.0 million and $3.4 million, respectively.</w:t>
      </w:r>
    </w:p>
    <w:p>
      <w:pPr>
        <w:spacing w:after="0" w:line="140"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During the first nine months of 2007 and 2006, the Company had average borrowings outstanding of approximately $405.6 million and $422.2 million, respectively, at average annual interest rates of approximately 5.5%, respectively. During the first nine months of 2007 and 2006, the Company incurred net interest expense of $9.1 million and $12.0 million, respectively.</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At September 30, 2007, the Company had a working capital deficit of $11.7 million and at December 31, 2006, the Company had working capital of $131.6 million.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In management’s opinion, the Company will have ample liquidity to meet its various cash needs throughout 2007.</w:t>
      </w:r>
    </w:p>
    <w:p>
      <w:pPr>
        <w:spacing w:after="0" w:line="11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There were no significant changes to the Company’s contractual obligations or other commercial commitments from those disclosed in the Company’s Annual Report on Form 10-K for the year ended December 31, 2006.</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various risks and uncertainties that could cause actual results or events to differ materially from those anticipated in such statements. For more information about these forward-looking statements and related risks, please refer to the section titled “Forward-Looking Statements” in Part I of the Company’s Annual Report on Form 10-K for the fiscal year ended December 31, 2006.</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2006 Annual Report filed on Form 10-K have not otherwise changed significantly.</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Evaluation of Disclosure Controls and Procedures</w:t>
      </w:r>
    </w:p>
    <w:p>
      <w:pPr>
        <w:spacing w:after="0" w:line="90"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An evaluation was performed by the Company’s management, with the participation of the Company’s Chief Executive Officer (the Company’s principal executive officer) and the Company’s Vice President-Finance (the Company’s principal financial officer), of the effectiveness of the Company’s disclosure controls and procedures (as defined in Exchange Act Rules 13a-15(e) and 15d-15(e)), as of September 30, 2007. Based on that evaluation, the Company’s Chief Executive Officer and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Vice President—Finance, in a manner that allows timely decisions regarding required disclosure.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Changes in Internal Control Over Financial Reporting</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September 30, 2007 that has materially affected, or is reasonably likely to materially affect, the Company’s internal control over financial reporting.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nine months ended September 30, 2007, the Company purchased shares of its Class B Common Stock as set forth in the following table: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Total Number</w:t>
            </w: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of Shares</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Average</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Part of</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3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Price</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Publicly</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Purchased</w:t>
            </w:r>
          </w:p>
        </w:tc>
        <w:tc>
          <w:tcPr>
            <w:tcW w:w="0" w:type="dxa"/>
            <w:vAlign w:val="bottom"/>
          </w:tcPr>
          <w:p>
            <w:pPr>
              <w:spacing w:after="0"/>
              <w:rPr>
                <w:sz w:val="1"/>
                <w:szCs w:val="1"/>
                <w:color w:val="auto"/>
              </w:rPr>
            </w:pPr>
          </w:p>
        </w:tc>
      </w:tr>
      <w:tr>
        <w:trPr>
          <w:trHeight w:val="149"/>
        </w:trPr>
        <w:tc>
          <w:tcPr>
            <w:tcW w:w="7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3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Paid per</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Announced</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48"/>
        </w:trPr>
        <w:tc>
          <w:tcPr>
            <w:tcW w:w="7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Purchased</w:t>
            </w:r>
          </w:p>
        </w:tc>
        <w:tc>
          <w:tcPr>
            <w:tcW w:w="320" w:type="dxa"/>
            <w:vAlign w:val="bottom"/>
          </w:tcPr>
          <w:p>
            <w:pPr>
              <w:spacing w:after="0"/>
              <w:rPr>
                <w:sz w:val="12"/>
                <w:szCs w:val="12"/>
                <w:color w:val="auto"/>
              </w:rPr>
            </w:pPr>
          </w:p>
        </w:tc>
        <w:tc>
          <w:tcPr>
            <w:tcW w:w="90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7"/>
              </w:rPr>
              <w:t>Share</w:t>
            </w:r>
          </w:p>
        </w:tc>
        <w:tc>
          <w:tcPr>
            <w:tcW w:w="114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6"/>
              </w:rPr>
              <w:t>Plan*</w:t>
            </w:r>
          </w:p>
        </w:tc>
        <w:tc>
          <w:tcPr>
            <w:tcW w:w="72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96"/>
              </w:rPr>
              <w:t>Plan*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Jan. 1 – Feb. 4, 2007</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12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$747.42</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5,330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Mar. 5 – Apr. 1, 2007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15,176</w:t>
            </w: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89"/>
              </w:rPr>
              <w:t>$766.00</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15,176</w:t>
            </w:r>
          </w:p>
        </w:tc>
        <w:tc>
          <w:tcPr>
            <w:tcW w:w="700" w:type="dxa"/>
            <w:vAlign w:val="bottom"/>
          </w:tcPr>
          <w:p>
            <w:pPr>
              <w:jc w:val="right"/>
              <w:spacing w:after="0"/>
              <w:rPr>
                <w:sz w:val="20"/>
                <w:szCs w:val="20"/>
                <w:color w:val="auto"/>
              </w:rPr>
            </w:pPr>
            <w:r>
              <w:rPr>
                <w:rFonts w:ascii="Arial" w:cs="Arial" w:eastAsia="Arial" w:hAnsi="Arial"/>
                <w:sz w:val="18"/>
                <w:szCs w:val="18"/>
                <w:color w:val="auto"/>
              </w:rPr>
              <w:t>444,994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Jul. 1 – Aug. 5, 2007</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122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777.25</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2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54,506</w:t>
            </w: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89"/>
              </w:rPr>
              <w:t>$771.20</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54,506</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220" w:right="40" w:hanging="212"/>
        <w:spacing w:after="0" w:line="287" w:lineRule="auto"/>
        <w:tabs>
          <w:tab w:leader="none" w:pos="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September 22, 2003, the Company’s Board of Directors authorized the Company to purchase, on the open market or otherwise, up to 542,800 shares of its Class B Common Stock, and the existence of that authorization was disclosed in the Company’s Annual Report on Form 10-K for the fiscal year ended December 28, 2003. There is no expiration date for that authorization. In the first nine months of 2007, 5,005 shares were purchased from recipients of vested awards of restricted shares at market price and 49,176 shares were purchased from two different estates. All other purchases made during the first nine months ended September 30, 2007 were open-market transactions. Under the Company’s Incentive Compensation Plan, the Compensation Committee may permit the recipient of a vested award of restricted shares of the Company’s Class B Common Stock to receive some or all of the value of the award in cash rather than in shares. In addition, under the Company’s Stock Option Plan, the holder of a vested stock option has the right to pay some or all of the exercise price of the option by surrendering shares of the Company’s Class B Common Stock owned by such holder. There were 5,005 share conversions of vested restricted shares into cash during the period covered by this table. There were no surrenders of owned shares to pay for the exercise price of stock options that occurred during the period covered by this table.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w w:val="91"/>
              </w:rPr>
              <w:t>Item 6.</w:t>
            </w:r>
          </w:p>
        </w:tc>
        <w:tc>
          <w:tcPr>
            <w:tcW w:w="1000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0"/>
        </w:trPr>
        <w:tc>
          <w:tcPr>
            <w:tcW w:w="960" w:type="dxa"/>
            <w:vAlign w:val="bottom"/>
            <w:gridSpan w:val="2"/>
          </w:tcPr>
          <w:p>
            <w:pPr>
              <w:ind w:left="46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24"/>
                <w:szCs w:val="24"/>
                <w:color w:val="auto"/>
              </w:rPr>
            </w:pPr>
          </w:p>
        </w:tc>
        <w:tc>
          <w:tcPr>
            <w:tcW w:w="96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960" w:type="dxa"/>
            <w:vAlign w:val="bottom"/>
            <w:gridSpan w:val="2"/>
          </w:tcPr>
          <w:p>
            <w:pPr>
              <w:ind w:left="460"/>
              <w:spacing w:after="0"/>
              <w:rPr>
                <w:sz w:val="20"/>
                <w:szCs w:val="20"/>
                <w:color w:val="auto"/>
              </w:rPr>
            </w:pPr>
            <w:r>
              <w:rPr>
                <w:rFonts w:ascii="Arial" w:cs="Arial" w:eastAsia="Arial" w:hAnsi="Arial"/>
                <w:sz w:val="14"/>
                <w:szCs w:val="14"/>
                <w:b w:val="1"/>
                <w:bCs w:val="1"/>
                <w:color w:val="auto"/>
                <w:w w:val="90"/>
              </w:rPr>
              <w:t>Number</w:t>
            </w:r>
          </w:p>
        </w:tc>
        <w:tc>
          <w:tcPr>
            <w:tcW w:w="400" w:type="dxa"/>
            <w:vAlign w:val="bottom"/>
          </w:tcPr>
          <w:p>
            <w:pPr>
              <w:spacing w:after="0"/>
              <w:rPr>
                <w:sz w:val="14"/>
                <w:szCs w:val="14"/>
                <w:color w:val="auto"/>
              </w:rPr>
            </w:pPr>
          </w:p>
        </w:tc>
        <w:tc>
          <w:tcPr>
            <w:tcW w:w="9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60" w:type="dxa"/>
            <w:vAlign w:val="bottom"/>
          </w:tcPr>
          <w:p>
            <w:pPr>
              <w:spacing w:after="0"/>
              <w:rPr>
                <w:sz w:val="17"/>
                <w:szCs w:val="17"/>
                <w:color w:val="auto"/>
              </w:rPr>
            </w:pPr>
          </w:p>
        </w:tc>
        <w:tc>
          <w:tcPr>
            <w:tcW w:w="500" w:type="dxa"/>
            <w:vAlign w:val="bottom"/>
            <w:tcBorders>
              <w:top w:val="single" w:sz="8" w:color="auto"/>
            </w:tcBorders>
          </w:tcPr>
          <w:p>
            <w:pPr>
              <w:jc w:val="right"/>
              <w:ind w:right="92"/>
              <w:spacing w:after="0" w:line="201" w:lineRule="exact"/>
              <w:rPr>
                <w:sz w:val="20"/>
                <w:szCs w:val="20"/>
                <w:color w:val="auto"/>
              </w:rPr>
            </w:pPr>
            <w:r>
              <w:rPr>
                <w:rFonts w:ascii="Arial" w:cs="Arial" w:eastAsia="Arial" w:hAnsi="Arial"/>
                <w:sz w:val="18"/>
                <w:szCs w:val="18"/>
                <w:color w:val="auto"/>
              </w:rPr>
              <w:t>3.1</w:t>
            </w:r>
          </w:p>
        </w:tc>
        <w:tc>
          <w:tcPr>
            <w:tcW w:w="400" w:type="dxa"/>
            <w:vAlign w:val="bottom"/>
          </w:tcPr>
          <w:p>
            <w:pPr>
              <w:spacing w:after="0"/>
              <w:rPr>
                <w:sz w:val="17"/>
                <w:szCs w:val="17"/>
                <w:color w:val="auto"/>
              </w:rPr>
            </w:pPr>
          </w:p>
        </w:tc>
        <w:tc>
          <w:tcPr>
            <w:tcW w:w="9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4"/>
              </w:rPr>
              <w:t>Restated Certificate of Incorporation of the Company dated November 13, 2003 (incorporated by reference to Exhibit 3.1 to the</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Company’s Annual Report on Form 10-K for the fiscal year ended December 28, 2003).</w:t>
            </w:r>
          </w:p>
        </w:tc>
        <w:tc>
          <w:tcPr>
            <w:tcW w:w="0" w:type="dxa"/>
            <w:vAlign w:val="bottom"/>
          </w:tcPr>
          <w:p>
            <w:pPr>
              <w:spacing w:after="0"/>
              <w:rPr>
                <w:sz w:val="1"/>
                <w:szCs w:val="1"/>
                <w:color w:val="auto"/>
              </w:rPr>
            </w:pPr>
          </w:p>
        </w:tc>
      </w:tr>
      <w:tr>
        <w:trPr>
          <w:trHeight w:val="318"/>
        </w:trPr>
        <w:tc>
          <w:tcPr>
            <w:tcW w:w="960" w:type="dxa"/>
            <w:vAlign w:val="bottom"/>
            <w:gridSpan w:val="2"/>
          </w:tcPr>
          <w:p>
            <w:pPr>
              <w:jc w:val="right"/>
              <w:ind w:right="92"/>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Arial" w:cs="Arial" w:eastAsia="Arial" w:hAnsi="Arial"/>
                <w:sz w:val="18"/>
                <w:szCs w:val="18"/>
                <w:color w:val="auto"/>
                <w:w w:val="89"/>
              </w:rPr>
              <w:t>Certificate of Designation for the Company’s Series A Preferred Stock dated September 22, 2003 (incorporated by reference to Exhibit</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3.2 to Amendment No. 1 to the Company’s Current Report on Form 8-K dated September 22, 2003).</w:t>
            </w:r>
          </w:p>
        </w:tc>
        <w:tc>
          <w:tcPr>
            <w:tcW w:w="0" w:type="dxa"/>
            <w:vAlign w:val="bottom"/>
          </w:tcPr>
          <w:p>
            <w:pPr>
              <w:spacing w:after="0"/>
              <w:rPr>
                <w:sz w:val="1"/>
                <w:szCs w:val="1"/>
                <w:color w:val="auto"/>
              </w:rPr>
            </w:pPr>
          </w:p>
        </w:tc>
      </w:tr>
      <w:tr>
        <w:trPr>
          <w:trHeight w:val="318"/>
        </w:trPr>
        <w:tc>
          <w:tcPr>
            <w:tcW w:w="960" w:type="dxa"/>
            <w:vAlign w:val="bottom"/>
            <w:gridSpan w:val="2"/>
          </w:tcPr>
          <w:p>
            <w:pPr>
              <w:jc w:val="right"/>
              <w:ind w:right="92"/>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Arial" w:cs="Arial" w:eastAsia="Arial" w:hAnsi="Arial"/>
                <w:sz w:val="18"/>
                <w:szCs w:val="18"/>
                <w:color w:val="auto"/>
                <w:w w:val="93"/>
              </w:rPr>
              <w:t>By-Laws of the Company as amended and restated through September 22, 2003 (incorporated by reference to Exhibit 3.4 to the</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Company’s Current Report on Form 8-K dated September 22, 2003).</w:t>
            </w:r>
          </w:p>
        </w:tc>
        <w:tc>
          <w:tcPr>
            <w:tcW w:w="0" w:type="dxa"/>
            <w:vAlign w:val="bottom"/>
          </w:tcPr>
          <w:p>
            <w:pPr>
              <w:spacing w:after="0"/>
              <w:rPr>
                <w:sz w:val="1"/>
                <w:szCs w:val="1"/>
                <w:color w:val="auto"/>
              </w:rPr>
            </w:pPr>
          </w:p>
        </w:tc>
      </w:tr>
      <w:tr>
        <w:trPr>
          <w:trHeight w:val="318"/>
        </w:trPr>
        <w:tc>
          <w:tcPr>
            <w:tcW w:w="960" w:type="dxa"/>
            <w:vAlign w:val="bottom"/>
            <w:gridSpan w:val="2"/>
          </w:tcPr>
          <w:p>
            <w:pPr>
              <w:jc w:val="right"/>
              <w:ind w:right="92"/>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Arial" w:cs="Arial" w:eastAsia="Arial" w:hAnsi="Arial"/>
                <w:sz w:val="18"/>
                <w:szCs w:val="18"/>
                <w:color w:val="auto"/>
                <w:w w:val="90"/>
              </w:rPr>
              <w:t>Form of the Company’s 5.50% Notes due February 15, 2009, issued under the Indenture dated as of February 17, 1999, between the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w w:val="93"/>
              </w:rPr>
              <w:t>Company and The First National Bank of Chicago, as Trustee (incorporated by reference to Exhibit 4.2 to the Company’s Annual</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Report on Form 10-K for the fiscal year ended January 3, 1999).</w:t>
            </w:r>
          </w:p>
        </w:tc>
        <w:tc>
          <w:tcPr>
            <w:tcW w:w="0" w:type="dxa"/>
            <w:vAlign w:val="bottom"/>
          </w:tcPr>
          <w:p>
            <w:pPr>
              <w:spacing w:after="0"/>
              <w:rPr>
                <w:sz w:val="1"/>
                <w:szCs w:val="1"/>
                <w:color w:val="auto"/>
              </w:rPr>
            </w:pPr>
          </w:p>
        </w:tc>
      </w:tr>
      <w:tr>
        <w:trPr>
          <w:trHeight w:val="318"/>
        </w:trPr>
        <w:tc>
          <w:tcPr>
            <w:tcW w:w="960" w:type="dxa"/>
            <w:vAlign w:val="bottom"/>
            <w:gridSpan w:val="2"/>
          </w:tcPr>
          <w:p>
            <w:pPr>
              <w:jc w:val="right"/>
              <w:ind w:right="92"/>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Arial" w:cs="Arial" w:eastAsia="Arial" w:hAnsi="Arial"/>
                <w:sz w:val="18"/>
                <w:szCs w:val="18"/>
                <w:color w:val="auto"/>
                <w:w w:val="90"/>
              </w:rPr>
              <w:t>Indenture dated as of February 17, 1999, between the Company and The First National Bank of Chicago, as Trustee (incorporated by</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reference to the Company’s Annual Report on Form 10-K for the fiscal year ended January 3, 1999).</w:t>
            </w:r>
          </w:p>
        </w:tc>
        <w:tc>
          <w:tcPr>
            <w:tcW w:w="0" w:type="dxa"/>
            <w:vAlign w:val="bottom"/>
          </w:tcPr>
          <w:p>
            <w:pPr>
              <w:spacing w:after="0"/>
              <w:rPr>
                <w:sz w:val="1"/>
                <w:szCs w:val="1"/>
                <w:color w:val="auto"/>
              </w:rPr>
            </w:pPr>
          </w:p>
        </w:tc>
      </w:tr>
      <w:tr>
        <w:trPr>
          <w:trHeight w:val="318"/>
        </w:trPr>
        <w:tc>
          <w:tcPr>
            <w:tcW w:w="960" w:type="dxa"/>
            <w:vAlign w:val="bottom"/>
            <w:gridSpan w:val="2"/>
          </w:tcPr>
          <w:p>
            <w:pPr>
              <w:jc w:val="right"/>
              <w:ind w:right="92"/>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Arial" w:cs="Arial" w:eastAsia="Arial" w:hAnsi="Arial"/>
                <w:sz w:val="18"/>
                <w:szCs w:val="18"/>
                <w:color w:val="auto"/>
                <w:w w:val="94"/>
              </w:rPr>
              <w:t>First Supplemental Indenture dated as of September 22, 2003, among WP Company LLC, the Company and Bank One, NA, as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w w:val="89"/>
              </w:rPr>
              <w:t>successor to The First National Bank of Chicago, as trustee, to the Indenture dated as of February 17, 1999, between The Washington</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w w:val="90"/>
              </w:rPr>
              <w:t>Post Company and The First National Bank of Chicago, as trustee (incorporated by reference to Exhibit 4.1 to the Company’s Current</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Report on Form 8-K dated September 22, 2003).</w:t>
            </w:r>
          </w:p>
        </w:tc>
        <w:tc>
          <w:tcPr>
            <w:tcW w:w="0" w:type="dxa"/>
            <w:vAlign w:val="bottom"/>
          </w:tcPr>
          <w:p>
            <w:pPr>
              <w:spacing w:after="0"/>
              <w:rPr>
                <w:sz w:val="1"/>
                <w:szCs w:val="1"/>
                <w:color w:val="auto"/>
              </w:rPr>
            </w:pPr>
          </w:p>
        </w:tc>
      </w:tr>
      <w:tr>
        <w:trPr>
          <w:trHeight w:val="318"/>
        </w:trPr>
        <w:tc>
          <w:tcPr>
            <w:tcW w:w="960" w:type="dxa"/>
            <w:vAlign w:val="bottom"/>
            <w:gridSpan w:val="2"/>
          </w:tcPr>
          <w:p>
            <w:pPr>
              <w:jc w:val="right"/>
              <w:ind w:right="92"/>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Arial" w:cs="Arial" w:eastAsia="Arial" w:hAnsi="Arial"/>
                <w:sz w:val="18"/>
                <w:szCs w:val="18"/>
                <w:color w:val="auto"/>
                <w:w w:val="89"/>
              </w:rPr>
              <w:t>Five Year Credit Agreement dated as of August 8, 2006, among the Company, Citibank, N.A., JPMorgan Chase Bank, N.A., Wachovia</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w w:val="93"/>
              </w:rPr>
              <w:t>Bank, National Association, SunTrust Bank, The Bank of New York, PNC Bank, National Association, Bank of America, N.A. and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w w:val="92"/>
              </w:rPr>
              <w:t>Wells Fargo Bank, N.A. (incorporated by reference to Exhibit 4.4 to the Company’s Quarterly Report on Form 10-Q for the quarter</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ended July 2, 2006).</w:t>
            </w:r>
          </w:p>
        </w:tc>
        <w:tc>
          <w:tcPr>
            <w:tcW w:w="0" w:type="dxa"/>
            <w:vAlign w:val="bottom"/>
          </w:tcPr>
          <w:p>
            <w:pPr>
              <w:spacing w:after="0"/>
              <w:rPr>
                <w:sz w:val="1"/>
                <w:szCs w:val="1"/>
                <w:color w:val="auto"/>
              </w:rPr>
            </w:pPr>
          </w:p>
        </w:tc>
      </w:tr>
      <w:tr>
        <w:trPr>
          <w:trHeight w:val="324"/>
        </w:trPr>
        <w:tc>
          <w:tcPr>
            <w:tcW w:w="960" w:type="dxa"/>
            <w:vAlign w:val="bottom"/>
            <w:gridSpan w:val="2"/>
          </w:tcPr>
          <w:p>
            <w:pPr>
              <w:jc w:val="right"/>
              <w:ind w:right="92"/>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Rule 13a-14(a)/15d-14(a) Certification of the Chief Executive Officer.</w:t>
            </w:r>
          </w:p>
        </w:tc>
        <w:tc>
          <w:tcPr>
            <w:tcW w:w="0" w:type="dxa"/>
            <w:vAlign w:val="bottom"/>
          </w:tcPr>
          <w:p>
            <w:pPr>
              <w:spacing w:after="0"/>
              <w:rPr>
                <w:sz w:val="1"/>
                <w:szCs w:val="1"/>
                <w:color w:val="auto"/>
              </w:rPr>
            </w:pPr>
          </w:p>
        </w:tc>
      </w:tr>
      <w:tr>
        <w:trPr>
          <w:trHeight w:val="324"/>
        </w:trPr>
        <w:tc>
          <w:tcPr>
            <w:tcW w:w="960" w:type="dxa"/>
            <w:vAlign w:val="bottom"/>
            <w:gridSpan w:val="2"/>
          </w:tcPr>
          <w:p>
            <w:pPr>
              <w:jc w:val="right"/>
              <w:ind w:right="92"/>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Rule 13a-14(a)/15d-14(a) Certification of the Chief Financial Officer.</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5620" w:right="3300" w:hanging="5153"/>
        <w:spacing w:after="0" w:line="440" w:lineRule="auto"/>
        <w:tabs>
          <w:tab w:leader="none" w:pos="1352"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Section 1350 Certification of the Chief Executive Officer and the Chief Financial Officer. 30</w:t>
      </w:r>
    </w:p>
    <w:p>
      <w:pPr>
        <w:sectPr>
          <w:pgSz w:w="11900" w:h="16838" w:orient="portrait"/>
          <w:cols w:equalWidth="0" w:num="1">
            <w:col w:w="10960"/>
          </w:cols>
          <w:pgMar w:left="240" w:top="459" w:right="6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8420" w:val="left"/>
        </w:tabs>
        <w:rPr>
          <w:sz w:val="20"/>
          <w:szCs w:val="20"/>
          <w:color w:val="auto"/>
        </w:rPr>
      </w:pPr>
      <w:r>
        <w:rPr>
          <w:rFonts w:ascii="Arial" w:cs="Arial" w:eastAsia="Arial" w:hAnsi="Arial"/>
          <w:sz w:val="18"/>
          <w:szCs w:val="18"/>
          <w:color w:val="auto"/>
        </w:rPr>
        <w:t>Date: November 6, 2007</w:t>
      </w:r>
      <w:r>
        <w:rPr>
          <w:sz w:val="20"/>
          <w:szCs w:val="20"/>
          <w:color w:val="auto"/>
        </w:rPr>
        <w:tab/>
      </w:r>
      <w:r>
        <w:rPr>
          <w:rFonts w:ascii="Arial" w:cs="Arial" w:eastAsia="Arial" w:hAnsi="Arial"/>
          <w:sz w:val="15"/>
          <w:szCs w:val="15"/>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10795</wp:posOffset>
            </wp:positionV>
            <wp:extent cx="28213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6"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Chairman &amp; Chief Executive Officer</w:t>
      </w:r>
    </w:p>
    <w:p>
      <w:pPr>
        <w:spacing w:after="0" w:line="9"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tabs>
          <w:tab w:leader="none" w:pos="8440" w:val="left"/>
        </w:tabs>
        <w:rPr>
          <w:sz w:val="20"/>
          <w:szCs w:val="20"/>
          <w:color w:val="auto"/>
        </w:rPr>
      </w:pPr>
      <w:r>
        <w:rPr>
          <w:rFonts w:ascii="Arial" w:cs="Arial" w:eastAsia="Arial" w:hAnsi="Arial"/>
          <w:sz w:val="18"/>
          <w:szCs w:val="18"/>
          <w:color w:val="auto"/>
        </w:rPr>
        <w:t>Date: November 6, 2007</w:t>
      </w:r>
      <w:r>
        <w:rPr>
          <w:sz w:val="20"/>
          <w:szCs w:val="20"/>
          <w:color w:val="auto"/>
        </w:rPr>
        <w:tab/>
      </w:r>
      <w:r>
        <w:rPr>
          <w:rFonts w:ascii="Arial" w:cs="Arial" w:eastAsia="Arial" w:hAnsi="Arial"/>
          <w:sz w:val="15"/>
          <w:szCs w:val="15"/>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10795</wp:posOffset>
            </wp:positionV>
            <wp:extent cx="28213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6"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90"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40" w:hanging="446"/>
        <w:spacing w:after="0" w:line="332"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6, 2007</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B. Morse, Jr., Vice President-Finance (principal financial officer) of The Washington Post Company (the “Registrant”), certify that:</w:t>
      </w:r>
    </w:p>
    <w:p>
      <w:pPr>
        <w:spacing w:after="0" w:line="90"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40" w:hanging="446"/>
        <w:spacing w:after="0" w:line="332"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6, 2007</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 OFFICER</w:t>
      </w:r>
    </w:p>
    <w:p>
      <w:pPr>
        <w:spacing w:after="0" w:line="171"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In connection with the Quarterly Report of The Washington Post Company (the “Company”) on Form 10-Q for the period ended September 30, 2007 (the “Report”), Donald E. Graham, Chief Executive Officer of the Company and John B. Morse, Jr., Vice President-Finance of the Company, each hereby certifies, pursuant to 18 U.S.C. Section 1350, as adopted pursuant to Section 906 of the Sarbanes-Oxley Act of 2002, that:</w:t>
      </w:r>
    </w:p>
    <w:p>
      <w:pPr>
        <w:spacing w:after="0" w:line="26"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6, 2007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6, 2007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32"/>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2019-12-13T08:14:41Z</dcterms:created>
  <dcterms:modified xsi:type="dcterms:W3CDTF">2019-12-13T08:14:41Z</dcterms:modified>
</cp:coreProperties>
</file>