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7, 2024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5.07 Submission of Matters to a Vote of Security Holders</w:t>
      </w:r>
    </w:p>
    <w:p>
      <w:pPr>
        <w:spacing w:after="0" w:line="387" w:lineRule="exact"/>
        <w:rPr>
          <w:sz w:val="20"/>
          <w:szCs w:val="20"/>
          <w:color w:val="auto"/>
        </w:rPr>
      </w:pPr>
    </w:p>
    <w:p>
      <w:pPr>
        <w:ind w:right="480" w:firstLine="200"/>
        <w:spacing w:after="0" w:line="271" w:lineRule="auto"/>
        <w:rPr>
          <w:sz w:val="20"/>
          <w:szCs w:val="20"/>
          <w:color w:val="auto"/>
        </w:rPr>
      </w:pPr>
      <w:r>
        <w:rPr>
          <w:rFonts w:ascii="Arial" w:cs="Arial" w:eastAsia="Arial" w:hAnsi="Arial"/>
          <w:sz w:val="18"/>
          <w:szCs w:val="18"/>
          <w:color w:val="auto"/>
        </w:rPr>
        <w:t>On May 7, 2024,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nine persons nominated as Directors of the Company as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8"/>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Thomas S. Gayner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Donald E. Graham</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Anne M. Mulcahy</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Timothy J. O’Shaughnessy</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6"/>
        </w:trPr>
        <w:tc>
          <w:tcPr>
            <w:tcW w:w="3260" w:type="dxa"/>
            <w:vAlign w:val="bottom"/>
          </w:tcPr>
          <w:p>
            <w:pPr>
              <w:ind w:left="20"/>
              <w:spacing w:after="0"/>
              <w:rPr>
                <w:sz w:val="20"/>
                <w:szCs w:val="20"/>
                <w:color w:val="auto"/>
              </w:rPr>
            </w:pPr>
            <w:r>
              <w:rPr>
                <w:rFonts w:ascii="Arial" w:cs="Arial" w:eastAsia="Arial" w:hAnsi="Arial"/>
                <w:sz w:val="18"/>
                <w:szCs w:val="18"/>
                <w:color w:val="auto"/>
              </w:rPr>
              <w:t>G. Richard Wagoner, Jr.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Katharine Weymouth</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729"/>
        </w:trPr>
        <w:tc>
          <w:tcPr>
            <w:tcW w:w="326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18"/>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5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6"/>
        </w:trPr>
        <w:tc>
          <w:tcPr>
            <w:tcW w:w="3260" w:type="dxa"/>
            <w:vAlign w:val="bottom"/>
          </w:tcPr>
          <w:p>
            <w:pPr>
              <w:ind w:left="60"/>
              <w:spacing w:after="0"/>
              <w:rPr>
                <w:sz w:val="20"/>
                <w:szCs w:val="20"/>
                <w:color w:val="auto"/>
              </w:rPr>
            </w:pPr>
            <w:r>
              <w:rPr>
                <w:rFonts w:ascii="Arial" w:cs="Arial" w:eastAsia="Arial" w:hAnsi="Arial"/>
                <w:sz w:val="18"/>
                <w:szCs w:val="18"/>
                <w:color w:val="auto"/>
              </w:rPr>
              <w:t>Tony Allen</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w w:val="97"/>
              </w:rPr>
              <w:t>2,171,115</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665,540</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60"/>
              <w:spacing w:after="0"/>
              <w:rPr>
                <w:sz w:val="20"/>
                <w:szCs w:val="20"/>
                <w:color w:val="auto"/>
              </w:rPr>
            </w:pPr>
            <w:r>
              <w:rPr>
                <w:rFonts w:ascii="Arial" w:cs="Arial" w:eastAsia="Arial" w:hAnsi="Arial"/>
                <w:sz w:val="18"/>
                <w:szCs w:val="18"/>
                <w:color w:val="auto"/>
              </w:rPr>
              <w:t>Danielle Conley</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2,175,546</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661,109</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1,829,326</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1,007,329</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by the Class A stockholders to Approve 2023 Compensation Awarded to Named Executive Officers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2023,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180"/>
          </w:cols>
          <w:pgMar w:left="320" w:top="1093" w:right="399" w:bottom="1440" w:gutter="0" w:footer="0" w:header="0"/>
        </w:sectPr>
      </w:pPr>
    </w:p>
    <w:p>
      <w:pPr>
        <w:spacing w:after="0" w:line="29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Against</w:t>
      </w:r>
    </w:p>
    <w:p>
      <w:pPr>
        <w:spacing w:after="0" w:line="6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1337945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3420"/>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jc w:val="center"/>
        <w:ind w:right="3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2000" w:space="720"/>
            <w:col w:w="1280" w:space="720"/>
            <w:col w:w="900" w:space="720"/>
            <w:col w:w="4840"/>
          </w:cols>
          <w:pgMar w:left="320" w:top="109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6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Secretary, General</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2024-05-08T10:24:41Z</dcterms:created>
  <dcterms:modified xsi:type="dcterms:W3CDTF">2024-05-08T10:24:41Z</dcterms:modified>
</cp:coreProperties>
</file>