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2025</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65" w:lineRule="exact"/>
        <w:rPr>
          <w:sz w:val="24"/>
          <w:szCs w:val="24"/>
          <w:color w:val="auto"/>
        </w:rPr>
      </w:pPr>
    </w:p>
    <w:p>
      <w:pPr>
        <w:jc w:val="center"/>
        <w:ind w:right="-1086"/>
        <w:spacing w:after="0"/>
        <w:rPr>
          <w:sz w:val="20"/>
          <w:szCs w:val="20"/>
          <w:color w:val="auto"/>
        </w:rPr>
      </w:pPr>
      <w:r>
        <w:rPr>
          <w:rFonts w:ascii="Arial" w:cs="Arial" w:eastAsia="Arial" w:hAnsi="Arial"/>
          <w:sz w:val="28"/>
          <w:szCs w:val="28"/>
          <w:b w:val="1"/>
          <w:bCs w:val="1"/>
          <w:color w:val="auto"/>
        </w:rPr>
        <w:t>The Kaplan, Inc. Tax Deferred</w:t>
      </w:r>
    </w:p>
    <w:p>
      <w:pPr>
        <w:jc w:val="center"/>
        <w:ind w:right="-1086"/>
        <w:spacing w:after="0"/>
        <w:rPr>
          <w:sz w:val="20"/>
          <w:szCs w:val="20"/>
          <w:color w:val="auto"/>
        </w:rPr>
      </w:pPr>
      <w:r>
        <w:rPr>
          <w:rFonts w:ascii="Arial" w:cs="Arial" w:eastAsia="Arial" w:hAnsi="Arial"/>
          <w:sz w:val="28"/>
          <w:szCs w:val="28"/>
          <w:b w:val="1"/>
          <w:bCs w:val="1"/>
          <w:color w:val="auto"/>
        </w:rPr>
        <w:t>Savings Plan for Salaried Employees</w:t>
      </w:r>
    </w:p>
    <w:p>
      <w:pPr>
        <w:spacing w:after="0" w:line="200" w:lineRule="exact"/>
        <w:rPr>
          <w:sz w:val="24"/>
          <w:szCs w:val="24"/>
          <w:color w:val="auto"/>
        </w:rPr>
      </w:pPr>
    </w:p>
    <w:p>
      <w:pPr>
        <w:spacing w:after="0" w:line="262"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912495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2025 and 2024</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2025</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10</w:t>
            </w: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492760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ind w:right="2620"/>
        <w:spacing w:after="0" w:line="388" w:lineRule="auto"/>
        <w:rPr>
          <w:sz w:val="20"/>
          <w:szCs w:val="20"/>
          <w:color w:val="auto"/>
        </w:rPr>
      </w:pPr>
      <w:r>
        <w:rPr>
          <w:rFonts w:ascii="Arial" w:cs="Arial" w:eastAsia="Arial" w:hAnsi="Arial"/>
          <w:sz w:val="17"/>
          <w:szCs w:val="17"/>
          <w:color w:val="auto"/>
        </w:rPr>
        <w:t xml:space="preserve">To the Administrator and Plan Participants of The Kaplan, Inc. Tax Deferred Savings Plan for Salaried Employees </w:t>
      </w:r>
      <w:r>
        <w:rPr>
          <w:rFonts w:ascii="Arial" w:cs="Arial" w:eastAsia="Arial" w:hAnsi="Arial"/>
          <w:sz w:val="17"/>
          <w:szCs w:val="17"/>
          <w:b w:val="1"/>
          <w:bCs w:val="1"/>
          <w:i w:val="1"/>
          <w:iCs w:val="1"/>
          <w:color w:val="auto"/>
        </w:rPr>
        <w:t>Opinion on the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Kaplan, Inc. Tax Deferred Savings Plan for Salaried</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Employees (the "Plan") as of December 31, 2025 and 2024 and the related statement of changes in net assets available for benefits for the year ended December 31, 2025, including the related notes (collectively referred to as the "financial statements"). In our opinion, the financial statements</w:t>
      </w:r>
    </w:p>
    <w:p>
      <w:pPr>
        <w:spacing w:after="0" w:line="238" w:lineRule="auto"/>
        <w:rPr>
          <w:sz w:val="20"/>
          <w:szCs w:val="20"/>
          <w:color w:val="auto"/>
        </w:rPr>
      </w:pPr>
      <w:r>
        <w:rPr>
          <w:rFonts w:ascii="Arial" w:cs="Arial" w:eastAsia="Arial" w:hAnsi="Arial"/>
          <w:sz w:val="17"/>
          <w:szCs w:val="17"/>
          <w:color w:val="auto"/>
        </w:rPr>
        <w:t>present fairly, in all material respects, the net assets available for benefits of the Plan as of December 31, 2025 and 2024, and the changes in net</w:t>
      </w:r>
    </w:p>
    <w:p>
      <w:pPr>
        <w:ind w:right="20"/>
        <w:spacing w:after="0" w:line="239" w:lineRule="auto"/>
        <w:rPr>
          <w:sz w:val="20"/>
          <w:szCs w:val="20"/>
          <w:color w:val="auto"/>
        </w:rPr>
      </w:pPr>
      <w:r>
        <w:rPr>
          <w:rFonts w:ascii="Arial" w:cs="Arial" w:eastAsia="Arial" w:hAnsi="Arial"/>
          <w:sz w:val="17"/>
          <w:szCs w:val="17"/>
          <w:color w:val="auto"/>
        </w:rPr>
        <w:t>assets available for benefits for the year ended December 31, 2025 in conformity with accounting principles generally accepted in the United States of America.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(PCAOB) and are required to be independent with respect to the Plan in accordance with the U.S. federal securities laws and the applicable rules and regulations of the Securities and Exchange Commission and the PCAOB.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audits of these financial statements in accordance with the standards of the PCAOB. Those standards require that we plan and</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perform the audit to obtain reasonable assurance about whether the financial statements are free of material misstatement, whether due to error or fraud.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w:t>
      </w:r>
    </w:p>
    <w:p>
      <w:pPr>
        <w:spacing w:after="0" w:line="14"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w:t>
      </w:r>
    </w:p>
    <w:p>
      <w:pPr>
        <w:ind w:right="220"/>
        <w:spacing w:after="0" w:line="255" w:lineRule="auto"/>
        <w:rPr>
          <w:sz w:val="20"/>
          <w:szCs w:val="20"/>
          <w:color w:val="auto"/>
        </w:rPr>
      </w:pPr>
      <w:r>
        <w:rPr>
          <w:rFonts w:ascii="Arial" w:cs="Arial" w:eastAsia="Arial" w:hAnsi="Arial"/>
          <w:sz w:val="17"/>
          <w:szCs w:val="17"/>
          <w:color w:val="auto"/>
        </w:rPr>
        <w:t>management, as well as evaluating the overall presentation of the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supplemental Schedule H, line 4i - Schedule of Assets (Held at End of Year) as of December 31, 2025 ("supplemental schedule") has been</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subjected to audit procedures performed in conjunction with the audit of the Plan's financial statements. The supplemental schedule is the responsibility of the Plan's management. Our audit procedures included determining whether the supplemental schedule reconciles to the financial</w:t>
      </w:r>
    </w:p>
    <w:p>
      <w:pPr>
        <w:spacing w:after="0" w:line="238" w:lineRule="auto"/>
        <w:rPr>
          <w:sz w:val="20"/>
          <w:szCs w:val="20"/>
          <w:color w:val="auto"/>
        </w:rPr>
      </w:pPr>
      <w:r>
        <w:rPr>
          <w:rFonts w:ascii="Arial" w:cs="Arial" w:eastAsia="Arial" w:hAnsi="Arial"/>
          <w:sz w:val="17"/>
          <w:szCs w:val="17"/>
          <w:color w:val="auto"/>
        </w:rPr>
        <w:t>statements or the underlying accounting and other records, as applicable, and performing procedures to test the completeness and accuracy of the</w:t>
      </w:r>
    </w:p>
    <w:p>
      <w:pPr>
        <w:ind w:right="60"/>
        <w:spacing w:after="0" w:line="230" w:lineRule="auto"/>
        <w:rPr>
          <w:sz w:val="20"/>
          <w:szCs w:val="20"/>
          <w:color w:val="auto"/>
        </w:rPr>
      </w:pPr>
      <w:r>
        <w:rPr>
          <w:rFonts w:ascii="Arial" w:cs="Arial" w:eastAsia="Arial" w:hAnsi="Arial"/>
          <w:sz w:val="17"/>
          <w:szCs w:val="17"/>
          <w:color w:val="auto"/>
        </w:rPr>
        <w:t>information presented in the supplemental schedule. In forming our opinion on the supplemental schedule, we evaluated whether the supplemental schedule, including its form and content, is presented in conformity with the Department of Labor's Rules and Regulations for Reporting and</w:t>
      </w:r>
    </w:p>
    <w:p>
      <w:pPr>
        <w:ind w:right="260"/>
        <w:spacing w:after="0" w:line="255" w:lineRule="auto"/>
        <w:rPr>
          <w:sz w:val="20"/>
          <w:szCs w:val="20"/>
          <w:color w:val="auto"/>
        </w:rPr>
      </w:pPr>
      <w:r>
        <w:rPr>
          <w:rFonts w:ascii="Arial" w:cs="Arial" w:eastAsia="Arial" w:hAnsi="Arial"/>
          <w:sz w:val="17"/>
          <w:szCs w:val="17"/>
          <w:color w:val="auto"/>
        </w:rPr>
        <w:t>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Miami, 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THE KAPLAN, INC. TAX DEFERRED</w:t>
      </w:r>
    </w:p>
    <w:p>
      <w:pPr>
        <w:jc w:val="center"/>
        <w:ind w:right="-1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2024</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403,494,250</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363,927,277</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403,494,250</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363,927,277</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387,073</w:t>
            </w:r>
          </w:p>
        </w:tc>
        <w:tc>
          <w:tcPr>
            <w:tcW w:w="6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378,652</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1,955,854</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1,312,693</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2,342,927</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1,691,345</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405,837,177</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4"/>
              </w:rPr>
              <w:t>365,618,622</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1"/>
          <w:szCs w:val="21"/>
          <w:b w:val="1"/>
          <w:bCs w:val="1"/>
          <w:color w:val="auto"/>
        </w:rPr>
        <w:t>THE KAPLAN, INC. TAX DEFERRED</w:t>
      </w:r>
    </w:p>
    <w:p>
      <w:pPr>
        <w:jc w:val="center"/>
        <w:ind w:right="-3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Plan interest in investment income of the Graham Holdings Company Master Trust</w:t>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Contributions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Participant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income - notes receivable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additions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jc w:val="center"/>
        <w:ind w:right="7191"/>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(to)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401(k) Savings Plan for GHC Affiliates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401(k) Savings Plan for GHC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Savings Plan for Graham Holdings Company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to other affiliated plans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31, 2025</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58,186,659</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669"/>
        <w:spacing w:after="0"/>
        <w:rPr>
          <w:rFonts w:ascii="Arial" w:cs="Arial" w:eastAsia="Arial" w:hAnsi="Arial"/>
          <w:sz w:val="16"/>
          <w:szCs w:val="16"/>
          <w:color w:val="auto"/>
        </w:rPr>
      </w:pPr>
      <w:r>
        <w:rPr>
          <w:rFonts w:ascii="Arial" w:cs="Arial" w:eastAsia="Arial" w:hAnsi="Arial"/>
          <w:sz w:val="16"/>
          <w:szCs w:val="16"/>
          <w:color w:val="auto"/>
        </w:rPr>
        <w:t>13,176,257</w:t>
      </w:r>
    </w:p>
    <w:p>
      <w:pPr>
        <w:spacing w:after="0" w:line="22" w:lineRule="exact"/>
        <w:rPr>
          <w:rFonts w:ascii="Arial" w:cs="Arial" w:eastAsia="Arial" w:hAnsi="Arial"/>
          <w:sz w:val="16"/>
          <w:szCs w:val="16"/>
          <w:color w:val="auto"/>
        </w:rPr>
      </w:pPr>
    </w:p>
    <w:p>
      <w:pPr>
        <w:ind w:left="889"/>
        <w:spacing w:after="0"/>
        <w:rPr>
          <w:rFonts w:ascii="Arial" w:cs="Arial" w:eastAsia="Arial" w:hAnsi="Arial"/>
          <w:sz w:val="16"/>
          <w:szCs w:val="16"/>
          <w:color w:val="auto"/>
        </w:rPr>
      </w:pPr>
      <w:r>
        <w:rPr>
          <w:rFonts w:ascii="Arial" w:cs="Arial" w:eastAsia="Arial" w:hAnsi="Arial"/>
          <w:sz w:val="16"/>
          <w:szCs w:val="16"/>
          <w:color w:val="auto"/>
        </w:rPr>
        <w:t>552,643</w:t>
      </w:r>
    </w:p>
    <w:p>
      <w:pPr>
        <w:spacing w:after="0" w:line="35" w:lineRule="exact"/>
        <w:rPr>
          <w:rFonts w:ascii="Arial" w:cs="Arial" w:eastAsia="Arial" w:hAnsi="Arial"/>
          <w:sz w:val="16"/>
          <w:szCs w:val="16"/>
          <w:color w:val="auto"/>
        </w:rPr>
      </w:pPr>
    </w:p>
    <w:p>
      <w:pPr>
        <w:ind w:left="669"/>
        <w:spacing w:after="0"/>
        <w:rPr>
          <w:rFonts w:ascii="Arial" w:cs="Arial" w:eastAsia="Arial" w:hAnsi="Arial"/>
          <w:sz w:val="16"/>
          <w:szCs w:val="16"/>
          <w:color w:val="auto"/>
        </w:rPr>
      </w:pPr>
      <w:r>
        <w:rPr>
          <w:rFonts w:ascii="Arial" w:cs="Arial" w:eastAsia="Arial" w:hAnsi="Arial"/>
          <w:sz w:val="16"/>
          <w:szCs w:val="16"/>
          <w:color w:val="auto"/>
        </w:rPr>
        <w:t>13,728,900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-125095</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889"/>
        <w:spacing w:after="0"/>
        <w:rPr>
          <w:sz w:val="20"/>
          <w:szCs w:val="20"/>
          <w:color w:val="auto"/>
        </w:rPr>
      </w:pPr>
      <w:r>
        <w:rPr>
          <w:rFonts w:ascii="Arial" w:cs="Arial" w:eastAsia="Arial" w:hAnsi="Arial"/>
          <w:sz w:val="16"/>
          <w:szCs w:val="16"/>
          <w:color w:val="auto"/>
        </w:rPr>
        <w:t>144,386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22" w:lineRule="exact"/>
        <w:rPr>
          <w:sz w:val="20"/>
          <w:szCs w:val="20"/>
          <w:color w:val="auto"/>
        </w:rPr>
      </w:pPr>
    </w:p>
    <w:p>
      <w:pPr>
        <w:ind w:left="669"/>
        <w:spacing w:after="0"/>
        <w:rPr>
          <w:sz w:val="20"/>
          <w:szCs w:val="20"/>
          <w:color w:val="auto"/>
        </w:rPr>
      </w:pPr>
      <w:r>
        <w:rPr>
          <w:rFonts w:ascii="Arial" w:cs="Arial" w:eastAsia="Arial" w:hAnsi="Arial"/>
          <w:sz w:val="16"/>
          <w:szCs w:val="16"/>
          <w:color w:val="auto"/>
        </w:rPr>
        <w:t>72,059,945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(30,267,618)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(266,105)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09"/>
        <w:spacing w:after="0"/>
        <w:rPr>
          <w:sz w:val="20"/>
          <w:szCs w:val="20"/>
          <w:color w:val="auto"/>
        </w:rPr>
      </w:pPr>
      <w:r>
        <w:rPr>
          <w:rFonts w:ascii="Arial" w:cs="Arial" w:eastAsia="Arial" w:hAnsi="Arial"/>
          <w:sz w:val="14"/>
          <w:szCs w:val="14"/>
          <w:color w:val="auto"/>
        </w:rPr>
        <w:t>(30,533,723)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32" w:lineRule="exact"/>
        <w:rPr>
          <w:sz w:val="20"/>
          <w:szCs w:val="20"/>
          <w:color w:val="auto"/>
        </w:rPr>
      </w:pPr>
    </w:p>
    <w:p>
      <w:pPr>
        <w:ind w:left="669"/>
        <w:spacing w:after="0"/>
        <w:rPr>
          <w:sz w:val="20"/>
          <w:szCs w:val="20"/>
          <w:color w:val="auto"/>
        </w:rPr>
      </w:pPr>
      <w:r>
        <w:rPr>
          <w:rFonts w:ascii="Arial" w:cs="Arial" w:eastAsia="Arial" w:hAnsi="Arial"/>
          <w:sz w:val="16"/>
          <w:szCs w:val="16"/>
          <w:color w:val="auto"/>
        </w:rPr>
        <w:t>41,526,222</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(1,813,308)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1,187,240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(681,599)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(1,307,667)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89"/>
        <w:spacing w:after="0"/>
        <w:rPr>
          <w:sz w:val="20"/>
          <w:szCs w:val="20"/>
          <w:color w:val="auto"/>
        </w:rPr>
      </w:pPr>
      <w:r>
        <w:rPr>
          <w:rFonts w:ascii="Arial" w:cs="Arial" w:eastAsia="Arial" w:hAnsi="Arial"/>
          <w:sz w:val="16"/>
          <w:szCs w:val="16"/>
          <w:color w:val="auto"/>
        </w:rPr>
        <w:t>365,618,622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589" w:hanging="589"/>
        <w:spacing w:after="0"/>
        <w:tabs>
          <w:tab w:leader="none" w:pos="589" w:val="left"/>
        </w:tabs>
        <w:numPr>
          <w:ilvl w:val="0"/>
          <w:numId w:val="5"/>
        </w:numPr>
        <w:rPr>
          <w:rFonts w:ascii="Arial" w:cs="Arial" w:eastAsia="Arial" w:hAnsi="Arial"/>
          <w:sz w:val="16"/>
          <w:szCs w:val="16"/>
          <w:color w:val="auto"/>
        </w:rPr>
      </w:pPr>
      <w:r>
        <w:rPr>
          <w:rFonts w:ascii="Arial" w:cs="Arial" w:eastAsia="Arial" w:hAnsi="Arial"/>
          <w:sz w:val="16"/>
          <w:szCs w:val="16"/>
          <w:color w:val="auto"/>
        </w:rPr>
        <w:t>405,837,177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976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THE KAPLAN, INC. TAX DEFERRED SAVINGS PLAN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SALARIED EMPLOYEES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The following description of The Kaplan, Inc. Tax Deferred Savings Plan for Salaried Employees (the Plan) provides only general information. Participants should refer to the Plan document and Summary Plan Description (SPD) for a more comprehensive description of the Plan’s provisions. The Plan is subject to the provisions of the Employee Retirement Income Security Act of 1974, as amended (ERISA).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defined contribution plan that permits eligible salaried employees of Kaplan, Inc. and its subsidiaries (collectively, the Company) to</w:t>
      </w:r>
    </w:p>
    <w:p>
      <w:pPr>
        <w:spacing w:after="0" w:line="14"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participate upon hire. The Company is the Plan Sponsor and a subsidiary of Graham Holdings Company (GHC). The Plan was amended and restated effective January 1, 2024 to incorporate the amendments detailed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the GHC Savings Plan Committee, or the Plan Administrator, whose members are appointed by the Plan Sponsor.</w:t>
      </w:r>
    </w:p>
    <w:p>
      <w:pPr>
        <w:spacing w:after="0" w:line="14"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Vanguard Fiduciary Trust Company, or VFTC, serves as the Plan’s trustee and recordkeeper. Effective January 1, 2021, the Plan entered into a Master Trust Agreement with VFTC to establish the Graham Holdings Company Master Trust, or the Master Trust.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2025 and 2024, the Plan Administrator adopted amendments to the Plan, which are not expected to affect the Plan’s qualified status under</w:t>
      </w:r>
    </w:p>
    <w:p>
      <w:pPr>
        <w:spacing w:after="0" w:line="14" w:lineRule="exact"/>
        <w:rPr>
          <w:sz w:val="20"/>
          <w:szCs w:val="20"/>
          <w:color w:val="auto"/>
        </w:rPr>
      </w:pPr>
    </w:p>
    <w:p>
      <w:pPr>
        <w:ind w:right="680"/>
        <w:spacing w:after="0" w:line="239" w:lineRule="auto"/>
        <w:rPr>
          <w:sz w:val="20"/>
          <w:szCs w:val="20"/>
          <w:color w:val="auto"/>
        </w:rPr>
      </w:pPr>
      <w:r>
        <w:rPr>
          <w:rFonts w:ascii="Arial" w:cs="Arial" w:eastAsia="Arial" w:hAnsi="Arial"/>
          <w:sz w:val="17"/>
          <w:szCs w:val="17"/>
          <w:color w:val="auto"/>
        </w:rPr>
        <w:t>ERISA. A number of these amendments became effective in 2024. The Plan was restated in 2024, and the Summary Plan Description was amended effective January 1, 2025, July 1, 2025, and January 1, 2026.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2025, the Plan was amended to implement the following changes:</w:t>
      </w:r>
    </w:p>
    <w:p>
      <w:pPr>
        <w:spacing w:after="0" w:line="50" w:lineRule="exact"/>
        <w:rPr>
          <w:sz w:val="20"/>
          <w:szCs w:val="20"/>
          <w:color w:val="auto"/>
        </w:rPr>
      </w:pPr>
    </w:p>
    <w:p>
      <w:pPr>
        <w:ind w:left="620" w:right="10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Updated for 2025 regulatory limits, changes to the Plan’s one eligibility year of service affecting highly compensated employees, designating short-term disability pay as eligible compensation in certain situations, and how account balances between $1,000 and $7,000 and greater than $7,000 can be automatically distributed; and</w:t>
      </w:r>
    </w:p>
    <w:p>
      <w:pPr>
        <w:spacing w:after="0" w:line="14" w:lineRule="exact"/>
        <w:rPr>
          <w:rFonts w:ascii="Arial" w:cs="Arial" w:eastAsia="Arial" w:hAnsi="Arial"/>
          <w:sz w:val="17"/>
          <w:szCs w:val="17"/>
          <w:color w:val="auto"/>
        </w:rPr>
      </w:pPr>
    </w:p>
    <w:p>
      <w:pPr>
        <w:ind w:left="620" w:right="66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certain small account balances of terminated participants to be automatically rolled over into an IRA with a third-party vendor, Portability Services Network ("PSN"). Participants have the option to opt out of this auto-portability service.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50" w:lineRule="exact"/>
        <w:rPr>
          <w:sz w:val="20"/>
          <w:szCs w:val="20"/>
          <w:color w:val="auto"/>
        </w:rPr>
      </w:pPr>
    </w:p>
    <w:p>
      <w:pPr>
        <w:ind w:left="620" w:right="22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Substantially all employees in this Plan participate in The Retirement Plan for Graham Holdings Company. Accordingly, these employees are not eligible for Company Matching Contributions for participating employers in the Plan;</w:t>
      </w:r>
    </w:p>
    <w:p>
      <w:pPr>
        <w:spacing w:after="0" w:line="4" w:lineRule="exact"/>
        <w:rPr>
          <w:rFonts w:ascii="Arial" w:cs="Arial" w:eastAsia="Arial" w:hAnsi="Arial"/>
          <w:sz w:val="17"/>
          <w:szCs w:val="17"/>
          <w:color w:val="auto"/>
        </w:rPr>
      </w:pPr>
    </w:p>
    <w:p>
      <w:pPr>
        <w:ind w:left="620" w:right="380" w:hanging="307"/>
        <w:spacing w:after="0" w:line="26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w:t>
      </w:r>
    </w:p>
    <w:p>
      <w:pPr>
        <w:spacing w:after="0" w:line="1" w:lineRule="exact"/>
        <w:rPr>
          <w:rFonts w:ascii="Arial" w:cs="Arial" w:eastAsia="Arial" w:hAnsi="Arial"/>
          <w:sz w:val="17"/>
          <w:szCs w:val="17"/>
          <w:color w:val="auto"/>
        </w:rPr>
      </w:pPr>
    </w:p>
    <w:p>
      <w:pPr>
        <w:ind w:left="620" w:right="120" w:hanging="307"/>
        <w:spacing w:after="0" w:line="26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in accordance with the Plan’s provisions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37" w:lineRule="exact"/>
        <w:rPr>
          <w:rFonts w:ascii="Arial" w:cs="Arial" w:eastAsia="Arial" w:hAnsi="Arial"/>
          <w:sz w:val="17"/>
          <w:szCs w:val="17"/>
          <w:color w:val="auto"/>
        </w:rPr>
      </w:pPr>
    </w:p>
    <w:p>
      <w:pPr>
        <w:ind w:left="620" w:right="100" w:hanging="307"/>
        <w:spacing w:after="0" w:line="24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of base salary on a pre-tax basis. The default increases at a rate of 1% on an annual basis not to exceed 10%. Participants may at any time change deferral elections and can opt out of auto-enrollment within a 30-day period. If the participant does not enroll in the Plan when they are first eligible to participate or opt out if automatically enrolled, they may enroll at any time thereafter.</w:t>
      </w:r>
    </w:p>
    <w:p>
      <w:pPr>
        <w:spacing w:after="0" w:line="15" w:lineRule="exact"/>
        <w:rPr>
          <w:rFonts w:ascii="Arial" w:cs="Arial" w:eastAsia="Arial" w:hAnsi="Arial"/>
          <w:sz w:val="17"/>
          <w:szCs w:val="17"/>
          <w:color w:val="auto"/>
        </w:rPr>
      </w:pPr>
    </w:p>
    <w:p>
      <w:pPr>
        <w:jc w:val="both"/>
        <w:ind w:left="620" w:hanging="307"/>
        <w:spacing w:after="0" w:line="248"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14" w:lineRule="exact"/>
        <w:rPr>
          <w:rFonts w:ascii="Arial" w:cs="Arial" w:eastAsia="Arial" w:hAnsi="Arial"/>
          <w:sz w:val="17"/>
          <w:szCs w:val="17"/>
          <w:color w:val="auto"/>
        </w:rPr>
      </w:pPr>
    </w:p>
    <w:p>
      <w:pPr>
        <w:ind w:left="62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Participants may allocate up to 20% of their employee contributions into the Graham Holdings Company Stock Fund, in accordance with the Plan’s provisions.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 total pre-tax and Roth combined contributions, however, is subject to dollar limitations set forth by the Internal Revenue Code ($23,500 in 2025).</w:t>
      </w:r>
    </w:p>
    <w:p>
      <w:pPr>
        <w:spacing w:after="0"/>
        <w:rPr>
          <w:sz w:val="20"/>
          <w:szCs w:val="20"/>
          <w:color w:val="auto"/>
        </w:rPr>
      </w:pPr>
      <w:r>
        <w:rPr>
          <w:rFonts w:ascii="Arial" w:cs="Arial" w:eastAsia="Arial" w:hAnsi="Arial"/>
          <w:sz w:val="17"/>
          <w:szCs w:val="17"/>
          <w:color w:val="auto"/>
        </w:rPr>
        <w:t>Participants age 50 or older by the end of the plan year, may make additional pre-tax or Roth 401(k) contributions (of up to $7,500 in 2025) that are</w:t>
      </w:r>
    </w:p>
    <w:p>
      <w:pPr>
        <w:ind w:right="720"/>
        <w:spacing w:after="0" w:line="239"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 established by the Plan Administrator.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the Berkshire Hathaway Stock Fund may not exceed 25% of a participant’s own contributions to a participant’s account. Exchanges</w:t>
      </w:r>
    </w:p>
    <w:p>
      <w:pPr>
        <w:spacing w:after="0" w:line="14"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into the Berkshire Hathaway Stock Fund from any other fund(s) may be made only if the resulting investment in the Berkshire Hathaway Stock Fund immediately following the exchange is no more than 25% of the participant’s total account balance.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w:t>
      </w:r>
    </w:p>
    <w:p>
      <w:pPr>
        <w:spacing w:after="0" w:line="14"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Date Retirement Fund with the target date closest to the year in which the participant reaches age 65. This serves as the Plan’s Qualified Default Investment Alternative (“QDIA”).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Each participant’s account is credited with his/her contributions and an allocation of the investment income (losses) and administrative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Allocations are based on participant earnings, account balances, or specific participant transactions, as defined.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 rate as received by Vanguard from Reuters. Reuters calculates their prime rate through a formula, which includes the average lending rates of the</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top 30 banks in the United States. General purpose loans have a maximum term of 5 years and principal residence loans have a maximum term of 10 years. A participant may borrow as much as 50% of his or her vested account balance, subject to certain minimum and maximum limitations as</w:t>
      </w:r>
    </w:p>
    <w:p>
      <w:pPr>
        <w:spacing w:after="0" w:line="238" w:lineRule="auto"/>
        <w:rPr>
          <w:sz w:val="20"/>
          <w:szCs w:val="20"/>
          <w:color w:val="auto"/>
        </w:rPr>
      </w:pPr>
      <w:r>
        <w:rPr>
          <w:rFonts w:ascii="Arial" w:cs="Arial" w:eastAsia="Arial" w:hAnsi="Arial"/>
          <w:sz w:val="17"/>
          <w:szCs w:val="17"/>
          <w:color w:val="auto"/>
        </w:rPr>
        <w:t>defined in the Plan. The minimum loan amount is $1,000 with a maximum of $50,000. Loan processing fees are paid by the participant. As a result</w:t>
      </w:r>
    </w:p>
    <w:p>
      <w:pPr>
        <w:ind w:right="220"/>
        <w:spacing w:after="0" w:line="239" w:lineRule="auto"/>
        <w:rPr>
          <w:sz w:val="20"/>
          <w:szCs w:val="20"/>
          <w:color w:val="auto"/>
        </w:rPr>
      </w:pPr>
      <w:r>
        <w:rPr>
          <w:rFonts w:ascii="Arial" w:cs="Arial" w:eastAsia="Arial" w:hAnsi="Arial"/>
          <w:sz w:val="17"/>
          <w:szCs w:val="17"/>
          <w:color w:val="auto"/>
        </w:rPr>
        <w:t>of a plan merger or rollovers received, there may be additional participant loans transferred to the Plan and administered in accordance with their terms.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GHC plans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Additionally, transfers may also occur between the Plan and other GHC plans that relate to new organizational positions, rehired employees by one of the employers with an existing balance in another GHC plan, or transferred employees to one of the employers with an existing balance in</w:t>
      </w:r>
    </w:p>
    <w:p>
      <w:pPr>
        <w:spacing w:after="0"/>
        <w:rPr>
          <w:sz w:val="20"/>
          <w:szCs w:val="20"/>
          <w:color w:val="auto"/>
        </w:rPr>
      </w:pPr>
      <w:r>
        <w:rPr>
          <w:rFonts w:ascii="Arial" w:cs="Arial" w:eastAsia="Arial" w:hAnsi="Arial"/>
          <w:sz w:val="17"/>
          <w:szCs w:val="17"/>
          <w:color w:val="auto"/>
        </w:rPr>
        <w:t>another GHC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42"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 expenses that are not paid by the Company are paid by the Plan itself. The Plan charges certain expenses directly to each of the participants’</w:t>
      </w:r>
    </w:p>
    <w:p>
      <w:pPr>
        <w:spacing w:after="0" w:line="1" w:lineRule="exact"/>
        <w:rPr>
          <w:sz w:val="20"/>
          <w:szCs w:val="20"/>
          <w:color w:val="auto"/>
        </w:rPr>
      </w:pPr>
    </w:p>
    <w:p>
      <w:pPr>
        <w:ind w:right="800"/>
        <w:spacing w:after="0" w:line="239" w:lineRule="auto"/>
        <w:rPr>
          <w:sz w:val="20"/>
          <w:szCs w:val="20"/>
          <w:color w:val="auto"/>
        </w:rPr>
      </w:pPr>
      <w:r>
        <w:rPr>
          <w:rFonts w:ascii="Arial" w:cs="Arial" w:eastAsia="Arial" w:hAnsi="Arial"/>
          <w:sz w:val="17"/>
          <w:szCs w:val="17"/>
          <w:color w:val="auto"/>
        </w:rPr>
        <w:t>accounts such as recordkeeping and maintenance of the website and phone services to participants. Each of the investment funds incurs investment and administrative expenses that are paid by the fund itself, which reduce the net investment return to participants.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 disability and withdrawals based on whether or not the participant has reached age 59 1/2. Upon termination of employment with the Company</w:t>
      </w:r>
    </w:p>
    <w:p>
      <w:pPr>
        <w:spacing w:after="0"/>
        <w:rPr>
          <w:sz w:val="20"/>
          <w:szCs w:val="20"/>
          <w:color w:val="auto"/>
        </w:rPr>
      </w:pPr>
      <w:r>
        <w:rPr>
          <w:rFonts w:ascii="Arial" w:cs="Arial" w:eastAsia="Arial" w:hAnsi="Arial"/>
          <w:sz w:val="17"/>
          <w:szCs w:val="17"/>
          <w:color w:val="auto"/>
        </w:rPr>
        <w:t>(including termination due to death, disability, or retirement), participants may receive a lump-sum payment of their entire account balance, net of</w:t>
      </w:r>
    </w:p>
    <w:p>
      <w:pPr>
        <w:jc w:val="both"/>
        <w:ind w:right="80"/>
        <w:spacing w:after="0" w:line="230" w:lineRule="auto"/>
        <w:rPr>
          <w:sz w:val="20"/>
          <w:szCs w:val="20"/>
          <w:color w:val="auto"/>
        </w:rPr>
      </w:pPr>
      <w:r>
        <w:rPr>
          <w:rFonts w:ascii="Arial" w:cs="Arial" w:eastAsia="Arial" w:hAnsi="Arial"/>
          <w:sz w:val="17"/>
          <w:szCs w:val="17"/>
          <w:color w:val="auto"/>
        </w:rPr>
        <w:t>any outstanding loan balances. Otherwise, distributions generally begin on a participant's required beginning date, which is set by Federal law, and not by the Company. Participants may roll over account balances to individual retirement accounts or another employer’s qualified retirement plan.</w:t>
      </w:r>
    </w:p>
    <w:p>
      <w:pPr>
        <w:spacing w:after="0" w:line="238" w:lineRule="auto"/>
        <w:rPr>
          <w:sz w:val="20"/>
          <w:szCs w:val="20"/>
          <w:color w:val="auto"/>
        </w:rPr>
      </w:pPr>
      <w:r>
        <w:rPr>
          <w:rFonts w:ascii="Arial" w:cs="Arial" w:eastAsia="Arial" w:hAnsi="Arial"/>
          <w:sz w:val="17"/>
          <w:szCs w:val="17"/>
          <w:color w:val="auto"/>
        </w:rPr>
        <w:t>If a terminated participant with an account balance dies prior to receiving the full value of the account, the account balance will be paid to the</w:t>
      </w:r>
    </w:p>
    <w:p>
      <w:pPr>
        <w:ind w:right="60"/>
        <w:spacing w:after="0" w:line="239" w:lineRule="auto"/>
        <w:rPr>
          <w:sz w:val="20"/>
          <w:szCs w:val="20"/>
          <w:color w:val="auto"/>
        </w:rPr>
      </w:pPr>
      <w:r>
        <w:rPr>
          <w:rFonts w:ascii="Arial" w:cs="Arial" w:eastAsia="Arial" w:hAnsi="Arial"/>
          <w:sz w:val="17"/>
          <w:szCs w:val="17"/>
          <w:color w:val="auto"/>
        </w:rPr>
        <w:t>participant’s beneficiary or in the absence of an election pursuant to the Plan’s provisions. Account balances of $7,000 (in 2025) or less may not be deferred and are subject to automatic rollover/automatic cash out.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full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their accounts from the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4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changes therein and disclosure of contingent assets and liabilities. Actual results could differ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those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4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specifically in relation to the fair value of the assets assigned to the Plan. Fair value is the price that would be received to sell an asset</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or paid to transfer a liability in an orderly transaction between market participants at the measurement date. The Committee determines the Master Trust’s valuation policies utilizing information provided by the trustee. See Note 6 for discussion of fair value measurements.</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 income is recorded on the ex-dividend date. Capital gain distributions are included in dividend income. The Master Trust’s net appreciation includes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Master Trust’s gains and losses on investments bought and sold as well as held during the year. See Note 5 for the Plan’s interest in the Master Trust, as well as the Master Trust’s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 the values of investment securities will occur in the near term and that such changes could materially affect participant’s account balances and the</w:t>
      </w:r>
    </w:p>
    <w:p>
      <w:pPr>
        <w:spacing w:after="0"/>
        <w:rPr>
          <w:sz w:val="20"/>
          <w:szCs w:val="20"/>
          <w:color w:val="auto"/>
        </w:rPr>
      </w:pPr>
      <w:r>
        <w:rPr>
          <w:rFonts w:ascii="Arial" w:cs="Arial" w:eastAsia="Arial" w:hAnsi="Arial"/>
          <w:sz w:val="17"/>
          <w:szCs w:val="17"/>
          <w:color w:val="auto"/>
        </w:rPr>
        <w:t>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Plan has evaluated subsequent events from December 31, 2025 through the date these financial statements were issued, and has determined that no material events occurred which require recognition or disclosure in the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AND PARTY-IN-INTEREST TRANSACTIONS</w:t>
      </w:r>
    </w:p>
    <w:p>
      <w:pPr>
        <w:spacing w:after="0" w:line="155"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transactions managed by The Vanguard Group, Inc. qualify as party-in-interest transactions. Investments in the Vanguard registered investment</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companies and common collective trusts are exempt from the prohibited transaction rules of ERISA pursuant to a class exemption issued by the U.S. Department of Labor. In addition, the fees associated with the management of these investments by The Vanguard Group, Inc. are included in</w:t>
      </w:r>
    </w:p>
    <w:p>
      <w:pPr>
        <w:spacing w:after="0"/>
        <w:rPr>
          <w:sz w:val="20"/>
          <w:szCs w:val="20"/>
          <w:color w:val="auto"/>
        </w:rPr>
      </w:pPr>
      <w:r>
        <w:rPr>
          <w:rFonts w:ascii="Arial" w:cs="Arial" w:eastAsia="Arial" w:hAnsi="Arial"/>
          <w:sz w:val="17"/>
          <w:szCs w:val="17"/>
          <w:color w:val="auto"/>
        </w:rPr>
        <w:t>the Master Trust’s net appreciation (depreciation) in fair value of investments.</w:t>
      </w:r>
    </w:p>
    <w:p>
      <w:pPr>
        <w:spacing w:after="0" w:line="137"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Plan invests in shares of GHC through the Graham Holdings Company Stock Fund in the Master Trust; therefore, these transactions qualify as party-in-interest transactions. Purchases and sales of Graham Holdings stock within the Graham Holdings Stock Fund in the Master Trust for the</w:t>
      </w:r>
    </w:p>
    <w:p>
      <w:pPr>
        <w:spacing w:after="0" w:line="1"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color w:val="auto"/>
        </w:rPr>
        <w:t>period ended December 31, 2025, were $210,457 and $385,601, respectively. Additionally, personnel and facilities of the Company have been used to perform administrative functions for the Plan at no cost to the Plan.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October 21, 2016, the Internal Revenue Service made a favorable determination that the Plan, as then designed, was qualified under IRC</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Section 401(a). Such determination letter did not involve a review of the effect on the Plan of certain amendments subsequently adopted. Plan management engaged the Plan’s ERISA counsel to examine the plan document and amendments, and ERISA counsel concluded that none of the</w:t>
      </w:r>
    </w:p>
    <w:p>
      <w:pPr>
        <w:spacing w:after="0"/>
        <w:rPr>
          <w:sz w:val="20"/>
          <w:szCs w:val="20"/>
          <w:color w:val="auto"/>
        </w:rPr>
      </w:pPr>
      <w:r>
        <w:rPr>
          <w:rFonts w:ascii="Arial" w:cs="Arial" w:eastAsia="Arial" w:hAnsi="Arial"/>
          <w:sz w:val="17"/>
          <w:szCs w:val="17"/>
          <w:color w:val="auto"/>
        </w:rPr>
        <w:t>amendments had an adverse effect on the tax-qualified status of the Plan under Section 401(a), including the 2016 and 2024 restatements.</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108"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w:t>
      </w:r>
    </w:p>
    <w:p>
      <w:pPr>
        <w:spacing w:after="0" w:line="14" w:lineRule="exact"/>
        <w:rPr>
          <w:sz w:val="20"/>
          <w:szCs w:val="20"/>
          <w:color w:val="auto"/>
        </w:rPr>
      </w:pPr>
    </w:p>
    <w:p>
      <w:pPr>
        <w:ind w:right="460"/>
        <w:spacing w:after="0" w:line="230" w:lineRule="auto"/>
        <w:rPr>
          <w:sz w:val="20"/>
          <w:szCs w:val="20"/>
          <w:color w:val="auto"/>
        </w:rPr>
      </w:pPr>
      <w:r>
        <w:rPr>
          <w:rFonts w:ascii="Arial" w:cs="Arial" w:eastAsia="Arial" w:hAnsi="Arial"/>
          <w:sz w:val="17"/>
          <w:szCs w:val="17"/>
          <w:color w:val="auto"/>
        </w:rPr>
        <w:t>uncertain position that more likely than not would not be sustained upon examination by federal, state and/or local taxing authorities. The plan administrator has analyzed the tax positions by the Plan, and has concluded that as of December 31, 2025 and 2024, there are no uncertain</w:t>
      </w:r>
    </w:p>
    <w:p>
      <w:pPr>
        <w:spacing w:after="0" w:line="238"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w:t>
      </w:r>
    </w:p>
    <w:p>
      <w:pPr>
        <w:ind w:right="560"/>
        <w:spacing w:after="0" w:line="239" w:lineRule="auto"/>
        <w:rPr>
          <w:sz w:val="20"/>
          <w:szCs w:val="20"/>
          <w:color w:val="auto"/>
        </w:rPr>
      </w:pPr>
      <w:r>
        <w:rPr>
          <w:rFonts w:ascii="Arial" w:cs="Arial" w:eastAsia="Arial" w:hAnsi="Arial"/>
          <w:sz w:val="17"/>
          <w:szCs w:val="17"/>
          <w:color w:val="auto"/>
        </w:rPr>
        <w:t>subject to routine audits by taxing jurisdictions; however, there are currently no audits for any tax periods in progress. The Plan administrator believes it is no longer subject to income tax examinations for the years prior to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w:t>
      </w:r>
    </w:p>
    <w:p>
      <w:pPr>
        <w:ind w:right="360"/>
        <w:spacing w:after="0" w:line="230" w:lineRule="auto"/>
        <w:rPr>
          <w:sz w:val="20"/>
          <w:szCs w:val="20"/>
          <w:color w:val="auto"/>
        </w:rPr>
      </w:pPr>
      <w:r>
        <w:rPr>
          <w:rFonts w:ascii="Arial" w:cs="Arial" w:eastAsia="Arial" w:hAnsi="Arial"/>
          <w:sz w:val="17"/>
          <w:szCs w:val="17"/>
          <w:color w:val="auto"/>
        </w:rPr>
        <w:t>and their elected investment options specific to each plan. The Master Trust assets are allocated among the Participating Plans by assigning to each Participating Plan the entire amount of contributions received on behalf of each Participating Plan, benefit payments, or other expenses</w:t>
      </w:r>
    </w:p>
    <w:p>
      <w:pPr>
        <w:spacing w:after="0" w:line="238"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w:t>
      </w:r>
    </w:p>
    <w:p>
      <w:pPr>
        <w:ind w:right="440"/>
        <w:spacing w:after="0" w:line="239" w:lineRule="auto"/>
        <w:rPr>
          <w:sz w:val="20"/>
          <w:szCs w:val="20"/>
          <w:color w:val="auto"/>
        </w:rPr>
      </w:pPr>
      <w:r>
        <w:rPr>
          <w:rFonts w:ascii="Arial" w:cs="Arial" w:eastAsia="Arial" w:hAnsi="Arial"/>
          <w:sz w:val="17"/>
          <w:szCs w:val="17"/>
          <w:color w:val="auto"/>
        </w:rPr>
        <w:t>Participating Plans, in proportion to the value of the assets assigned to each Participating Plan, income and expenses resulting from collective investment of the assets of the Master Trust.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gridSpan w:val="5"/>
          </w:tcPr>
          <w:p>
            <w:pPr>
              <w:ind w:left="460"/>
              <w:spacing w:after="0"/>
              <w:rPr>
                <w:sz w:val="20"/>
                <w:szCs w:val="20"/>
                <w:color w:val="auto"/>
              </w:rPr>
            </w:pPr>
            <w:r>
              <w:rPr>
                <w:rFonts w:ascii="Arial" w:cs="Arial" w:eastAsia="Arial" w:hAnsi="Arial"/>
                <w:sz w:val="17"/>
                <w:szCs w:val="17"/>
                <w:color w:val="auto"/>
              </w:rPr>
              <w:t>As of December 31, 2025</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60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7"/>
                <w:szCs w:val="17"/>
                <w:color w:val="auto"/>
              </w:rPr>
              <w:t>Companies (Mutual Funds)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621,551,801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241,815,036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221,766,892</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389,436,814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135,621,125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116,724,098</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56,895,914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25,073,771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24,616,280</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5,243,851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984,318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820,007</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403,494,250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363,927,277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6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128,409,130</w:t>
            </w:r>
          </w:p>
        </w:tc>
        <w:tc>
          <w:tcPr>
            <w:tcW w:w="0" w:type="dxa"/>
            <w:vAlign w:val="bottom"/>
          </w:tcPr>
          <w:p>
            <w:pPr>
              <w:spacing w:after="0"/>
              <w:rPr>
                <w:sz w:val="1"/>
                <w:szCs w:val="1"/>
                <w:color w:val="auto"/>
              </w:rPr>
            </w:pPr>
          </w:p>
        </w:tc>
      </w:tr>
      <w:tr>
        <w:trPr>
          <w:trHeight w:val="245"/>
        </w:trPr>
        <w:tc>
          <w:tcPr>
            <w:tcW w:w="96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26,076,585</w:t>
            </w:r>
          </w:p>
        </w:tc>
        <w:tc>
          <w:tcPr>
            <w:tcW w:w="0" w:type="dxa"/>
            <w:vAlign w:val="bottom"/>
          </w:tcPr>
          <w:p>
            <w:pPr>
              <w:spacing w:after="0"/>
              <w:rPr>
                <w:sz w:val="1"/>
                <w:szCs w:val="1"/>
                <w:color w:val="auto"/>
              </w:rPr>
            </w:pPr>
          </w:p>
        </w:tc>
      </w:tr>
      <w:tr>
        <w:trPr>
          <w:trHeight w:val="24"/>
        </w:trPr>
        <w:tc>
          <w:tcPr>
            <w:tcW w:w="96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154,485,715</w:t>
            </w:r>
          </w:p>
        </w:tc>
        <w:tc>
          <w:tcPr>
            <w:tcW w:w="0" w:type="dxa"/>
            <w:vAlign w:val="bottom"/>
          </w:tcPr>
          <w:p>
            <w:pPr>
              <w:spacing w:after="0"/>
              <w:rPr>
                <w:sz w:val="1"/>
                <w:szCs w:val="1"/>
                <w:color w:val="auto"/>
              </w:rPr>
            </w:pPr>
          </w:p>
        </w:tc>
      </w:tr>
      <w:tr>
        <w:trPr>
          <w:trHeight w:val="26"/>
        </w:trPr>
        <w:tc>
          <w:tcPr>
            <w:tcW w:w="9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42"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 unobservable inputs that require the Master Trust to use present value and other valuation techniques in the determination of fair value (Level 3).</w:t>
      </w:r>
    </w:p>
    <w:p>
      <w:pPr>
        <w:spacing w:after="0" w:line="238"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 The</w:t>
      </w:r>
    </w:p>
    <w:p>
      <w:pPr>
        <w:ind w:right="20"/>
        <w:spacing w:after="0" w:line="239"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 These funds are required to publish their daily net</w:t>
      </w:r>
    </w:p>
    <w:p>
      <w:pPr>
        <w:spacing w:after="0"/>
        <w:rPr>
          <w:sz w:val="20"/>
          <w:szCs w:val="20"/>
          <w:color w:val="auto"/>
        </w:rPr>
      </w:pPr>
      <w:r>
        <w:rPr>
          <w:rFonts w:ascii="Arial" w:cs="Arial" w:eastAsia="Arial" w:hAnsi="Arial"/>
          <w:sz w:val="17"/>
          <w:szCs w:val="17"/>
          <w:color w:val="auto"/>
        </w:rPr>
        <w:t>asset value (NAV) and to transact at that price. The mutual funds are considered actively traded.</w:t>
      </w:r>
    </w:p>
    <w:p>
      <w:pPr>
        <w:spacing w:after="0" w:line="135"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40"/>
        <w:spacing w:after="0" w:line="239"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8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60"/>
        <w:spacing w:after="0" w:line="239"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tcPr>
          <w:p>
            <w:pPr>
              <w:ind w:left="400"/>
              <w:spacing w:after="0"/>
              <w:rPr>
                <w:sz w:val="20"/>
                <w:szCs w:val="20"/>
                <w:color w:val="auto"/>
              </w:rPr>
            </w:pPr>
            <w:r>
              <w:rPr>
                <w:rFonts w:ascii="Arial" w:cs="Arial" w:eastAsia="Arial" w:hAnsi="Arial"/>
                <w:sz w:val="17"/>
                <w:szCs w:val="17"/>
                <w:color w:val="auto"/>
              </w:rPr>
              <w:t>As of December 31, 2025</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4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80" w:type="dxa"/>
            <w:vAlign w:val="bottom"/>
          </w:tcPr>
          <w:p>
            <w:pPr>
              <w:spacing w:after="0"/>
              <w:rPr>
                <w:sz w:val="19"/>
                <w:szCs w:val="19"/>
                <w:color w:val="auto"/>
              </w:rPr>
            </w:pPr>
          </w:p>
        </w:tc>
        <w:tc>
          <w:tcPr>
            <w:tcW w:w="1520" w:type="dxa"/>
            <w:vAlign w:val="bottom"/>
            <w:gridSpan w:val="2"/>
          </w:tcPr>
          <w:p>
            <w:pPr>
              <w:ind w:left="16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202"/>
        </w:trPr>
        <w:tc>
          <w:tcPr>
            <w:tcW w:w="4420" w:type="dxa"/>
            <w:vAlign w:val="bottom"/>
            <w:vMerge w:val="continue"/>
          </w:tcPr>
          <w:p>
            <w:pPr>
              <w:spacing w:after="0"/>
              <w:rPr>
                <w:sz w:val="17"/>
                <w:szCs w:val="17"/>
                <w:color w:val="auto"/>
              </w:rPr>
            </w:pP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621,784,615</w:t>
            </w:r>
          </w:p>
        </w:tc>
        <w:tc>
          <w:tcPr>
            <w:tcW w:w="14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621,784,615</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569,520,506</w:t>
            </w:r>
          </w:p>
        </w:tc>
        <w:tc>
          <w:tcPr>
            <w:tcW w:w="0" w:type="dxa"/>
            <w:vAlign w:val="bottom"/>
          </w:tcPr>
          <w:p>
            <w:pPr>
              <w:spacing w:after="0"/>
              <w:rPr>
                <w:sz w:val="1"/>
                <w:szCs w:val="1"/>
                <w:color w:val="auto"/>
              </w:rPr>
            </w:pPr>
          </w:p>
        </w:tc>
      </w:tr>
      <w:tr>
        <w:trPr>
          <w:trHeight w:val="239"/>
        </w:trPr>
        <w:tc>
          <w:tcPr>
            <w:tcW w:w="4420" w:type="dxa"/>
            <w:vAlign w:val="bottom"/>
          </w:tcPr>
          <w:p>
            <w:pPr>
              <w:ind w:left="140"/>
              <w:spacing w:after="0"/>
              <w:rPr>
                <w:sz w:val="20"/>
                <w:szCs w:val="20"/>
                <w:color w:val="auto"/>
              </w:rPr>
            </w:pPr>
            <w:r>
              <w:rPr>
                <w:rFonts w:ascii="Arial" w:cs="Arial" w:eastAsia="Arial" w:hAnsi="Arial"/>
                <w:sz w:val="17"/>
                <w:szCs w:val="17"/>
                <w:color w:val="auto"/>
              </w:rPr>
              <w:t>Mutual funds</w:t>
            </w:r>
          </w:p>
        </w:tc>
        <w:tc>
          <w:tcPr>
            <w:tcW w:w="2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140"/>
              <w:spacing w:after="0"/>
              <w:rPr>
                <w:sz w:val="20"/>
                <w:szCs w:val="20"/>
                <w:color w:val="auto"/>
              </w:rPr>
            </w:pPr>
            <w:r>
              <w:rPr>
                <w:rFonts w:ascii="Arial" w:cs="Arial" w:eastAsia="Arial" w:hAnsi="Arial"/>
                <w:sz w:val="17"/>
                <w:szCs w:val="17"/>
                <w:color w:val="auto"/>
              </w:rPr>
              <w:t>Berkshire Hathaway common stock</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rPr>
                <w:sz w:val="20"/>
                <w:szCs w:val="20"/>
                <w:color w:val="auto"/>
              </w:rPr>
            </w:pPr>
            <w:r>
              <w:rPr>
                <w:rFonts w:ascii="Arial" w:cs="Arial" w:eastAsia="Arial" w:hAnsi="Arial"/>
                <w:sz w:val="17"/>
                <w:szCs w:val="17"/>
                <w:color w:val="auto"/>
              </w:rPr>
              <w:t>Graham Holdings Company common stock</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0" w:type="dxa"/>
            <w:vAlign w:val="bottom"/>
          </w:tcPr>
          <w:p>
            <w:pPr>
              <w:spacing w:after="0"/>
              <w:rPr>
                <w:sz w:val="1"/>
                <w:szCs w:val="1"/>
                <w:color w:val="auto"/>
              </w:rPr>
            </w:pPr>
          </w:p>
        </w:tc>
      </w:tr>
      <w:tr>
        <w:trPr>
          <w:trHeight w:val="209"/>
        </w:trPr>
        <w:tc>
          <w:tcPr>
            <w:tcW w:w="4420" w:type="dxa"/>
            <w:vAlign w:val="bottom"/>
          </w:tcPr>
          <w:p>
            <w:pPr>
              <w:ind w:left="30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389,436,813</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300"/>
              <w:spacing w:after="0"/>
              <w:rPr>
                <w:sz w:val="20"/>
                <w:szCs w:val="20"/>
                <w:color w:val="auto"/>
              </w:rPr>
            </w:pPr>
            <w:r>
              <w:rPr>
                <w:rFonts w:ascii="Arial" w:cs="Arial" w:eastAsia="Arial" w:hAnsi="Arial"/>
                <w:sz w:val="17"/>
                <w:szCs w:val="17"/>
                <w:color w:val="auto"/>
              </w:rPr>
              <w:t>Total financial assets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240" w:hanging="237"/>
        <w:spacing w:after="0" w:line="221" w:lineRule="auto"/>
        <w:tabs>
          <w:tab w:leader="none" w:pos="332"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2025</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2024</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381,561,598</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338,587,009</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7,875,215</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6,837,311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389,436,813</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345,424,320</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403,494,250</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(3.75%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1,955,854</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405,450,104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54610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12" w:name="page13"/>
    <w:bookmarkEnd w:id="12"/>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54610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19"/>
          </w:cols>
          <w:pgMar w:left="340" w:top="863" w:right="1440" w:bottom="1440" w:gutter="0" w:footer="0" w:header="0"/>
        </w:sectPr>
      </w:pPr>
    </w:p>
    <w:bookmarkStart w:id="13" w:name="page14"/>
    <w:bookmarkEnd w:id="13"/>
    <w:p>
      <w:pPr>
        <w:jc w:val="center"/>
        <w:ind w:left="42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THE KAPLAN, INC. TAX DEFERRED SAVINGS</w:t>
            </w:r>
          </w:p>
        </w:tc>
      </w:tr>
      <w:tr>
        <w:trPr>
          <w:trHeight w:val="233"/>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PLAN FOR SALARIED EMPLOYEES</w:t>
            </w:r>
          </w:p>
        </w:tc>
      </w:tr>
      <w:tr>
        <w:trPr>
          <w:trHeight w:val="219"/>
        </w:trPr>
        <w:tc>
          <w:tcPr>
            <w:tcW w:w="3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rPr>
              <w:t>(The Plan)</w:t>
            </w:r>
          </w:p>
        </w:tc>
      </w:tr>
      <w:tr>
        <w:trPr>
          <w:trHeight w:val="472"/>
        </w:trPr>
        <w:tc>
          <w:tcPr>
            <w:tcW w:w="3520" w:type="dxa"/>
            <w:vAlign w:val="bottom"/>
          </w:tcPr>
          <w:p>
            <w:pPr>
              <w:spacing w:after="0"/>
              <w:rPr>
                <w:sz w:val="20"/>
                <w:szCs w:val="20"/>
                <w:color w:val="auto"/>
              </w:rPr>
            </w:pPr>
            <w:r>
              <w:rPr>
                <w:rFonts w:ascii="Arial" w:cs="Arial" w:eastAsia="Arial" w:hAnsi="Arial"/>
                <w:sz w:val="17"/>
                <w:szCs w:val="17"/>
                <w:color w:val="auto"/>
              </w:rPr>
              <w:t>Date: June 25, 2026</w:t>
            </w:r>
          </w:p>
        </w:tc>
        <w:tc>
          <w:tcPr>
            <w:tcW w:w="366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Wallace R. Cooney</w:t>
            </w:r>
          </w:p>
        </w:tc>
      </w:tr>
      <w:tr>
        <w:trPr>
          <w:trHeight w:val="161"/>
        </w:trPr>
        <w:tc>
          <w:tcPr>
            <w:tcW w:w="35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2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9"/>
              </w:rPr>
              <w:t>Wallace R. Cooney,</w:t>
            </w:r>
          </w:p>
        </w:tc>
      </w:tr>
      <w:tr>
        <w:trPr>
          <w:trHeight w:val="238"/>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Chief Financial Officer</w:t>
            </w:r>
          </w:p>
        </w:tc>
      </w:tr>
      <w:tr>
        <w:trPr>
          <w:trHeight w:val="837"/>
        </w:trPr>
        <w:tc>
          <w:tcPr>
            <w:tcW w:w="3520" w:type="dxa"/>
            <w:vAlign w:val="bottom"/>
          </w:tcPr>
          <w:p>
            <w:pPr>
              <w:spacing w:after="0"/>
              <w:rPr>
                <w:sz w:val="24"/>
                <w:szCs w:val="24"/>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12</w:t>
            </w:r>
          </w:p>
        </w:tc>
        <w:tc>
          <w:tcPr>
            <w:tcW w:w="4020" w:type="dxa"/>
            <w:vAlign w:val="bottom"/>
          </w:tcPr>
          <w:p>
            <w:pPr>
              <w:spacing w:after="0"/>
              <w:rPr>
                <w:sz w:val="24"/>
                <w:szCs w:val="24"/>
                <w:color w:val="auto"/>
              </w:rPr>
            </w:pPr>
          </w:p>
        </w:tc>
      </w:tr>
    </w:tbl>
    <w:p>
      <w:pPr>
        <w:sectPr>
          <w:pgSz w:w="11900" w:h="16838" w:orient="portrait"/>
          <w:cols w:equalWidth="0" w:num="1">
            <w:col w:w="11240"/>
          </w:cols>
          <w:pgMar w:left="320" w:top="101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EXHIBIT 23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333-276044) of Graham Holdings Company of our report dated June 25, 2026 relating to the financial statements and supplemental schedule of The Kaplan, Inc. Tax Deferred Savings Plan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Salaried Employees, which appears in this Form 11-K.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2026-06-25T15:44:26Z</dcterms:created>
  <dcterms:modified xsi:type="dcterms:W3CDTF">2026-06-25T15:44:26Z</dcterms:modified>
</cp:coreProperties>
</file>