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100965</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3"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86"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001-06714</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50"/>
        </w:trPr>
        <w:tc>
          <w:tcPr>
            <w:tcW w:w="4920" w:type="dxa"/>
            <w:vAlign w:val="bottom"/>
            <w:gridSpan w:val="2"/>
          </w:tcPr>
          <w:p>
            <w:pPr>
              <w:jc w:val="center"/>
              <w:ind w:left="100"/>
              <w:spacing w:after="0" w:line="150" w:lineRule="exact"/>
              <w:rPr>
                <w:sz w:val="20"/>
                <w:szCs w:val="20"/>
                <w:color w:val="auto"/>
              </w:rPr>
            </w:pPr>
            <w:r>
              <w:rPr>
                <w:rFonts w:ascii="Arial" w:cs="Arial" w:eastAsia="Arial" w:hAnsi="Arial"/>
                <w:sz w:val="14"/>
                <w:szCs w:val="14"/>
                <w:b w:val="1"/>
                <w:bCs w:val="1"/>
                <w:color w:val="auto"/>
              </w:rPr>
              <w:t>(State or other jurisdiction of</w:t>
            </w: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00" w:type="dxa"/>
            <w:vAlign w:val="bottom"/>
          </w:tcPr>
          <w:p>
            <w:pPr>
              <w:jc w:val="center"/>
              <w:ind w:right="640"/>
              <w:spacing w:after="0" w:line="150" w:lineRule="exact"/>
              <w:rPr>
                <w:sz w:val="20"/>
                <w:szCs w:val="20"/>
                <w:color w:val="auto"/>
              </w:rPr>
            </w:pPr>
            <w:r>
              <w:rPr>
                <w:rFonts w:ascii="Arial" w:cs="Arial" w:eastAsia="Arial" w:hAnsi="Arial"/>
                <w:sz w:val="14"/>
                <w:szCs w:val="14"/>
                <w:b w:val="1"/>
                <w:bCs w:val="1"/>
                <w:color w:val="auto"/>
              </w:rPr>
              <w:t>(I.R.S. Employer</w:t>
            </w:r>
          </w:p>
        </w:tc>
      </w:tr>
      <w:tr>
        <w:trPr>
          <w:trHeight w:val="202"/>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Identification No.)</w:t>
            </w:r>
          </w:p>
        </w:tc>
      </w:tr>
      <w:tr>
        <w:trPr>
          <w:trHeight w:val="296"/>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9"/>
              </w:rPr>
              <w:t>1300 North 17th Street, Arlington ,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2"/>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Pr>
          <w:p>
            <w:pPr>
              <w:jc w:val="center"/>
              <w:ind w:right="660"/>
              <w:spacing w:after="0"/>
              <w:rPr>
                <w:sz w:val="20"/>
                <w:szCs w:val="20"/>
                <w:color w:val="auto"/>
              </w:rPr>
            </w:pPr>
            <w:r>
              <w:rPr>
                <w:rFonts w:ascii="Arial" w:cs="Arial" w:eastAsia="Arial" w:hAnsi="Arial"/>
                <w:sz w:val="14"/>
                <w:szCs w:val="14"/>
                <w:b w:val="1"/>
                <w:bCs w:val="1"/>
                <w:color w:val="auto"/>
              </w:rPr>
              <w:t>(Zip Code)</w:t>
            </w:r>
          </w:p>
        </w:tc>
      </w:tr>
      <w:tr>
        <w:trPr>
          <w:trHeight w:val="446"/>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9"/>
        </w:trPr>
        <w:tc>
          <w:tcPr>
            <w:tcW w:w="7500" w:type="dxa"/>
            <w:vAlign w:val="bottom"/>
            <w:gridSpan w:val="5"/>
          </w:tcPr>
          <w:p>
            <w:pPr>
              <w:jc w:val="center"/>
              <w:ind w:left="36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tcPr>
          <w:p>
            <w:pPr>
              <w:spacing w:after="0"/>
              <w:rPr>
                <w:sz w:val="19"/>
                <w:szCs w:val="19"/>
                <w:color w:val="auto"/>
              </w:rPr>
            </w:pPr>
          </w:p>
        </w:tc>
      </w:tr>
      <w:tr>
        <w:trPr>
          <w:trHeight w:val="34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80" w:type="dxa"/>
            <w:vAlign w:val="bottom"/>
            <w:gridSpan w:val="3"/>
          </w:tcPr>
          <w:p>
            <w:pPr>
              <w:jc w:val="center"/>
              <w:ind w:right="620"/>
              <w:spacing w:after="0"/>
              <w:rPr>
                <w:sz w:val="20"/>
                <w:szCs w:val="20"/>
                <w:color w:val="auto"/>
              </w:rPr>
            </w:pPr>
            <w:r>
              <w:rPr>
                <w:rFonts w:ascii="Arial" w:cs="Arial" w:eastAsia="Arial" w:hAnsi="Arial"/>
                <w:sz w:val="16"/>
                <w:szCs w:val="16"/>
                <w:color w:val="auto"/>
              </w:rPr>
              <w:t>Trading Symbol(s)</w:t>
            </w:r>
          </w:p>
        </w:tc>
        <w:tc>
          <w:tcPr>
            <w:tcW w:w="3700" w:type="dxa"/>
            <w:vAlign w:val="bottom"/>
          </w:tcPr>
          <w:p>
            <w:pPr>
              <w:jc w:val="center"/>
              <w:ind w:right="300"/>
              <w:spacing w:after="0"/>
              <w:rPr>
                <w:sz w:val="20"/>
                <w:szCs w:val="20"/>
                <w:color w:val="auto"/>
              </w:rPr>
            </w:pPr>
            <w:r>
              <w:rPr>
                <w:rFonts w:ascii="Arial" w:cs="Arial" w:eastAsia="Arial" w:hAnsi="Arial"/>
                <w:sz w:val="16"/>
                <w:szCs w:val="16"/>
                <w:color w:val="auto"/>
              </w:rPr>
              <w:t>Name of each exchange on which registered</w:t>
            </w:r>
          </w:p>
        </w:tc>
      </w:tr>
      <w:tr>
        <w:trPr>
          <w:trHeight w:val="219"/>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00" w:type="dxa"/>
            <w:vAlign w:val="bottom"/>
            <w:tcBorders>
              <w:top w:val="single" w:sz="8" w:color="auto"/>
            </w:tcBorders>
          </w:tcPr>
          <w:p>
            <w:pPr>
              <w:jc w:val="center"/>
              <w:ind w:right="300"/>
              <w:spacing w:after="0"/>
              <w:rPr>
                <w:sz w:val="20"/>
                <w:szCs w:val="20"/>
                <w:color w:val="auto"/>
              </w:rPr>
            </w:pPr>
            <w:r>
              <w:rPr>
                <w:rFonts w:ascii="Arial" w:cs="Arial" w:eastAsia="Arial" w:hAnsi="Arial"/>
                <w:sz w:val="16"/>
                <w:szCs w:val="16"/>
                <w:color w:val="auto"/>
              </w:rPr>
              <w:t>New York Stock Exchange</w:t>
            </w:r>
          </w:p>
        </w:tc>
      </w:tr>
    </w:tbl>
    <w:p>
      <w:pPr>
        <w:spacing w:after="0" w:line="191" w:lineRule="exact"/>
        <w:rPr>
          <w:sz w:val="24"/>
          <w:szCs w:val="24"/>
          <w:color w:val="auto"/>
        </w:rPr>
      </w:pPr>
    </w:p>
    <w:p>
      <w:pPr>
        <w:ind w:right="40"/>
        <w:spacing w:after="0" w:line="21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ind w:right="240"/>
        <w:spacing w:after="0" w:line="20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6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80" w:type="dxa"/>
        <w:tblCellMar>
          <w:top w:w="0" w:type="dxa"/>
          <w:left w:w="0" w:type="dxa"/>
          <w:bottom w:w="0" w:type="dxa"/>
          <w:right w:w="0" w:type="dxa"/>
        </w:tblCellMar>
      </w:tblPr>
      <w:tr>
        <w:trPr>
          <w:trHeight w:val="184"/>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5"/>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right="1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30, 2020:</w:t>
      </w:r>
    </w:p>
    <w:p>
      <w:pPr>
        <w:spacing w:after="0" w:line="104"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31"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4,042,472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70"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Condensed Consolidated Statements of Comprehensive Income</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Condensed Consolidated Statements of Cash Flows</w:t>
      </w:r>
    </w:p>
    <w:p>
      <w:pPr>
        <w:spacing w:after="0" w:line="30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30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Income Taxes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8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28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8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648970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1</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p>
      <w:pPr>
        <w:spacing w:after="0" w:line="302"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7</w:t>
        </w:r>
      </w:hyperlink>
    </w:p>
    <w:p>
      <w:pPr>
        <w:spacing w:after="0" w:line="302"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8</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14</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16</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17</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17</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18</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23</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24</w:t>
        </w:r>
      </w:hyperlink>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29</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41</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41</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42</w:t>
        </w:r>
      </w:hyperlink>
    </w:p>
    <w:p>
      <w:pPr>
        <w:spacing w:after="0" w:line="289" w:lineRule="exact"/>
        <w:rPr>
          <w:sz w:val="20"/>
          <w:szCs w:val="20"/>
          <w:color w:val="auto"/>
        </w:rPr>
      </w:pPr>
    </w:p>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p>
      <w:pPr>
        <w:sectPr>
          <w:pgSz w:w="11900" w:h="16838" w:orient="portrait"/>
          <w:cols w:equalWidth="0" w:num="2">
            <w:col w:w="10280" w:space="720"/>
            <w:col w:w="180"/>
          </w:cols>
          <w:pgMar w:left="340" w:top="938"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2"/>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2019</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716,982</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738,820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2,102,110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2,168,621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477,960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518,207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1,418,267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1,454,776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164,231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175,050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499,069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516,276</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18,481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15,351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58,098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42,758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14,150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13,572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42,642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39,512</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1,916</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29,828</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26"/>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676,738</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722,552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2,047,904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2,054,387</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40,244</w:t>
            </w:r>
          </w:p>
        </w:tc>
        <w:tc>
          <w:tcPr>
            <w:tcW w:w="5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16,268</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54,206</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114,234</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4,092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4,683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3,727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7,829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890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1,474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2,995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4,753</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(7,247)</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(6,776)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(22,302)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(22,587)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10,489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19,556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41,028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51,737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59,364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17,404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(1,139)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49,261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5,556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11,010</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36,135</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108,054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58,165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89,525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241,362</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30,000</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26,500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59,500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78,054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42,965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63,025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181,862</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55"/>
        </w:trPr>
        <w:tc>
          <w:tcPr>
            <w:tcW w:w="606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Net Income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77,615</w:t>
            </w:r>
          </w:p>
        </w:tc>
        <w:tc>
          <w:tcPr>
            <w:tcW w:w="50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43,145</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63,224</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181,974</w:t>
            </w:r>
          </w:p>
        </w:tc>
        <w:tc>
          <w:tcPr>
            <w:tcW w:w="0" w:type="dxa"/>
            <w:vAlign w:val="bottom"/>
          </w:tcPr>
          <w:p>
            <w:pPr>
              <w:spacing w:after="0"/>
              <w:rPr>
                <w:sz w:val="1"/>
                <w:szCs w:val="1"/>
                <w:color w:val="auto"/>
              </w:rPr>
            </w:pPr>
          </w:p>
        </w:tc>
      </w:tr>
      <w:tr>
        <w:trPr>
          <w:trHeight w:val="214"/>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line="176" w:lineRule="exact"/>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15.25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8.12</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12.15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5,060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5,285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5,176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5,285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15.22</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12.11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5,072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5,329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5,192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0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6800" w:type="dxa"/>
            <w:vAlign w:val="bottom"/>
          </w:tcPr>
          <w:p>
            <w:pPr>
              <w:spacing w:after="0"/>
              <w:rPr>
                <w:sz w:val="17"/>
                <w:szCs w:val="17"/>
                <w:color w:val="auto"/>
              </w:rPr>
            </w:pPr>
          </w:p>
        </w:tc>
        <w:tc>
          <w:tcPr>
            <w:tcW w:w="220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800" w:type="dxa"/>
            <w:vAlign w:val="bottom"/>
          </w:tcPr>
          <w:p>
            <w:pPr>
              <w:spacing w:after="0"/>
              <w:rPr>
                <w:sz w:val="20"/>
                <w:szCs w:val="20"/>
                <w:color w:val="auto"/>
              </w:rPr>
            </w:pPr>
            <w:r>
              <w:rPr>
                <w:rFonts w:ascii="Arial" w:cs="Arial" w:eastAsia="Arial" w:hAnsi="Arial"/>
                <w:sz w:val="14"/>
                <w:szCs w:val="14"/>
                <w:color w:val="auto"/>
              </w:rPr>
              <w:t>(in thousands)</w:t>
            </w: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2019</w:t>
            </w: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080"/>
        <w:spacing w:after="0" w:line="344" w:lineRule="auto"/>
        <w:rPr>
          <w:sz w:val="20"/>
          <w:szCs w:val="20"/>
          <w:color w:val="auto"/>
        </w:rPr>
      </w:pPr>
      <w:r>
        <w:rPr>
          <w:rFonts w:ascii="Arial" w:cs="Arial" w:eastAsia="Arial" w:hAnsi="Arial"/>
          <w:sz w:val="16"/>
          <w:szCs w:val="16"/>
          <w:color w:val="auto"/>
        </w:rPr>
        <w:t>Amortization of net prior service cost (credit) included in net income Amortization of net actuarial loss (gain) included in net income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flow hedges gain (loss)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78,054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42,965</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63,025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181,862</w:t>
            </w:r>
          </w:p>
        </w:tc>
      </w:tr>
      <w:tr>
        <w:trPr>
          <w:trHeight w:val="688"/>
        </w:trPr>
        <w:tc>
          <w:tcPr>
            <w:tcW w:w="28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20,430</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(16,684)</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(541)</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(17,755)</w:t>
            </w:r>
          </w:p>
        </w:tc>
      </w:tr>
      <w:tr>
        <w:trPr>
          <w:trHeight w:val="459"/>
        </w:trPr>
        <w:tc>
          <w:tcPr>
            <w:tcW w:w="28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671</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(932)</w:t>
            </w:r>
          </w:p>
        </w:tc>
        <w:tc>
          <w:tcPr>
            <w:tcW w:w="34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2,010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(3,210)</w:t>
            </w:r>
          </w:p>
        </w:tc>
      </w:tr>
      <w:tr>
        <w:trPr>
          <w:trHeight w:val="233"/>
        </w:trPr>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304</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914</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w:t>
            </w:r>
          </w:p>
        </w:tc>
      </w:tr>
      <w:tr>
        <w:trPr>
          <w:trHeight w:val="220"/>
        </w:trPr>
        <w:tc>
          <w:tcPr>
            <w:tcW w:w="2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975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(1,443)</w:t>
            </w:r>
          </w:p>
        </w:tc>
        <w:tc>
          <w:tcPr>
            <w:tcW w:w="3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2,924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(4,744)</w:t>
            </w:r>
          </w:p>
        </w:tc>
      </w:tr>
      <w:tr>
        <w:trPr>
          <w:trHeight w:val="232"/>
        </w:trPr>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157</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(1,564)</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r>
      <w:tr>
        <w:trPr>
          <w:trHeight w:val="220"/>
        </w:trPr>
        <w:tc>
          <w:tcPr>
            <w:tcW w:w="2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21,562</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(18,604)</w:t>
            </w:r>
          </w:p>
        </w:tc>
        <w:tc>
          <w:tcPr>
            <w:tcW w:w="3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819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(23,403)</w:t>
            </w:r>
          </w:p>
        </w:tc>
      </w:tr>
      <w:tr>
        <w:trPr>
          <w:trHeight w:val="232"/>
        </w:trPr>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518</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r>
      <w:tr>
        <w:trPr>
          <w:trHeight w:val="226"/>
        </w:trPr>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21,263</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(21,891)</w:t>
            </w:r>
          </w:p>
        </w:tc>
      </w:tr>
      <w:tr>
        <w:trPr>
          <w:trHeight w:val="217"/>
        </w:trPr>
        <w:tc>
          <w:tcPr>
            <w:tcW w:w="2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99,317</w:t>
            </w: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24,879</w:t>
            </w: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63,413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159,971</w:t>
            </w:r>
          </w:p>
        </w:tc>
      </w:tr>
      <w:tr>
        <w:trPr>
          <w:trHeight w:val="232"/>
        </w:trPr>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199</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26"/>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98,878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25,059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63,612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160,083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680"/>
            <w:col w:w="4420"/>
          </w:cols>
          <w:pgMar w:left="320" w:top="938" w:right="3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320" w:type="dxa"/>
            <w:vAlign w:val="bottom"/>
          </w:tcPr>
          <w:p>
            <w:pPr>
              <w:jc w:val="center"/>
              <w:ind w:right="140"/>
              <w:spacing w:after="0" w:line="14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40" w:type="dxa"/>
            <w:vAlign w:val="bottom"/>
          </w:tcPr>
          <w:p>
            <w:pPr>
              <w:jc w:val="right"/>
              <w:ind w:right="179"/>
              <w:spacing w:after="0" w:line="14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96"/>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295,672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200,165</w:t>
            </w: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11,072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13,879</w:t>
            </w:r>
          </w:p>
        </w:tc>
        <w:tc>
          <w:tcPr>
            <w:tcW w:w="0" w:type="dxa"/>
            <w:vAlign w:val="bottom"/>
          </w:tcPr>
          <w:p>
            <w:pPr>
              <w:spacing w:after="0"/>
              <w:rPr>
                <w:sz w:val="1"/>
                <w:szCs w:val="1"/>
                <w:color w:val="auto"/>
              </w:rPr>
            </w:pPr>
          </w:p>
        </w:tc>
      </w:tr>
      <w:tr>
        <w:trPr>
          <w:trHeight w:val="229"/>
        </w:trPr>
        <w:tc>
          <w:tcPr>
            <w:tcW w:w="8200" w:type="dxa"/>
            <w:vAlign w:val="bottom"/>
          </w:tcPr>
          <w:p>
            <w:pPr>
              <w:ind w:left="20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506,246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599,967</w:t>
            </w:r>
          </w:p>
        </w:tc>
        <w:tc>
          <w:tcPr>
            <w:tcW w:w="0" w:type="dxa"/>
            <w:vAlign w:val="bottom"/>
          </w:tcPr>
          <w:p>
            <w:pPr>
              <w:spacing w:after="0"/>
              <w:rPr>
                <w:sz w:val="1"/>
                <w:szCs w:val="1"/>
                <w:color w:val="auto"/>
              </w:rPr>
            </w:pPr>
          </w:p>
        </w:tc>
      </w:tr>
      <w:tr>
        <w:trPr>
          <w:trHeight w:val="229"/>
        </w:trPr>
        <w:tc>
          <w:tcPr>
            <w:tcW w:w="820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474,256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624,216</w:t>
            </w: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124,258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120,834</w:t>
            </w:r>
          </w:p>
        </w:tc>
        <w:tc>
          <w:tcPr>
            <w:tcW w:w="0" w:type="dxa"/>
            <w:vAlign w:val="bottom"/>
          </w:tcPr>
          <w:p>
            <w:pPr>
              <w:spacing w:after="0"/>
              <w:rPr>
                <w:sz w:val="1"/>
                <w:szCs w:val="1"/>
                <w:color w:val="auto"/>
              </w:rPr>
            </w:pPr>
          </w:p>
        </w:tc>
      </w:tr>
      <w:tr>
        <w:trPr>
          <w:trHeight w:val="229"/>
        </w:trPr>
        <w:tc>
          <w:tcPr>
            <w:tcW w:w="8200" w:type="dxa"/>
            <w:vAlign w:val="bottom"/>
          </w:tcPr>
          <w:p>
            <w:pPr>
              <w:ind w:left="20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73,426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92,289</w:t>
            </w:r>
          </w:p>
        </w:tc>
        <w:tc>
          <w:tcPr>
            <w:tcW w:w="0" w:type="dxa"/>
            <w:vAlign w:val="bottom"/>
          </w:tcPr>
          <w:p>
            <w:pPr>
              <w:spacing w:after="0"/>
              <w:rPr>
                <w:sz w:val="1"/>
                <w:szCs w:val="1"/>
                <w:color w:val="auto"/>
              </w:rPr>
            </w:pPr>
          </w:p>
        </w:tc>
      </w:tr>
      <w:tr>
        <w:trPr>
          <w:trHeight w:val="229"/>
        </w:trPr>
        <w:tc>
          <w:tcPr>
            <w:tcW w:w="820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33,115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10,735</w:t>
            </w:r>
          </w:p>
        </w:tc>
        <w:tc>
          <w:tcPr>
            <w:tcW w:w="0" w:type="dxa"/>
            <w:vAlign w:val="bottom"/>
          </w:tcPr>
          <w:p>
            <w:pPr>
              <w:spacing w:after="0"/>
              <w:rPr>
                <w:sz w:val="1"/>
                <w:szCs w:val="1"/>
                <w:color w:val="auto"/>
              </w:rPr>
            </w:pPr>
          </w:p>
        </w:tc>
      </w:tr>
      <w:tr>
        <w:trPr>
          <w:trHeight w:val="231"/>
        </w:trPr>
        <w:tc>
          <w:tcPr>
            <w:tcW w:w="820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23"/>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1,519,021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1,663,485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379,010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384,670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486,691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526,417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157,529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162,249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1,458,194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1,388,279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117,841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140,197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218,125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233,481</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1,322,151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1,292,350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5,362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11,629</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$4,509 and $0 of restricted cash)</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147,589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128,479</w:t>
            </w:r>
          </w:p>
        </w:tc>
        <w:tc>
          <w:tcPr>
            <w:tcW w:w="0" w:type="dxa"/>
            <w:vAlign w:val="bottom"/>
          </w:tcPr>
          <w:p>
            <w:pPr>
              <w:spacing w:after="0"/>
              <w:rPr>
                <w:sz w:val="1"/>
                <w:szCs w:val="1"/>
                <w:color w:val="auto"/>
              </w:rPr>
            </w:pPr>
          </w:p>
        </w:tc>
      </w:tr>
      <w:tr>
        <w:trPr>
          <w:trHeight w:val="227"/>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5,811,513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5,931,236</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500,335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507,701</w:t>
            </w: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309,142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355,156</w:t>
            </w: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4,401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4,121</w:t>
            </w:r>
          </w:p>
        </w:tc>
        <w:tc>
          <w:tcPr>
            <w:tcW w:w="0" w:type="dxa"/>
            <w:vAlign w:val="bottom"/>
          </w:tcPr>
          <w:p>
            <w:pPr>
              <w:spacing w:after="0"/>
              <w:rPr>
                <w:sz w:val="1"/>
                <w:szCs w:val="1"/>
                <w:color w:val="auto"/>
              </w:rPr>
            </w:pPr>
          </w:p>
        </w:tc>
      </w:tr>
      <w:tr>
        <w:trPr>
          <w:trHeight w:val="229"/>
        </w:trPr>
        <w:tc>
          <w:tcPr>
            <w:tcW w:w="8200" w:type="dxa"/>
            <w:vAlign w:val="bottom"/>
          </w:tcPr>
          <w:p>
            <w:pPr>
              <w:ind w:left="200"/>
              <w:spacing w:after="0"/>
              <w:rPr>
                <w:sz w:val="20"/>
                <w:szCs w:val="20"/>
                <w:color w:val="auto"/>
              </w:rPr>
            </w:pPr>
            <w:r>
              <w:rPr>
                <w:rFonts w:ascii="Arial" w:cs="Arial" w:eastAsia="Arial" w:hAnsi="Arial"/>
                <w:sz w:val="16"/>
                <w:szCs w:val="16"/>
                <w:color w:val="auto"/>
              </w:rPr>
              <w:t>Current portion of 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88,218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92,714</w:t>
            </w: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6,104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82,179</w:t>
            </w: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7,259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915,459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1,041,871</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202,647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193,836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62,471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27,223</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407,429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427,372</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768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454,902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477,004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509,282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430,650</w:t>
            </w:r>
          </w:p>
        </w:tc>
        <w:tc>
          <w:tcPr>
            <w:tcW w:w="0" w:type="dxa"/>
            <w:vAlign w:val="bottom"/>
          </w:tcPr>
          <w:p>
            <w:pPr>
              <w:spacing w:after="0"/>
              <w:rPr>
                <w:sz w:val="1"/>
                <w:szCs w:val="1"/>
                <w:color w:val="auto"/>
              </w:rPr>
            </w:pPr>
          </w:p>
        </w:tc>
      </w:tr>
      <w:tr>
        <w:trPr>
          <w:trHeight w:val="229"/>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2,552,958</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2,598,785</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11,897</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18"/>
                <w:szCs w:val="18"/>
                <w:color w:val="auto"/>
              </w:rPr>
            </w:pPr>
          </w:p>
        </w:tc>
        <w:tc>
          <w:tcPr>
            <w:tcW w:w="13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0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386,506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381,669</w:t>
            </w: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6,567,676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6,534,427</w:t>
            </w:r>
          </w:p>
        </w:tc>
        <w:tc>
          <w:tcPr>
            <w:tcW w:w="0" w:type="dxa"/>
            <w:vAlign w:val="bottom"/>
          </w:tcPr>
          <w:p>
            <w:pPr>
              <w:spacing w:after="0"/>
              <w:rPr>
                <w:sz w:val="1"/>
                <w:szCs w:val="1"/>
                <w:color w:val="auto"/>
              </w:rPr>
            </w:pPr>
          </w:p>
        </w:tc>
      </w:tr>
      <w:tr>
        <w:trPr>
          <w:trHeight w:val="221"/>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net of tax</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44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(22,429)</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(21,888)</w:t>
            </w:r>
          </w:p>
        </w:tc>
        <w:tc>
          <w:tcPr>
            <w:tcW w:w="0" w:type="dxa"/>
            <w:vAlign w:val="bottom"/>
          </w:tcPr>
          <w:p>
            <w:pPr>
              <w:spacing w:after="0"/>
              <w:rPr>
                <w:sz w:val="1"/>
                <w:szCs w:val="1"/>
                <w:color w:val="auto"/>
              </w:rPr>
            </w:pPr>
          </w:p>
        </w:tc>
      </w:tr>
      <w:tr>
        <w:trPr>
          <w:trHeight w:val="229"/>
        </w:trPr>
        <w:tc>
          <w:tcPr>
            <w:tcW w:w="8200" w:type="dxa"/>
            <w:vAlign w:val="bottom"/>
          </w:tcPr>
          <w:p>
            <w:pPr>
              <w:ind w:left="44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328,056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325,921</w:t>
            </w:r>
          </w:p>
        </w:tc>
        <w:tc>
          <w:tcPr>
            <w:tcW w:w="0" w:type="dxa"/>
            <w:vAlign w:val="bottom"/>
          </w:tcPr>
          <w:p>
            <w:pPr>
              <w:spacing w:after="0"/>
              <w:rPr>
                <w:sz w:val="1"/>
                <w:szCs w:val="1"/>
                <w:color w:val="auto"/>
              </w:rPr>
            </w:pPr>
          </w:p>
        </w:tc>
      </w:tr>
      <w:tr>
        <w:trPr>
          <w:trHeight w:val="230"/>
        </w:trPr>
        <w:tc>
          <w:tcPr>
            <w:tcW w:w="8200" w:type="dxa"/>
            <w:vAlign w:val="bottom"/>
          </w:tcPr>
          <w:p>
            <w:pPr>
              <w:ind w:left="440"/>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(1,944)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30"/>
        </w:trPr>
        <w:tc>
          <w:tcPr>
            <w:tcW w:w="8200" w:type="dxa"/>
            <w:vAlign w:val="bottom"/>
          </w:tcPr>
          <w:p>
            <w:pPr>
              <w:ind w:left="20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(4,038,052)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(3,920,152)</w:t>
            </w:r>
          </w:p>
        </w:tc>
        <w:tc>
          <w:tcPr>
            <w:tcW w:w="0" w:type="dxa"/>
            <w:vAlign w:val="bottom"/>
          </w:tcPr>
          <w:p>
            <w:pPr>
              <w:spacing w:after="0"/>
              <w:rPr>
                <w:sz w:val="1"/>
                <w:szCs w:val="1"/>
                <w:color w:val="auto"/>
              </w:rPr>
            </w:pPr>
          </w:p>
        </w:tc>
      </w:tr>
      <w:tr>
        <w:trPr>
          <w:trHeight w:val="229"/>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Common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3,239,813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3,319,239</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6,845</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w:t>
            </w:r>
          </w:p>
        </w:tc>
        <w:tc>
          <w:tcPr>
            <w:tcW w:w="0" w:type="dxa"/>
            <w:vAlign w:val="bottom"/>
          </w:tcPr>
          <w:p>
            <w:pPr>
              <w:spacing w:after="0"/>
              <w:rPr>
                <w:sz w:val="1"/>
                <w:szCs w:val="1"/>
                <w:color w:val="auto"/>
              </w:rPr>
            </w:pPr>
          </w:p>
        </w:tc>
      </w:tr>
      <w:tr>
        <w:trPr>
          <w:trHeight w:val="223"/>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3,246,658</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3,326,796</w:t>
            </w:r>
          </w:p>
        </w:tc>
        <w:tc>
          <w:tcPr>
            <w:tcW w:w="0" w:type="dxa"/>
            <w:vAlign w:val="bottom"/>
          </w:tcPr>
          <w:p>
            <w:pPr>
              <w:spacing w:after="0"/>
              <w:rPr>
                <w:sz w:val="1"/>
                <w:szCs w:val="1"/>
                <w:color w:val="auto"/>
              </w:rPr>
            </w:pPr>
          </w:p>
        </w:tc>
      </w:tr>
      <w:tr>
        <w:trPr>
          <w:trHeight w:val="223"/>
        </w:trPr>
        <w:tc>
          <w:tcPr>
            <w:tcW w:w="8200" w:type="dxa"/>
            <w:vAlign w:val="bottom"/>
          </w:tcPr>
          <w:p>
            <w:pPr>
              <w:ind w:left="6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5,811,513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5,931,236</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65" w:right="359" w:bottom="22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5" w:right="359" w:bottom="22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0"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Nine Months Ended</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63,025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181,862</w:t>
            </w:r>
          </w:p>
        </w:tc>
        <w:tc>
          <w:tcPr>
            <w:tcW w:w="0" w:type="dxa"/>
            <w:vAlign w:val="bottom"/>
          </w:tcPr>
          <w:p>
            <w:pPr>
              <w:spacing w:after="0"/>
              <w:rPr>
                <w:sz w:val="1"/>
                <w:szCs w:val="1"/>
                <w:color w:val="auto"/>
              </w:rPr>
            </w:pPr>
          </w:p>
        </w:tc>
      </w:tr>
      <w:tr>
        <w:trPr>
          <w:trHeight w:val="221"/>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860" w:type="dxa"/>
            <w:vAlign w:val="bottom"/>
          </w:tcPr>
          <w:p>
            <w:pPr>
              <w:ind w:left="20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130,568</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83,335</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70,214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61,797</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(27,669)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(33,061)</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(493)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(54,341)</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Gain on disposition of businesses,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(5,918)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(28,871)</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Provision for doubtful trade and other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8,229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21,532</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4,758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4,752</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Foreign exchange gain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(877)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Equity in losses (earnings)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2,784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(3,882)</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(Benefit from) provision for deferred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(733)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26,310</w:t>
            </w:r>
          </w:p>
        </w:tc>
        <w:tc>
          <w:tcPr>
            <w:tcW w:w="0" w:type="dxa"/>
            <w:vAlign w:val="bottom"/>
          </w:tcPr>
          <w:p>
            <w:pPr>
              <w:spacing w:after="0"/>
              <w:rPr>
                <w:sz w:val="1"/>
                <w:szCs w:val="1"/>
                <w:color w:val="auto"/>
              </w:rPr>
            </w:pPr>
          </w:p>
        </w:tc>
      </w:tr>
      <w:tr>
        <w:trPr>
          <w:trHeight w:val="222"/>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860" w:type="dxa"/>
            <w:vAlign w:val="bottom"/>
          </w:tcPr>
          <w:p>
            <w:pPr>
              <w:ind w:left="4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139,306</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(47,308)</w:t>
            </w:r>
          </w:p>
        </w:tc>
        <w:tc>
          <w:tcPr>
            <w:tcW w:w="0" w:type="dxa"/>
            <w:vAlign w:val="bottom"/>
          </w:tcPr>
          <w:p>
            <w:pPr>
              <w:spacing w:after="0"/>
              <w:rPr>
                <w:sz w:val="1"/>
                <w:szCs w:val="1"/>
                <w:color w:val="auto"/>
              </w:rPr>
            </w:pPr>
          </w:p>
        </w:tc>
      </w:tr>
      <w:tr>
        <w:trPr>
          <w:trHeight w:val="229"/>
        </w:trPr>
        <w:tc>
          <w:tcPr>
            <w:tcW w:w="886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(11,969)</w:t>
            </w:r>
          </w:p>
        </w:tc>
        <w:tc>
          <w:tcPr>
            <w:tcW w:w="0" w:type="dxa"/>
            <w:vAlign w:val="bottom"/>
          </w:tcPr>
          <w:p>
            <w:pPr>
              <w:spacing w:after="0"/>
              <w:rPr>
                <w:sz w:val="1"/>
                <w:szCs w:val="1"/>
                <w:color w:val="auto"/>
              </w:rPr>
            </w:pPr>
          </w:p>
        </w:tc>
      </w:tr>
      <w:tr>
        <w:trPr>
          <w:trHeight w:val="230"/>
        </w:trPr>
        <w:tc>
          <w:tcPr>
            <w:tcW w:w="8860" w:type="dxa"/>
            <w:vAlign w:val="bottom"/>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(65,708)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(60,708)</w:t>
            </w:r>
          </w:p>
        </w:tc>
        <w:tc>
          <w:tcPr>
            <w:tcW w:w="0" w:type="dxa"/>
            <w:vAlign w:val="bottom"/>
          </w:tcPr>
          <w:p>
            <w:pPr>
              <w:spacing w:after="0"/>
              <w:rPr>
                <w:sz w:val="1"/>
                <w:szCs w:val="1"/>
                <w:color w:val="auto"/>
              </w:rPr>
            </w:pPr>
          </w:p>
        </w:tc>
      </w:tr>
      <w:tr>
        <w:trPr>
          <w:trHeight w:val="229"/>
        </w:trPr>
        <w:tc>
          <w:tcPr>
            <w:tcW w:w="886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(26,094)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24,920</w:t>
            </w:r>
          </w:p>
        </w:tc>
        <w:tc>
          <w:tcPr>
            <w:tcW w:w="0" w:type="dxa"/>
            <w:vAlign w:val="bottom"/>
          </w:tcPr>
          <w:p>
            <w:pPr>
              <w:spacing w:after="0"/>
              <w:rPr>
                <w:sz w:val="1"/>
                <w:szCs w:val="1"/>
                <w:color w:val="auto"/>
              </w:rPr>
            </w:pPr>
          </w:p>
        </w:tc>
      </w:tr>
      <w:tr>
        <w:trPr>
          <w:trHeight w:val="229"/>
        </w:trPr>
        <w:tc>
          <w:tcPr>
            <w:tcW w:w="8860" w:type="dxa"/>
            <w:vAlign w:val="bottom"/>
          </w:tcPr>
          <w:p>
            <w:pPr>
              <w:ind w:left="44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5,526</w:t>
            </w:r>
          </w:p>
        </w:tc>
        <w:tc>
          <w:tcPr>
            <w:tcW w:w="0" w:type="dxa"/>
            <w:vAlign w:val="bottom"/>
          </w:tcPr>
          <w:p>
            <w:pPr>
              <w:spacing w:after="0"/>
              <w:rPr>
                <w:sz w:val="1"/>
                <w:szCs w:val="1"/>
                <w:color w:val="auto"/>
              </w:rPr>
            </w:pPr>
          </w:p>
        </w:tc>
      </w:tr>
      <w:tr>
        <w:trPr>
          <w:trHeight w:val="230"/>
        </w:trPr>
        <w:tc>
          <w:tcPr>
            <w:tcW w:w="8860" w:type="dxa"/>
            <w:vAlign w:val="bottom"/>
          </w:tcPr>
          <w:p>
            <w:pPr>
              <w:ind w:left="44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(50,508)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(96,913)</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145</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29"/>
        </w:trPr>
        <w:tc>
          <w:tcPr>
            <w:tcW w:w="8860" w:type="dxa"/>
            <w:vAlign w:val="bottom"/>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240,890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72,284</w:t>
            </w:r>
          </w:p>
        </w:tc>
        <w:tc>
          <w:tcPr>
            <w:tcW w:w="0" w:type="dxa"/>
            <w:vAlign w:val="bottom"/>
          </w:tcPr>
          <w:p>
            <w:pPr>
              <w:spacing w:after="0"/>
              <w:rPr>
                <w:sz w:val="1"/>
                <w:szCs w:val="1"/>
                <w:color w:val="auto"/>
              </w:rPr>
            </w:pPr>
          </w:p>
        </w:tc>
      </w:tr>
      <w:tr>
        <w:trPr>
          <w:trHeight w:val="21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93,775</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17,586</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(56,121)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(75,712)</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(20,080)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(162,060)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(8,298)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(25,836)</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investments and other assets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1,570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53,785</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Return of investment in equity affiliates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(7,499)</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Loan to related party</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1,562</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4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12,722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(202,450)</w:t>
            </w:r>
          </w:p>
        </w:tc>
        <w:tc>
          <w:tcPr>
            <w:tcW w:w="0" w:type="dxa"/>
            <w:vAlign w:val="bottom"/>
          </w:tcPr>
          <w:p>
            <w:pPr>
              <w:spacing w:after="0"/>
              <w:rPr>
                <w:sz w:val="1"/>
                <w:szCs w:val="1"/>
                <w:color w:val="auto"/>
              </w:rPr>
            </w:pPr>
          </w:p>
        </w:tc>
      </w:tr>
      <w:tr>
        <w:trPr>
          <w:trHeight w:val="21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(123,155)</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Net borrowing under revolving credit facilities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75,905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(75,841)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(7,901)</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(22,870)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(22,167)</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Net (payments) proceeds from vehicle floor plan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(16,300)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15,106</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5,335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Deferred payments of acquisition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(5,010)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Proceeds from (repayments of)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6,454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229"/>
        </w:trPr>
        <w:tc>
          <w:tcPr>
            <w:tcW w:w="8860" w:type="dxa"/>
            <w:vAlign w:val="bottom"/>
          </w:tcPr>
          <w:p>
            <w:pPr>
              <w:ind w:left="20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2,084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Issuance of noncontrolling interest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6,536</w:t>
            </w:r>
          </w:p>
        </w:tc>
        <w:tc>
          <w:tcPr>
            <w:tcW w:w="0" w:type="dxa"/>
            <w:vAlign w:val="bottom"/>
          </w:tcPr>
          <w:p>
            <w:pPr>
              <w:spacing w:after="0"/>
              <w:rPr>
                <w:sz w:val="1"/>
                <w:szCs w:val="1"/>
                <w:color w:val="auto"/>
              </w:rPr>
            </w:pPr>
          </w:p>
        </w:tc>
      </w:tr>
      <w:tr>
        <w:trPr>
          <w:trHeight w:val="230"/>
        </w:trPr>
        <w:tc>
          <w:tcPr>
            <w:tcW w:w="8860" w:type="dxa"/>
            <w:vAlign w:val="bottom"/>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29"/>
        </w:trPr>
        <w:tc>
          <w:tcPr>
            <w:tcW w:w="8860" w:type="dxa"/>
            <w:vAlign w:val="bottom"/>
          </w:tcPr>
          <w:p>
            <w:pPr>
              <w:ind w:left="44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(153,674)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25,635</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(2,729)</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97,209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(106,708)</w:t>
            </w:r>
          </w:p>
        </w:tc>
        <w:tc>
          <w:tcPr>
            <w:tcW w:w="0" w:type="dxa"/>
            <w:vAlign w:val="bottom"/>
          </w:tcPr>
          <w:p>
            <w:pPr>
              <w:spacing w:after="0"/>
              <w:rPr>
                <w:sz w:val="1"/>
                <w:szCs w:val="1"/>
                <w:color w:val="auto"/>
              </w:rPr>
            </w:pPr>
          </w:p>
        </w:tc>
      </w:tr>
      <w:tr>
        <w:trPr>
          <w:trHeight w:val="23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214,044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264,115</w:t>
            </w:r>
          </w:p>
        </w:tc>
        <w:tc>
          <w:tcPr>
            <w:tcW w:w="0" w:type="dxa"/>
            <w:vAlign w:val="bottom"/>
          </w:tcPr>
          <w:p>
            <w:pPr>
              <w:spacing w:after="0"/>
              <w:rPr>
                <w:sz w:val="1"/>
                <w:szCs w:val="1"/>
                <w:color w:val="auto"/>
              </w:rPr>
            </w:pP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311,253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157,407</w:t>
            </w: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38"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8" w:right="35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6"/>
        </w:trPr>
        <w:tc>
          <w:tcPr>
            <w:tcW w:w="3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198"/>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2019</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381,669</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6,534,427</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303,295</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(3,920,152)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7,557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3,326,796</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5,655</w:t>
            </w:r>
          </w:p>
        </w:tc>
        <w:tc>
          <w:tcPr>
            <w:tcW w:w="0" w:type="dxa"/>
            <w:vAlign w:val="bottom"/>
          </w:tcPr>
          <w:p>
            <w:pPr>
              <w:spacing w:after="0"/>
              <w:rPr>
                <w:sz w:val="1"/>
                <w:szCs w:val="1"/>
                <w:color w:val="auto"/>
              </w:rPr>
            </w:pPr>
          </w:p>
        </w:tc>
      </w:tr>
      <w:tr>
        <w:trPr>
          <w:trHeight w:val="194"/>
        </w:trPr>
        <w:tc>
          <w:tcPr>
            <w:tcW w:w="3560" w:type="dxa"/>
            <w:vAlign w:val="bottom"/>
          </w:tcPr>
          <w:p>
            <w:pPr>
              <w:ind w:left="20"/>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(33,891)</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(33,891)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(772)</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(15,289)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(15,289)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(33,610)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(33,610)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5,335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5,335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1,568</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1,568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(37,943)</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(37,943)</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As of March 31, 2020</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383,237</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6,485,893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265,352</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(3,948,427)</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6,785</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3,212,840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5,781</w:t>
            </w:r>
          </w:p>
        </w:tc>
        <w:tc>
          <w:tcPr>
            <w:tcW w:w="0" w:type="dxa"/>
            <w:vAlign w:val="bottom"/>
          </w:tcPr>
          <w:p>
            <w:pPr>
              <w:spacing w:after="0"/>
              <w:rPr>
                <w:sz w:val="1"/>
                <w:szCs w:val="1"/>
                <w:color w:val="auto"/>
              </w:rPr>
            </w:pPr>
          </w:p>
        </w:tc>
      </w:tr>
      <w:tr>
        <w:trPr>
          <w:trHeight w:val="194"/>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18,862</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18,862</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6,005</w:t>
            </w: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(7,581)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(7,581)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(29,295)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(29,295)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1,567</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1,567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17,068</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17,068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As of June 30, 2020</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384,804</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6,497,166</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282,420</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(3,977,722)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6,748</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3,213,416</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11,831</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78,054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78,054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(373)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373</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 noncontrolling</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(66)</w:t>
            </w: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w:t>
            </w:r>
          </w:p>
        </w:tc>
        <w:tc>
          <w:tcPr>
            <w:tcW w:w="0" w:type="dxa"/>
            <w:vAlign w:val="bottom"/>
          </w:tcPr>
          <w:p>
            <w:pPr>
              <w:spacing w:after="0"/>
              <w:rPr>
                <w:sz w:val="1"/>
                <w:szCs w:val="1"/>
                <w:color w:val="auto"/>
              </w:rPr>
            </w:pPr>
          </w:p>
        </w:tc>
      </w:tr>
      <w:tr>
        <w:trPr>
          <w:trHeight w:val="190"/>
        </w:trPr>
        <w:tc>
          <w:tcPr>
            <w:tcW w:w="3560" w:type="dxa"/>
            <w:vAlign w:val="bottom"/>
          </w:tcPr>
          <w:p>
            <w:pPr>
              <w:ind w:left="18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(276)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(276)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(7,100)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(7,100)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(60,250)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(60,250)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20"/>
                <w:szCs w:val="20"/>
                <w:color w:val="auto"/>
              </w:rPr>
            </w:pPr>
            <w:r>
              <w:rPr>
                <w:rFonts w:ascii="Arial" w:cs="Arial" w:eastAsia="Arial" w:hAnsi="Arial"/>
                <w:sz w:val="13"/>
                <w:szCs w:val="13"/>
                <w:b w:val="1"/>
                <w:bCs w:val="1"/>
                <w:color w:val="auto"/>
              </w:rPr>
              <w:t>Forfeiture of restricted stock awards, net Class B</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(80)</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(146)</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180"/>
              <w:spacing w:after="0"/>
              <w:rPr>
                <w:sz w:val="20"/>
                <w:szCs w:val="20"/>
                <w:color w:val="auto"/>
              </w:rPr>
            </w:pPr>
            <w:r>
              <w:rPr>
                <w:rFonts w:ascii="Arial" w:cs="Arial" w:eastAsia="Arial" w:hAnsi="Arial"/>
                <w:sz w:val="13"/>
                <w:szCs w:val="13"/>
                <w:b w:val="1"/>
                <w:bCs w:val="1"/>
                <w:color w:val="auto"/>
              </w:rPr>
              <w:t>common stock issuances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1,768</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1,768</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18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21,263</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21,263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Other</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As of September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386,506</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6,567,676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303,683</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(4,038,052)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3,246,658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11,897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6"/>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199"/>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2018</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378,837</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6,236,125</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203,829</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(3,922,009)</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2,916,782</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4,346</w:t>
            </w:r>
          </w:p>
        </w:tc>
        <w:tc>
          <w:tcPr>
            <w:tcW w:w="0" w:type="dxa"/>
            <w:vAlign w:val="bottom"/>
          </w:tcPr>
          <w:p>
            <w:pPr>
              <w:spacing w:after="0"/>
              <w:rPr>
                <w:sz w:val="1"/>
                <w:szCs w:val="1"/>
                <w:color w:val="auto"/>
              </w:rPr>
            </w:pPr>
          </w:p>
        </w:tc>
      </w:tr>
      <w:tr>
        <w:trPr>
          <w:trHeight w:val="194"/>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81,702</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81,702</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6,000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(14,779)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(14,779)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(3,783)</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3,755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1,639</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1,639</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8,290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8,290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98"/>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As of March 31, 2019</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376,639</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6,303,094</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212,119</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(3,918,254)</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5,938</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2,999,536</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3,866</w:t>
            </w:r>
          </w:p>
        </w:tc>
        <w:tc>
          <w:tcPr>
            <w:tcW w:w="0" w:type="dxa"/>
            <w:vAlign w:val="bottom"/>
          </w:tcPr>
          <w:p>
            <w:pPr>
              <w:spacing w:after="0"/>
              <w:rPr>
                <w:sz w:val="1"/>
                <w:szCs w:val="1"/>
                <w:color w:val="auto"/>
              </w:rPr>
            </w:pPr>
          </w:p>
        </w:tc>
      </w:tr>
      <w:tr>
        <w:trPr>
          <w:trHeight w:val="194"/>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57,195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57,195</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(7,388)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(7,388)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1,616</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1,616</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(12,095)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(12,095)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As of June 30, 2019</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378,255</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6,352,787</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200,024</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(3,918,254)</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6,042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3,038,854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3,876</w:t>
            </w:r>
          </w:p>
        </w:tc>
        <w:tc>
          <w:tcPr>
            <w:tcW w:w="0" w:type="dxa"/>
            <w:vAlign w:val="bottom"/>
          </w:tcPr>
          <w:p>
            <w:pPr>
              <w:spacing w:after="0"/>
              <w:rPr>
                <w:sz w:val="1"/>
                <w:szCs w:val="1"/>
                <w:color w:val="auto"/>
              </w:rPr>
            </w:pPr>
          </w:p>
        </w:tc>
      </w:tr>
      <w:tr>
        <w:trPr>
          <w:trHeight w:val="194"/>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42,965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42,965</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536</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536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(207)</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Acquisition of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530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(7,386)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(7,386)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Arial" w:cs="Arial" w:eastAsia="Arial" w:hAnsi="Arial"/>
                <w:sz w:val="13"/>
                <w:szCs w:val="13"/>
                <w:color w:val="auto"/>
              </w:rPr>
              <w:t>Issuance of Class B common stock, net of restricted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(144)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1,669</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1,669</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(18,086)</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(18,086)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As of September 30,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379,923</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6,388,546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181,938</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(3,918,397)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3,058,911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3,903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46"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automotive dealerships, restaurants and entertainment venues, custom framing services and home health and hospice services.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6" w:lineRule="exact"/>
        <w:rPr>
          <w:sz w:val="20"/>
          <w:szCs w:val="20"/>
          <w:color w:val="auto"/>
        </w:rPr>
      </w:pPr>
    </w:p>
    <w:p>
      <w:pPr>
        <w:ind w:right="40" w:firstLine="8"/>
        <w:spacing w:after="0" w:line="222"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2020 and 2019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2019.</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90"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 September 30, 2020 and through the date of this filing. The accounting matters assessed included, but were not limited to, the Company’s carrying value of goodwill and other long-lived assets, allowance for doubtful accounts, inventory valuation and related reserves, fair value of financial assets, valuation allowances for tax assets and revenue recognition. Other than the goodwill, indefinite-lived asset and other long-lived asset impairment charges (see Notes 6, 8 and 16), there were no other impacts to the Company’s condensed consolidated financial statements as of and for the nine months ended September 30, 2020 resulting from our assessments. The Company’s future assessment of the magnitude and duration of COVID-19, as well as other factors, could result in material impacts to the Company’s condensed consolidated financial statements in future reporting periods.</w:t>
      </w:r>
    </w:p>
    <w:p>
      <w:pPr>
        <w:spacing w:after="0" w:line="107"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 Certain amounts in previously issued condensed consolidated financial statements have been reclassified to conform</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presentation for the period ended September 30, 2020. This includes the reclassification of $0.2 million from selling, general and administrative to operating in the Condensed Consolidated Statement of Operations for the three months ended September 30, 2020 and $44.2 million from operating to selling, general and administrative in the Condensed Consolidated Statements of Operations for the nine months ended September 30, 2019, respectively.</w:t>
      </w:r>
    </w:p>
    <w:p>
      <w:pPr>
        <w:spacing w:after="0" w:line="10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June 2016, the FASB issued new guidance that requires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measured at amortized cost, including accounts receivable, to be measured using the current expected credit losses model (CECL). CECL requires current expected credit losses to be measured upon the initial recognition of a financial asset by considering all available relevant information, including information about past events, current conditions and reasonable and supportable forecasts of future economic conditions. The standard was adopted by the Company in the first quarter of 2020 and did not have a significant impact on its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jc w:val="both"/>
        <w:ind w:right="60"/>
        <w:spacing w:after="0" w:line="241"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During 2020, the Company acquired three businesses: two in education, and one in other businesses for $96.8 million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contingent consideration. The assets and liabilities of the companies acquired were recorded at their estimated fair values at the date of acquisition.</w:t>
      </w:r>
    </w:p>
    <w:p>
      <w:pPr>
        <w:spacing w:after="0" w:line="10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In the first three months of 2020, Kaplan acquired two small businesses; one in its professional (U.S.) division and one in its international division.</w:t>
      </w:r>
    </w:p>
    <w:p>
      <w:pPr>
        <w:spacing w:after="0" w:line="92"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 accounted for Framebridge under the equity method, and included it in Investments in Affiliates on the Condensed Consolidated Balance Sheet (see Note 3). The contingent consideration is primarily based on Framebridge achieving revenue milestones within a specific time period. The fair value of the contingent consideration at the acquisition date was $50.6 million, determined using a Monte Carlo simulation. The fair value of the redeemable noncontrolling interest in Framebridge was $6.0 million as of the acquisition date, determined using a market approach. The minority shareholder has an option to put 20% of the minority shares annually starting in 2024. The acquisition is expected to provide benefits in the future by diversifying the Company’s business operations and is included in other businesses.</w:t>
      </w:r>
    </w:p>
    <w:p>
      <w:pPr>
        <w:spacing w:after="0" w:line="11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During 2019, the Company acquired eight businesses, one in education, three in healthcare, one in manufacturing, and three in other businesses for $211.8 million in cash and contingent consideration and the assumption of $25.8 million in floor plan payables. The assets and liabilities of the companies acquired were recorded at their estimated fair values at the date of acquisition.</w:t>
      </w:r>
    </w:p>
    <w:p>
      <w:pPr>
        <w:spacing w:after="0" w:line="111"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(see Note 5). In connection with the acquisition, the automotive subsidiary of the Company borrowed $ 30 million to finance the acquisition and entered into an interest rate swap to fix the interest rate on the debt at 4.7% per annum (see Note 7). The Company has a 90% interest in the automotive subsidiary. The Company also entered into a management services agreement with an entity affiliated with Christopher J. Ourisman, a member of the Ourisman Automotive Group family of dealerships. Mr. Ourisman and his team operate and manage the dealerships. The Company paid a fee of $2.3 million for the year ended December 31, 2019 in connection with the management services provided under this agreement. In addition, the Company advanced $3.5 million to the minority shareholder, an entity controlled by Mr. Ourisman, at an interest rate of 6% per annum. The minority shareholder has the option to acquire up to an additional 10% interest in the automotive subsidiary. The acquisition is expected to provide benefits in the future by diversifying the Company’s business operations and is included in other businesses.</w:t>
      </w:r>
    </w:p>
    <w:p>
      <w:pPr>
        <w:spacing w:after="0" w:line="112"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In July 2019, Graham Healthcare Group (GHG) acquired a 100% interest in a small business which is expected to provide certain strategic benefits in the future and is included in healthcare. On July 11, 2019, Kaplan acquired a 100% interest in Heverald, the owner of ESL Education, Europe’s largest language-travel agency and Alpadia, a chain of German and French language schools and junior summer camps. The acquisition is expected to provide synergies within Kaplan’s International English business and is included in Kaplan’s international division.</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On July 31, 2019, the Company announced the closing of its acquisition of Clyde’s Restaurant Group (CRG). CRG owns and operates 12 restaurants and entertainment venues in the Washington, DC metropolitan area, including Old Ebbitt Grill and The Hamilton. In connection with the acquisition, the Company entered into several leases with an entity affiliated with some of CRG’s senior managers. The acquisition is expected to provide benefits in the future by diversifying the Company’s business operations and is included in other businesses.</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September 2019, Joyce/Dayton Corp. acquired the assets of a small business. The acquisition is expected to complement current product offerings and is included in manufacturing.</w:t>
      </w:r>
    </w:p>
    <w:p>
      <w:pPr>
        <w:spacing w:after="0" w:line="92"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On December 1, 2019, GHG acquired 75% of the preferred shares of CSI Pharmacy Holding Company, LLC, (CSI). In connection with the acquisition, CSI entered into an $11.25 million Term Loan (see Note 7) to finance the acquisition. CSI is a specialty and home infusion pharmacy which provides intravenous immunoglobulin therapies to patients. The minority shareholders may put up to 50% of their preferred shares to GHG and the first put period begins in 2022. A second put period for another tranche of preferred shares begins in 2024. The fair value of the redeemable noncontrolling interest in CSI was $1.7 million at the acquisition date, determined using an income approach. The acquisition is expected to expand the product offerings of the healthcare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0" w:name="page11"/>
    <w:bookmarkEnd w:id="10"/>
    <w:p>
      <w:pPr>
        <w:ind w:right="460"/>
        <w:spacing w:after="0" w:line="239" w:lineRule="auto"/>
        <w:rPr>
          <w:sz w:val="20"/>
          <w:szCs w:val="20"/>
          <w:color w:val="auto"/>
        </w:rPr>
      </w:pPr>
      <w:r>
        <w:rPr>
          <w:rFonts w:ascii="Arial" w:cs="Arial" w:eastAsia="Arial" w:hAnsi="Arial"/>
          <w:sz w:val="18"/>
          <w:szCs w:val="18"/>
          <w:color w:val="auto"/>
        </w:rPr>
        <w:t>Acquisition-related costs for acquisitions that closed during the first nine months of 2020 and 2019 were $1.1 million and $2.3 million, respectively, and were expensed as incurred. The aggregate purchase price of the 2020 and 2019 acquisitions was allocated as follows (2020 on a preliminary basis), based on acquisition date fair values to the following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Purchase Price Allocation</w:t>
            </w:r>
          </w:p>
        </w:tc>
      </w:tr>
      <w:tr>
        <w:trPr>
          <w:trHeight w:val="195"/>
        </w:trPr>
        <w:tc>
          <w:tcPr>
            <w:tcW w:w="6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ind w:right="321"/>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1980" w:type="dxa"/>
            <w:vAlign w:val="bottom"/>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20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December 31, 2019</w:t>
            </w:r>
          </w:p>
        </w:tc>
      </w:tr>
      <w:tr>
        <w:trPr>
          <w:trHeight w:val="217"/>
        </w:trPr>
        <w:tc>
          <w:tcPr>
            <w:tcW w:w="68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745</w:t>
            </w:r>
          </w:p>
        </w:tc>
        <w:tc>
          <w:tcPr>
            <w:tcW w:w="30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6,762</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3,496</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34,134</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3,346</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56,391</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6,580</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98,505</w:t>
            </w:r>
          </w:p>
        </w:tc>
      </w:tr>
      <w:tr>
        <w:trPr>
          <w:trHeight w:val="230"/>
        </w:trPr>
        <w:tc>
          <w:tcPr>
            <w:tcW w:w="6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76,609</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84,669</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46,900</w:t>
            </w:r>
          </w:p>
        </w:tc>
      </w:tr>
      <w:tr>
        <w:trPr>
          <w:trHeight w:val="230"/>
        </w:trPr>
        <w:tc>
          <w:tcPr>
            <w:tcW w:w="680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14,589</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21,291</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975</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8,308</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13,476</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30"/>
        </w:trPr>
        <w:tc>
          <w:tcPr>
            <w:tcW w:w="680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(25,755)</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(15,093)</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(42,555)</w:t>
            </w:r>
          </w:p>
        </w:tc>
      </w:tr>
      <w:tr>
        <w:trPr>
          <w:trHeight w:val="230"/>
        </w:trPr>
        <w:tc>
          <w:tcPr>
            <w:tcW w:w="680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(6,593)</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(99,131)</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(6,005)</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(1,715)</w:t>
            </w:r>
          </w:p>
        </w:tc>
      </w:tr>
      <w:tr>
        <w:trPr>
          <w:trHeight w:val="233"/>
        </w:trPr>
        <w:tc>
          <w:tcPr>
            <w:tcW w:w="68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r>
      <w:tr>
        <w:trPr>
          <w:trHeight w:val="227"/>
        </w:trPr>
        <w:tc>
          <w:tcPr>
            <w:tcW w:w="680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92,125</w:t>
            </w:r>
          </w:p>
        </w:tc>
        <w:tc>
          <w:tcPr>
            <w:tcW w:w="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183,947</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2020 fair values recorded were based upon preliminary valuations and the estimates and assumptions used in such valuations are subject to change within the measurement period (up to one year from the acquisition date). The recording of deferred tax assets or liabilities and the final amounts of residual goodwill and other intangibles are not yet finalized. The 2019 values above reflect a measurement period adjustment related to the lease right-of-use assets, current and noncurrent lease liabilities and the finalization of working capital.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$3.2 million and $70.7 million of goodwill for income tax purposes for the acquisitions completed in 2020 and 2019, respectively.</w:t>
      </w:r>
    </w:p>
    <w:p>
      <w:pPr>
        <w:spacing w:after="0" w:line="110" w:lineRule="exact"/>
        <w:rPr>
          <w:sz w:val="20"/>
          <w:szCs w:val="20"/>
          <w:color w:val="auto"/>
        </w:rPr>
      </w:pPr>
    </w:p>
    <w:p>
      <w:pPr>
        <w:ind w:right="260"/>
        <w:spacing w:after="0" w:line="228"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for the third quarter of 2020 include aggregate revenues and operating losses for the companies acquired in 2020 of $9.2 million and $4.2 million, respectively. The Company’s Condensed Consolidated Statements of Operations include aggregate revenues and operating losses of $14.2 million and $6.2 million, respectively, for the first nine months of 2020. The following unaudited pro forma financial information presents the Company’s results as if the current year acquisitions had occurred at the beginning of 2019. The unaudited pro forma information also includes the 2019 acquisitions as if they occurred at the beginning of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4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2019</w:t>
            </w:r>
          </w:p>
        </w:tc>
      </w:tr>
      <w:tr>
        <w:trPr>
          <w:trHeight w:val="217"/>
        </w:trPr>
        <w:tc>
          <w:tcPr>
            <w:tcW w:w="54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717,049</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765,391</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2,109,425</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2,313,400</w:t>
            </w:r>
          </w:p>
        </w:tc>
      </w:tr>
      <w:tr>
        <w:trPr>
          <w:trHeight w:val="229"/>
        </w:trPr>
        <w:tc>
          <w:tcPr>
            <w:tcW w:w="5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78,226</w:t>
            </w:r>
          </w:p>
        </w:tc>
        <w:tc>
          <w:tcPr>
            <w:tcW w:w="56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39,129</w:t>
            </w:r>
          </w:p>
        </w:tc>
        <w:tc>
          <w:tcPr>
            <w:tcW w:w="40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56,616</w:t>
            </w:r>
          </w:p>
        </w:tc>
        <w:tc>
          <w:tcPr>
            <w:tcW w:w="56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162,855</w:t>
            </w:r>
          </w:p>
        </w:tc>
      </w:tr>
    </w:tbl>
    <w:p>
      <w:pPr>
        <w:spacing w:after="0" w:line="18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November 2019, Kaplan UK completed the sale of a small business which was included in Kaplan International.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ind w:right="40"/>
        <w:spacing w:after="0" w:line="225"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During 2019, the Company established GHC One as a vehicle to invest in a portfolio of healthcare businesses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 group of senior managers of GHG. As a holder of preferred units, the Company is obligated to contribute 95% of the capital required for the acquisition of portfolio investments with the remaining 5% of the capital coming from the group of senior managers. The operating agreement of GHC One requires the dissolution of the entity on March 31, 2026, at which time the net assets will be distributed to its members. As a preferred unit holder, the Company will receive an amount up to its contributed capital plus a preferred annual return of 8% (guaranteed return) after the group of senior managers has received a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w:t>
      </w:r>
    </w:p>
    <w:p>
      <w:pPr>
        <w:spacing w:after="0" w:line="11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As of September 30, 2020, the Company held a controlling financial interest in GHC One and therefore includes the assets, liabilities, results of operations and cash flows in its consolidated financial statements. GHC One acquired CSI and another small business during 2019. The Company accounts for the minority ownership of the group of senior managers as a mandatorily redeemable noncontrolling interest.</w:t>
      </w:r>
    </w:p>
    <w:p>
      <w:pPr>
        <w:spacing w:after="0" w:line="17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March 2019, a Hoover minority shareholder put some shares to the Company, which had a redemption value of $0.6 million. Following the redemption, the Company owns 98% of Hoover.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jc w:val="both"/>
        <w:ind w:right="160"/>
        <w:spacing w:after="0" w:line="241"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September 30, 2020 and December 31, 2019, the Company had money market investments of $178.1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$45.2 million, respectively, that are classified as cash and cash equivalents in the Company’s Condensed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9"/>
                <w:szCs w:val="19"/>
                <w:color w:val="auto"/>
              </w:rPr>
            </w:pPr>
          </w:p>
        </w:tc>
        <w:tc>
          <w:tcPr>
            <w:tcW w:w="1260" w:type="dxa"/>
            <w:vAlign w:val="bottom"/>
          </w:tcPr>
          <w:p>
            <w:pPr>
              <w:jc w:val="right"/>
              <w:ind w:right="14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9"/>
                <w:szCs w:val="19"/>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2"/>
        </w:trPr>
        <w:tc>
          <w:tcPr>
            <w:tcW w:w="83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4"/>
              <w:spacing w:after="0"/>
              <w:rPr>
                <w:sz w:val="20"/>
                <w:szCs w:val="20"/>
                <w:color w:val="auto"/>
              </w:rPr>
            </w:pPr>
            <w:r>
              <w:rPr>
                <w:rFonts w:ascii="Arial" w:cs="Arial" w:eastAsia="Arial" w:hAnsi="Arial"/>
                <w:sz w:val="16"/>
                <w:szCs w:val="16"/>
                <w:b w:val="1"/>
                <w:bCs w:val="1"/>
                <w:color w:val="auto"/>
              </w:rPr>
              <w:t>212,843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282,349</w:t>
            </w:r>
          </w:p>
        </w:tc>
        <w:tc>
          <w:tcPr>
            <w:tcW w:w="0" w:type="dxa"/>
            <w:vAlign w:val="bottom"/>
          </w:tcPr>
          <w:p>
            <w:pPr>
              <w:spacing w:after="0"/>
              <w:rPr>
                <w:sz w:val="1"/>
                <w:szCs w:val="1"/>
                <w:color w:val="auto"/>
              </w:rPr>
            </w:pPr>
          </w:p>
        </w:tc>
      </w:tr>
      <w:tr>
        <w:trPr>
          <w:trHeight w:val="247"/>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278,329</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302,731</w:t>
            </w:r>
          </w:p>
        </w:tc>
        <w:tc>
          <w:tcPr>
            <w:tcW w:w="0" w:type="dxa"/>
            <w:vAlign w:val="bottom"/>
          </w:tcPr>
          <w:p>
            <w:pPr>
              <w:spacing w:after="0"/>
              <w:rPr>
                <w:sz w:val="1"/>
                <w:szCs w:val="1"/>
                <w:color w:val="auto"/>
              </w:rPr>
            </w:pPr>
          </w:p>
        </w:tc>
      </w:tr>
      <w:tr>
        <w:trPr>
          <w:trHeight w:val="240"/>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491,172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585,080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There were no purchases of marketable equity securities during the first nine months of 2020. The Company purchased $7.5 million of marketable equity securities during the first nine months of 2019.</w:t>
      </w:r>
    </w:p>
    <w:p>
      <w:pPr>
        <w:spacing w:after="0" w:line="9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During the first nine months of 2020, the gross cumulative realized gains from the sales of marketable equity securities were $23.0 million. The total proceeds from such sales were $93.8 million. During the first nine months of 2019, the gross cumulative realized gains from the sales of marketable equity securities were $9.6 million. The total proceeds from such sales were $17.6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0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2"/>
        </w:trPr>
        <w:tc>
          <w:tcPr>
            <w:tcW w:w="6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59,364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17,404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(1,139)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49,261</w:t>
            </w:r>
          </w:p>
        </w:tc>
        <w:tc>
          <w:tcPr>
            <w:tcW w:w="0" w:type="dxa"/>
            <w:vAlign w:val="bottom"/>
          </w:tcPr>
          <w:p>
            <w:pPr>
              <w:spacing w:after="0"/>
              <w:rPr>
                <w:sz w:val="1"/>
                <w:szCs w:val="1"/>
                <w:color w:val="auto"/>
              </w:rPr>
            </w:pPr>
          </w:p>
        </w:tc>
      </w:tr>
      <w:tr>
        <w:trPr>
          <w:trHeight w:val="244"/>
        </w:trPr>
        <w:tc>
          <w:tcPr>
            <w:tcW w:w="668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13,382</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w:t>
            </w:r>
          </w:p>
        </w:tc>
        <w:tc>
          <w:tcPr>
            <w:tcW w:w="0" w:type="dxa"/>
            <w:vAlign w:val="bottom"/>
          </w:tcPr>
          <w:p>
            <w:pPr>
              <w:spacing w:after="0"/>
              <w:rPr>
                <w:sz w:val="1"/>
                <w:szCs w:val="1"/>
                <w:color w:val="auto"/>
              </w:rPr>
            </w:pPr>
          </w:p>
        </w:tc>
      </w:tr>
      <w:tr>
        <w:trPr>
          <w:trHeight w:val="157"/>
        </w:trPr>
        <w:tc>
          <w:tcPr>
            <w:tcW w:w="6680" w:type="dxa"/>
            <w:vAlign w:val="bottom"/>
          </w:tcPr>
          <w:p>
            <w:pPr>
              <w:ind w:left="20"/>
              <w:spacing w:after="0" w:line="158" w:lineRule="exact"/>
              <w:rPr>
                <w:sz w:val="20"/>
                <w:szCs w:val="20"/>
                <w:color w:val="auto"/>
              </w:rPr>
            </w:pPr>
            <w:r>
              <w:rPr>
                <w:rFonts w:ascii="Arial" w:cs="Arial" w:eastAsia="Arial" w:hAnsi="Arial"/>
                <w:sz w:val="16"/>
                <w:szCs w:val="16"/>
                <w:color w:val="auto"/>
              </w:rPr>
              <w:t>Net unrealized gains in earnings from marketable equity securities still held at the end of the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59,364</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17,465</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12,243</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46,342</w:t>
            </w:r>
          </w:p>
        </w:tc>
        <w:tc>
          <w:tcPr>
            <w:tcW w:w="0" w:type="dxa"/>
            <w:vAlign w:val="bottom"/>
          </w:tcPr>
          <w:p>
            <w:pPr>
              <w:spacing w:after="0"/>
              <w:rPr>
                <w:sz w:val="1"/>
                <w:szCs w:val="1"/>
                <w:color w:val="auto"/>
              </w:rPr>
            </w:pPr>
          </w:p>
        </w:tc>
      </w:tr>
      <w:tr>
        <w:trPr>
          <w:trHeight w:val="212"/>
        </w:trPr>
        <w:tc>
          <w:tcPr>
            <w:tcW w:w="6680" w:type="dxa"/>
            <w:vAlign w:val="bottom"/>
          </w:tcPr>
          <w:p>
            <w:pPr>
              <w:ind w:left="180"/>
              <w:spacing w:after="0"/>
              <w:rPr>
                <w:sz w:val="20"/>
                <w:szCs w:val="20"/>
                <w:color w:val="auto"/>
              </w:rPr>
            </w:pPr>
            <w:r>
              <w:rPr>
                <w:rFonts w:ascii="Arial" w:cs="Arial" w:eastAsia="Arial" w:hAnsi="Arial"/>
                <w:sz w:val="16"/>
                <w:szCs w:val="16"/>
                <w:color w:val="auto"/>
              </w:rPr>
              <w:t>period</w:t>
            </w:r>
          </w:p>
        </w:tc>
        <w:tc>
          <w:tcPr>
            <w:tcW w:w="2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September 30, 2020, the Company held an approximate 12%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and nine months ended September 30, 2020, the Company recorded $2.4 million and $7.1 million, respectively, in revenue for services provided to the affiliates of GHG. For the three and nine months ended September 30, 2019, the Company recorded $2.4 million and $7.0 million, respectively, in revenue for services provided to the affiliates of GHG.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2" w:name="page13"/>
    <w:bookmarkEnd w:id="12"/>
    <w:p>
      <w:pPr>
        <w:ind w:right="60"/>
        <w:spacing w:after="0" w:line="226" w:lineRule="auto"/>
        <w:rPr>
          <w:sz w:val="20"/>
          <w:szCs w:val="20"/>
          <w:color w:val="auto"/>
        </w:rPr>
      </w:pPr>
      <w:r>
        <w:rPr>
          <w:rFonts w:ascii="Arial" w:cs="Arial" w:eastAsia="Arial" w:hAnsi="Arial"/>
          <w:sz w:val="18"/>
          <w:szCs w:val="18"/>
          <w:color w:val="auto"/>
        </w:rPr>
        <w:t>In the first quarter of 2020, the Company recorded impairment charges of $3.6 million on two of its investments in affiliates as a result of the challenging economic environment for these businesses, of which $2.7 million related to the Company’s investment in Framebridge. It is reasonably possible that further COVID-19 disruptions could result in additional impairment charges related to the Company’s investments in affiliates should the impact of COVID-19 not dissipate or have a worsening adverse impact on our affiliates in future periods. The Company records its share of the earnings or losses of its affiliates from their most recent available financial statements. In some instances, the reporting period of the affiliates’ financial statements lags the Company’s financial reporting period, but such lag is never more than three months. It is possible that the Company’s results of operations for the nine months ended September 30, 2020 does not capture the impact of the COVID-19 pandemic on the earnings or losses of the affiliates whose financial results are recorded on a lag basis.</w:t>
      </w:r>
    </w:p>
    <w:p>
      <w:pPr>
        <w:spacing w:after="0" w:line="115" w:lineRule="exact"/>
        <w:rPr>
          <w:sz w:val="20"/>
          <w:szCs w:val="20"/>
          <w:color w:val="auto"/>
        </w:rPr>
      </w:pPr>
    </w:p>
    <w:p>
      <w:pPr>
        <w:ind w:right="980"/>
        <w:spacing w:after="0" w:line="260" w:lineRule="auto"/>
        <w:rPr>
          <w:sz w:val="20"/>
          <w:szCs w:val="20"/>
          <w:color w:val="auto"/>
        </w:rPr>
      </w:pPr>
      <w:r>
        <w:rPr>
          <w:rFonts w:ascii="Arial" w:cs="Arial" w:eastAsia="Arial" w:hAnsi="Arial"/>
          <w:sz w:val="18"/>
          <w:szCs w:val="18"/>
          <w:color w:val="auto"/>
        </w:rPr>
        <w:t>The Company had $29.4 million and $25.6 million in its investment account that represents cumulative undistributed income in its investments in affiliates as of September 30, 2020 and December 31, 2019, respectively.</w:t>
      </w:r>
    </w:p>
    <w:p>
      <w:pPr>
        <w:spacing w:after="0" w:line="9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 the second quarter of 2019, the Company made an investment in Framebridge, a custom framing service company based in Washington, DC. The Company accounted for this investment under the equity method, and included it in Investments in Affiliates on the Condensed Consolidated Balance Sheet. In May 2020, the Company made an additional investment in Framebridge (see Note 2) that resulted in the Company obtaining control of the investee. The results of operations, cash flows, assets and liabilities of Framebridge are included in the condensed consolidated financial statements of the Company from the date of the acquisition. Timothy J. O’Shaughnessy, President and Chief Executive Officer of Graham Holdings Company, was a personal investor in Framebridge and served as Chairman of the Board prior to the acquisition of the additional interest. The Company acquired Mr. O’Shaughnessy’s interest under the same terms as the other Framebridge investors.</w:t>
      </w:r>
    </w:p>
    <w:p>
      <w:pPr>
        <w:spacing w:after="0" w:line="11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92"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loaned the joint venture £22 million, which loan is repayable over 25 years at an interest rate of 7% and guaranteed by the University of York. The loan is repayable by December 2041.</w:t>
      </w:r>
    </w:p>
    <w:p>
      <w:pPr>
        <w:spacing w:after="0" w:line="10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$ 40.4 million and $38.5 million as of September 30, 2020 and December 31, 2019. During the first nine months of 2020, the Company recorded impairment losses of $2.6 million to those equity securities. During the three and nine months ended September 30, 2020, the Company recorded gains of $1.6 million and $4.2 million, respectively, to those equity securities based on observable transactions. During the three and nine months ended September 30, 2019, the Company recorded gains of $3.7 million and $5.1 million, respectively, to those equity securities based on observable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1260" w:type="dxa"/>
            <w:vAlign w:val="bottom"/>
          </w:tcPr>
          <w:p>
            <w:pPr>
              <w:jc w:val="right"/>
              <w:ind w:right="144"/>
              <w:spacing w:after="0" w:line="14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tcPr>
          <w:p>
            <w:pPr>
              <w:jc w:val="right"/>
              <w:ind w:right="103"/>
              <w:spacing w:after="0" w:line="14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2"/>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$19,905 and $14,276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4"/>
              <w:spacing w:after="0"/>
              <w:rPr>
                <w:sz w:val="20"/>
                <w:szCs w:val="20"/>
                <w:color w:val="auto"/>
              </w:rPr>
            </w:pPr>
            <w:r>
              <w:rPr>
                <w:rFonts w:ascii="Arial" w:cs="Arial" w:eastAsia="Arial" w:hAnsi="Arial"/>
                <w:sz w:val="16"/>
                <w:szCs w:val="16"/>
                <w:b w:val="1"/>
                <w:bCs w:val="1"/>
                <w:color w:val="auto"/>
              </w:rPr>
              <w:t>458,562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595,321</w:t>
            </w:r>
          </w:p>
        </w:tc>
        <w:tc>
          <w:tcPr>
            <w:tcW w:w="0" w:type="dxa"/>
            <w:vAlign w:val="bottom"/>
          </w:tcPr>
          <w:p>
            <w:pPr>
              <w:spacing w:after="0"/>
              <w:rPr>
                <w:sz w:val="1"/>
                <w:szCs w:val="1"/>
                <w:color w:val="auto"/>
              </w:rPr>
            </w:pPr>
          </w:p>
        </w:tc>
      </w:tr>
      <w:tr>
        <w:trPr>
          <w:trHeight w:val="232"/>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15,694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28,895</w:t>
            </w:r>
          </w:p>
        </w:tc>
        <w:tc>
          <w:tcPr>
            <w:tcW w:w="0" w:type="dxa"/>
            <w:vAlign w:val="bottom"/>
          </w:tcPr>
          <w:p>
            <w:pPr>
              <w:spacing w:after="0"/>
              <w:rPr>
                <w:sz w:val="1"/>
                <w:szCs w:val="1"/>
                <w:color w:val="auto"/>
              </w:rPr>
            </w:pPr>
          </w:p>
        </w:tc>
      </w:tr>
      <w:tr>
        <w:trPr>
          <w:trHeight w:val="226"/>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474,256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624,216</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Credit loss expense was $1.0 million and $0.4 million for the three months ended September 30, 2020 and 2019, respectively. Credit loss expense was $8.2 million and $0.5 million for the nine months ended September 30, 2020 and 2019, respectively.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ind w:right="3920"/>
        <w:spacing w:after="0" w:line="443"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1260" w:type="dxa"/>
            <w:vAlign w:val="bottom"/>
          </w:tcPr>
          <w:p>
            <w:pPr>
              <w:jc w:val="right"/>
              <w:ind w:right="142"/>
              <w:spacing w:after="0" w:line="14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00" w:type="dxa"/>
            <w:vAlign w:val="bottom"/>
          </w:tcPr>
          <w:p>
            <w:pPr>
              <w:jc w:val="right"/>
              <w:ind w:right="162"/>
              <w:spacing w:after="0" w:line="14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2"/>
        </w:trPr>
        <w:tc>
          <w:tcPr>
            <w:tcW w:w="83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83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43,219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35,119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11,753</w:t>
            </w:r>
          </w:p>
        </w:tc>
        <w:tc>
          <w:tcPr>
            <w:tcW w:w="26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10,775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62,686</w:t>
            </w:r>
          </w:p>
        </w:tc>
        <w:tc>
          <w:tcPr>
            <w:tcW w:w="26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70,602</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6,600</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226"/>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124,258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120,834</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Company finances new and used vehicle inventory through a standardized floor plan facility (the “floor plan facility”) with Truist Bank. The vehicle floor plan facility bears interest at variable rates that are based on LIBOR plus 1.15% per annum. The weighted average interest rate for the floor plan facility was 1.2% and 3.4% for the three months ended September 30, 2020 and 2019, respectively. The weighted average interest rate for the floor plan facility was 1.9% and 3.4% for the nine months ended September 30, 2020 and 2019, respectively. As of September 30, 2020, the aggregate capacity under the floor plan facility was $50 million, of which $23.8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09"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September 30, 2020.</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operating expense in the Condensed Consolidated Statements of Operations when the associated inventory is sold. For the three months ended September 30, 2020 and 2019, the Company recognized a reduction in operating expense of $0.6 million and $0.4 million, respectively, related to manufacturer floor plan assistance. For the nine months ended September 30, 2020 and 2019, the Company recognized a reduction in operating expense of $1.5 million and $1.6 million, respectively, related to manufacturer floor plan assistance.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46"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 Company changed the presentation of its segments in the third quarter of 2020 into the following seven reportable segments: Kaplan International, Higher Education, Test Preparation, Professional (U.S.), Television Broadcasting, Manufacturing and Healthcare (see Note 16).</w:t>
      </w:r>
    </w:p>
    <w:p>
      <w:pPr>
        <w:spacing w:after="0" w:line="6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goodwill, indefinite-lived intangibles and other long-lived assets of the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and the automotive dealerships are included in other businesses.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14" w:name="page15"/>
    <w:bookmarkEnd w:id="14"/>
    <w:p>
      <w:pPr>
        <w:ind w:right="40"/>
        <w:spacing w:after="0" w:line="231" w:lineRule="auto"/>
        <w:rPr>
          <w:sz w:val="20"/>
          <w:szCs w:val="20"/>
          <w:color w:val="auto"/>
        </w:rPr>
      </w:pPr>
      <w:r>
        <w:rPr>
          <w:rFonts w:ascii="Arial" w:cs="Arial" w:eastAsia="Arial" w:hAnsi="Arial"/>
          <w:sz w:val="18"/>
          <w:szCs w:val="18"/>
          <w:color w:val="auto"/>
        </w:rPr>
        <w:t>Amortization of intangible assets for the three months ended September 30, 2020 and 2019, was $14.2 million and $13.6 million, respectively. Amortization of intangible assets for the nine months ended September 30, 2020 and 2019, was $ 42.6 million and $ 39.5 million, respectively. Amortization of intangible assets is estimated to be approximately $14 million for the remainder of 2020, $52 million in 2021, $46 million in 2022, $37 million in 2023, $28 million in 2024 and $41 million thereafter. The changes in the carrying amount of goodwill, by segment,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104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1,140,958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69,544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1,734,731</w:t>
            </w:r>
          </w:p>
        </w:tc>
        <w:tc>
          <w:tcPr>
            <w:tcW w:w="0" w:type="dxa"/>
            <w:vAlign w:val="bottom"/>
          </w:tcPr>
          <w:p>
            <w:pPr>
              <w:spacing w:after="0"/>
              <w:rPr>
                <w:sz w:val="1"/>
                <w:szCs w:val="1"/>
                <w:color w:val="auto"/>
              </w:rPr>
            </w:pPr>
          </w:p>
        </w:tc>
      </w:tr>
      <w:tr>
        <w:trPr>
          <w:trHeight w:val="239"/>
        </w:trPr>
        <w:tc>
          <w:tcPr>
            <w:tcW w:w="36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(7,685)</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c>
          <w:tcPr>
            <w:tcW w:w="0" w:type="dxa"/>
            <w:vAlign w:val="bottom"/>
          </w:tcPr>
          <w:p>
            <w:pPr>
              <w:spacing w:after="0"/>
              <w:rPr>
                <w:sz w:val="1"/>
                <w:szCs w:val="1"/>
                <w:color w:val="auto"/>
              </w:rPr>
            </w:pPr>
          </w:p>
        </w:tc>
      </w:tr>
      <w:tr>
        <w:trPr>
          <w:trHeight w:val="219"/>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809,807</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227,377</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61,859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1,388,279</w:t>
            </w:r>
          </w:p>
        </w:tc>
        <w:tc>
          <w:tcPr>
            <w:tcW w:w="0" w:type="dxa"/>
            <w:vAlign w:val="bottom"/>
          </w:tcPr>
          <w:p>
            <w:pPr>
              <w:spacing w:after="0"/>
              <w:rPr>
                <w:sz w:val="1"/>
                <w:szCs w:val="1"/>
                <w:color w:val="auto"/>
              </w:rPr>
            </w:pPr>
          </w:p>
        </w:tc>
      </w:tr>
      <w:tr>
        <w:trPr>
          <w:trHeight w:val="23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Measurement period adjustments</w:t>
            </w:r>
          </w:p>
        </w:tc>
        <w:tc>
          <w:tcPr>
            <w:tcW w:w="1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154</w:t>
            </w: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13,022</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63,587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76,609</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(6,878)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(6,878)</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22"/>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2020</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1,154,164</w:t>
            </w:r>
          </w:p>
        </w:tc>
        <w:tc>
          <w:tcPr>
            <w:tcW w:w="2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133,131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1,811,524</w:t>
            </w:r>
          </w:p>
        </w:tc>
        <w:tc>
          <w:tcPr>
            <w:tcW w:w="0" w:type="dxa"/>
            <w:vAlign w:val="bottom"/>
          </w:tcPr>
          <w:p>
            <w:pPr>
              <w:spacing w:after="0"/>
              <w:rPr>
                <w:sz w:val="1"/>
                <w:szCs w:val="1"/>
                <w:color w:val="auto"/>
              </w:rPr>
            </w:pPr>
          </w:p>
        </w:tc>
      </w:tr>
      <w:tr>
        <w:trPr>
          <w:trHeight w:val="233"/>
        </w:trPr>
        <w:tc>
          <w:tcPr>
            <w:tcW w:w="360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(7,616)</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(14,563)</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(353,330)</w:t>
            </w:r>
          </w:p>
        </w:tc>
        <w:tc>
          <w:tcPr>
            <w:tcW w:w="0" w:type="dxa"/>
            <w:vAlign w:val="bottom"/>
          </w:tcPr>
          <w:p>
            <w:pPr>
              <w:spacing w:after="0"/>
              <w:rPr>
                <w:sz w:val="1"/>
                <w:szCs w:val="1"/>
                <w:color w:val="auto"/>
              </w:rPr>
            </w:pPr>
          </w:p>
        </w:tc>
      </w:tr>
      <w:tr>
        <w:trPr>
          <w:trHeight w:val="226"/>
        </w:trPr>
        <w:tc>
          <w:tcPr>
            <w:tcW w:w="3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823,013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227,377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118,568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1,458,194</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16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28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40" w:type="dxa"/>
            <w:vAlign w:val="bottom"/>
          </w:tcPr>
          <w:p>
            <w:pPr>
              <w:spacing w:after="0"/>
              <w:rPr>
                <w:sz w:val="14"/>
                <w:szCs w:val="14"/>
                <w:color w:val="auto"/>
              </w:rPr>
            </w:pPr>
          </w:p>
        </w:tc>
        <w:tc>
          <w:tcPr>
            <w:tcW w:w="1200" w:type="dxa"/>
            <w:vAlign w:val="bottom"/>
          </w:tcPr>
          <w:p>
            <w:pPr>
              <w:jc w:val="right"/>
              <w:ind w:right="521"/>
              <w:spacing w:after="0"/>
              <w:rPr>
                <w:sz w:val="20"/>
                <w:szCs w:val="20"/>
                <w:color w:val="auto"/>
              </w:rPr>
            </w:pPr>
            <w:r>
              <w:rPr>
                <w:rFonts w:ascii="Arial" w:cs="Arial" w:eastAsia="Arial" w:hAnsi="Arial"/>
                <w:sz w:val="14"/>
                <w:szCs w:val="14"/>
                <w:b w:val="1"/>
                <w:bCs w:val="1"/>
                <w:color w:val="auto"/>
              </w:rPr>
              <w:t>Test</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Professional (U.S.)</w:t>
            </w:r>
          </w:p>
        </w:tc>
        <w:tc>
          <w:tcPr>
            <w:tcW w:w="360" w:type="dxa"/>
            <w:vAlign w:val="bottom"/>
          </w:tcPr>
          <w:p>
            <w:pPr>
              <w:spacing w:after="0"/>
              <w:rPr>
                <w:sz w:val="14"/>
                <w:szCs w:val="14"/>
                <w:color w:val="auto"/>
              </w:rPr>
            </w:pPr>
          </w:p>
        </w:tc>
        <w:tc>
          <w:tcPr>
            <w:tcW w:w="102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1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1420" w:type="dxa"/>
            <w:vAlign w:val="bottom"/>
            <w:tcBorders>
              <w:bottom w:val="single" w:sz="8" w:color="auto"/>
            </w:tcBorders>
            <w:gridSpan w:val="2"/>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595,604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166,920</w:t>
            </w:r>
          </w:p>
        </w:tc>
        <w:tc>
          <w:tcPr>
            <w:tcW w:w="420" w:type="dxa"/>
            <w:vAlign w:val="bottom"/>
          </w:tcPr>
          <w:p>
            <w:pPr>
              <w:ind w:lef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203,870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1,140,958</w:t>
            </w:r>
          </w:p>
        </w:tc>
        <w:tc>
          <w:tcPr>
            <w:tcW w:w="0" w:type="dxa"/>
            <w:vAlign w:val="bottom"/>
          </w:tcPr>
          <w:p>
            <w:pPr>
              <w:spacing w:after="0"/>
              <w:rPr>
                <w:sz w:val="1"/>
                <w:szCs w:val="1"/>
                <w:color w:val="auto"/>
              </w:rPr>
            </w:pPr>
          </w:p>
        </w:tc>
      </w:tr>
      <w:tr>
        <w:trPr>
          <w:trHeight w:val="238"/>
        </w:trPr>
        <w:tc>
          <w:tcPr>
            <w:tcW w:w="4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(102,259)</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(117,568)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595,604</w:t>
            </w:r>
          </w:p>
        </w:tc>
        <w:tc>
          <w:tcPr>
            <w:tcW w:w="2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4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64,661</w:t>
            </w:r>
          </w:p>
        </w:tc>
        <w:tc>
          <w:tcPr>
            <w:tcW w:w="4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86,302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809,807</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Measurement period adjustments</w:t>
            </w: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154</w:t>
            </w:r>
          </w:p>
        </w:tc>
        <w:tc>
          <w:tcPr>
            <w:tcW w:w="28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9,788</w:t>
            </w:r>
          </w:p>
        </w:tc>
        <w:tc>
          <w:tcPr>
            <w:tcW w:w="2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3,234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13,022</w:t>
            </w:r>
          </w:p>
        </w:tc>
        <w:tc>
          <w:tcPr>
            <w:tcW w:w="0" w:type="dxa"/>
            <w:vAlign w:val="bottom"/>
          </w:tcPr>
          <w:p>
            <w:pPr>
              <w:spacing w:after="0"/>
              <w:rPr>
                <w:sz w:val="1"/>
                <w:szCs w:val="1"/>
                <w:color w:val="auto"/>
              </w:rPr>
            </w:pPr>
          </w:p>
        </w:tc>
      </w:tr>
      <w:tr>
        <w:trPr>
          <w:trHeight w:val="231"/>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74</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22"/>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605,620</w:t>
            </w:r>
          </w:p>
        </w:tc>
        <w:tc>
          <w:tcPr>
            <w:tcW w:w="2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4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166,920</w:t>
            </w:r>
          </w:p>
        </w:tc>
        <w:tc>
          <w:tcPr>
            <w:tcW w:w="4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207,060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1,154,164</w:t>
            </w: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(102,259)</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(117,568)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6"/>
        </w:trPr>
        <w:tc>
          <w:tcPr>
            <w:tcW w:w="4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605,620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64,661</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89,492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823,013</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As of September 30, 2020</w:t>
            </w: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2019</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3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16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3"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2"/>
                <w:szCs w:val="12"/>
                <w:color w:val="auto"/>
              </w:rPr>
            </w:pPr>
          </w:p>
        </w:tc>
        <w:tc>
          <w:tcPr>
            <w:tcW w:w="1080" w:type="dxa"/>
            <w:vAlign w:val="bottom"/>
            <w:vMerge w:val="restart"/>
          </w:tcPr>
          <w:p>
            <w:pPr>
              <w:jc w:val="center"/>
              <w:ind w:right="12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122"/>
              <w:spacing w:after="0" w:line="14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12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2"/>
        </w:trPr>
        <w:tc>
          <w:tcPr>
            <w:tcW w:w="29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293,025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169,415</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123,610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291,626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144,625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147,001</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109,241</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51,262</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57,979</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87,190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42,770</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44,420</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6,454</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10,946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5,148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12,252</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34,438</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17,877</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16,561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30,623</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12,850</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17,773</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911</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89</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1,313</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929</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24,800</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15,860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8,940</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13,149</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11,651</w:t>
            </w:r>
          </w:p>
        </w:tc>
        <w:tc>
          <w:tcPr>
            <w:tcW w:w="0" w:type="dxa"/>
            <w:vAlign w:val="bottom"/>
          </w:tcPr>
          <w:p>
            <w:pPr>
              <w:spacing w:after="0"/>
              <w:rPr>
                <w:sz w:val="1"/>
                <w:szCs w:val="1"/>
                <w:color w:val="auto"/>
              </w:rPr>
            </w:pPr>
          </w:p>
        </w:tc>
      </w:tr>
      <w:tr>
        <w:trPr>
          <w:trHeight w:val="226"/>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479,904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261,779</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218,125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452,952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219,471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233,481</w:t>
            </w:r>
          </w:p>
        </w:tc>
        <w:tc>
          <w:tcPr>
            <w:tcW w:w="0" w:type="dxa"/>
            <w:vAlign w:val="bottom"/>
          </w:tcPr>
          <w:p>
            <w:pPr>
              <w:spacing w:after="0"/>
              <w:rPr>
                <w:sz w:val="1"/>
                <w:szCs w:val="1"/>
                <w:color w:val="auto"/>
              </w:rPr>
            </w:pPr>
          </w:p>
        </w:tc>
      </w:tr>
      <w:tr>
        <w:trPr>
          <w:trHeight w:val="21"/>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84,833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100,491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21,858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28,556</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2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117,841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140,197</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3"/>
        </w:trPr>
        <w:tc>
          <w:tcPr>
            <w:tcW w:w="83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200" w:type="dxa"/>
            <w:vAlign w:val="bottom"/>
          </w:tcPr>
          <w:p>
            <w:pPr>
              <w:jc w:val="center"/>
              <w:ind w:left="88"/>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2"/>
        </w:trPr>
        <w:tc>
          <w:tcPr>
            <w:tcW w:w="8340" w:type="dxa"/>
            <w:vAlign w:val="bottom"/>
            <w:vMerge w:val="continue"/>
          </w:tcPr>
          <w:p>
            <w:pPr>
              <w:spacing w:after="0"/>
              <w:rPr>
                <w:sz w:val="17"/>
                <w:szCs w:val="17"/>
                <w:color w:val="auto"/>
              </w:rPr>
            </w:pP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660" w:type="dxa"/>
            <w:vAlign w:val="bottom"/>
          </w:tcPr>
          <w:p>
            <w:pPr>
              <w:jc w:val="right"/>
              <w:ind w:right="46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Revolving credit facility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note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term loan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line of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indebtedness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Debt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current portion</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Long-Term Debt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395,931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395,393</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77,156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78,650</w:t>
            </w:r>
          </w:p>
        </w:tc>
      </w:tr>
      <w:tr>
        <w:trPr>
          <w:trHeight w:val="230"/>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26,000</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27,500</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10,837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11,203</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1,959</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3,503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20"/>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515,386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512,829</w:t>
            </w:r>
          </w:p>
        </w:tc>
      </w:tr>
      <w:tr>
        <w:trPr>
          <w:trHeight w:val="232"/>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(6,104)</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(82,179)</w:t>
            </w:r>
          </w:p>
        </w:tc>
      </w:tr>
      <w:tr>
        <w:trPr>
          <w:trHeight w:val="226"/>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509,282</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430,650</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sectPr>
          <w:pgSz w:w="11900" w:h="16838" w:orient="portrait"/>
          <w:cols w:equalWidth="0" w:num="2">
            <w:col w:w="7640" w:space="720"/>
            <w:col w:w="2880"/>
          </w:cols>
          <w:pgMar w:left="320" w:top="1033" w:right="339" w:bottom="1440" w:gutter="0" w:footer="0" w:header="0"/>
          <w:type w:val="continuous"/>
        </w:sect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$4.1 million and $4.6 million of unamortized debt issuance costs as of September 30, 2020 and December 31, 2019,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2019.</w:t>
      </w:r>
    </w:p>
    <w:p>
      <w:pPr>
        <w:spacing w:after="0" w:line="27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 June 29, 2020, Kaplan borrowed £60 million under the Company’s revolving credit facility and used the proceeds from the borrowing to repay the outstanding balance on the U.K credit facility upon its maturity on June 30, 2020. The interest rate swap related to this U.K. credit facility matured on July 1, 2020. At September 30, 2020, the interest rate on the revolving credit facility was 1 month GBP LIBOR plus 1.50%.</w:t>
      </w:r>
    </w:p>
    <w:p>
      <w:pPr>
        <w:spacing w:after="0" w:line="91"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Company’s GHG subsidiary had $2.0 million outstanding under its line of credit as of September 30, 2020 at an interest rate of monthly LIBOR plus 2.75%. The Company’s other indebtedness at September 30, 2020 is at interest rates of 0% to 16% and matures between 2020 and 2030. The Company’s other indebtedness at December 31, 2019 is at an interest rate of 2% and matures in 2026.</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December 2, 2019, a subsidiary of GHG entered into a Loan &amp; Security Agreement with Pinnacle Bank for a Term Loan of $11.25 million and a two-year Line of Credit for $2.25 million. The Term Loan is payable over a five-year period in monthly installments, plus accrued and unpaid interest, due on the second day of each month, with the remaining balance due on December 2, 2024. The Term Loan bears interest at 4.35% per annum. The Term Loan can be redeemed at any time, in whole or in part, without any premium or penalty. Borrowings on the Line of Credit bear interest at a rate per annum of LIBOR plus an applicable interest rate of 2.75%, determined on a monthly basis. Under the credit agreement, the borrower is required to pay a commitment fee on a quarterly basis, at the rate per annum equal to 0.25% on the average daily unused portion of the credit facility. The borrower may use the proceeds of the facility for working capital and general corporate purposes. Any outstanding borrowings must be repaid on or prior to the final termination date. The agreement contains terms and conditions, including remedies in the event of a default. The Company is in compliance with all financial covenants as of September 30, 2020.</w:t>
      </w:r>
    </w:p>
    <w:p>
      <w:pPr>
        <w:spacing w:after="0" w:line="10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January 31, 2019, the Company’s automotive subsidiary entered into a Commercial Note with Truist Bank in an aggregate principal amount of $30 million. The Commercial Note is payable over a 10 year period in monthly installments of $0.25 million, plus accrued and unpaid interest, due on the first of each month, with a final payment on January 31, 2029. The Commercial Note bears interest at LIBOR plus an applicable interest rate of 1.75% or 2%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In the second quarter of 2020, Truist Bank provided temporary relief to the automotive subsidiary in response to COVID-19 by deferring the principal and interest payments on the Commercial Note for three months until the final payment due on maturity of the note. The interest rate swap continues to be highly effective following this change in payment terms. As such, changes in the fair value of the interest rate swap are recorded in other comprehensive income on the accompanying Condensed Consolidated Balance Sheets until earnings are affected by the variability of cash flows.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6" w:name="page17"/>
    <w:bookmarkEnd w:id="16"/>
    <w:p>
      <w:pPr>
        <w:ind w:right="60"/>
        <w:spacing w:after="0" w:line="239" w:lineRule="auto"/>
        <w:rPr>
          <w:sz w:val="20"/>
          <w:szCs w:val="20"/>
          <w:color w:val="auto"/>
        </w:rPr>
      </w:pPr>
      <w:r>
        <w:rPr>
          <w:rFonts w:ascii="Arial" w:cs="Arial" w:eastAsia="Arial" w:hAnsi="Arial"/>
          <w:sz w:val="18"/>
          <w:szCs w:val="18"/>
          <w:color w:val="auto"/>
        </w:rPr>
        <w:t>During the three months ended September 30, 2020 and 2019, the Company had average borrowings outstanding of approximately $515.1 million and $501.1 million, respectively, at average annual interest rates of approximately 5.0% and 5.1%, respectively. During the three months ended September 30, 2020 and 2019, the Company incurred net interest expense of $6.4 million and $5.3 million, respectively.</w:t>
      </w:r>
    </w:p>
    <w:p>
      <w:pPr>
        <w:spacing w:after="0" w:line="1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During the nine months ended September 30, 2020 and 2019, the Company had average borrowings outstanding of approximately $512.8 million and $499.7 million, respectively, at average annual interest rates of approximately 5.1%. During the nine months ended September 30, 2020 and 2019, the Company incurred net interest expense of $19.3 million and $17.8 million, respectively.</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At September 30, 2020, the fair value of the Company’s 5.75% unsecured notes, based on quoted market prices (Level 2 fair value assessment), totaled $422.8 million, compared with the carrying amount of $395.9 million. At December 31, 2019, the fair value of the Company’s 5.75% unsecured notes, based on quoted market prices (Level 2 fair value assessment), totaled $427.7 million, compared with the carrying amount of $395.4 million. The carrying value of the Company’s other unsecured debt at September 30, 2020 and December 31, 2019 approximates fair value.</w:t>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FAIR VALUE MEASUREMENTS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September 30, 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178,054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178,054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491,172</w:t>
            </w:r>
          </w:p>
        </w:tc>
        <w:tc>
          <w:tcPr>
            <w:tcW w:w="300" w:type="dxa"/>
            <w:vAlign w:val="bottom"/>
          </w:tcPr>
          <w:p>
            <w:pPr>
              <w:spacing w:after="0"/>
              <w:rPr>
                <w:sz w:val="21"/>
                <w:szCs w:val="21"/>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491,172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12,008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3,066</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503,180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181,120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684,300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(4)</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28,484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28,484</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4"/>
                <w:szCs w:val="24"/>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45,687</w:t>
            </w:r>
          </w:p>
        </w:tc>
        <w:tc>
          <w:tcPr>
            <w:tcW w:w="3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45,687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2,624</w:t>
            </w:r>
          </w:p>
        </w:tc>
        <w:tc>
          <w:tcPr>
            <w:tcW w:w="2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2,624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31,108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46,455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2019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45,150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585,080</w:t>
            </w:r>
          </w:p>
        </w:tc>
        <w:tc>
          <w:tcPr>
            <w:tcW w:w="30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8,843</w:t>
            </w:r>
          </w:p>
        </w:tc>
        <w:tc>
          <w:tcPr>
            <w:tcW w:w="30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6,044</w:t>
            </w:r>
          </w:p>
        </w:tc>
        <w:tc>
          <w:tcPr>
            <w:tcW w:w="2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(8)</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593,923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51,325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645,248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(4)</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34,674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34,674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1,119</w:t>
            </w:r>
          </w:p>
        </w:tc>
        <w:tc>
          <w:tcPr>
            <w:tcW w:w="2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273</w:t>
            </w:r>
          </w:p>
        </w:tc>
        <w:tc>
          <w:tcPr>
            <w:tcW w:w="2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36,066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36,895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4"/>
                <w:szCs w:val="14"/>
                <w:color w:val="auto"/>
              </w:rPr>
              <w:t>____________</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20" w:right="140" w:hanging="412"/>
        <w:spacing w:after="0" w:line="261" w:lineRule="auto"/>
        <w:tabs>
          <w:tab w:leader="none" w:pos="34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and Canadian corporations that are actively traded on U.S. and Canadian stock exchanges. Price quotes for these shares are readily available.</w:t>
      </w:r>
    </w:p>
    <w:p>
      <w:pPr>
        <w:ind w:left="420" w:right="220" w:hanging="412"/>
        <w:spacing w:after="0" w:line="261" w:lineRule="auto"/>
        <w:tabs>
          <w:tab w:leader="none" w:pos="351"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ind w:left="420" w:right="440" w:hanging="412"/>
        <w:spacing w:after="0" w:line="235" w:lineRule="auto"/>
        <w:tabs>
          <w:tab w:leader="none" w:pos="391"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8" w:lineRule="exact"/>
        <w:rPr>
          <w:rFonts w:ascii="Arial" w:cs="Arial" w:eastAsia="Arial" w:hAnsi="Arial"/>
          <w:sz w:val="14"/>
          <w:szCs w:val="14"/>
          <w:color w:val="auto"/>
        </w:rPr>
      </w:pPr>
    </w:p>
    <w:p>
      <w:pPr>
        <w:ind w:left="420" w:right="360" w:hanging="412"/>
        <w:spacing w:after="0" w:line="246" w:lineRule="auto"/>
        <w:tabs>
          <w:tab w:leader="none" w:pos="351"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using a Monte Carlo simulation as of the acquisition date, which included using estimated financial projections for the acquired business. The Company has subsequently recorded a $0.8 million non-cash accretion of the contingent consideration and settled $5.7 million of the liability in the three and nine months ended September 30, 2020.</w:t>
      </w:r>
    </w:p>
    <w:p>
      <w:pPr>
        <w:spacing w:after="0" w:line="4" w:lineRule="exact"/>
        <w:rPr>
          <w:rFonts w:ascii="Arial" w:cs="Arial" w:eastAsia="Arial" w:hAnsi="Arial"/>
          <w:sz w:val="14"/>
          <w:szCs w:val="14"/>
          <w:color w:val="auto"/>
        </w:rPr>
      </w:pPr>
    </w:p>
    <w:p>
      <w:pPr>
        <w:ind w:left="420" w:right="40" w:hanging="412"/>
        <w:spacing w:after="0" w:line="261" w:lineRule="auto"/>
        <w:tabs>
          <w:tab w:leader="none" w:pos="351"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ind w:left="420" w:right="100" w:hanging="412"/>
        <w:spacing w:after="0" w:line="246" w:lineRule="auto"/>
        <w:tabs>
          <w:tab w:leader="none" w:pos="34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(see Note 2), after taking into account any debt and other noncontrolling interests of its subsidiary investments. The fair value of the owned subsidiaries is determined by reference to either a discounted cash flow or EBITDA multiple, which approximates fair value.</w:t>
      </w:r>
    </w:p>
    <w:p>
      <w:pPr>
        <w:spacing w:after="0" w:line="4" w:lineRule="exact"/>
        <w:rPr>
          <w:rFonts w:ascii="Arial" w:cs="Arial" w:eastAsia="Arial" w:hAnsi="Arial"/>
          <w:sz w:val="14"/>
          <w:szCs w:val="14"/>
          <w:color w:val="auto"/>
        </w:rPr>
      </w:pPr>
    </w:p>
    <w:p>
      <w:pPr>
        <w:ind w:left="420" w:hanging="412"/>
        <w:spacing w:after="0" w:line="261" w:lineRule="auto"/>
        <w:tabs>
          <w:tab w:leader="none" w:pos="391"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current assets. The Company utilized a market approach model using the notional amount of the interest rate swap multiplied by the observable inputs of time to maturity and market interest rates.</w:t>
      </w:r>
    </w:p>
    <w:p>
      <w:pPr>
        <w:ind w:left="420" w:right="360" w:hanging="412"/>
        <w:spacing w:after="0" w:line="270" w:lineRule="auto"/>
        <w:tabs>
          <w:tab w:leader="none" w:pos="351"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8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the three and nine months ended September 30, 2020, the Company recorded other long-lived asset impairment charges of $1.9 million and $13.4 million, respectively (see Note 16). During the three and nine months ended September 30, 2019, the Company recorded other long-lived asset impairment charges of $0.4 million and $1.1 million, respectively. The remeasurement of other long-lived assets is classified as a Level 3 fair value assessment due to the significance of unobservable inputs developed in the determination of the fair value. The Company used a discounted cash flow model to determine the estimated fair value of the other long-lived assets and made estimates and assumptions regarding future cash flows and discount rates.</w:t>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8" w:name="page19"/>
    <w:bookmarkEnd w:id="18"/>
    <w:p>
      <w:pPr>
        <w:spacing w:after="0" w:line="231" w:lineRule="auto"/>
        <w:rPr>
          <w:sz w:val="20"/>
          <w:szCs w:val="20"/>
          <w:color w:val="auto"/>
        </w:rPr>
      </w:pPr>
      <w:r>
        <w:rPr>
          <w:rFonts w:ascii="Arial" w:cs="Arial" w:eastAsia="Arial" w:hAnsi="Arial"/>
          <w:sz w:val="18"/>
          <w:szCs w:val="18"/>
          <w:color w:val="auto"/>
        </w:rPr>
        <w:t>During the first quarter of 2020, the Company recorded goodwill and indefinite-lived intangible asset impairment charges of $16.4 million. The remeasurement of the goodwill and indefinite-lived intangible assets is classified as a Level 3 fair value assessment due to the significance of unobservable inputs developed in the determination of the fair value. The Company used a discounted cash flow model to determine the estimated fair value of the reporting unit and indefinite-lived intangible assets and made estimates and assumptions regarding future cash flows, royalty rates, discount rates, and long-term growth rates.</w:t>
      </w:r>
    </w:p>
    <w:p>
      <w:pPr>
        <w:spacing w:after="0" w:line="11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During the nine months ended September 30, 2020, the Company recorded impairment losses of $2.6 million to equity securities that are accounted for as cost method investments. During the three and nine months ended September 30, 2020, the Company recorded gains of $1.6 million and $4.2 million, respectively, to an equity security that is accounted for as a cost method investment based on observable transactions for identical or similar investments of the same issuer. During the three and nine months ended September 30, 2019, the Company recorded gains of $3.7 million and $ 5.1 million, respectively, to equity securities that are accounted for as cost method investments based on observable transactions for identical or similar investments of the same issuer.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2020, the Company recorded impairment charges of $3.6 million on two of its investments in affiliates.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46"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On March 27, 2020, the Coronavirus Aid, Relief and Economic Security (CARES) Act was enacted, which included several technical corrections to the 2017 Tax Cuts and Jobs Act and provisions allowing certain net operating losses generated by businesses in 2018, 2019 and 2020 to be carried back five prior tax years. Overall, the CARES Act had limited impact on the Company’s tax provision for the first nine months of 2020.</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July 1, 2015 (the Distribution Date), the Company completed the spin-off of Cable ONE as an independent, publicly traded company. The transaction was structured as a tax-free spin-off of Cable ONE to the stockholders of the Company. Since July 1, 2015, Cable One has been an independent public company trading on the New York Stock Exchange under the symbol “CABO”. In connection with the CARES Act, Cable One now has the ability to carryback its 2019 taxable losses to the tax period from January 1, 2015 to June 30, 2015, the period in which Cable One was included in the Company’s 2015 tax return. As a result, the Company amended its 2015 tax returns in order to accommodate Cable One's request to carryback its 2019 taxable losses. The Company expects that this action will have no impact on the results or the financial position of the Company. To reflect the expected refund due to Cable One, the Company has included an estimated $21.9 million current income tax receivable and a corresponding current liability to Cable One on its balance sheet as of September 30,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46"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The Company generated 83% and 78% and of its revenue from U.S. domestic sales for the three and nine months ended September 30, 2020, respectively. The remaining 17% and 22% of revenue was generated from non-U.S. sales for the three and nine months ended September 30, 2020, respectively. For the three and nine months ended September 30, 2019, 79% and 77% of revenue was from U.S. domestic sales, and the remaining 21% and 23% of revenue was generated from non-U.S. sales.</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For the three and nine months ended September 30, 2020, the Company recognized 71% and 73% of its revenue over time as control of the services and goods transferred to the customer, and the remaining 29% and 27% at a point in time, when the customer obtained control of the promised goods. For the three and nine months ended September 30, 2019, the Company recognized 70% and 74% of its revenue over time, and the remaining 30% and 26% at a point in time.</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the second quarter of 2020, GHG received $7.4 million under the CARES Act as a general distribution from the Provider Relief Fund to provide relief for lost revenues and expenses incurred in connection with COVID-19. The healthcare revenues for the three and nine months ended September 30, 2020 includes $0.2 million and $5.7 million, respectively, for lost revenues related to COVID-19 (see Note 16).</w:t>
      </w:r>
    </w:p>
    <w:p>
      <w:pPr>
        <w:spacing w:after="0" w:line="109" w:lineRule="exact"/>
        <w:rPr>
          <w:sz w:val="20"/>
          <w:szCs w:val="20"/>
          <w:color w:val="auto"/>
        </w:rPr>
      </w:pPr>
    </w:p>
    <w:p>
      <w:pPr>
        <w:jc w:val="both"/>
        <w:ind w:right="480"/>
        <w:spacing w:after="0" w:line="24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September 30, 2020, the Company recognized a contract asset of $7.4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$9.2 million related to this performance obligation over the next 2 years. As of December 31, 2019, the contract asset was $5.3 million.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9" w:name="page20"/>
    <w:bookmarkEnd w:id="19"/>
    <w:p>
      <w:pPr>
        <w:ind w:right="40"/>
        <w:spacing w:after="0" w:line="263"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tcPr>
          <w:p>
            <w:pPr>
              <w:jc w:val="center"/>
              <w:ind w:right="8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80" w:type="dxa"/>
            <w:vAlign w:val="bottom"/>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2019</w:t>
            </w: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9"/>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332,168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359,048</w:t>
            </w:r>
          </w:p>
        </w:tc>
        <w:tc>
          <w:tcPr>
            <w:tcW w:w="1320" w:type="dxa"/>
            <w:vAlign w:val="bottom"/>
          </w:tcPr>
          <w:p>
            <w:pPr>
              <w:jc w:val="right"/>
              <w:ind w:right="485"/>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ind w:right="120"/>
        <w:spacing w:after="0" w:line="226" w:lineRule="auto"/>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 CARES Act as a result of COVID-19. The amount is included in the current and noncurrent deferred revenue balances on the Condensed Consolidated Balance Sheet as of September 30, 2020. The Department of Health and Human Services will recoup this advance beginning 365 days after the payment was issued, and the deferred revenue will be reduced by a portion of the amount of revenue recognized for claims submitted for services provided after the recoupment period begins.</w:t>
      </w:r>
    </w:p>
    <w:p>
      <w:pPr>
        <w:spacing w:after="0" w:line="11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at the Kaplan international division and currency translation adjustments, partially offset by an increase at GHG. During the nine months ended September 30, 2020, the Company recognized $293.2 million related to the Company’s deferred revenue balance as of December 31, 2019.</w:t>
      </w:r>
    </w:p>
    <w:p>
      <w:pPr>
        <w:spacing w:after="0" w:line="11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September 30, 2020, Kaplan Test Preparation’s (KTP) deferred revenue balance related to certain medical and nursing qualifications with an original contract length greater than twelve months was $10.2 million. KTP expects to recognize 69% of this revenue over the next twelve months and the remainder thereafter.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vMerge w:val="restart"/>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vMerge w:val="restart"/>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Pr>
          <w:p>
            <w:pPr>
              <w:spacing w:after="0"/>
              <w:rPr>
                <w:sz w:val="12"/>
                <w:szCs w:val="12"/>
                <w:color w:val="auto"/>
              </w:rPr>
            </w:pPr>
          </w:p>
        </w:tc>
        <w:tc>
          <w:tcPr>
            <w:tcW w:w="98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22"/>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2020</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31,020</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24,714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(39,168)</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(862)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15,704</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is related to currency translation adjustments during the nine months ended September 30,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4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20" w:name="page21"/>
    <w:bookmarkEnd w:id="20"/>
    <w:p>
      <w:pPr>
        <w:ind w:right="340"/>
        <w:spacing w:after="0" w:line="260"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2"/>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2"/>
        </w:trPr>
        <w:tc>
          <w:tcPr>
            <w:tcW w:w="56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60" w:type="dxa"/>
            <w:vAlign w:val="bottom"/>
          </w:tcPr>
          <w:p>
            <w:pPr>
              <w:ind w:left="12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66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77,615</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63,224</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66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2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43,145</w:t>
            </w:r>
          </w:p>
        </w:tc>
        <w:tc>
          <w:tcPr>
            <w:tcW w:w="3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181,974</w:t>
            </w:r>
          </w:p>
        </w:tc>
        <w:tc>
          <w:tcPr>
            <w:tcW w:w="0" w:type="dxa"/>
            <w:vAlign w:val="bottom"/>
          </w:tcPr>
          <w:p>
            <w:pPr>
              <w:spacing w:after="0"/>
              <w:rPr>
                <w:sz w:val="1"/>
                <w:szCs w:val="1"/>
                <w:color w:val="auto"/>
              </w:rPr>
            </w:pPr>
          </w:p>
        </w:tc>
      </w:tr>
      <w:tr>
        <w:trPr>
          <w:trHeight w:val="178"/>
        </w:trPr>
        <w:tc>
          <w:tcPr>
            <w:tcW w:w="5660" w:type="dxa"/>
            <w:vAlign w:val="bottom"/>
          </w:tcPr>
          <w:p>
            <w:pPr>
              <w:ind w:left="220"/>
              <w:spacing w:after="0" w:line="178" w:lineRule="exact"/>
              <w:rPr>
                <w:sz w:val="20"/>
                <w:szCs w:val="20"/>
                <w:color w:val="auto"/>
              </w:rPr>
            </w:pPr>
            <w:r>
              <w:rPr>
                <w:rFonts w:ascii="Arial" w:cs="Arial" w:eastAsia="Arial" w:hAnsi="Arial"/>
                <w:sz w:val="16"/>
                <w:szCs w:val="16"/>
                <w:color w:val="auto"/>
              </w:rPr>
              <w:t>Less: Dividends paid-common stock outstanding and unvested restricted</w:t>
            </w:r>
          </w:p>
        </w:tc>
        <w:tc>
          <w:tcPr>
            <w:tcW w:w="280" w:type="dxa"/>
            <w:vAlign w:val="bottom"/>
          </w:tcPr>
          <w:p>
            <w:pPr>
              <w:spacing w:after="0"/>
              <w:rPr>
                <w:sz w:val="15"/>
                <w:szCs w:val="15"/>
                <w:color w:val="auto"/>
              </w:rPr>
            </w:pPr>
          </w:p>
        </w:tc>
        <w:tc>
          <w:tcPr>
            <w:tcW w:w="104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(7,100)</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(29,970)</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60" w:type="dxa"/>
            <w:vAlign w:val="bottom"/>
          </w:tcPr>
          <w:p>
            <w:pPr>
              <w:ind w:left="400"/>
              <w:spacing w:after="0"/>
              <w:rPr>
                <w:sz w:val="20"/>
                <w:szCs w:val="20"/>
                <w:color w:val="auto"/>
              </w:rPr>
            </w:pPr>
            <w:r>
              <w:rPr>
                <w:rFonts w:ascii="Arial" w:cs="Arial" w:eastAsia="Arial" w:hAnsi="Arial"/>
                <w:sz w:val="16"/>
                <w:szCs w:val="16"/>
                <w:color w:val="auto"/>
              </w:rPr>
              <w:t>shares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(7,386)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(29,554)</w:t>
            </w: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19"/>
                <w:szCs w:val="19"/>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70,515</w:t>
            </w:r>
          </w:p>
        </w:tc>
        <w:tc>
          <w:tcPr>
            <w:tcW w:w="500" w:type="dxa"/>
            <w:vAlign w:val="bottom"/>
          </w:tcPr>
          <w:p>
            <w:pPr>
              <w:spacing w:after="0"/>
              <w:rPr>
                <w:sz w:val="19"/>
                <w:szCs w:val="19"/>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35,759</w:t>
            </w:r>
          </w:p>
        </w:tc>
        <w:tc>
          <w:tcPr>
            <w:tcW w:w="360" w:type="dxa"/>
            <w:vAlign w:val="bottom"/>
          </w:tcPr>
          <w:p>
            <w:pPr>
              <w:spacing w:after="0"/>
              <w:rPr>
                <w:sz w:val="19"/>
                <w:szCs w:val="19"/>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33,254</w:t>
            </w:r>
          </w:p>
        </w:tc>
        <w:tc>
          <w:tcPr>
            <w:tcW w:w="54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152,420</w:t>
            </w:r>
          </w:p>
        </w:tc>
        <w:tc>
          <w:tcPr>
            <w:tcW w:w="0" w:type="dxa"/>
            <w:vAlign w:val="bottom"/>
          </w:tcPr>
          <w:p>
            <w:pPr>
              <w:spacing w:after="0"/>
              <w:rPr>
                <w:sz w:val="1"/>
                <w:szCs w:val="1"/>
                <w:color w:val="auto"/>
              </w:rPr>
            </w:pPr>
          </w:p>
        </w:tc>
      </w:tr>
      <w:tr>
        <w:trPr>
          <w:trHeight w:val="235"/>
        </w:trPr>
        <w:tc>
          <w:tcPr>
            <w:tcW w:w="566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99.43 %</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99.44 %</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99.43 %</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99.44 %</w:t>
            </w:r>
          </w:p>
        </w:tc>
        <w:tc>
          <w:tcPr>
            <w:tcW w:w="0" w:type="dxa"/>
            <w:vAlign w:val="bottom"/>
          </w:tcPr>
          <w:p>
            <w:pPr>
              <w:spacing w:after="0"/>
              <w:rPr>
                <w:sz w:val="1"/>
                <w:szCs w:val="1"/>
                <w:color w:val="auto"/>
              </w:rPr>
            </w:pPr>
          </w:p>
        </w:tc>
      </w:tr>
      <w:tr>
        <w:trPr>
          <w:trHeight w:val="217"/>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70,116</w:t>
            </w:r>
          </w:p>
        </w:tc>
        <w:tc>
          <w:tcPr>
            <w:tcW w:w="50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35,559</w:t>
            </w:r>
          </w:p>
        </w:tc>
        <w:tc>
          <w:tcPr>
            <w:tcW w:w="36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33,066</w:t>
            </w: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151,570</w:t>
            </w:r>
          </w:p>
        </w:tc>
        <w:tc>
          <w:tcPr>
            <w:tcW w:w="0" w:type="dxa"/>
            <w:vAlign w:val="bottom"/>
          </w:tcPr>
          <w:p>
            <w:pPr>
              <w:spacing w:after="0"/>
              <w:rPr>
                <w:sz w:val="1"/>
                <w:szCs w:val="1"/>
                <w:color w:val="auto"/>
              </w:rPr>
            </w:pPr>
          </w:p>
        </w:tc>
      </w:tr>
      <w:tr>
        <w:trPr>
          <w:trHeight w:val="232"/>
        </w:trPr>
        <w:tc>
          <w:tcPr>
            <w:tcW w:w="566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7,059</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7,345</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29,806</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29,389</w:t>
            </w:r>
          </w:p>
        </w:tc>
        <w:tc>
          <w:tcPr>
            <w:tcW w:w="0" w:type="dxa"/>
            <w:vAlign w:val="bottom"/>
          </w:tcPr>
          <w:p>
            <w:pPr>
              <w:spacing w:after="0"/>
              <w:rPr>
                <w:sz w:val="1"/>
                <w:szCs w:val="1"/>
                <w:color w:val="auto"/>
              </w:rPr>
            </w:pPr>
          </w:p>
        </w:tc>
      </w:tr>
      <w:tr>
        <w:trPr>
          <w:trHeight w:val="227"/>
        </w:trPr>
        <w:tc>
          <w:tcPr>
            <w:tcW w:w="5660" w:type="dxa"/>
            <w:vAlign w:val="bottom"/>
          </w:tcPr>
          <w:p>
            <w:pPr>
              <w:ind w:left="22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77,175</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42,904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62,872</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180,959</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3"/>
        </w:trPr>
        <w:tc>
          <w:tcPr>
            <w:tcW w:w="5660" w:type="dxa"/>
            <w:vAlign w:val="bottom"/>
          </w:tcPr>
          <w:p>
            <w:pPr>
              <w:ind w:left="12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77,176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42,906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62,873</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180,966</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5,060</w:t>
            </w:r>
          </w:p>
        </w:tc>
        <w:tc>
          <w:tcPr>
            <w:tcW w:w="500" w:type="dxa"/>
            <w:vAlign w:val="bottom"/>
          </w:tcPr>
          <w:p>
            <w:pPr>
              <w:spacing w:after="0"/>
              <w:rPr>
                <w:sz w:val="20"/>
                <w:szCs w:val="20"/>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5,285</w:t>
            </w:r>
          </w:p>
        </w:tc>
        <w:tc>
          <w:tcPr>
            <w:tcW w:w="36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5,176</w:t>
            </w:r>
          </w:p>
        </w:tc>
        <w:tc>
          <w:tcPr>
            <w:tcW w:w="540" w:type="dxa"/>
            <w:vAlign w:val="bottom"/>
          </w:tcPr>
          <w:p>
            <w:pPr>
              <w:spacing w:after="0"/>
              <w:rPr>
                <w:sz w:val="20"/>
                <w:szCs w:val="20"/>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5,285</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12</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16</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7"/>
        </w:trPr>
        <w:tc>
          <w:tcPr>
            <w:tcW w:w="5660" w:type="dxa"/>
            <w:vAlign w:val="bottom"/>
          </w:tcPr>
          <w:p>
            <w:pPr>
              <w:ind w:left="12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5,072</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5,329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5,192</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660" w:type="dxa"/>
            <w:vAlign w:val="bottom"/>
            <w:vMerge w:val="continue"/>
          </w:tcPr>
          <w:p>
            <w:pPr>
              <w:spacing w:after="0"/>
              <w:rPr>
                <w:sz w:val="18"/>
                <w:szCs w:val="18"/>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15.25</w:t>
            </w:r>
          </w:p>
        </w:tc>
        <w:tc>
          <w:tcPr>
            <w:tcW w:w="50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80"/>
              <w:spacing w:after="0"/>
              <w:rPr>
                <w:sz w:val="20"/>
                <w:szCs w:val="20"/>
                <w:color w:val="auto"/>
              </w:rPr>
            </w:pPr>
            <w:r>
              <w:rPr>
                <w:rFonts w:ascii="Arial" w:cs="Arial" w:eastAsia="Arial" w:hAnsi="Arial"/>
                <w:sz w:val="16"/>
                <w:szCs w:val="16"/>
                <w:color w:val="auto"/>
              </w:rPr>
              <w:t>8.12</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12.15</w:t>
            </w:r>
          </w:p>
        </w:tc>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20"/>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42"/>
        </w:trPr>
        <w:tc>
          <w:tcPr>
            <w:tcW w:w="566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15.22</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8.05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12.11</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80" w:type="dxa"/>
            <w:vAlign w:val="bottom"/>
            <w:gridSpan w:val="2"/>
          </w:tcPr>
          <w:p>
            <w:pPr>
              <w:jc w:val="right"/>
              <w:ind w:right="704"/>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604"/>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6060" w:type="dxa"/>
            <w:vAlign w:val="bottom"/>
          </w:tcPr>
          <w:p>
            <w:pPr>
              <w:spacing w:after="0"/>
              <w:rPr>
                <w:sz w:val="17"/>
                <w:szCs w:val="17"/>
                <w:color w:val="auto"/>
              </w:rPr>
            </w:pPr>
          </w:p>
        </w:tc>
        <w:tc>
          <w:tcPr>
            <w:tcW w:w="2680" w:type="dxa"/>
            <w:vAlign w:val="bottom"/>
            <w:tcBorders>
              <w:bottom w:val="single" w:sz="8" w:color="auto"/>
            </w:tcBorders>
            <w:gridSpan w:val="2"/>
          </w:tcPr>
          <w:p>
            <w:pPr>
              <w:jc w:val="right"/>
              <w:ind w:right="904"/>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color w:val="auto"/>
              </w:rPr>
              <w:t>2019</w:t>
            </w:r>
          </w:p>
        </w:tc>
        <w:tc>
          <w:tcPr>
            <w:tcW w:w="1680" w:type="dxa"/>
            <w:vAlign w:val="bottom"/>
            <w:tcBorders>
              <w:bottom w:val="single" w:sz="8" w:color="auto"/>
            </w:tcBorders>
          </w:tcPr>
          <w:p>
            <w:pPr>
              <w:jc w:val="right"/>
              <w:ind w:right="966"/>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color w:val="auto"/>
              </w:rPr>
              <w:t>2019</w:t>
            </w:r>
          </w:p>
        </w:tc>
      </w:tr>
      <w:tr>
        <w:trPr>
          <w:trHeight w:val="222"/>
        </w:trPr>
        <w:tc>
          <w:tcPr>
            <w:tcW w:w="6060" w:type="dxa"/>
            <w:vAlign w:val="bottom"/>
          </w:tcPr>
          <w:p>
            <w:pPr>
              <w:ind w:left="120"/>
              <w:spacing w:after="0"/>
              <w:rPr>
                <w:sz w:val="20"/>
                <w:szCs w:val="20"/>
                <w:color w:val="auto"/>
              </w:rPr>
            </w:pPr>
            <w:r>
              <w:rPr>
                <w:rFonts w:ascii="Arial" w:cs="Arial" w:eastAsia="Arial" w:hAnsi="Arial"/>
                <w:sz w:val="16"/>
                <w:szCs w:val="16"/>
                <w:color w:val="auto"/>
              </w:rPr>
              <w:t>Weighted average restricted stock</w:t>
            </w:r>
          </w:p>
        </w:tc>
        <w:tc>
          <w:tcPr>
            <w:tcW w:w="1400" w:type="dxa"/>
            <w:vAlign w:val="bottom"/>
          </w:tcPr>
          <w:p>
            <w:pPr>
              <w:jc w:val="right"/>
              <w:ind w:right="206"/>
              <w:spacing w:after="0"/>
              <w:rPr>
                <w:sz w:val="20"/>
                <w:szCs w:val="20"/>
                <w:color w:val="auto"/>
              </w:rPr>
            </w:pPr>
            <w:r>
              <w:rPr>
                <w:rFonts w:ascii="Arial" w:cs="Arial" w:eastAsia="Arial" w:hAnsi="Arial"/>
                <w:sz w:val="16"/>
                <w:szCs w:val="16"/>
                <w:b w:val="1"/>
                <w:bCs w:val="1"/>
                <w:color w:val="auto"/>
              </w:rPr>
              <w:t>12</w:t>
            </w:r>
          </w:p>
        </w:tc>
        <w:tc>
          <w:tcPr>
            <w:tcW w:w="1280" w:type="dxa"/>
            <w:vAlign w:val="bottom"/>
          </w:tcPr>
          <w:p>
            <w:pPr>
              <w:jc w:val="right"/>
              <w:ind w:right="244"/>
              <w:spacing w:after="0"/>
              <w:rPr>
                <w:sz w:val="20"/>
                <w:szCs w:val="20"/>
                <w:color w:val="auto"/>
              </w:rPr>
            </w:pPr>
            <w:r>
              <w:rPr>
                <w:rFonts w:ascii="Arial" w:cs="Arial" w:eastAsia="Arial" w:hAnsi="Arial"/>
                <w:sz w:val="16"/>
                <w:szCs w:val="16"/>
                <w:color w:val="auto"/>
              </w:rPr>
              <w:t>14</w:t>
            </w:r>
          </w:p>
        </w:tc>
        <w:tc>
          <w:tcPr>
            <w:tcW w:w="1680" w:type="dxa"/>
            <w:vAlign w:val="bottom"/>
          </w:tcPr>
          <w:p>
            <w:pPr>
              <w:jc w:val="right"/>
              <w:ind w:right="546"/>
              <w:spacing w:after="0"/>
              <w:rPr>
                <w:sz w:val="20"/>
                <w:szCs w:val="20"/>
                <w:color w:val="auto"/>
              </w:rPr>
            </w:pPr>
            <w:r>
              <w:rPr>
                <w:rFonts w:ascii="Arial" w:cs="Arial" w:eastAsia="Arial" w:hAnsi="Arial"/>
                <w:sz w:val="16"/>
                <w:szCs w:val="16"/>
                <w:b w:val="1"/>
                <w:bCs w:val="1"/>
                <w:color w:val="auto"/>
              </w:rPr>
              <w:t>11</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12</w:t>
            </w:r>
          </w:p>
        </w:tc>
      </w:tr>
    </w:tbl>
    <w:p>
      <w:pPr>
        <w:spacing w:after="0" w:line="181"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diluted earnings per share amounts for the three and nine months ended September 30, 2020 and September 30, 2019 exclude the effects of 189,000 and 104,000 stock options outstanding, respectively, as their inclusion would have been antidilutive due to a market condition.</w:t>
      </w:r>
    </w:p>
    <w:p>
      <w:pPr>
        <w:spacing w:after="0" w:line="111" w:lineRule="exact"/>
        <w:rPr>
          <w:sz w:val="20"/>
          <w:szCs w:val="20"/>
          <w:color w:val="auto"/>
        </w:rPr>
      </w:pPr>
    </w:p>
    <w:p>
      <w:pPr>
        <w:jc w:val="both"/>
        <w:ind w:right="320"/>
        <w:spacing w:after="0" w:line="239" w:lineRule="auto"/>
        <w:rPr>
          <w:sz w:val="20"/>
          <w:szCs w:val="20"/>
          <w:color w:val="auto"/>
        </w:rPr>
      </w:pPr>
      <w:r>
        <w:rPr>
          <w:rFonts w:ascii="Arial" w:cs="Arial" w:eastAsia="Arial" w:hAnsi="Arial"/>
          <w:sz w:val="18"/>
          <w:szCs w:val="18"/>
          <w:color w:val="auto"/>
        </w:rPr>
        <w:t>In the three and nine months ended September 30, 2020, the Company declared regular dividends totaling $ 1.45 and $ 5.80 per common share, respectively. In the three and nine months ended September 30, 2019, the Company declared regular dividends totaling $1.39 and $5.56 per common share,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2019</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5,457</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5,142</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17,044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15,326</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8,139</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11,743</w:t>
            </w:r>
          </w:p>
        </w:tc>
        <w:tc>
          <w:tcPr>
            <w:tcW w:w="3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24,448</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35,078</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(28,347)</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(30,832)</w:t>
            </w:r>
          </w:p>
        </w:tc>
        <w:tc>
          <w:tcPr>
            <w:tcW w:w="3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(85,081)</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(91,955)</w:t>
            </w:r>
          </w:p>
        </w:tc>
      </w:tr>
      <w:tr>
        <w:trPr>
          <w:trHeight w:val="231"/>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708</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824</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2,123</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(14,043)</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(13,123)</w:t>
            </w:r>
          </w:p>
        </w:tc>
        <w:tc>
          <w:tcPr>
            <w:tcW w:w="3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(41,466)</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(39,493)</w:t>
            </w:r>
          </w:p>
        </w:tc>
      </w:tr>
      <w:tr>
        <w:trPr>
          <w:trHeight w:val="232"/>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7,783</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13,797</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6,432</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(6,260)</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(27,669)</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(33,061)</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In the third quarter of 2020, the Company recorded $7.8 million in expenses related to a Separation Incentive Program (SIP) for certain Kaplan employees, which is being funded from the assets of the Company’s pension plan.</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1" w:name="page22"/>
    <w:bookmarkEnd w:id="21"/>
    <w:p>
      <w:pPr>
        <w:ind w:right="700"/>
        <w:spacing w:after="0" w:line="260" w:lineRule="auto"/>
        <w:rPr>
          <w:sz w:val="20"/>
          <w:szCs w:val="20"/>
          <w:color w:val="auto"/>
        </w:rPr>
      </w:pPr>
      <w:r>
        <w:rPr>
          <w:rFonts w:ascii="Arial" w:cs="Arial" w:eastAsia="Arial" w:hAnsi="Arial"/>
          <w:sz w:val="18"/>
          <w:szCs w:val="18"/>
          <w:color w:val="auto"/>
        </w:rPr>
        <w:t>In the second quarter of 2020, the Company recorded $6.0 million in expenses related to a SIP for certain Kaplan, Code3 and Decile employees, which was funded from the assets of the Company’s pension plan.</w:t>
      </w:r>
    </w:p>
    <w:p>
      <w:pPr>
        <w:spacing w:after="0" w:line="9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the second quarter of 2019, the Company offered a SIP for certain Kaplan employees, which was funded from the assets of the Company’s pension plan. The Company recorded $6.4 million in expense related to the SIP for the nine months ended September 30,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56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2019</w:t>
            </w: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238</w:t>
            </w:r>
          </w:p>
        </w:tc>
        <w:tc>
          <w:tcPr>
            <w:tcW w:w="90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715</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643</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920</w:t>
            </w:r>
          </w:p>
        </w:tc>
        <w:tc>
          <w:tcPr>
            <w:tcW w:w="9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1,079</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2,759</w:t>
            </w:r>
          </w:p>
        </w:tc>
        <w:tc>
          <w:tcPr>
            <w:tcW w:w="5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3,236</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8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83</w:t>
            </w:r>
          </w:p>
        </w:tc>
        <w:tc>
          <w:tcPr>
            <w:tcW w:w="9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248</w:t>
            </w:r>
          </w:p>
        </w:tc>
        <w:tc>
          <w:tcPr>
            <w:tcW w:w="5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254</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9"/>
              </w:rPr>
              <w:t>1,316</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3,950</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1,736</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84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9"/>
              </w:rPr>
              <w:t>2,557</w:t>
            </w:r>
          </w:p>
        </w:tc>
        <w:tc>
          <w:tcPr>
            <w:tcW w:w="9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1,957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7,672</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5,869</w:t>
            </w:r>
          </w:p>
        </w:tc>
      </w:tr>
      <w:tr>
        <w:trPr>
          <w:trHeight w:val="21"/>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a U.S. stock index fund, and a relatively small number of stocks and high-quality fixed-income securities that are held by a third-party trustee. The assets of the Company’s pension plan were allocated as follows:</w:t>
      </w:r>
    </w:p>
    <w:p>
      <w:pPr>
        <w:spacing w:after="0" w:line="169" w:lineRule="exact"/>
        <w:rPr>
          <w:sz w:val="20"/>
          <w:szCs w:val="20"/>
          <w:color w:val="auto"/>
        </w:rPr>
      </w:pPr>
    </w:p>
    <w:tbl>
      <w:tblPr>
        <w:tblLayout w:type="fixed"/>
        <w:tblInd w:w="8140" w:type="dxa"/>
        <w:tblCellMar>
          <w:top w:w="0" w:type="dxa"/>
          <w:left w:w="0" w:type="dxa"/>
          <w:bottom w:w="0" w:type="dxa"/>
          <w:right w:w="0" w:type="dxa"/>
        </w:tblCellMar>
      </w:tblPr>
      <w:tr>
        <w:trPr>
          <w:trHeight w:val="203"/>
        </w:trPr>
        <w:tc>
          <w:tcPr>
            <w:tcW w:w="1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of</w:t>
            </w:r>
          </w:p>
        </w:tc>
      </w:tr>
      <w:tr>
        <w:trPr>
          <w:trHeight w:val="184"/>
        </w:trPr>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rPr>
              <w:t>September 30,</w:t>
            </w:r>
          </w:p>
        </w:tc>
        <w:tc>
          <w:tcPr>
            <w:tcW w:w="178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r>
      <w:tr>
        <w:trPr>
          <w:trHeight w:val="202"/>
        </w:trPr>
        <w:tc>
          <w:tcPr>
            <w:tcW w:w="13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780" w:type="dxa"/>
            <w:vAlign w:val="bottom"/>
          </w:tcPr>
          <w:p>
            <w:pPr>
              <w:jc w:val="right"/>
              <w:ind w:right="50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20" w:lineRule="exact"/>
        <w:rPr>
          <w:sz w:val="20"/>
          <w:szCs w:val="20"/>
          <w:color w:val="auto"/>
        </w:rPr>
      </w:pPr>
      <w:r>
        <w:rPr>
          <w:sz w:val="20"/>
          <w:szCs w:val="20"/>
          <w:color w:val="auto"/>
        </w:rPr>
        <w:br w:type="column"/>
      </w:r>
    </w:p>
    <w:p>
      <w:pPr>
        <w:ind w:left="100"/>
        <w:spacing w:after="0"/>
        <w:tabs>
          <w:tab w:leader="none" w:pos="166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6"/>
          <w:szCs w:val="16"/>
          <w:color w:val="auto"/>
        </w:rPr>
        <w:t>62%</w:t>
      </w:r>
    </w:p>
    <w:p>
      <w:pPr>
        <w:spacing w:after="0" w:line="46" w:lineRule="exact"/>
        <w:rPr>
          <w:sz w:val="20"/>
          <w:szCs w:val="20"/>
          <w:color w:val="auto"/>
        </w:rPr>
      </w:pPr>
    </w:p>
    <w:p>
      <w:pPr>
        <w:ind w:left="100"/>
        <w:spacing w:after="0"/>
        <w:tabs>
          <w:tab w:leader="none" w:pos="176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color w:val="auto"/>
        </w:rPr>
        <w:t>7%</w:t>
      </w:r>
    </w:p>
    <w:p>
      <w:pPr>
        <w:spacing w:after="0" w:line="46" w:lineRule="exact"/>
        <w:rPr>
          <w:sz w:val="20"/>
          <w:szCs w:val="20"/>
          <w:color w:val="auto"/>
        </w:rPr>
      </w:pPr>
    </w:p>
    <w:p>
      <w:pPr>
        <w:ind w:left="180"/>
        <w:spacing w:after="0"/>
        <w:tabs>
          <w:tab w:leader="none" w:pos="1660" w:val="left"/>
        </w:tabs>
        <w:rPr>
          <w:sz w:val="20"/>
          <w:szCs w:val="20"/>
          <w:color w:val="auto"/>
        </w:rPr>
      </w:pPr>
      <w:r>
        <w:rPr>
          <w:rFonts w:ascii="Arial" w:cs="Arial" w:eastAsia="Arial" w:hAnsi="Arial"/>
          <w:sz w:val="16"/>
          <w:szCs w:val="16"/>
          <w:b w:val="1"/>
          <w:bCs w:val="1"/>
          <w:color w:val="auto"/>
        </w:rPr>
        <w:t>9%</w:t>
      </w:r>
      <w:r>
        <w:rPr>
          <w:sz w:val="20"/>
          <w:szCs w:val="20"/>
          <w:color w:val="auto"/>
        </w:rPr>
        <w:tab/>
      </w:r>
      <w:r>
        <w:rPr>
          <w:rFonts w:ascii="Arial" w:cs="Arial" w:eastAsia="Arial" w:hAnsi="Arial"/>
          <w:sz w:val="16"/>
          <w:szCs w:val="16"/>
          <w:color w:val="auto"/>
        </w:rPr>
        <w:t>14%</w:t>
      </w:r>
    </w:p>
    <w:p>
      <w:pPr>
        <w:spacing w:after="0" w:line="46" w:lineRule="exact"/>
        <w:rPr>
          <w:sz w:val="20"/>
          <w:szCs w:val="20"/>
          <w:color w:val="auto"/>
        </w:rPr>
      </w:pPr>
    </w:p>
    <w:p>
      <w:pPr>
        <w:ind w:left="180"/>
        <w:spacing w:after="0"/>
        <w:tabs>
          <w:tab w:leader="none" w:pos="166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6"/>
          <w:szCs w:val="16"/>
          <w:color w:val="auto"/>
        </w:rPr>
        <w:t>10%</w:t>
      </w:r>
    </w:p>
    <w:p>
      <w:pPr>
        <w:spacing w:after="0" w:line="46" w:lineRule="exact"/>
        <w:rPr>
          <w:sz w:val="20"/>
          <w:szCs w:val="20"/>
          <w:color w:val="auto"/>
        </w:rPr>
      </w:pPr>
    </w:p>
    <w:p>
      <w:pPr>
        <w:ind w:left="180"/>
        <w:spacing w:after="0"/>
        <w:tabs>
          <w:tab w:leader="none" w:pos="176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33020</wp:posOffset>
            </wp:positionV>
            <wp:extent cx="1954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33020</wp:posOffset>
            </wp:positionV>
            <wp:extent cx="1954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59055</wp:posOffset>
            </wp:positionV>
            <wp:extent cx="1954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2100"/>
          </w:cols>
          <w:pgMar w:left="320" w:top="927" w:right="339" w:bottom="1440" w:gutter="0" w:footer="0" w:header="0"/>
          <w:type w:val="continuous"/>
        </w:sectPr>
      </w:pPr>
    </w:p>
    <w:p>
      <w:pPr>
        <w:spacing w:after="0" w:line="8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manages approximately 40% of the pension assets internally, of which the majority is invested in a private investment fund with the remaining investments in Berkshire Hathaway stock, a U.S. stock index fund and short-term fixed-income securities. The remaining 60%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and no more than 30%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1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1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2020. Types of concentrations that were evaluated include, but are not limited to, investment concentrations in a single entity, type of industry, foreign country and individual fund. At September 30, 2020, the pension plan held investments in one common stock and one private investment fund that exceeded 10% of total plan assets, valued at $726.6 million, or approximately 29% of total plan assets. At December 31, 2019, the pension plan held investments in one common stock and one U.S. stock index fund that exceeded 10% of total plan assets, valued at $704.8 million, or approximately 30% of total plan assets.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2019</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2019</w:t>
            </w: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b w:val="1"/>
                <w:bCs w:val="1"/>
                <w:color w:val="auto"/>
              </w:rPr>
              <w:t>41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125</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216</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(120)</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(1,841)</w:t>
            </w:r>
          </w:p>
        </w:tc>
        <w:tc>
          <w:tcPr>
            <w:tcW w:w="38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b w:val="1"/>
                <w:bCs w:val="1"/>
                <w:color w:val="auto"/>
              </w:rPr>
              <w:t>(361)</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(5,522)</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(1,012)</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(3,036)</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(1,091)</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(3,272)</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(8,576)</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5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236"/>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w w:val="96"/>
              </w:rPr>
              <w:t>2019</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r>
      <w:tr>
        <w:trPr>
          <w:trHeight w:val="230"/>
        </w:trPr>
        <w:tc>
          <w:tcPr>
            <w:tcW w:w="5720" w:type="dxa"/>
            <w:vAlign w:val="bottom"/>
          </w:tcPr>
          <w:p>
            <w:pPr>
              <w:ind w:left="20"/>
              <w:spacing w:after="0"/>
              <w:rPr>
                <w:sz w:val="20"/>
                <w:szCs w:val="20"/>
                <w:color w:val="auto"/>
              </w:rPr>
            </w:pPr>
            <w:r>
              <w:rPr>
                <w:rFonts w:ascii="Arial" w:cs="Arial" w:eastAsia="Arial" w:hAnsi="Arial"/>
                <w:sz w:val="16"/>
                <w:szCs w:val="16"/>
                <w:color w:val="auto"/>
              </w:rPr>
              <w:t>Gain on cost method investments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1,638</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3,669</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b w:val="1"/>
                <w:bCs w:val="1"/>
                <w:color w:val="auto"/>
              </w:rPr>
              <w:t>4,209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5,080</w:t>
            </w:r>
          </w:p>
        </w:tc>
      </w:tr>
      <w:tr>
        <w:trPr>
          <w:trHeight w:val="243"/>
        </w:trPr>
        <w:tc>
          <w:tcPr>
            <w:tcW w:w="5720" w:type="dxa"/>
            <w:vAlign w:val="bottom"/>
          </w:tcPr>
          <w:p>
            <w:pPr>
              <w:ind w:left="20"/>
              <w:spacing w:after="0"/>
              <w:rPr>
                <w:sz w:val="20"/>
                <w:szCs w:val="20"/>
                <w:color w:val="auto"/>
              </w:rPr>
            </w:pPr>
            <w:r>
              <w:rPr>
                <w:rFonts w:ascii="Arial" w:cs="Arial" w:eastAsia="Arial" w:hAnsi="Arial"/>
                <w:sz w:val="16"/>
                <w:szCs w:val="16"/>
                <w:color w:val="auto"/>
              </w:rPr>
              <w:t>Gain on acquiring a controlling interest in an equity affiliate</w:t>
            </w: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b w:val="1"/>
                <w:bCs w:val="1"/>
                <w:color w:val="auto"/>
              </w:rPr>
              <w:t>3,708</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(2,577)</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Pr>
          <w:p>
            <w:pPr>
              <w:ind w:left="20"/>
              <w:spacing w:after="0"/>
              <w:rPr>
                <w:sz w:val="20"/>
                <w:szCs w:val="20"/>
                <w:color w:val="auto"/>
              </w:rPr>
            </w:pPr>
            <w:r>
              <w:rPr>
                <w:rFonts w:ascii="Arial" w:cs="Arial" w:eastAsia="Arial" w:hAnsi="Arial"/>
                <w:sz w:val="16"/>
                <w:szCs w:val="16"/>
                <w:color w:val="auto"/>
              </w:rPr>
              <w:t>Gain on sale of businesses</w:t>
            </w: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755</w:t>
            </w:r>
          </w:p>
        </w:tc>
        <w:tc>
          <w:tcPr>
            <w:tcW w:w="5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486</w:t>
            </w:r>
          </w:p>
        </w:tc>
        <w:tc>
          <w:tcPr>
            <w:tcW w:w="40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b w:val="1"/>
                <w:bCs w:val="1"/>
                <w:color w:val="auto"/>
              </w:rPr>
              <w:t>2,515</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243"/>
        </w:trPr>
        <w:tc>
          <w:tcPr>
            <w:tcW w:w="5720" w:type="dxa"/>
            <w:vAlign w:val="bottom"/>
          </w:tcPr>
          <w:p>
            <w:pPr>
              <w:ind w:left="20"/>
              <w:spacing w:after="0"/>
              <w:rPr>
                <w:sz w:val="20"/>
                <w:szCs w:val="20"/>
                <w:color w:val="auto"/>
              </w:rPr>
            </w:pPr>
            <w:r>
              <w:rPr>
                <w:rFonts w:ascii="Arial" w:cs="Arial" w:eastAsia="Arial" w:hAnsi="Arial"/>
                <w:sz w:val="16"/>
                <w:szCs w:val="16"/>
                <w:color w:val="auto"/>
              </w:rPr>
              <w:t>Gain on sale of equity affiliates</w:t>
            </w: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b w:val="1"/>
                <w:bCs w:val="1"/>
                <w:color w:val="auto"/>
              </w:rPr>
              <w:t>1,370</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28,994</w:t>
            </w:r>
          </w:p>
        </w:tc>
      </w:tr>
      <w:tr>
        <w:trPr>
          <w:trHeight w:val="243"/>
        </w:trPr>
        <w:tc>
          <w:tcPr>
            <w:tcW w:w="572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521</w:t>
            </w:r>
          </w:p>
        </w:tc>
        <w:tc>
          <w:tcPr>
            <w:tcW w:w="5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259</w:t>
            </w:r>
          </w:p>
        </w:tc>
        <w:tc>
          <w:tcPr>
            <w:tcW w:w="40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b w:val="1"/>
                <w:bCs w:val="1"/>
                <w:color w:val="auto"/>
              </w:rPr>
              <w:t>1,039</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43"/>
        </w:trPr>
        <w:tc>
          <w:tcPr>
            <w:tcW w:w="5720" w:type="dxa"/>
            <w:vAlign w:val="bottom"/>
          </w:tcPr>
          <w:p>
            <w:pPr>
              <w:ind w:left="20"/>
              <w:spacing w:after="0"/>
              <w:rPr>
                <w:sz w:val="20"/>
                <w:szCs w:val="20"/>
                <w:color w:val="auto"/>
              </w:rPr>
            </w:pPr>
            <w:r>
              <w:rPr>
                <w:rFonts w:ascii="Arial" w:cs="Arial" w:eastAsia="Arial" w:hAnsi="Arial"/>
                <w:sz w:val="16"/>
                <w:szCs w:val="16"/>
                <w:color w:val="auto"/>
              </w:rPr>
              <w:t>Foreign currency (loss) gain,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(2,343)</w:t>
            </w:r>
          </w:p>
        </w:tc>
        <w:tc>
          <w:tcPr>
            <w:tcW w:w="5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661</w:t>
            </w:r>
          </w:p>
        </w:tc>
        <w:tc>
          <w:tcPr>
            <w:tcW w:w="40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b w:val="1"/>
                <w:bCs w:val="1"/>
                <w:color w:val="auto"/>
              </w:rPr>
              <w:t>877</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247"/>
        </w:trPr>
        <w:tc>
          <w:tcPr>
            <w:tcW w:w="5720" w:type="dxa"/>
            <w:vAlign w:val="bottom"/>
          </w:tcPr>
          <w:p>
            <w:pPr>
              <w:ind w:left="20"/>
              <w:spacing w:after="0"/>
              <w:rPr>
                <w:sz w:val="20"/>
                <w:szCs w:val="20"/>
                <w:color w:val="auto"/>
              </w:rPr>
            </w:pPr>
            <w:r>
              <w:rPr>
                <w:rFonts w:ascii="Arial" w:cs="Arial" w:eastAsia="Arial" w:hAnsi="Arial"/>
                <w:sz w:val="16"/>
                <w:szCs w:val="16"/>
                <w:color w:val="auto"/>
              </w:rPr>
              <w:t>Other (loss) gain, net</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481</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(131)</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r>
      <w:tr>
        <w:trPr>
          <w:trHeight w:val="240"/>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222</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5,556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11,010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36,135</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In the third quarter of 2020, the Company recorded a $1.6 million gain resulting from observable price changes in the fair value of an equity security accounted for under the cost method.</w:t>
      </w:r>
    </w:p>
    <w:p>
      <w:pPr>
        <w:spacing w:after="0" w:line="92"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The Company recorded contingent consideration gains of $0.8 million and $2.5 million, respectively, for the three and nine months ended September 30, 2020, related to the disposition of Kaplan University in 2018.</w:t>
      </w:r>
    </w:p>
    <w:p>
      <w:pPr>
        <w:spacing w:after="0" w:line="92"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 the second quarter of 2020, the Company made an additional investment in Framebridge (see Notes 2 and 3) that resulted in the Company obtaining control of the investee. The Company remeasured its previously held equity interest in Framebridge at the acquisition-date fair value and recorded a gain of $3.7 million. The fair value was determined using a market approach by using the share value indicated in the transaction.</w:t>
      </w:r>
    </w:p>
    <w:p>
      <w:pPr>
        <w:spacing w:after="0" w:line="111"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In the second quarter of 2020, the Company recorded a $2.6 million gain resulting from observable price changes in the fair value of an equity security accounted for under the cost method.</w:t>
      </w:r>
    </w:p>
    <w:p>
      <w:pPr>
        <w:spacing w:after="0" w:line="92"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In the first quarter of 2020, the Company recorded impairment losses of $2.6 million to equity securities that are accounted for as cost method investments.</w:t>
      </w:r>
    </w:p>
    <w:p>
      <w:pPr>
        <w:spacing w:after="0" w:line="9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In the third quarter of 2019, the Company recorded a $3.7 million gain resulting from observable price changes in the fair value of equity securities accounted for under the cost method.</w:t>
      </w:r>
    </w:p>
    <w:p>
      <w:pPr>
        <w:spacing w:after="0" w:line="9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In the first quarter of 2019, the Company recorded a $1.4 million gain resulting from observable price changes in the fair value of equity securities accounted for under the cost method.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the Company recorded a $29.0 million gain on the sale of the Company’s interest in Gimlet Media.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Three Months Ended September 30</w:t>
            </w: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16"/>
                <w:szCs w:val="16"/>
                <w:color w:val="auto"/>
              </w:rPr>
            </w:pPr>
          </w:p>
        </w:tc>
        <w:tc>
          <w:tcPr>
            <w:tcW w:w="820" w:type="dxa"/>
            <w:vAlign w:val="bottom"/>
          </w:tcPr>
          <w:p>
            <w:pPr>
              <w:jc w:val="right"/>
              <w:ind w:right="223"/>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After-Tax</w:t>
            </w:r>
          </w:p>
        </w:tc>
        <w:tc>
          <w:tcPr>
            <w:tcW w:w="240" w:type="dxa"/>
            <w:vAlign w:val="bottom"/>
          </w:tcPr>
          <w:p>
            <w:pPr>
              <w:spacing w:after="0"/>
              <w:rPr>
                <w:sz w:val="16"/>
                <w:szCs w:val="16"/>
                <w:color w:val="auto"/>
              </w:rPr>
            </w:pPr>
          </w:p>
        </w:tc>
        <w:tc>
          <w:tcPr>
            <w:tcW w:w="880" w:type="dxa"/>
            <w:vAlign w:val="bottom"/>
          </w:tcPr>
          <w:p>
            <w:pPr>
              <w:jc w:val="right"/>
              <w:ind w:right="81"/>
              <w:spacing w:after="0"/>
              <w:rPr>
                <w:sz w:val="20"/>
                <w:szCs w:val="20"/>
                <w:color w:val="auto"/>
              </w:rPr>
            </w:pPr>
            <w:r>
              <w:rPr>
                <w:rFonts w:ascii="Arial" w:cs="Arial" w:eastAsia="Arial" w:hAnsi="Arial"/>
                <w:sz w:val="14"/>
                <w:szCs w:val="14"/>
                <w:color w:val="auto"/>
              </w:rPr>
              <w:t>Before-Tax</w:t>
            </w:r>
          </w:p>
        </w:tc>
        <w:tc>
          <w:tcPr>
            <w:tcW w:w="240" w:type="dxa"/>
            <w:vAlign w:val="bottom"/>
          </w:tcPr>
          <w:p>
            <w:pPr>
              <w:spacing w:after="0"/>
              <w:rPr>
                <w:sz w:val="16"/>
                <w:szCs w:val="16"/>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Tax</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Tax</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120"/>
              <w:spacing w:after="0"/>
              <w:rPr>
                <w:sz w:val="20"/>
                <w:szCs w:val="20"/>
                <w:color w:val="auto"/>
              </w:rPr>
            </w:pPr>
            <w:r>
              <w:rPr>
                <w:rFonts w:ascii="Arial" w:cs="Arial" w:eastAsia="Arial" w:hAnsi="Arial"/>
                <w:sz w:val="16"/>
                <w:szCs w:val="16"/>
                <w:color w:val="auto"/>
              </w:rPr>
              <w:t>Translation adjustments arising during the period</w:t>
            </w:r>
          </w:p>
        </w:tc>
        <w:tc>
          <w:tcPr>
            <w:tcW w:w="1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20,430</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20,430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(16,684)</w:t>
            </w:r>
          </w:p>
        </w:tc>
        <w:tc>
          <w:tcPr>
            <w:tcW w:w="0" w:type="dxa"/>
            <w:vAlign w:val="bottom"/>
          </w:tcPr>
          <w:p>
            <w:pPr>
              <w:spacing w:after="0"/>
              <w:rPr>
                <w:sz w:val="1"/>
                <w:szCs w:val="1"/>
                <w:color w:val="auto"/>
              </w:rPr>
            </w:pPr>
          </w:p>
        </w:tc>
      </w:tr>
      <w:tr>
        <w:trPr>
          <w:trHeight w:val="221"/>
        </w:trPr>
        <w:tc>
          <w:tcPr>
            <w:tcW w:w="47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(credit) included in net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671</w:t>
            </w:r>
          </w:p>
        </w:tc>
        <w:tc>
          <w:tcPr>
            <w:tcW w:w="240" w:type="dxa"/>
            <w:vAlign w:val="bottom"/>
          </w:tcPr>
          <w:p>
            <w:pPr>
              <w:spacing w:after="0"/>
              <w:rPr>
                <w:sz w:val="16"/>
                <w:szCs w:val="16"/>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(180)</w:t>
            </w: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60" w:type="dxa"/>
            <w:vAlign w:val="bottom"/>
          </w:tcPr>
          <w:p>
            <w:pPr>
              <w:ind w:left="300"/>
              <w:spacing w:after="0"/>
              <w:rPr>
                <w:sz w:val="20"/>
                <w:szCs w:val="20"/>
                <w:color w:val="auto"/>
              </w:rPr>
            </w:pPr>
            <w:r>
              <w:rPr>
                <w:rFonts w:ascii="Arial" w:cs="Arial" w:eastAsia="Arial" w:hAnsi="Arial"/>
                <w:sz w:val="16"/>
                <w:szCs w:val="16"/>
                <w:color w:val="auto"/>
              </w:rPr>
              <w:t>income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w:t>
            </w:r>
          </w:p>
        </w:tc>
        <w:tc>
          <w:tcPr>
            <w:tcW w:w="2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3"/>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actuarial loss (gain) included in net income</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304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(83)</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26"/>
        </w:trPr>
        <w:tc>
          <w:tcPr>
            <w:tcW w:w="47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975</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(263)</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08"/>
        </w:trPr>
        <w:tc>
          <w:tcPr>
            <w:tcW w:w="47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157</w:t>
            </w:r>
          </w:p>
        </w:tc>
        <w:tc>
          <w:tcPr>
            <w:tcW w:w="240" w:type="dxa"/>
            <w:vAlign w:val="bottom"/>
          </w:tcPr>
          <w:p>
            <w:pPr>
              <w:spacing w:after="0"/>
              <w:rPr>
                <w:sz w:val="18"/>
                <w:szCs w:val="18"/>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(36)</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120"/>
              <w:spacing w:after="0"/>
              <w:rPr>
                <w:sz w:val="20"/>
                <w:szCs w:val="20"/>
                <w:color w:val="auto"/>
              </w:rPr>
            </w:pPr>
            <w:r>
              <w:rPr>
                <w:rFonts w:ascii="Arial" w:cs="Arial" w:eastAsia="Arial" w:hAnsi="Arial"/>
                <w:sz w:val="16"/>
                <w:szCs w:val="16"/>
                <w:color w:val="auto"/>
              </w:rPr>
              <w:t>Gain (loss) for the period</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21,562</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(18,086)</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gridSpan w:val="6"/>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8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16"/>
                <w:szCs w:val="16"/>
                <w:color w:val="auto"/>
              </w:rPr>
            </w:pPr>
          </w:p>
        </w:tc>
        <w:tc>
          <w:tcPr>
            <w:tcW w:w="820" w:type="dxa"/>
            <w:vAlign w:val="bottom"/>
          </w:tcPr>
          <w:p>
            <w:pPr>
              <w:jc w:val="right"/>
              <w:ind w:right="183"/>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6"/>
                <w:szCs w:val="16"/>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b w:val="1"/>
                <w:bCs w:val="1"/>
                <w:color w:val="auto"/>
              </w:rPr>
              <w:t>After-Tax</w:t>
            </w:r>
          </w:p>
        </w:tc>
        <w:tc>
          <w:tcPr>
            <w:tcW w:w="1120" w:type="dxa"/>
            <w:vAlign w:val="bottom"/>
            <w:gridSpan w:val="2"/>
          </w:tcPr>
          <w:p>
            <w:pPr>
              <w:jc w:val="right"/>
              <w:ind w:right="141"/>
              <w:spacing w:after="0"/>
              <w:rPr>
                <w:sz w:val="20"/>
                <w:szCs w:val="20"/>
                <w:color w:val="auto"/>
              </w:rPr>
            </w:pPr>
            <w:r>
              <w:rPr>
                <w:rFonts w:ascii="Arial" w:cs="Arial" w:eastAsia="Arial" w:hAnsi="Arial"/>
                <w:sz w:val="14"/>
                <w:szCs w:val="14"/>
                <w:color w:val="auto"/>
              </w:rPr>
              <w:t>Before-Tax</w:t>
            </w:r>
          </w:p>
        </w:tc>
        <w:tc>
          <w:tcPr>
            <w:tcW w:w="240" w:type="dxa"/>
            <w:vAlign w:val="bottom"/>
          </w:tcPr>
          <w:p>
            <w:pPr>
              <w:spacing w:after="0"/>
              <w:rPr>
                <w:sz w:val="16"/>
                <w:szCs w:val="16"/>
                <w:color w:val="auto"/>
              </w:rPr>
            </w:pPr>
          </w:p>
        </w:tc>
        <w:tc>
          <w:tcPr>
            <w:tcW w:w="800" w:type="dxa"/>
            <w:vAlign w:val="bottom"/>
          </w:tcPr>
          <w:p>
            <w:pPr>
              <w:jc w:val="center"/>
              <w:ind w:right="182"/>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After-Tax</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7"/>
                <w:szCs w:val="17"/>
                <w:color w:val="auto"/>
              </w:rPr>
            </w:pPr>
          </w:p>
        </w:tc>
        <w:tc>
          <w:tcPr>
            <w:tcW w:w="840" w:type="dxa"/>
            <w:vAlign w:val="bottom"/>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880" w:type="dxa"/>
            <w:vAlign w:val="bottom"/>
          </w:tcPr>
          <w:p>
            <w:pPr>
              <w:jc w:val="right"/>
              <w:ind w:right="241"/>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7"/>
                <w:szCs w:val="17"/>
                <w:color w:val="auto"/>
              </w:rPr>
            </w:pPr>
          </w:p>
        </w:tc>
        <w:tc>
          <w:tcPr>
            <w:tcW w:w="800" w:type="dxa"/>
            <w:vAlign w:val="bottom"/>
          </w:tcPr>
          <w:p>
            <w:pPr>
              <w:jc w:val="center"/>
              <w:ind w:right="182"/>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3"/>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120"/>
              <w:spacing w:after="0"/>
              <w:rPr>
                <w:sz w:val="20"/>
                <w:szCs w:val="20"/>
                <w:color w:val="auto"/>
              </w:rPr>
            </w:pPr>
            <w:r>
              <w:rPr>
                <w:rFonts w:ascii="Arial" w:cs="Arial" w:eastAsia="Arial" w:hAnsi="Arial"/>
                <w:sz w:val="16"/>
                <w:szCs w:val="16"/>
                <w:color w:val="auto"/>
              </w:rPr>
              <w:t>Translation adjustments arising during the period</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(541)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(541)</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(17,755)</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(credit) included in net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6"/>
                <w:szCs w:val="16"/>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(542)</w:t>
            </w:r>
          </w:p>
        </w:tc>
        <w:tc>
          <w:tcPr>
            <w:tcW w:w="180" w:type="dxa"/>
            <w:vAlign w:val="bottom"/>
          </w:tcPr>
          <w:p>
            <w:pPr>
              <w:spacing w:after="0"/>
              <w:rPr>
                <w:sz w:val="16"/>
                <w:szCs w:val="16"/>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1,468</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60" w:type="dxa"/>
            <w:vAlign w:val="bottom"/>
          </w:tcPr>
          <w:p>
            <w:pPr>
              <w:ind w:left="300"/>
              <w:spacing w:after="0"/>
              <w:rPr>
                <w:sz w:val="20"/>
                <w:szCs w:val="20"/>
                <w:color w:val="auto"/>
              </w:rPr>
            </w:pPr>
            <w:r>
              <w:rPr>
                <w:rFonts w:ascii="Arial" w:cs="Arial" w:eastAsia="Arial" w:hAnsi="Arial"/>
                <w:sz w:val="16"/>
                <w:szCs w:val="16"/>
                <w:color w:val="auto"/>
              </w:rPr>
              <w:t>income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(3,210)</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867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actuarial loss (gain) included in net income</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914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(247)</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667</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(1,534)</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414</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2,924</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(789)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2,135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(4,744)</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1,281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(1,564)</w:t>
            </w:r>
          </w:p>
        </w:tc>
        <w:tc>
          <w:tcPr>
            <w:tcW w:w="240" w:type="dxa"/>
            <w:vAlign w:val="bottom"/>
          </w:tcPr>
          <w:p>
            <w:pPr>
              <w:spacing w:after="0"/>
              <w:rPr>
                <w:sz w:val="18"/>
                <w:szCs w:val="18"/>
                <w:color w:val="auto"/>
              </w:rPr>
            </w:pPr>
          </w:p>
        </w:tc>
        <w:tc>
          <w:tcPr>
            <w:tcW w:w="82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358</w:t>
            </w:r>
          </w:p>
        </w:tc>
        <w:tc>
          <w:tcPr>
            <w:tcW w:w="180" w:type="dxa"/>
            <w:vAlign w:val="bottom"/>
          </w:tcPr>
          <w:p>
            <w:pPr>
              <w:spacing w:after="0"/>
              <w:rPr>
                <w:sz w:val="18"/>
                <w:szCs w:val="18"/>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(1,206)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120"/>
              <w:spacing w:after="0"/>
              <w:rPr>
                <w:sz w:val="20"/>
                <w:szCs w:val="20"/>
                <w:color w:val="auto"/>
              </w:rPr>
            </w:pPr>
            <w:r>
              <w:rPr>
                <w:rFonts w:ascii="Arial" w:cs="Arial" w:eastAsia="Arial" w:hAnsi="Arial"/>
                <w:sz w:val="16"/>
                <w:szCs w:val="16"/>
                <w:color w:val="auto"/>
              </w:rPr>
              <w:t>Loss for the period</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(904)</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231</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388</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(23,403)</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1,512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8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420" w:type="dxa"/>
            <w:vAlign w:val="bottom"/>
          </w:tcPr>
          <w:p>
            <w:pPr>
              <w:jc w:val="center"/>
              <w:ind w:right="144"/>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2"/>
                <w:szCs w:val="12"/>
                <w:color w:val="auto"/>
              </w:rPr>
            </w:pPr>
          </w:p>
        </w:tc>
        <w:tc>
          <w:tcPr>
            <w:tcW w:w="14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42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2"/>
                <w:szCs w:val="12"/>
                <w:color w:val="auto"/>
              </w:rPr>
            </w:pPr>
          </w:p>
        </w:tc>
        <w:tc>
          <w:tcPr>
            <w:tcW w:w="9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9"/>
              </w:rPr>
              <w:t>Cash Flow</w:t>
            </w:r>
          </w:p>
        </w:tc>
        <w:tc>
          <w:tcPr>
            <w:tcW w:w="220" w:type="dxa"/>
            <w:vAlign w:val="bottom"/>
          </w:tcPr>
          <w:p>
            <w:pPr>
              <w:spacing w:after="0"/>
              <w:rPr>
                <w:sz w:val="12"/>
                <w:szCs w:val="12"/>
                <w:color w:val="auto"/>
              </w:rPr>
            </w:pPr>
          </w:p>
        </w:tc>
        <w:tc>
          <w:tcPr>
            <w:tcW w:w="138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460" w:type="dxa"/>
            <w:vAlign w:val="bottom"/>
            <w:vMerge w:val="restart"/>
          </w:tcPr>
          <w:p>
            <w:pPr>
              <w:ind w:left="20"/>
              <w:spacing w:after="0"/>
              <w:rPr>
                <w:sz w:val="20"/>
                <w:szCs w:val="20"/>
                <w:color w:val="auto"/>
              </w:rPr>
            </w:pPr>
            <w:r>
              <w:rPr>
                <w:rFonts w:ascii="Arial" w:cs="Arial" w:eastAsia="Arial" w:hAnsi="Arial"/>
                <w:sz w:val="14"/>
                <w:szCs w:val="14"/>
                <w:color w:val="auto"/>
              </w:rPr>
              <w:t>(in thousands, net of taxes)</w:t>
            </w:r>
          </w:p>
        </w:tc>
        <w:tc>
          <w:tcPr>
            <w:tcW w:w="180" w:type="dxa"/>
            <w:vAlign w:val="bottom"/>
          </w:tcPr>
          <w:p>
            <w:pPr>
              <w:spacing w:after="0"/>
              <w:rPr>
                <w:sz w:val="12"/>
                <w:szCs w:val="12"/>
                <w:color w:val="auto"/>
              </w:rPr>
            </w:pPr>
          </w:p>
        </w:tc>
        <w:tc>
          <w:tcPr>
            <w:tcW w:w="12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14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2"/>
        </w:trPr>
        <w:tc>
          <w:tcPr>
            <w:tcW w:w="54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Hedges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2"/>
        </w:trPr>
        <w:tc>
          <w:tcPr>
            <w:tcW w:w="546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(21,888)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4"/>
              <w:spacing w:after="0"/>
              <w:rPr>
                <w:sz w:val="20"/>
                <w:szCs w:val="20"/>
                <w:color w:val="auto"/>
              </w:rPr>
            </w:pPr>
            <w:r>
              <w:rPr>
                <w:rFonts w:ascii="Arial" w:cs="Arial" w:eastAsia="Arial" w:hAnsi="Arial"/>
                <w:sz w:val="16"/>
                <w:szCs w:val="16"/>
                <w:color w:val="auto"/>
              </w:rPr>
              <w:t>325,921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303,295</w:t>
            </w:r>
          </w:p>
        </w:tc>
        <w:tc>
          <w:tcPr>
            <w:tcW w:w="0" w:type="dxa"/>
            <w:vAlign w:val="bottom"/>
          </w:tcPr>
          <w:p>
            <w:pPr>
              <w:spacing w:after="0"/>
              <w:rPr>
                <w:sz w:val="1"/>
                <w:szCs w:val="1"/>
                <w:color w:val="auto"/>
              </w:rPr>
            </w:pPr>
          </w:p>
        </w:tc>
      </w:tr>
      <w:tr>
        <w:trPr>
          <w:trHeight w:val="233"/>
        </w:trPr>
        <w:tc>
          <w:tcPr>
            <w:tcW w:w="54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before reclassifications</w:t>
            </w:r>
          </w:p>
        </w:tc>
        <w:tc>
          <w:tcPr>
            <w:tcW w:w="18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b w:val="1"/>
                <w:bCs w:val="1"/>
                <w:color w:val="auto"/>
              </w:rPr>
              <w:t>(541)</w:t>
            </w:r>
          </w:p>
        </w:tc>
        <w:tc>
          <w:tcPr>
            <w:tcW w:w="200" w:type="dxa"/>
            <w:vAlign w:val="bottom"/>
          </w:tcPr>
          <w:p>
            <w:pPr>
              <w:spacing w:after="0"/>
              <w:rPr>
                <w:sz w:val="20"/>
                <w:szCs w:val="20"/>
                <w:color w:val="auto"/>
              </w:rPr>
            </w:pPr>
          </w:p>
        </w:tc>
        <w:tc>
          <w:tcPr>
            <w:tcW w:w="142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(1,532)</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(2,073)</w:t>
            </w:r>
          </w:p>
        </w:tc>
        <w:tc>
          <w:tcPr>
            <w:tcW w:w="0" w:type="dxa"/>
            <w:vAlign w:val="bottom"/>
          </w:tcPr>
          <w:p>
            <w:pPr>
              <w:spacing w:after="0"/>
              <w:rPr>
                <w:sz w:val="1"/>
                <w:szCs w:val="1"/>
                <w:color w:val="auto"/>
              </w:rPr>
            </w:pPr>
          </w:p>
        </w:tc>
      </w:tr>
      <w:tr>
        <w:trPr>
          <w:trHeight w:val="176"/>
        </w:trPr>
        <w:tc>
          <w:tcPr>
            <w:tcW w:w="5460" w:type="dxa"/>
            <w:vAlign w:val="bottom"/>
          </w:tcPr>
          <w:p>
            <w:pPr>
              <w:ind w:left="140"/>
              <w:spacing w:after="0" w:line="177" w:lineRule="exact"/>
              <w:rPr>
                <w:sz w:val="20"/>
                <w:szCs w:val="20"/>
                <w:color w:val="auto"/>
              </w:rPr>
            </w:pPr>
            <w:r>
              <w:rPr>
                <w:rFonts w:ascii="Arial" w:cs="Arial" w:eastAsia="Arial" w:hAnsi="Arial"/>
                <w:sz w:val="16"/>
                <w:szCs w:val="16"/>
                <w:b w:val="1"/>
                <w:bCs w:val="1"/>
                <w:color w:val="auto"/>
              </w:rPr>
              <w:t>Net amount reclassified from accumulated other comprehensive</w:t>
            </w:r>
          </w:p>
        </w:tc>
        <w:tc>
          <w:tcPr>
            <w:tcW w:w="180" w:type="dxa"/>
            <w:vAlign w:val="bottom"/>
          </w:tcPr>
          <w:p>
            <w:pPr>
              <w:spacing w:after="0"/>
              <w:rPr>
                <w:sz w:val="15"/>
                <w:szCs w:val="15"/>
                <w:color w:val="auto"/>
              </w:rPr>
            </w:pPr>
          </w:p>
        </w:tc>
        <w:tc>
          <w:tcPr>
            <w:tcW w:w="120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42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2,135</w:t>
            </w:r>
          </w:p>
        </w:tc>
        <w:tc>
          <w:tcPr>
            <w:tcW w:w="200" w:type="dxa"/>
            <w:vAlign w:val="bottom"/>
          </w:tcPr>
          <w:p>
            <w:pPr>
              <w:spacing w:after="0"/>
              <w:rPr>
                <w:sz w:val="15"/>
                <w:szCs w:val="15"/>
                <w:color w:val="auto"/>
              </w:rPr>
            </w:pPr>
          </w:p>
        </w:tc>
        <w:tc>
          <w:tcPr>
            <w:tcW w:w="9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326</w:t>
            </w:r>
          </w:p>
        </w:tc>
        <w:tc>
          <w:tcPr>
            <w:tcW w:w="2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2,461</w:t>
            </w:r>
          </w:p>
        </w:tc>
        <w:tc>
          <w:tcPr>
            <w:tcW w:w="0" w:type="dxa"/>
            <w:vAlign w:val="bottom"/>
          </w:tcPr>
          <w:p>
            <w:pPr>
              <w:spacing w:after="0"/>
              <w:rPr>
                <w:sz w:val="1"/>
                <w:szCs w:val="1"/>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6"/>
                <w:szCs w:val="16"/>
                <w:b w:val="1"/>
                <w:bCs w:val="1"/>
                <w:color w:val="auto"/>
              </w:rPr>
              <w:t>income (loss)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net of tax</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(541)</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2,135</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(1,206)</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(22,429)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328,056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303,683</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24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5"/>
                <w:szCs w:val="5"/>
                <w:color w:val="auto"/>
              </w:rPr>
            </w:pPr>
          </w:p>
        </w:tc>
        <w:tc>
          <w:tcPr>
            <w:tcW w:w="18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2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vMerge w:val="continue"/>
          </w:tcPr>
          <w:p>
            <w:pPr>
              <w:spacing w:after="0"/>
              <w:rPr>
                <w:sz w:val="11"/>
                <w:szCs w:val="11"/>
                <w:color w:val="auto"/>
              </w:rPr>
            </w:pPr>
          </w:p>
        </w:tc>
        <w:tc>
          <w:tcPr>
            <w:tcW w:w="2480" w:type="dxa"/>
            <w:vAlign w:val="bottom"/>
          </w:tcPr>
          <w:p>
            <w:pPr>
              <w:jc w:val="center"/>
              <w:ind w:left="28"/>
              <w:spacing w:after="0" w:line="129"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2019</w:t>
            </w:r>
          </w:p>
        </w:tc>
        <w:tc>
          <w:tcPr>
            <w:tcW w:w="24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20"/>
              <w:spacing w:after="0"/>
              <w:rPr>
                <w:sz w:val="20"/>
                <w:szCs w:val="20"/>
                <w:color w:val="auto"/>
              </w:rPr>
            </w:pPr>
            <w:r>
              <w:rPr>
                <w:rFonts w:ascii="Arial" w:cs="Arial" w:eastAsia="Arial" w:hAnsi="Arial"/>
                <w:sz w:val="16"/>
                <w:szCs w:val="16"/>
                <w:color w:val="auto"/>
              </w:rPr>
              <w:t>Amortization of net prior service cost (credit)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671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(932)</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2,010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(3,210)</w:t>
            </w:r>
          </w:p>
        </w:tc>
        <w:tc>
          <w:tcPr>
            <w:tcW w:w="248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4140" w:type="dxa"/>
            <w:vAlign w:val="bottom"/>
          </w:tcPr>
          <w:p>
            <w:pPr>
              <w:ind w:left="120"/>
              <w:spacing w:after="0"/>
              <w:rPr>
                <w:sz w:val="20"/>
                <w:szCs w:val="20"/>
                <w:color w:val="auto"/>
              </w:rPr>
            </w:pPr>
            <w:r>
              <w:rPr>
                <w:rFonts w:ascii="Arial" w:cs="Arial" w:eastAsia="Arial" w:hAnsi="Arial"/>
                <w:sz w:val="16"/>
                <w:szCs w:val="16"/>
                <w:color w:val="auto"/>
              </w:rPr>
              <w:t>Amortization of net actuarial loss (gain)</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914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w:t>
            </w:r>
          </w:p>
        </w:tc>
        <w:tc>
          <w:tcPr>
            <w:tcW w:w="248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4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975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(1,443)</w:t>
            </w:r>
          </w:p>
        </w:tc>
        <w:tc>
          <w:tcPr>
            <w:tcW w:w="28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2,924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(4,744)</w:t>
            </w:r>
          </w:p>
        </w:tc>
        <w:tc>
          <w:tcPr>
            <w:tcW w:w="248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2"/>
        </w:trPr>
        <w:tc>
          <w:tcPr>
            <w:tcW w:w="4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390</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(789)</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248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6"/>
        </w:trPr>
        <w:tc>
          <w:tcPr>
            <w:tcW w:w="4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712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2,135</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(3,463)</w:t>
            </w:r>
          </w:p>
        </w:tc>
        <w:tc>
          <w:tcPr>
            <w:tcW w:w="248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00" w:type="dxa"/>
            <w:vAlign w:val="bottom"/>
          </w:tcPr>
          <w:p>
            <w:pPr>
              <w:spacing w:after="0"/>
              <w:rPr>
                <w:sz w:val="18"/>
                <w:szCs w:val="18"/>
                <w:color w:val="auto"/>
              </w:rPr>
            </w:pPr>
          </w:p>
        </w:tc>
        <w:tc>
          <w:tcPr>
            <w:tcW w:w="8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166</w:t>
            </w:r>
          </w:p>
        </w:tc>
        <w:tc>
          <w:tcPr>
            <w:tcW w:w="2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8"/>
                <w:szCs w:val="18"/>
                <w:color w:val="auto"/>
              </w:rPr>
            </w:pPr>
          </w:p>
        </w:tc>
        <w:tc>
          <w:tcPr>
            <w:tcW w:w="8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313</w:t>
            </w:r>
          </w:p>
        </w:tc>
        <w:tc>
          <w:tcPr>
            <w:tcW w:w="2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2480" w:type="dxa"/>
            <w:vAlign w:val="bottom"/>
            <w:vMerge w:val="restart"/>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48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6"/>
        </w:trPr>
        <w:tc>
          <w:tcPr>
            <w:tcW w:w="4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326</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248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878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(3,574)</w:t>
            </w:r>
          </w:p>
        </w:tc>
        <w:tc>
          <w:tcPr>
            <w:tcW w:w="248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420" w:right="40" w:hanging="412"/>
        <w:spacing w:after="0" w:line="270" w:lineRule="auto"/>
        <w:tabs>
          <w:tab w:leader="none" w:pos="348"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12) and are included in non-operating pension and postretirement benefit income in the Company’s Condensed Consolidated Statements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11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UK Pathways Colleges located in England were required to register with the Office for Students (OfS) to ensure they could continue operating as English higher education providers. Application was made in May 2019 and the UK Pathways colleges (excluding Glasgow and York) were entered on the OfS register of approved providers with Approved Fee Cap Status on August 26, 2020. These colleges now operate under the regulatory oversight of the OfS. Colleges registered with the OfS under Approved Fee Cap status do not charge students VAT on tuition fees on the basis of a statutory exemption available to Approved Fee Cap providers. The York College forms part of the University of York’s Approved Fee Cap registration. The Glasgow College is not presently included in the OfS registration as it is located in Scotland. Under a different statutory VAT exemption, bodies which qualify for VAT purposes as a “college of a university“ are able to exempt their tuition fees from VAT, and UK Pathways Glasgow College applies this status. In 2019, a tax case was determined by the U.K. Supreme Court on the meaning of “college of a university”. The Supreme Court decided the case in the college’s favor. The result was more favorable to private providers working in collaboration with a university. The Supreme Court emphasized five principal tests for a private provider to meet for it to be sufficiently integrated with a university, to qualify as a “college of a university” even if it does not have a constitutional link to the university. Although the focus on these five tests has now been incorporated into official HMRC guidance, it is not yet clear how HMRC will apply the Supreme Court judgment and the five key tests in practice.</w:t>
      </w:r>
    </w:p>
    <w:p>
      <w:pPr>
        <w:spacing w:after="0" w:line="1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January 10, 2020, Kaplan Bournemouth Limited received an improvement notice from Bournemouth, Christchurch and Poole Council, a local government authority, under section 11 of the U.K. Housing Act 2004 in relation to its leased student residence in Bournemouth, U.K. This notice follows the Council’s assessment that a category 1 fire hazard exists at the property and requires certain remedial work to be undertaken at the property within a specified timetable. This work comprises a number of items, including the removal of aluminum composite material (ACM) cladding and high pressure laminate (HPL) cladding from the facade of the building. Kaplan Bournemouth Limited appealed the notice on January 31, 2020, to contest certain remedial requirements, although it will not contest the requirement for the removal of the ACM and HPL cladding. Following the issuance of the appeal, a mediation was initially scheduled for April 2020 but was postponed due to the COVID-19 pandemic. The tribunal appeal proceedings are stayed until later in the fourth quarter of 2020. During this time, Kaplan has entered into discussions with the Council with a view to reaching an agreement on the remedial works required. If these</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25" w:name="page26"/>
    <w:bookmarkEnd w:id="25"/>
    <w:p>
      <w:pPr>
        <w:ind w:right="260"/>
        <w:spacing w:after="0" w:line="260" w:lineRule="auto"/>
        <w:rPr>
          <w:sz w:val="20"/>
          <w:szCs w:val="20"/>
          <w:color w:val="auto"/>
        </w:rPr>
      </w:pPr>
      <w:r>
        <w:rPr>
          <w:rFonts w:ascii="Arial" w:cs="Arial" w:eastAsia="Arial" w:hAnsi="Arial"/>
          <w:sz w:val="18"/>
          <w:szCs w:val="18"/>
          <w:color w:val="auto"/>
        </w:rPr>
        <w:t>discussions are unsuccessful, Kaplan will continue its appeal to the tribunal. If Kaplan is not successful in its appeal, additional substantial work may be required in connection with the building.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w:t>
      </w:r>
    </w:p>
    <w:p>
      <w:pPr>
        <w:spacing w:after="0" w:line="146"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July 2020, SocialCode announced it will split into two separate companies. SocialCode’s marketing agency business continues to operate under the new name Code3, and the legacy business surrounding the Audience Intelligence Platform (AIP) continues as a separate software company, operating under the new name, Decile. As a result of this change, the Company changed the presentation of its segments in the third quarter of 2020 into the following seven reportable segments: Kaplan International, Higher Education, Test Preparation, Professional (U.S.), Television Broadcasting, Manufacturing and Healthcare. Code3 and Decile are now reported in other businesses.</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Kaplan developed and implemented a number of initiatives across its businesses to help mitigate the negative revenue impact arising from COVID-19, and to re-align its program offerings to better pursue opportunities from the disruption. These initiatives include employee salary and work-hour reductions; temporary furlough and other employee reductions; reduced discretionary spending; facility restructuring to reduce its classroom and office facilities; reduced capital expenditures; and accelerated development and promotion of various online programs and solutions.</w:t>
      </w:r>
    </w:p>
    <w:p>
      <w:pPr>
        <w:spacing w:after="0" w:line="5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June 2020, Kaplan announced a plan to combine its three primary divisions based in the United States (Kaplan Test Prep, Kaplan Professional, and Kaplan Higher Education) into one business known as Kaplan North America. The plan for this combination is in the process of being implemented and is designed to create and reinforce Kaplan’s competitiveness in each market, and new markets into which Kaplan extends.</w:t>
      </w:r>
    </w:p>
    <w:p>
      <w:pPr>
        <w:spacing w:after="0" w:line="111" w:lineRule="exact"/>
        <w:rPr>
          <w:sz w:val="20"/>
          <w:szCs w:val="20"/>
          <w:color w:val="auto"/>
        </w:rPr>
      </w:pPr>
    </w:p>
    <w:p>
      <w:pPr>
        <w:jc w:val="both"/>
        <w:ind w:right="460"/>
        <w:spacing w:after="0" w:line="239" w:lineRule="auto"/>
        <w:rPr>
          <w:sz w:val="20"/>
          <w:szCs w:val="20"/>
          <w:color w:val="auto"/>
        </w:rPr>
      </w:pPr>
      <w:r>
        <w:rPr>
          <w:rFonts w:ascii="Arial" w:cs="Arial" w:eastAsia="Arial" w:hAnsi="Arial"/>
          <w:sz w:val="18"/>
          <w:szCs w:val="18"/>
          <w:color w:val="auto"/>
        </w:rPr>
        <w:t>In the first nine months of 2020, Kaplan recorded restructuring costs related to severance, the exit of classroom and office facilities, and approved Separation Incentive Programs that reduced the number of employees at all of Kaplan’s divisions. Kaplan is in the process of developing additional cost reduction plans to be implemented in the fourth quarter of 2020.</w:t>
      </w:r>
    </w:p>
    <w:p>
      <w:pPr>
        <w:spacing w:after="0" w:line="11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second quarter of 2020, Code3 and Decile recorded restructuring costs in connection with a restructuring plan that included the exit of an office facility, an approved Separation Incentive Program to reduce the number of employees, and other cost reduction initiatives to mitigate the adverse impact of COVID-19 on advertising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Restructuring related costs across all businesses in 2020 were recorded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7"/>
          </w:tcPr>
          <w:p>
            <w:pPr>
              <w:jc w:val="right"/>
              <w:ind w:right="561"/>
              <w:spacing w:after="0"/>
              <w:rPr>
                <w:sz w:val="20"/>
                <w:szCs w:val="20"/>
                <w:color w:val="auto"/>
              </w:rPr>
            </w:pPr>
            <w:r>
              <w:rPr>
                <w:rFonts w:ascii="Arial" w:cs="Arial" w:eastAsia="Arial" w:hAnsi="Arial"/>
                <w:sz w:val="14"/>
                <w:szCs w:val="14"/>
                <w:b w:val="1"/>
                <w:bCs w:val="1"/>
                <w:color w:val="auto"/>
              </w:rPr>
              <w:t>Three Months Ended September 30, 2020</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940" w:type="dxa"/>
            <w:vAlign w:val="bottom"/>
          </w:tcPr>
          <w:p>
            <w:pPr>
              <w:jc w:val="center"/>
              <w:ind w:right="21"/>
              <w:spacing w:after="0" w:line="143" w:lineRule="exact"/>
              <w:rPr>
                <w:sz w:val="20"/>
                <w:szCs w:val="20"/>
                <w:color w:val="auto"/>
              </w:rPr>
            </w:pPr>
            <w:r>
              <w:rPr>
                <w:rFonts w:ascii="Arial" w:cs="Arial" w:eastAsia="Arial" w:hAnsi="Arial"/>
                <w:sz w:val="14"/>
                <w:szCs w:val="14"/>
                <w:color w:val="auto"/>
              </w:rPr>
              <w:t>Kaplan</w:t>
            </w:r>
          </w:p>
        </w:tc>
        <w:tc>
          <w:tcPr>
            <w:tcW w:w="160" w:type="dxa"/>
            <w:vAlign w:val="bottom"/>
          </w:tcPr>
          <w:p>
            <w:pPr>
              <w:spacing w:after="0"/>
              <w:rPr>
                <w:sz w:val="12"/>
                <w:szCs w:val="12"/>
                <w:color w:val="auto"/>
              </w:rPr>
            </w:pPr>
          </w:p>
        </w:tc>
        <w:tc>
          <w:tcPr>
            <w:tcW w:w="760" w:type="dxa"/>
            <w:vAlign w:val="bottom"/>
          </w:tcPr>
          <w:p>
            <w:pPr>
              <w:jc w:val="center"/>
              <w:ind w:right="21"/>
              <w:spacing w:after="0" w:line="143" w:lineRule="exact"/>
              <w:rPr>
                <w:sz w:val="20"/>
                <w:szCs w:val="20"/>
                <w:color w:val="auto"/>
              </w:rPr>
            </w:pPr>
            <w:r>
              <w:rPr>
                <w:rFonts w:ascii="Arial" w:cs="Arial" w:eastAsia="Arial" w:hAnsi="Arial"/>
                <w:sz w:val="14"/>
                <w:szCs w:val="14"/>
                <w:color w:val="auto"/>
              </w:rPr>
              <w:t>Higher</w:t>
            </w:r>
          </w:p>
        </w:tc>
        <w:tc>
          <w:tcPr>
            <w:tcW w:w="160" w:type="dxa"/>
            <w:vAlign w:val="bottom"/>
          </w:tcPr>
          <w:p>
            <w:pPr>
              <w:spacing w:after="0"/>
              <w:rPr>
                <w:sz w:val="12"/>
                <w:szCs w:val="12"/>
                <w:color w:val="auto"/>
              </w:rPr>
            </w:pPr>
          </w:p>
        </w:tc>
        <w:tc>
          <w:tcPr>
            <w:tcW w:w="900" w:type="dxa"/>
            <w:vAlign w:val="bottom"/>
          </w:tcPr>
          <w:p>
            <w:pPr>
              <w:jc w:val="center"/>
              <w:ind w:right="42"/>
              <w:spacing w:after="0" w:line="143" w:lineRule="exact"/>
              <w:rPr>
                <w:sz w:val="20"/>
                <w:szCs w:val="20"/>
                <w:color w:val="auto"/>
              </w:rPr>
            </w:pPr>
            <w:r>
              <w:rPr>
                <w:rFonts w:ascii="Arial" w:cs="Arial" w:eastAsia="Arial" w:hAnsi="Arial"/>
                <w:sz w:val="14"/>
                <w:szCs w:val="14"/>
                <w:color w:val="auto"/>
                <w:w w:val="95"/>
              </w:rPr>
              <w:t>Test</w:t>
            </w:r>
          </w:p>
        </w:tc>
        <w:tc>
          <w:tcPr>
            <w:tcW w:w="160" w:type="dxa"/>
            <w:vAlign w:val="bottom"/>
          </w:tcPr>
          <w:p>
            <w:pPr>
              <w:spacing w:after="0"/>
              <w:rPr>
                <w:sz w:val="12"/>
                <w:szCs w:val="12"/>
                <w:color w:val="auto"/>
              </w:rPr>
            </w:pPr>
          </w:p>
        </w:tc>
        <w:tc>
          <w:tcPr>
            <w:tcW w:w="960" w:type="dxa"/>
            <w:vAlign w:val="bottom"/>
          </w:tcPr>
          <w:p>
            <w:pPr>
              <w:jc w:val="center"/>
              <w:ind w:right="41"/>
              <w:spacing w:after="0" w:line="143" w:lineRule="exact"/>
              <w:rPr>
                <w:sz w:val="20"/>
                <w:szCs w:val="20"/>
                <w:color w:val="auto"/>
              </w:rPr>
            </w:pPr>
            <w:r>
              <w:rPr>
                <w:rFonts w:ascii="Arial" w:cs="Arial" w:eastAsia="Arial" w:hAnsi="Arial"/>
                <w:sz w:val="14"/>
                <w:szCs w:val="14"/>
                <w:color w:val="auto"/>
              </w:rPr>
              <w:t>Professional</w:t>
            </w:r>
          </w:p>
        </w:tc>
        <w:tc>
          <w:tcPr>
            <w:tcW w:w="140" w:type="dxa"/>
            <w:vAlign w:val="bottom"/>
          </w:tcPr>
          <w:p>
            <w:pPr>
              <w:spacing w:after="0"/>
              <w:rPr>
                <w:sz w:val="12"/>
                <w:szCs w:val="12"/>
                <w:color w:val="auto"/>
              </w:rPr>
            </w:pPr>
          </w:p>
        </w:tc>
        <w:tc>
          <w:tcPr>
            <w:tcW w:w="780" w:type="dxa"/>
            <w:vAlign w:val="bottom"/>
          </w:tcPr>
          <w:p>
            <w:pPr>
              <w:jc w:val="center"/>
              <w:ind w:right="21"/>
              <w:spacing w:after="0" w:line="143" w:lineRule="exact"/>
              <w:rPr>
                <w:sz w:val="20"/>
                <w:szCs w:val="20"/>
                <w:color w:val="auto"/>
              </w:rPr>
            </w:pPr>
            <w:r>
              <w:rPr>
                <w:rFonts w:ascii="Arial" w:cs="Arial" w:eastAsia="Arial" w:hAnsi="Arial"/>
                <w:sz w:val="14"/>
                <w:szCs w:val="14"/>
                <w:color w:val="auto"/>
              </w:rPr>
              <w:t>Kaplan</w:t>
            </w:r>
          </w:p>
        </w:tc>
        <w:tc>
          <w:tcPr>
            <w:tcW w:w="140" w:type="dxa"/>
            <w:vAlign w:val="bottom"/>
          </w:tcPr>
          <w:p>
            <w:pPr>
              <w:spacing w:after="0"/>
              <w:rPr>
                <w:sz w:val="12"/>
                <w:szCs w:val="12"/>
                <w:color w:val="auto"/>
              </w:rPr>
            </w:pPr>
          </w:p>
        </w:tc>
        <w:tc>
          <w:tcPr>
            <w:tcW w:w="840" w:type="dxa"/>
            <w:vAlign w:val="bottom"/>
          </w:tcPr>
          <w:p>
            <w:pPr>
              <w:jc w:val="center"/>
              <w:ind w:right="21"/>
              <w:spacing w:after="0" w:line="14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60" w:type="dxa"/>
            <w:vAlign w:val="bottom"/>
          </w:tcPr>
          <w:p>
            <w:pPr>
              <w:jc w:val="center"/>
              <w:ind w:right="221"/>
              <w:spacing w:after="0" w:line="143" w:lineRule="exact"/>
              <w:rPr>
                <w:sz w:val="20"/>
                <w:szCs w:val="20"/>
                <w:color w:val="auto"/>
              </w:rPr>
            </w:pPr>
            <w:r>
              <w:rPr>
                <w:rFonts w:ascii="Arial" w:cs="Arial" w:eastAsia="Arial" w:hAnsi="Arial"/>
                <w:sz w:val="14"/>
                <w:szCs w:val="14"/>
                <w:b w:val="1"/>
                <w:bCs w:val="1"/>
                <w:color w:val="auto"/>
              </w:rPr>
              <w:t>Other</w:t>
            </w: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1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Education</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Preparation</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7"/>
              </w:rPr>
              <w:t>(U.S)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rPr>
              <w:t>Corporate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Education</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Businesses</w:t>
            </w: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line="219" w:lineRule="exact"/>
              <w:rPr>
                <w:sz w:val="20"/>
                <w:szCs w:val="20"/>
                <w:color w:val="auto"/>
              </w:rPr>
            </w:pPr>
            <w:r>
              <w:rPr>
                <w:rFonts w:ascii="Arial" w:cs="Arial" w:eastAsia="Arial" w:hAnsi="Arial"/>
                <w:sz w:val="16"/>
                <w:szCs w:val="16"/>
                <w:color w:val="auto"/>
              </w:rPr>
              <w:t>Severance</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913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1,872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ind w:left="74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Arial" w:cs="Arial" w:eastAsia="Arial" w:hAnsi="Arial"/>
                <w:sz w:val="16"/>
                <w:szCs w:val="16"/>
                <w:color w:val="auto"/>
              </w:rPr>
              <w:t>Impairment of other long-lived assets: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40"/>
              <w:spacing w:after="0"/>
              <w:rPr>
                <w:sz w:val="20"/>
                <w:szCs w:val="20"/>
                <w:color w:val="auto"/>
              </w:rPr>
            </w:pPr>
            <w:r>
              <w:rPr>
                <w:rFonts w:ascii="Arial" w:cs="Arial" w:eastAsia="Arial" w:hAnsi="Arial"/>
                <w:sz w:val="16"/>
                <w:szCs w:val="16"/>
                <w:color w:val="auto"/>
              </w:rPr>
              <w:t>Lease right-of-use assets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1,710</w:t>
            </w:r>
          </w:p>
        </w:tc>
        <w:tc>
          <w:tcPr>
            <w:tcW w:w="160" w:type="dxa"/>
            <w:vAlign w:val="bottom"/>
          </w:tcPr>
          <w:p>
            <w:pPr>
              <w:spacing w:after="0"/>
              <w:rPr>
                <w:sz w:val="21"/>
                <w:szCs w:val="21"/>
                <w:color w:val="auto"/>
              </w:rPr>
            </w:pPr>
          </w:p>
        </w:tc>
        <w:tc>
          <w:tcPr>
            <w:tcW w:w="1160" w:type="dxa"/>
            <w:vAlign w:val="bottom"/>
          </w:tcPr>
          <w:p>
            <w:pPr>
              <w:ind w:left="7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29"/>
        </w:trPr>
        <w:tc>
          <w:tcPr>
            <w:tcW w:w="3180" w:type="dxa"/>
            <w:vAlign w:val="bottom"/>
          </w:tcPr>
          <w:p>
            <w:pPr>
              <w:ind w:left="24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9"/>
                <w:szCs w:val="19"/>
                <w:color w:val="auto"/>
              </w:rPr>
            </w:pPr>
          </w:p>
        </w:tc>
        <w:tc>
          <w:tcPr>
            <w:tcW w:w="1160" w:type="dxa"/>
            <w:vAlign w:val="bottom"/>
          </w:tcPr>
          <w:p>
            <w:pPr>
              <w:ind w:left="7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86"/>
        </w:trPr>
        <w:tc>
          <w:tcPr>
            <w:tcW w:w="3180" w:type="dxa"/>
            <w:vAlign w:val="bottom"/>
          </w:tcPr>
          <w:p>
            <w:pPr>
              <w:spacing w:after="0"/>
              <w:rPr>
                <w:sz w:val="20"/>
                <w:szCs w:val="20"/>
                <w:color w:val="auto"/>
              </w:rPr>
            </w:pPr>
            <w:r>
              <w:rPr>
                <w:rFonts w:ascii="Arial" w:cs="Arial" w:eastAsia="Arial" w:hAnsi="Arial"/>
                <w:sz w:val="16"/>
                <w:szCs w:val="16"/>
                <w:color w:val="auto"/>
              </w:rPr>
              <w:t>Non-operating pension and postretirement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80"/>
              <w:spacing w:after="0"/>
              <w:rPr>
                <w:sz w:val="20"/>
                <w:szCs w:val="20"/>
                <w:color w:val="auto"/>
              </w:rPr>
            </w:pPr>
            <w:r>
              <w:rPr>
                <w:rFonts w:ascii="Arial" w:cs="Arial" w:eastAsia="Arial" w:hAnsi="Arial"/>
                <w:sz w:val="16"/>
                <w:szCs w:val="16"/>
                <w:color w:val="auto"/>
              </w:rPr>
              <w:t>benefit income, net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4,829</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7,783</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7,783</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Total Restructuring Related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11,571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gridSpan w:val="7"/>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6"/>
        </w:trPr>
        <w:tc>
          <w:tcPr>
            <w:tcW w:w="3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7"/>
          </w:tcPr>
          <w:p>
            <w:pPr>
              <w:jc w:val="right"/>
              <w:ind w:right="601"/>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940" w:type="dxa"/>
            <w:vAlign w:val="bottom"/>
          </w:tcPr>
          <w:p>
            <w:pPr>
              <w:jc w:val="center"/>
              <w:ind w:right="21"/>
              <w:spacing w:after="0" w:line="143" w:lineRule="exact"/>
              <w:rPr>
                <w:sz w:val="20"/>
                <w:szCs w:val="20"/>
                <w:color w:val="auto"/>
              </w:rPr>
            </w:pPr>
            <w:r>
              <w:rPr>
                <w:rFonts w:ascii="Arial" w:cs="Arial" w:eastAsia="Arial" w:hAnsi="Arial"/>
                <w:sz w:val="14"/>
                <w:szCs w:val="14"/>
                <w:color w:val="auto"/>
              </w:rPr>
              <w:t>Kaplan</w:t>
            </w:r>
          </w:p>
        </w:tc>
        <w:tc>
          <w:tcPr>
            <w:tcW w:w="160" w:type="dxa"/>
            <w:vAlign w:val="bottom"/>
          </w:tcPr>
          <w:p>
            <w:pPr>
              <w:spacing w:after="0"/>
              <w:rPr>
                <w:sz w:val="12"/>
                <w:szCs w:val="12"/>
                <w:color w:val="auto"/>
              </w:rPr>
            </w:pPr>
          </w:p>
        </w:tc>
        <w:tc>
          <w:tcPr>
            <w:tcW w:w="760" w:type="dxa"/>
            <w:vAlign w:val="bottom"/>
          </w:tcPr>
          <w:p>
            <w:pPr>
              <w:jc w:val="center"/>
              <w:ind w:right="21"/>
              <w:spacing w:after="0" w:line="143" w:lineRule="exact"/>
              <w:rPr>
                <w:sz w:val="20"/>
                <w:szCs w:val="20"/>
                <w:color w:val="auto"/>
              </w:rPr>
            </w:pPr>
            <w:r>
              <w:rPr>
                <w:rFonts w:ascii="Arial" w:cs="Arial" w:eastAsia="Arial" w:hAnsi="Arial"/>
                <w:sz w:val="14"/>
                <w:szCs w:val="14"/>
                <w:color w:val="auto"/>
              </w:rPr>
              <w:t>Higher</w:t>
            </w:r>
          </w:p>
        </w:tc>
        <w:tc>
          <w:tcPr>
            <w:tcW w:w="160" w:type="dxa"/>
            <w:vAlign w:val="bottom"/>
          </w:tcPr>
          <w:p>
            <w:pPr>
              <w:spacing w:after="0"/>
              <w:rPr>
                <w:sz w:val="12"/>
                <w:szCs w:val="12"/>
                <w:color w:val="auto"/>
              </w:rPr>
            </w:pPr>
          </w:p>
        </w:tc>
        <w:tc>
          <w:tcPr>
            <w:tcW w:w="900" w:type="dxa"/>
            <w:vAlign w:val="bottom"/>
          </w:tcPr>
          <w:p>
            <w:pPr>
              <w:jc w:val="center"/>
              <w:ind w:right="42"/>
              <w:spacing w:after="0" w:line="143" w:lineRule="exact"/>
              <w:rPr>
                <w:sz w:val="20"/>
                <w:szCs w:val="20"/>
                <w:color w:val="auto"/>
              </w:rPr>
            </w:pPr>
            <w:r>
              <w:rPr>
                <w:rFonts w:ascii="Arial" w:cs="Arial" w:eastAsia="Arial" w:hAnsi="Arial"/>
                <w:sz w:val="14"/>
                <w:szCs w:val="14"/>
                <w:color w:val="auto"/>
                <w:w w:val="95"/>
              </w:rPr>
              <w:t>Test</w:t>
            </w:r>
          </w:p>
        </w:tc>
        <w:tc>
          <w:tcPr>
            <w:tcW w:w="160" w:type="dxa"/>
            <w:vAlign w:val="bottom"/>
          </w:tcPr>
          <w:p>
            <w:pPr>
              <w:spacing w:after="0"/>
              <w:rPr>
                <w:sz w:val="12"/>
                <w:szCs w:val="12"/>
                <w:color w:val="auto"/>
              </w:rPr>
            </w:pPr>
          </w:p>
        </w:tc>
        <w:tc>
          <w:tcPr>
            <w:tcW w:w="960" w:type="dxa"/>
            <w:vAlign w:val="bottom"/>
          </w:tcPr>
          <w:p>
            <w:pPr>
              <w:jc w:val="center"/>
              <w:ind w:right="41"/>
              <w:spacing w:after="0" w:line="143" w:lineRule="exact"/>
              <w:rPr>
                <w:sz w:val="20"/>
                <w:szCs w:val="20"/>
                <w:color w:val="auto"/>
              </w:rPr>
            </w:pPr>
            <w:r>
              <w:rPr>
                <w:rFonts w:ascii="Arial" w:cs="Arial" w:eastAsia="Arial" w:hAnsi="Arial"/>
                <w:sz w:val="14"/>
                <w:szCs w:val="14"/>
                <w:color w:val="auto"/>
              </w:rPr>
              <w:t>Professional</w:t>
            </w:r>
          </w:p>
        </w:tc>
        <w:tc>
          <w:tcPr>
            <w:tcW w:w="140" w:type="dxa"/>
            <w:vAlign w:val="bottom"/>
          </w:tcPr>
          <w:p>
            <w:pPr>
              <w:spacing w:after="0"/>
              <w:rPr>
                <w:sz w:val="12"/>
                <w:szCs w:val="12"/>
                <w:color w:val="auto"/>
              </w:rPr>
            </w:pPr>
          </w:p>
        </w:tc>
        <w:tc>
          <w:tcPr>
            <w:tcW w:w="780" w:type="dxa"/>
            <w:vAlign w:val="bottom"/>
          </w:tcPr>
          <w:p>
            <w:pPr>
              <w:jc w:val="center"/>
              <w:ind w:right="21"/>
              <w:spacing w:after="0" w:line="143" w:lineRule="exact"/>
              <w:rPr>
                <w:sz w:val="20"/>
                <w:szCs w:val="20"/>
                <w:color w:val="auto"/>
              </w:rPr>
            </w:pPr>
            <w:r>
              <w:rPr>
                <w:rFonts w:ascii="Arial" w:cs="Arial" w:eastAsia="Arial" w:hAnsi="Arial"/>
                <w:sz w:val="14"/>
                <w:szCs w:val="14"/>
                <w:color w:val="auto"/>
              </w:rPr>
              <w:t>Kaplan</w:t>
            </w:r>
          </w:p>
        </w:tc>
        <w:tc>
          <w:tcPr>
            <w:tcW w:w="140" w:type="dxa"/>
            <w:vAlign w:val="bottom"/>
          </w:tcPr>
          <w:p>
            <w:pPr>
              <w:spacing w:after="0"/>
              <w:rPr>
                <w:sz w:val="12"/>
                <w:szCs w:val="12"/>
                <w:color w:val="auto"/>
              </w:rPr>
            </w:pPr>
          </w:p>
        </w:tc>
        <w:tc>
          <w:tcPr>
            <w:tcW w:w="840" w:type="dxa"/>
            <w:vAlign w:val="bottom"/>
          </w:tcPr>
          <w:p>
            <w:pPr>
              <w:jc w:val="center"/>
              <w:ind w:right="21"/>
              <w:spacing w:after="0" w:line="14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60" w:type="dxa"/>
            <w:vAlign w:val="bottom"/>
          </w:tcPr>
          <w:p>
            <w:pPr>
              <w:jc w:val="center"/>
              <w:ind w:right="221"/>
              <w:spacing w:after="0" w:line="143" w:lineRule="exact"/>
              <w:rPr>
                <w:sz w:val="20"/>
                <w:szCs w:val="20"/>
                <w:color w:val="auto"/>
              </w:rPr>
            </w:pPr>
            <w:r>
              <w:rPr>
                <w:rFonts w:ascii="Arial" w:cs="Arial" w:eastAsia="Arial" w:hAnsi="Arial"/>
                <w:sz w:val="14"/>
                <w:szCs w:val="14"/>
                <w:b w:val="1"/>
                <w:bCs w:val="1"/>
                <w:color w:val="auto"/>
              </w:rPr>
              <w:t>Other</w:t>
            </w: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1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Education</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Preparation</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7"/>
              </w:rPr>
              <w:t>(U.S)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rPr>
              <w:t>Corporate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Education</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Businesses</w:t>
            </w: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20"/>
              <w:spacing w:after="0"/>
              <w:rPr>
                <w:sz w:val="20"/>
                <w:szCs w:val="20"/>
                <w:color w:val="auto"/>
              </w:rPr>
            </w:pPr>
            <w:r>
              <w:rPr>
                <w:rFonts w:ascii="Arial" w:cs="Arial" w:eastAsia="Arial" w:hAnsi="Arial"/>
                <w:sz w:val="16"/>
                <w:szCs w:val="16"/>
                <w:color w:val="auto"/>
              </w:rPr>
              <w:t>Severance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913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3,096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ind w:left="74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3,096</w:t>
            </w: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6"/>
                <w:szCs w:val="16"/>
                <w:color w:val="auto"/>
              </w:rPr>
              <w:t>Facility related costs: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60"/>
              <w:spacing w:after="0"/>
              <w:rPr>
                <w:sz w:val="20"/>
                <w:szCs w:val="20"/>
                <w:color w:val="auto"/>
              </w:rPr>
            </w:pPr>
            <w:r>
              <w:rPr>
                <w:rFonts w:ascii="Arial" w:cs="Arial" w:eastAsia="Arial" w:hAnsi="Arial"/>
                <w:sz w:val="16"/>
                <w:szCs w:val="16"/>
                <w:color w:val="auto"/>
              </w:rPr>
              <w:t>Operating lease cost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9,156</w:t>
            </w:r>
          </w:p>
        </w:tc>
        <w:tc>
          <w:tcPr>
            <w:tcW w:w="160" w:type="dxa"/>
            <w:vAlign w:val="bottom"/>
          </w:tcPr>
          <w:p>
            <w:pPr>
              <w:spacing w:after="0"/>
              <w:rPr>
                <w:sz w:val="19"/>
                <w:szCs w:val="19"/>
                <w:color w:val="auto"/>
              </w:rPr>
            </w:pPr>
          </w:p>
        </w:tc>
        <w:tc>
          <w:tcPr>
            <w:tcW w:w="1160" w:type="dxa"/>
            <w:vAlign w:val="bottom"/>
          </w:tcPr>
          <w:p>
            <w:pPr>
              <w:ind w:left="7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9,156</w:t>
            </w:r>
          </w:p>
        </w:tc>
        <w:tc>
          <w:tcPr>
            <w:tcW w:w="0" w:type="dxa"/>
            <w:vAlign w:val="bottom"/>
          </w:tcPr>
          <w:p>
            <w:pPr>
              <w:spacing w:after="0"/>
              <w:rPr>
                <w:sz w:val="1"/>
                <w:szCs w:val="1"/>
                <w:color w:val="auto"/>
              </w:rPr>
            </w:pPr>
          </w:p>
        </w:tc>
      </w:tr>
      <w:tr>
        <w:trPr>
          <w:trHeight w:val="186"/>
        </w:trPr>
        <w:tc>
          <w:tcPr>
            <w:tcW w:w="3180" w:type="dxa"/>
            <w:vAlign w:val="bottom"/>
          </w:tcPr>
          <w:p>
            <w:pPr>
              <w:ind w:left="260"/>
              <w:spacing w:after="0"/>
              <w:rPr>
                <w:sz w:val="20"/>
                <w:szCs w:val="20"/>
                <w:color w:val="auto"/>
              </w:rPr>
            </w:pPr>
            <w:r>
              <w:rPr>
                <w:rFonts w:ascii="Arial" w:cs="Arial" w:eastAsia="Arial" w:hAnsi="Arial"/>
                <w:sz w:val="16"/>
                <w:szCs w:val="16"/>
                <w:color w:val="auto"/>
              </w:rPr>
              <w:t>Accelerated depreciation of property,</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360"/>
              <w:spacing w:after="0"/>
              <w:rPr>
                <w:sz w:val="20"/>
                <w:szCs w:val="20"/>
                <w:color w:val="auto"/>
              </w:rPr>
            </w:pPr>
            <w:r>
              <w:rPr>
                <w:rFonts w:ascii="Arial" w:cs="Arial" w:eastAsia="Arial" w:hAnsi="Arial"/>
                <w:sz w:val="16"/>
                <w:szCs w:val="16"/>
                <w:color w:val="auto"/>
              </w:rPr>
              <w:t>plant and equipment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Total Restructuring Costs Included in</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6,073</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3,537</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5,445</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565</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15,620</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ind w:left="740"/>
              <w:spacing w:after="0"/>
              <w:rPr>
                <w:sz w:val="20"/>
                <w:szCs w:val="20"/>
                <w:color w:val="auto"/>
              </w:rPr>
            </w:pPr>
            <w:r>
              <w:rPr>
                <w:rFonts w:ascii="Arial" w:cs="Arial" w:eastAsia="Arial" w:hAnsi="Arial"/>
                <w:sz w:val="16"/>
                <w:szCs w:val="16"/>
                <w:b w:val="1"/>
                <w:bCs w:val="1"/>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15,620</w:t>
            </w:r>
          </w:p>
        </w:tc>
        <w:tc>
          <w:tcPr>
            <w:tcW w:w="0" w:type="dxa"/>
            <w:vAlign w:val="bottom"/>
          </w:tcPr>
          <w:p>
            <w:pPr>
              <w:spacing w:after="0"/>
              <w:rPr>
                <w:sz w:val="1"/>
                <w:szCs w:val="1"/>
                <w:color w:val="auto"/>
              </w:rPr>
            </w:pPr>
          </w:p>
        </w:tc>
      </w:tr>
      <w:tr>
        <w:trPr>
          <w:trHeight w:val="241"/>
        </w:trPr>
        <w:tc>
          <w:tcPr>
            <w:tcW w:w="3180" w:type="dxa"/>
            <w:vAlign w:val="bottom"/>
          </w:tcPr>
          <w:p>
            <w:pPr>
              <w:ind w:left="180"/>
              <w:spacing w:after="0" w:line="236" w:lineRule="exact"/>
              <w:rPr>
                <w:sz w:val="20"/>
                <w:szCs w:val="20"/>
                <w:color w:val="auto"/>
              </w:rPr>
            </w:pPr>
            <w:r>
              <w:rPr>
                <w:rFonts w:ascii="Arial" w:cs="Arial" w:eastAsia="Arial" w:hAnsi="Arial"/>
                <w:sz w:val="16"/>
                <w:szCs w:val="16"/>
                <w:b w:val="1"/>
                <w:bCs w:val="1"/>
                <w:color w:val="auto"/>
              </w:rPr>
              <w:t>Segment Results</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180" w:type="dxa"/>
            <w:vAlign w:val="bottom"/>
          </w:tcPr>
          <w:p>
            <w:pPr>
              <w:spacing w:after="0"/>
              <w:rPr>
                <w:sz w:val="20"/>
                <w:szCs w:val="20"/>
                <w:color w:val="auto"/>
              </w:rPr>
            </w:pPr>
            <w:r>
              <w:rPr>
                <w:rFonts w:ascii="Arial" w:cs="Arial" w:eastAsia="Arial" w:hAnsi="Arial"/>
                <w:sz w:val="16"/>
                <w:szCs w:val="16"/>
                <w:color w:val="auto"/>
              </w:rPr>
              <w:t>Impairment of other long-lived assets: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40"/>
              <w:spacing w:after="0"/>
              <w:rPr>
                <w:sz w:val="20"/>
                <w:szCs w:val="20"/>
                <w:color w:val="auto"/>
              </w:rPr>
            </w:pPr>
            <w:r>
              <w:rPr>
                <w:rFonts w:ascii="Arial" w:cs="Arial" w:eastAsia="Arial" w:hAnsi="Arial"/>
                <w:sz w:val="16"/>
                <w:szCs w:val="16"/>
                <w:color w:val="auto"/>
              </w:rPr>
              <w:t>Lease right-of-use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1,955</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9,760</w:t>
            </w:r>
          </w:p>
        </w:tc>
        <w:tc>
          <w:tcPr>
            <w:tcW w:w="160" w:type="dxa"/>
            <w:vAlign w:val="bottom"/>
          </w:tcPr>
          <w:p>
            <w:pPr>
              <w:spacing w:after="0"/>
              <w:rPr>
                <w:sz w:val="19"/>
                <w:szCs w:val="19"/>
                <w:color w:val="auto"/>
              </w:rPr>
            </w:pPr>
          </w:p>
        </w:tc>
        <w:tc>
          <w:tcPr>
            <w:tcW w:w="1160" w:type="dxa"/>
            <w:vAlign w:val="bottom"/>
          </w:tcPr>
          <w:p>
            <w:pPr>
              <w:jc w:val="right"/>
              <w:ind w:right="161"/>
              <w:spacing w:after="0"/>
              <w:rPr>
                <w:sz w:val="20"/>
                <w:szCs w:val="20"/>
                <w:color w:val="auto"/>
              </w:rPr>
            </w:pPr>
            <w:r>
              <w:rPr>
                <w:rFonts w:ascii="Arial" w:cs="Arial" w:eastAsia="Arial" w:hAnsi="Arial"/>
                <w:sz w:val="16"/>
                <w:szCs w:val="16"/>
                <w:color w:val="auto"/>
              </w:rPr>
              <w:t>1,405</w:t>
            </w:r>
          </w:p>
        </w:tc>
        <w:tc>
          <w:tcPr>
            <w:tcW w:w="660" w:type="dxa"/>
            <w:vAlign w:val="bottom"/>
          </w:tcPr>
          <w:p>
            <w:pPr>
              <w:jc w:val="right"/>
              <w:spacing w:after="0"/>
              <w:rPr>
                <w:sz w:val="20"/>
                <w:szCs w:val="20"/>
                <w:color w:val="auto"/>
              </w:rPr>
            </w:pPr>
            <w:r>
              <w:rPr>
                <w:rFonts w:ascii="Arial" w:cs="Arial" w:eastAsia="Arial" w:hAnsi="Arial"/>
                <w:sz w:val="16"/>
                <w:szCs w:val="16"/>
                <w:color w:val="auto"/>
              </w:rPr>
              <w:t>11,165</w:t>
            </w:r>
          </w:p>
        </w:tc>
        <w:tc>
          <w:tcPr>
            <w:tcW w:w="0" w:type="dxa"/>
            <w:vAlign w:val="bottom"/>
          </w:tcPr>
          <w:p>
            <w:pPr>
              <w:spacing w:after="0"/>
              <w:rPr>
                <w:sz w:val="1"/>
                <w:szCs w:val="1"/>
                <w:color w:val="auto"/>
              </w:rPr>
            </w:pPr>
          </w:p>
        </w:tc>
      </w:tr>
      <w:tr>
        <w:trPr>
          <w:trHeight w:val="229"/>
        </w:trPr>
        <w:tc>
          <w:tcPr>
            <w:tcW w:w="3180" w:type="dxa"/>
            <w:vAlign w:val="bottom"/>
          </w:tcPr>
          <w:p>
            <w:pPr>
              <w:ind w:left="24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2,176</w:t>
            </w:r>
          </w:p>
        </w:tc>
        <w:tc>
          <w:tcPr>
            <w:tcW w:w="160" w:type="dxa"/>
            <w:vAlign w:val="bottom"/>
          </w:tcPr>
          <w:p>
            <w:pPr>
              <w:spacing w:after="0"/>
              <w:rPr>
                <w:sz w:val="19"/>
                <w:szCs w:val="19"/>
                <w:color w:val="auto"/>
              </w:rPr>
            </w:pPr>
          </w:p>
        </w:tc>
        <w:tc>
          <w:tcPr>
            <w:tcW w:w="1160" w:type="dxa"/>
            <w:vAlign w:val="bottom"/>
          </w:tcPr>
          <w:p>
            <w:pPr>
              <w:jc w:val="right"/>
              <w:ind w:right="161"/>
              <w:spacing w:after="0"/>
              <w:rPr>
                <w:sz w:val="20"/>
                <w:szCs w:val="20"/>
                <w:color w:val="auto"/>
              </w:rPr>
            </w:pPr>
            <w:r>
              <w:rPr>
                <w:rFonts w:ascii="Arial" w:cs="Arial" w:eastAsia="Arial" w:hAnsi="Arial"/>
                <w:sz w:val="16"/>
                <w:szCs w:val="16"/>
                <w:color w:val="auto"/>
              </w:rPr>
              <w:t>86</w:t>
            </w:r>
          </w:p>
        </w:tc>
        <w:tc>
          <w:tcPr>
            <w:tcW w:w="660" w:type="dxa"/>
            <w:vAlign w:val="bottom"/>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186"/>
        </w:trPr>
        <w:tc>
          <w:tcPr>
            <w:tcW w:w="3180" w:type="dxa"/>
            <w:vAlign w:val="bottom"/>
          </w:tcPr>
          <w:p>
            <w:pPr>
              <w:spacing w:after="0"/>
              <w:rPr>
                <w:sz w:val="20"/>
                <w:szCs w:val="20"/>
                <w:color w:val="auto"/>
              </w:rPr>
            </w:pPr>
            <w:r>
              <w:rPr>
                <w:rFonts w:ascii="Arial" w:cs="Arial" w:eastAsia="Arial" w:hAnsi="Arial"/>
                <w:sz w:val="16"/>
                <w:szCs w:val="16"/>
                <w:color w:val="auto"/>
              </w:rPr>
              <w:t>Non-operating pension and postretirement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80"/>
              <w:spacing w:after="0"/>
              <w:rPr>
                <w:sz w:val="20"/>
                <w:szCs w:val="20"/>
                <w:color w:val="auto"/>
              </w:rPr>
            </w:pPr>
            <w:r>
              <w:rPr>
                <w:rFonts w:ascii="Arial" w:cs="Arial" w:eastAsia="Arial" w:hAnsi="Arial"/>
                <w:sz w:val="16"/>
                <w:szCs w:val="16"/>
                <w:color w:val="auto"/>
              </w:rPr>
              <w:t>benefit income, net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4,829</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12,798</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999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13,797</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Total Restructuring Related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2,490 $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42,844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6" w:lineRule="exact"/>
        <w:rPr>
          <w:sz w:val="20"/>
          <w:szCs w:val="20"/>
          <w:color w:val="auto"/>
        </w:rPr>
      </w:pPr>
    </w:p>
    <w:p>
      <w:pPr>
        <w:ind w:left="420" w:right="160" w:hanging="412"/>
        <w:spacing w:after="0" w:line="244" w:lineRule="auto"/>
        <w:tabs>
          <w:tab w:leader="none" w:pos="348"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amounts are included in the segments’ Income (Loss) from Operations before Amortization of Intangible Assets and Impairment of Goodwill and Other Long-Lived Assets.</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June 2020, CRG made the decision to close its restaurant and entertainment venue in Columbia, MD effective July 19, 2020 and recorded accelerated depreciation of property, plant and equipment totaling $2.8 million and $5.7 million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302,467</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357,319</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992,020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1,097,536</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133,828</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115,161</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350,038</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340,012</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106,690</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111,676</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303,387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341,706</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51,426</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40,688</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146,601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119,057</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123,096</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114,200</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311,241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270,618</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(1,177)</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26"/>
        </w:trPr>
        <w:tc>
          <w:tcPr>
            <w:tcW w:w="566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716,982</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738,820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2,102,110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2,168,621</w:t>
            </w:r>
          </w:p>
        </w:tc>
        <w:tc>
          <w:tcPr>
            <w:tcW w:w="0" w:type="dxa"/>
            <w:vAlign w:val="bottom"/>
          </w:tcPr>
          <w:p>
            <w:pPr>
              <w:spacing w:after="0"/>
              <w:rPr>
                <w:sz w:val="1"/>
                <w:szCs w:val="1"/>
                <w:color w:val="auto"/>
              </w:rPr>
            </w:pPr>
          </w:p>
        </w:tc>
      </w:tr>
      <w:tr>
        <w:trPr>
          <w:trHeight w:val="150"/>
        </w:trPr>
        <w:tc>
          <w:tcPr>
            <w:tcW w:w="5660" w:type="dxa"/>
            <w:vAlign w:val="bottom"/>
          </w:tcPr>
          <w:p>
            <w:pPr>
              <w:ind w:left="20"/>
              <w:spacing w:after="0" w:line="150" w:lineRule="exact"/>
              <w:rPr>
                <w:sz w:val="20"/>
                <w:szCs w:val="20"/>
                <w:color w:val="auto"/>
              </w:rPr>
            </w:pPr>
            <w:r>
              <w:rPr>
                <w:rFonts w:ascii="Arial" w:cs="Arial" w:eastAsia="Arial" w:hAnsi="Arial"/>
                <w:sz w:val="16"/>
                <w:szCs w:val="16"/>
                <w:b w:val="1"/>
                <w:bCs w:val="1"/>
                <w:color w:val="auto"/>
              </w:rPr>
              <w:t>Income (Loss) from Operations before Amortization of Intangible</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rPr>
                <w:sz w:val="20"/>
                <w:szCs w:val="20"/>
                <w:color w:val="auto"/>
              </w:rPr>
            </w:pPr>
            <w:r>
              <w:rPr>
                <w:rFonts w:ascii="Arial" w:cs="Arial" w:eastAsia="Arial" w:hAnsi="Arial"/>
                <w:sz w:val="16"/>
                <w:szCs w:val="16"/>
                <w:b w:val="1"/>
                <w:bCs w:val="1"/>
                <w:color w:val="auto"/>
              </w:rPr>
              <w:t>Assets and Impairment of Goodwill and Other Long-Lived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9,584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(3,217)</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45,022</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56,320</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54,105</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38,221</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116,229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121,071</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11,838</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13,367</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30,982</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34,391</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8,965</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3,122</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23,569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10,857</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(15,443)</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(9,251)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(54,795)</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(28,336)</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(12,739)</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(34,331)</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(39,492)</w:t>
            </w:r>
          </w:p>
        </w:tc>
        <w:tc>
          <w:tcPr>
            <w:tcW w:w="0" w:type="dxa"/>
            <w:vAlign w:val="bottom"/>
          </w:tcPr>
          <w:p>
            <w:pPr>
              <w:spacing w:after="0"/>
              <w:rPr>
                <w:sz w:val="1"/>
                <w:szCs w:val="1"/>
                <w:color w:val="auto"/>
              </w:rPr>
            </w:pPr>
          </w:p>
        </w:tc>
      </w:tr>
      <w:tr>
        <w:trPr>
          <w:trHeight w:val="226"/>
        </w:trPr>
        <w:tc>
          <w:tcPr>
            <w:tcW w:w="566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56,310</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30,212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126,676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154,811</w:t>
            </w:r>
          </w:p>
        </w:tc>
        <w:tc>
          <w:tcPr>
            <w:tcW w:w="0" w:type="dxa"/>
            <w:vAlign w:val="bottom"/>
          </w:tcPr>
          <w:p>
            <w:pPr>
              <w:spacing w:after="0"/>
              <w:rPr>
                <w:sz w:val="1"/>
                <w:szCs w:val="1"/>
                <w:color w:val="auto"/>
              </w:rPr>
            </w:pPr>
          </w:p>
        </w:tc>
      </w:tr>
      <w:tr>
        <w:trPr>
          <w:trHeight w:val="150"/>
        </w:trPr>
        <w:tc>
          <w:tcPr>
            <w:tcW w:w="5660" w:type="dxa"/>
            <w:vAlign w:val="bottom"/>
          </w:tcPr>
          <w:p>
            <w:pPr>
              <w:ind w:left="20"/>
              <w:spacing w:after="0" w:line="150" w:lineRule="exact"/>
              <w:rPr>
                <w:sz w:val="20"/>
                <w:szCs w:val="20"/>
                <w:color w:val="auto"/>
              </w:rPr>
            </w:pPr>
            <w:r>
              <w:rPr>
                <w:rFonts w:ascii="Arial" w:cs="Arial" w:eastAsia="Arial" w:hAnsi="Arial"/>
                <w:sz w:val="16"/>
                <w:szCs w:val="16"/>
                <w:b w:val="1"/>
                <w:bCs w:val="1"/>
                <w:color w:val="auto"/>
              </w:rPr>
              <w:t>Amortization of Intangible Assets and Impairment of Goodwill and</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rPr>
                <w:sz w:val="20"/>
                <w:szCs w:val="20"/>
                <w:color w:val="auto"/>
              </w:rPr>
            </w:pPr>
            <w:r>
              <w:rPr>
                <w:rFonts w:ascii="Arial" w:cs="Arial" w:eastAsia="Arial" w:hAnsi="Arial"/>
                <w:sz w:val="16"/>
                <w:szCs w:val="16"/>
                <w:b w:val="1"/>
                <w:bCs w:val="1"/>
                <w:color w:val="auto"/>
              </w:rPr>
              <w:t>Other Long-lived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6,251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3,944</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24,743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11,581</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1,408</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4,081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4,224</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6,987</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6,522</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21,112</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19,580</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823</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1,914</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3,440</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4,722</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645</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19,094</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566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16,066</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13,944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72,470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40,577</w:t>
            </w:r>
          </w:p>
        </w:tc>
        <w:tc>
          <w:tcPr>
            <w:tcW w:w="0" w:type="dxa"/>
            <w:vAlign w:val="bottom"/>
          </w:tcPr>
          <w:p>
            <w:pPr>
              <w:spacing w:after="0"/>
              <w:rPr>
                <w:sz w:val="1"/>
                <w:szCs w:val="1"/>
                <w:color w:val="auto"/>
              </w:rPr>
            </w:pPr>
          </w:p>
        </w:tc>
      </w:tr>
      <w:tr>
        <w:trPr>
          <w:trHeight w:val="206"/>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3,333</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20,279</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(7,161)</w:t>
            </w:r>
          </w:p>
        </w:tc>
        <w:tc>
          <w:tcPr>
            <w:tcW w:w="3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44,739</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52,745</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36,813</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112,148</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116,847</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4,851</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6,845</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9,870</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14,811</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8,142</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1,208</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20,129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6,135</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(16,088)</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(9,407)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(73,889)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(28,806)</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(12,739)</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(34,331)</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(39,492)</w:t>
            </w:r>
          </w:p>
        </w:tc>
        <w:tc>
          <w:tcPr>
            <w:tcW w:w="0" w:type="dxa"/>
            <w:vAlign w:val="bottom"/>
          </w:tcPr>
          <w:p>
            <w:pPr>
              <w:spacing w:after="0"/>
              <w:rPr>
                <w:sz w:val="1"/>
                <w:szCs w:val="1"/>
                <w:color w:val="auto"/>
              </w:rPr>
            </w:pPr>
          </w:p>
        </w:tc>
      </w:tr>
      <w:tr>
        <w:trPr>
          <w:trHeight w:val="226"/>
        </w:trPr>
        <w:tc>
          <w:tcPr>
            <w:tcW w:w="566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40,244</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16,268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54,206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114,234</w:t>
            </w:r>
          </w:p>
        </w:tc>
        <w:tc>
          <w:tcPr>
            <w:tcW w:w="0" w:type="dxa"/>
            <w:vAlign w:val="bottom"/>
          </w:tcPr>
          <w:p>
            <w:pPr>
              <w:spacing w:after="0"/>
              <w:rPr>
                <w:sz w:val="1"/>
                <w:szCs w:val="1"/>
                <w:color w:val="auto"/>
              </w:rPr>
            </w:pPr>
          </w:p>
        </w:tc>
      </w:tr>
      <w:tr>
        <w:trPr>
          <w:trHeight w:val="217"/>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30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4,092</w:t>
            </w: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4,683</w:t>
            </w:r>
          </w:p>
        </w:tc>
        <w:tc>
          <w:tcPr>
            <w:tcW w:w="3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3,727</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7,829</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(6,357)</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(5,302)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(19,307)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(17,834)</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0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10,489</w:t>
            </w:r>
          </w:p>
        </w:tc>
        <w:tc>
          <w:tcPr>
            <w:tcW w:w="5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19,556</w:t>
            </w:r>
          </w:p>
        </w:tc>
        <w:tc>
          <w:tcPr>
            <w:tcW w:w="34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41,028</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51,737</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30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59,364</w:t>
            </w:r>
          </w:p>
        </w:tc>
        <w:tc>
          <w:tcPr>
            <w:tcW w:w="5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17,404</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(1,139)</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49,261</w:t>
            </w:r>
          </w:p>
        </w:tc>
        <w:tc>
          <w:tcPr>
            <w:tcW w:w="0" w:type="dxa"/>
            <w:vAlign w:val="bottom"/>
          </w:tcPr>
          <w:p>
            <w:pPr>
              <w:spacing w:after="0"/>
              <w:rPr>
                <w:sz w:val="1"/>
                <w:szCs w:val="1"/>
                <w:color w:val="auto"/>
              </w:rPr>
            </w:pPr>
          </w:p>
        </w:tc>
      </w:tr>
      <w:tr>
        <w:trPr>
          <w:trHeight w:val="247"/>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222</w:t>
            </w: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5,556</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11,010</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36,135</w:t>
            </w:r>
          </w:p>
        </w:tc>
        <w:tc>
          <w:tcPr>
            <w:tcW w:w="0" w:type="dxa"/>
            <w:vAlign w:val="bottom"/>
          </w:tcPr>
          <w:p>
            <w:pPr>
              <w:spacing w:after="0"/>
              <w:rPr>
                <w:sz w:val="1"/>
                <w:szCs w:val="1"/>
                <w:color w:val="auto"/>
              </w:rPr>
            </w:pPr>
          </w:p>
        </w:tc>
      </w:tr>
      <w:tr>
        <w:trPr>
          <w:trHeight w:val="240"/>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108,054</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58,165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89,525</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241,362</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6,822</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24,475</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6,258</w:t>
            </w:r>
          </w:p>
        </w:tc>
        <w:tc>
          <w:tcPr>
            <w:tcW w:w="3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18,596</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3,399</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3,307</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10,188</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9,839</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2,557</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2,671</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7,610</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7,488</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318</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1,351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5,208</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2,330</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13,946</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4,351</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177</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528</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26"/>
        </w:trPr>
        <w:tc>
          <w:tcPr>
            <w:tcW w:w="566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18,481</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15,351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58,098</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42,758</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2,350</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7,527</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2,603</w:t>
            </w:r>
          </w:p>
        </w:tc>
        <w:tc>
          <w:tcPr>
            <w:tcW w:w="3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7,789</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817</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2,449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318</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1,107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136</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407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410</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1,276</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1,426</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4,278</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26"/>
        </w:trPr>
        <w:tc>
          <w:tcPr>
            <w:tcW w:w="566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5,457</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5,142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17,044</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450" w:gutter="0" w:footer="0" w:header="0"/>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45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1220" w:type="dxa"/>
            <w:vAlign w:val="bottom"/>
          </w:tcPr>
          <w:p>
            <w:pPr>
              <w:jc w:val="right"/>
              <w:ind w:right="121"/>
              <w:spacing w:after="0" w:line="143"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202"/>
        </w:trPr>
        <w:tc>
          <w:tcPr>
            <w:tcW w:w="84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4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1,880,694</w:t>
            </w:r>
          </w:p>
        </w:tc>
        <w:tc>
          <w:tcPr>
            <w:tcW w:w="4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2,032,425</w:t>
            </w:r>
          </w:p>
        </w:tc>
        <w:tc>
          <w:tcPr>
            <w:tcW w:w="0" w:type="dxa"/>
            <w:vAlign w:val="bottom"/>
          </w:tcPr>
          <w:p>
            <w:pPr>
              <w:spacing w:after="0"/>
              <w:rPr>
                <w:sz w:val="1"/>
                <w:szCs w:val="1"/>
                <w:color w:val="auto"/>
              </w:rPr>
            </w:pP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451,660</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463,689</w:t>
            </w:r>
          </w:p>
        </w:tc>
        <w:tc>
          <w:tcPr>
            <w:tcW w:w="0" w:type="dxa"/>
            <w:vAlign w:val="bottom"/>
          </w:tcPr>
          <w:p>
            <w:pPr>
              <w:spacing w:after="0"/>
              <w:rPr>
                <w:sz w:val="1"/>
                <w:szCs w:val="1"/>
                <w:color w:val="auto"/>
              </w:rPr>
            </w:pPr>
          </w:p>
        </w:tc>
      </w:tr>
      <w:tr>
        <w:trPr>
          <w:trHeight w:val="230"/>
        </w:trPr>
        <w:tc>
          <w:tcPr>
            <w:tcW w:w="84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564,207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564,251</w:t>
            </w:r>
          </w:p>
        </w:tc>
        <w:tc>
          <w:tcPr>
            <w:tcW w:w="0" w:type="dxa"/>
            <w:vAlign w:val="bottom"/>
          </w:tcPr>
          <w:p>
            <w:pPr>
              <w:spacing w:after="0"/>
              <w:rPr>
                <w:sz w:val="1"/>
                <w:szCs w:val="1"/>
                <w:color w:val="auto"/>
              </w:rPr>
            </w:pP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160,633</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160,033</w:t>
            </w:r>
          </w:p>
        </w:tc>
        <w:tc>
          <w:tcPr>
            <w:tcW w:w="0" w:type="dxa"/>
            <w:vAlign w:val="bottom"/>
          </w:tcPr>
          <w:p>
            <w:pPr>
              <w:spacing w:after="0"/>
              <w:rPr>
                <w:sz w:val="1"/>
                <w:szCs w:val="1"/>
                <w:color w:val="auto"/>
              </w:rPr>
            </w:pP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524,998</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567,395</w:t>
            </w:r>
          </w:p>
        </w:tc>
        <w:tc>
          <w:tcPr>
            <w:tcW w:w="0" w:type="dxa"/>
            <w:vAlign w:val="bottom"/>
          </w:tcPr>
          <w:p>
            <w:pPr>
              <w:spacing w:after="0"/>
              <w:rPr>
                <w:sz w:val="1"/>
                <w:szCs w:val="1"/>
                <w:color w:val="auto"/>
              </w:rPr>
            </w:pPr>
          </w:p>
        </w:tc>
      </w:tr>
      <w:tr>
        <w:trPr>
          <w:trHeight w:val="233"/>
        </w:trPr>
        <w:tc>
          <w:tcPr>
            <w:tcW w:w="84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258,469</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103,764</w:t>
            </w:r>
          </w:p>
        </w:tc>
        <w:tc>
          <w:tcPr>
            <w:tcW w:w="0" w:type="dxa"/>
            <w:vAlign w:val="bottom"/>
          </w:tcPr>
          <w:p>
            <w:pPr>
              <w:spacing w:after="0"/>
              <w:rPr>
                <w:sz w:val="1"/>
                <w:szCs w:val="1"/>
                <w:color w:val="auto"/>
              </w:rPr>
            </w:pPr>
          </w:p>
        </w:tc>
      </w:tr>
      <w:tr>
        <w:trPr>
          <w:trHeight w:val="226"/>
        </w:trPr>
        <w:tc>
          <w:tcPr>
            <w:tcW w:w="8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3,840,661</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3,891,557</w:t>
            </w:r>
          </w:p>
        </w:tc>
        <w:tc>
          <w:tcPr>
            <w:tcW w:w="0" w:type="dxa"/>
            <w:vAlign w:val="bottom"/>
          </w:tcPr>
          <w:p>
            <w:pPr>
              <w:spacing w:after="0"/>
              <w:rPr>
                <w:sz w:val="1"/>
                <w:szCs w:val="1"/>
                <w:color w:val="auto"/>
              </w:rPr>
            </w:pPr>
          </w:p>
        </w:tc>
      </w:tr>
      <w:tr>
        <w:trPr>
          <w:trHeight w:val="217"/>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18"/>
                <w:szCs w:val="18"/>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491,172</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585,080</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157,529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162,249</w:t>
            </w:r>
          </w:p>
        </w:tc>
        <w:tc>
          <w:tcPr>
            <w:tcW w:w="0" w:type="dxa"/>
            <w:vAlign w:val="bottom"/>
          </w:tcPr>
          <w:p>
            <w:pPr>
              <w:spacing w:after="0"/>
              <w:rPr>
                <w:sz w:val="1"/>
                <w:szCs w:val="1"/>
                <w:color w:val="auto"/>
              </w:rPr>
            </w:pPr>
          </w:p>
        </w:tc>
      </w:tr>
      <w:tr>
        <w:trPr>
          <w:trHeight w:val="231"/>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1,322,151</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1,292,350</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5,811,513</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5,931,236</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99"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right"/>
              <w:ind w:right="56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123,768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178,169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488,096</w:t>
            </w:r>
          </w:p>
        </w:tc>
        <w:tc>
          <w:tcPr>
            <w:tcW w:w="5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552,505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83,841</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78,712</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243,831</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237,780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59,737</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64,710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153,687</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191,533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32,831</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33,820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99,954</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3,194</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2,450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9,438</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(542)</w:t>
            </w: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(2,986)</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26"/>
        </w:trPr>
        <w:tc>
          <w:tcPr>
            <w:tcW w:w="59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302,467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357,319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992,020</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1,097,536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5920" w:type="dxa"/>
            <w:vAlign w:val="bottom"/>
          </w:tcPr>
          <w:p>
            <w:pPr>
              <w:spacing w:after="0" w:line="150" w:lineRule="exact"/>
              <w:rPr>
                <w:sz w:val="20"/>
                <w:szCs w:val="20"/>
                <w:color w:val="auto"/>
              </w:rPr>
            </w:pPr>
            <w:r>
              <w:rPr>
                <w:rFonts w:ascii="Arial" w:cs="Arial" w:eastAsia="Arial" w:hAnsi="Arial"/>
                <w:sz w:val="16"/>
                <w:szCs w:val="16"/>
                <w:b w:val="1"/>
                <w:bCs w:val="1"/>
                <w:color w:val="auto"/>
              </w:rPr>
              <w:t>Income before Amortization of Intangible Assets and Impairment of Long-</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180"/>
              <w:spacing w:after="0"/>
              <w:rPr>
                <w:sz w:val="20"/>
                <w:szCs w:val="20"/>
                <w:color w:val="auto"/>
              </w:rPr>
            </w:pPr>
            <w:r>
              <w:rPr>
                <w:rFonts w:ascii="Arial" w:cs="Arial" w:eastAsia="Arial" w:hAnsi="Arial"/>
                <w:sz w:val="16"/>
                <w:szCs w:val="16"/>
                <w:b w:val="1"/>
                <w:bCs w:val="1"/>
                <w:color w:val="auto"/>
              </w:rPr>
              <w:t>Lived 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(13,759)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
              <w:spacing w:after="0"/>
              <w:rPr>
                <w:sz w:val="20"/>
                <w:szCs w:val="20"/>
                <w:color w:val="auto"/>
              </w:rPr>
            </w:pPr>
            <w:r>
              <w:rPr>
                <w:rFonts w:ascii="Arial" w:cs="Arial" w:eastAsia="Arial" w:hAnsi="Arial"/>
                <w:sz w:val="16"/>
                <w:szCs w:val="16"/>
                <w:color w:val="auto"/>
              </w:rPr>
              <w:t>(14,226)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21,256</w:t>
            </w:r>
          </w:p>
        </w:tc>
        <w:tc>
          <w:tcPr>
            <w:tcW w:w="5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35,596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6,853</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5,177</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21,883</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13,348</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4,959</w:t>
            </w:r>
          </w:p>
        </w:tc>
        <w:tc>
          <w:tcPr>
            <w:tcW w:w="200" w:type="dxa"/>
            <w:vAlign w:val="bottom"/>
          </w:tcPr>
          <w:p>
            <w:pPr>
              <w:spacing w:after="0"/>
              <w:rPr>
                <w:sz w:val="19"/>
                <w:szCs w:val="19"/>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(376)</w:t>
            </w:r>
          </w:p>
        </w:tc>
        <w:tc>
          <w:tcPr>
            <w:tcW w:w="800" w:type="dxa"/>
            <w:vAlign w:val="bottom"/>
          </w:tcPr>
          <w:p>
            <w:pPr>
              <w:jc w:val="right"/>
              <w:spacing w:after="0"/>
              <w:rPr>
                <w:sz w:val="20"/>
                <w:szCs w:val="20"/>
                <w:color w:val="auto"/>
              </w:rPr>
            </w:pPr>
            <w:r>
              <w:rPr>
                <w:rFonts w:ascii="Arial" w:cs="Arial" w:eastAsia="Arial" w:hAnsi="Arial"/>
                <w:sz w:val="16"/>
                <w:szCs w:val="16"/>
                <w:color w:val="auto"/>
              </w:rPr>
              <w:t>8,794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5,721</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4,939</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13,225</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(2,579)</w:t>
            </w:r>
          </w:p>
        </w:tc>
        <w:tc>
          <w:tcPr>
            <w:tcW w:w="500" w:type="dxa"/>
            <w:vAlign w:val="bottom"/>
          </w:tcPr>
          <w:p>
            <w:pPr>
              <w:spacing w:after="0"/>
              <w:rPr>
                <w:sz w:val="19"/>
                <w:szCs w:val="19"/>
                <w:color w:val="auto"/>
              </w:rPr>
            </w:pPr>
          </w:p>
        </w:tc>
        <w:tc>
          <w:tcPr>
            <w:tcW w:w="840" w:type="dxa"/>
            <w:vAlign w:val="bottom"/>
            <w:gridSpan w:val="2"/>
          </w:tcPr>
          <w:p>
            <w:pPr>
              <w:jc w:val="right"/>
              <w:ind w:right="4"/>
              <w:spacing w:after="0"/>
              <w:rPr>
                <w:sz w:val="20"/>
                <w:szCs w:val="20"/>
                <w:color w:val="auto"/>
              </w:rPr>
            </w:pPr>
            <w:r>
              <w:rPr>
                <w:rFonts w:ascii="Arial" w:cs="Arial" w:eastAsia="Arial" w:hAnsi="Arial"/>
                <w:sz w:val="16"/>
                <w:szCs w:val="16"/>
                <w:color w:val="auto"/>
              </w:rPr>
              <w:t>(4,067)</w:t>
            </w:r>
          </w:p>
        </w:tc>
        <w:tc>
          <w:tcPr>
            <w:tcW w:w="200" w:type="dxa"/>
            <w:vAlign w:val="bottom"/>
          </w:tcPr>
          <w:p>
            <w:pPr>
              <w:spacing w:after="0"/>
              <w:rPr>
                <w:sz w:val="19"/>
                <w:szCs w:val="19"/>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(10,971)</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(18,824)</w:t>
            </w:r>
          </w:p>
        </w:tc>
        <w:tc>
          <w:tcPr>
            <w:tcW w:w="0" w:type="dxa"/>
            <w:vAlign w:val="bottom"/>
          </w:tcPr>
          <w:p>
            <w:pPr>
              <w:spacing w:after="0"/>
              <w:rPr>
                <w:sz w:val="1"/>
                <w:szCs w:val="1"/>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6"/>
        </w:trPr>
        <w:tc>
          <w:tcPr>
            <w:tcW w:w="59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9,584</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(3,217)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45,022</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56,320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4,335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3,944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12,807</w:t>
            </w:r>
          </w:p>
        </w:tc>
        <w:tc>
          <w:tcPr>
            <w:tcW w:w="5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1,916</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11,936</w:t>
            </w:r>
          </w:p>
        </w:tc>
        <w:tc>
          <w:tcPr>
            <w:tcW w:w="5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(13,759)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
              <w:spacing w:after="0"/>
              <w:rPr>
                <w:sz w:val="20"/>
                <w:szCs w:val="20"/>
                <w:color w:val="auto"/>
              </w:rPr>
            </w:pPr>
            <w:r>
              <w:rPr>
                <w:rFonts w:ascii="Arial" w:cs="Arial" w:eastAsia="Arial" w:hAnsi="Arial"/>
                <w:sz w:val="16"/>
                <w:szCs w:val="16"/>
                <w:color w:val="auto"/>
              </w:rPr>
              <w:t>(14,226)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21,256</w:t>
            </w:r>
          </w:p>
        </w:tc>
        <w:tc>
          <w:tcPr>
            <w:tcW w:w="5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35,596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6,853</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5,177</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21,883</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13,348</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4,959</w:t>
            </w:r>
          </w:p>
        </w:tc>
        <w:tc>
          <w:tcPr>
            <w:tcW w:w="200" w:type="dxa"/>
            <w:vAlign w:val="bottom"/>
          </w:tcPr>
          <w:p>
            <w:pPr>
              <w:spacing w:after="0"/>
              <w:rPr>
                <w:sz w:val="19"/>
                <w:szCs w:val="19"/>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(376)</w:t>
            </w:r>
          </w:p>
        </w:tc>
        <w:tc>
          <w:tcPr>
            <w:tcW w:w="800" w:type="dxa"/>
            <w:vAlign w:val="bottom"/>
          </w:tcPr>
          <w:p>
            <w:pPr>
              <w:jc w:val="right"/>
              <w:spacing w:after="0"/>
              <w:rPr>
                <w:sz w:val="20"/>
                <w:szCs w:val="20"/>
                <w:color w:val="auto"/>
              </w:rPr>
            </w:pPr>
            <w:r>
              <w:rPr>
                <w:rFonts w:ascii="Arial" w:cs="Arial" w:eastAsia="Arial" w:hAnsi="Arial"/>
                <w:sz w:val="16"/>
                <w:szCs w:val="16"/>
                <w:color w:val="auto"/>
              </w:rPr>
              <w:t>8,794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5,721</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4,939</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13,225</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(8,830)</w:t>
            </w:r>
          </w:p>
        </w:tc>
        <w:tc>
          <w:tcPr>
            <w:tcW w:w="500" w:type="dxa"/>
            <w:vAlign w:val="bottom"/>
          </w:tcPr>
          <w:p>
            <w:pPr>
              <w:spacing w:after="0"/>
              <w:rPr>
                <w:sz w:val="19"/>
                <w:szCs w:val="19"/>
                <w:color w:val="auto"/>
              </w:rPr>
            </w:pPr>
          </w:p>
        </w:tc>
        <w:tc>
          <w:tcPr>
            <w:tcW w:w="840" w:type="dxa"/>
            <w:vAlign w:val="bottom"/>
            <w:gridSpan w:val="2"/>
          </w:tcPr>
          <w:p>
            <w:pPr>
              <w:jc w:val="right"/>
              <w:ind w:right="4"/>
              <w:spacing w:after="0"/>
              <w:rPr>
                <w:sz w:val="20"/>
                <w:szCs w:val="20"/>
                <w:color w:val="auto"/>
              </w:rPr>
            </w:pPr>
            <w:r>
              <w:rPr>
                <w:rFonts w:ascii="Arial" w:cs="Arial" w:eastAsia="Arial" w:hAnsi="Arial"/>
                <w:sz w:val="16"/>
                <w:szCs w:val="16"/>
                <w:color w:val="auto"/>
              </w:rPr>
              <w:t>(8,011)</w:t>
            </w:r>
          </w:p>
        </w:tc>
        <w:tc>
          <w:tcPr>
            <w:tcW w:w="200" w:type="dxa"/>
            <w:vAlign w:val="bottom"/>
          </w:tcPr>
          <w:p>
            <w:pPr>
              <w:spacing w:after="0"/>
              <w:rPr>
                <w:sz w:val="19"/>
                <w:szCs w:val="19"/>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(35,714)</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(30,405)</w:t>
            </w:r>
          </w:p>
        </w:tc>
        <w:tc>
          <w:tcPr>
            <w:tcW w:w="0" w:type="dxa"/>
            <w:vAlign w:val="bottom"/>
          </w:tcPr>
          <w:p>
            <w:pPr>
              <w:spacing w:after="0"/>
              <w:rPr>
                <w:sz w:val="1"/>
                <w:szCs w:val="1"/>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6"/>
        </w:trPr>
        <w:tc>
          <w:tcPr>
            <w:tcW w:w="59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3,333</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(7,161)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20,279</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44,739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4,585</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14,782</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3,600</w:t>
            </w:r>
          </w:p>
        </w:tc>
        <w:tc>
          <w:tcPr>
            <w:tcW w:w="2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5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682</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840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2,237</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335</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774</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3,768</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1,119</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978</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3,397</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101</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66</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291</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6,822</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6,258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24,475</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102</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334</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114</w:t>
            </w:r>
          </w:p>
        </w:tc>
        <w:tc>
          <w:tcPr>
            <w:tcW w:w="2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5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973</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1,136</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3,113</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748</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847</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2,394</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238</w:t>
            </w:r>
          </w:p>
        </w:tc>
        <w:tc>
          <w:tcPr>
            <w:tcW w:w="500" w:type="dxa"/>
            <w:vAlign w:val="bottom"/>
          </w:tcPr>
          <w:p>
            <w:pPr>
              <w:spacing w:after="0"/>
              <w:rPr>
                <w:sz w:val="19"/>
                <w:szCs w:val="19"/>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6"/>
                <w:szCs w:val="16"/>
                <w:color w:val="auto"/>
              </w:rPr>
              <w:t>340</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761</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289</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166</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925</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2,350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2,603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7,527</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5920" w:type="dxa"/>
            <w:vAlign w:val="bottom"/>
          </w:tcPr>
          <w:p>
            <w:pPr>
              <w:spacing w:after="0"/>
              <w:rPr>
                <w:sz w:val="20"/>
                <w:szCs w:val="20"/>
                <w:color w:val="auto"/>
              </w:rPr>
            </w:pPr>
            <w:r>
              <w:rPr>
                <w:rFonts w:ascii="Arial" w:cs="Arial" w:eastAsia="Arial" w:hAnsi="Arial"/>
                <w:sz w:val="18"/>
                <w:szCs w:val="18"/>
                <w:color w:val="auto"/>
              </w:rPr>
              <w:t>Asset information for the Company’s education division is as follows: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7"/>
              </w:rPr>
              <w:t>As of</w:t>
            </w: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9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3"/>
          </w:tcPr>
          <w:p>
            <w:pPr>
              <w:jc w:val="right"/>
              <w:ind w:right="20"/>
              <w:spacing w:after="0" w:line="14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202"/>
        </w:trPr>
        <w:tc>
          <w:tcPr>
            <w:tcW w:w="5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Identifiable assets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20" w:type="dxa"/>
            <w:vAlign w:val="bottom"/>
          </w:tcPr>
          <w:p>
            <w:pPr>
              <w:ind w:left="34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1,332,098</w:t>
            </w:r>
          </w:p>
        </w:tc>
        <w:tc>
          <w:tcPr>
            <w:tcW w:w="8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1,455,122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34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197,983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196,761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34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138,180</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34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145,762</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20" w:type="dxa"/>
            <w:vAlign w:val="bottom"/>
          </w:tcPr>
          <w:p>
            <w:pPr>
              <w:ind w:left="34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66,671</w:t>
            </w: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1,880,694</w:t>
            </w:r>
          </w:p>
        </w:tc>
        <w:tc>
          <w:tcPr>
            <w:tcW w:w="8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2,032,425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0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03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reported net income attributable to common shares of $77.6 million ($15.22 per share) for the third quarter of 2020, compared to $43.1 million ($8.05 per share) for the third quarter of 2019.</w:t>
      </w:r>
    </w:p>
    <w:p>
      <w:pPr>
        <w:spacing w:after="0" w:line="7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novel coronavirus (COVID-19) pandemic and measures taken to prevent its spread, such as travel restrictions, shelter in place orders and mandatory closures, significantly impacted the Company’s results for the first nine months of 2020, largely from reduced demand for the Company’s products and services. This significant adverse impact is expected to continue for the remainder of 2020 and into 2021. The Company’s management has taken a variety of measures to reduce costs and capital expenditures.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third quarter of 2020:</w:t>
      </w:r>
    </w:p>
    <w:p>
      <w:pPr>
        <w:spacing w:after="0" w:line="144"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 million in long-lived asset impairment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 million in restructuring charges at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620" w:hanging="172"/>
        <w:spacing w:after="0" w:line="260" w:lineRule="auto"/>
        <w:tabs>
          <w:tab w:leader="none" w:pos="1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$1.2 million reduction to operating expenses from property, plant and equipment gains in connection with the spectrum repacking mandate of the FCC;</w:t>
      </w:r>
    </w:p>
    <w:p>
      <w:pPr>
        <w:spacing w:after="0" w:line="91"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$7.0 million in expenses related to a non-operating Separation Incentive Program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$59.4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non-operating gain of $1.6 million from the write-up of a cost method investment;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$2.3 million in non-operating foreign currency losses.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third quarter of 2019:</w:t>
      </w:r>
    </w:p>
    <w:p>
      <w:pPr>
        <w:spacing w:after="0" w:line="144"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$20.4 million provision recorded at Kaplan International related to a Value Added Tax (VAT) receivable at UK Pathways;</w:t>
      </w:r>
    </w:p>
    <w:p>
      <w:pPr>
        <w:spacing w:after="0" w:line="144" w:lineRule="exact"/>
        <w:rPr>
          <w:rFonts w:ascii="Arial" w:cs="Arial" w:eastAsia="Arial" w:hAnsi="Arial"/>
          <w:sz w:val="18"/>
          <w:szCs w:val="18"/>
          <w:color w:val="auto"/>
        </w:rPr>
      </w:pPr>
    </w:p>
    <w:p>
      <w:pPr>
        <w:ind w:left="180" w:right="620" w:hanging="172"/>
        <w:spacing w:after="0" w:line="260"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w:t>
      </w:r>
    </w:p>
    <w:p>
      <w:pPr>
        <w:spacing w:after="0" w:line="91"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$17.4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non-operating gain of $3.7 million from write-ups of cost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$0.7 million in non-operating foreign currency gains.</w:t>
      </w:r>
    </w:p>
    <w:p>
      <w:pPr>
        <w:spacing w:after="0" w:line="144"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Revenue for the third quarter of 2020 was $717.0 million, down 3% from $738.8 million in the third quarter of 2019, largely due to the impact of COVID-19. Revenues declined at education and manufacturing, partially offset by increases at television broadcasting, healthcare and other businesses. The Company reported operating income of $40.2 million for the third quarter of 2020, compared to $16.3 million for the third quarter of 2019. The operating income increase is driven by higher earnings in education, television broadcasting and healthcare, partially offset by declines in manufacturing and other businesses.</w:t>
      </w:r>
    </w:p>
    <w:p>
      <w:pPr>
        <w:spacing w:after="0" w:line="111"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For the first nine months of 2020, the Company reported net income attributable to common shares of $63.2 million ($12.11 per share) compared to $182.0 million ($33.96 per share) for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25"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Items included in the Company’s income before income taxes for the nine months of 2020:</w:t>
      </w:r>
    </w:p>
    <w:p>
      <w:pPr>
        <w:spacing w:after="0" w:line="14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$27.6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$12.1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$5.7 million in accelerated depreciation at other businesses;</w:t>
      </w:r>
    </w:p>
    <w:p>
      <w:pPr>
        <w:spacing w:after="0" w:line="144" w:lineRule="exact"/>
        <w:rPr>
          <w:rFonts w:ascii="Arial" w:cs="Arial" w:eastAsia="Arial" w:hAnsi="Arial"/>
          <w:sz w:val="18"/>
          <w:szCs w:val="18"/>
          <w:color w:val="auto"/>
        </w:rPr>
      </w:pPr>
    </w:p>
    <w:p>
      <w:pPr>
        <w:ind w:left="180" w:right="680" w:hanging="172"/>
        <w:spacing w:after="0" w:line="260"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$2.5 million reduction to operating expenses from property, plant and equipment gains in connection with the spectrum repacking mandate of the FCC;</w:t>
      </w:r>
    </w:p>
    <w:p>
      <w:pPr>
        <w:spacing w:after="0" w:line="91"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$11.6 million in expenses related to non-operating Separation Incentive Programs at the education division and other businesses;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non-operating gain, net, of $3.3 million from write-ups, sales and impairments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$0.9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nine months of 2019:</w:t>
      </w:r>
    </w:p>
    <w:p>
      <w:pPr>
        <w:spacing w:after="0" w:line="14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VAT receivable at UK Pathways;</w:t>
      </w:r>
    </w:p>
    <w:p>
      <w:pPr>
        <w:spacing w:after="0" w:line="144" w:lineRule="exact"/>
        <w:rPr>
          <w:rFonts w:ascii="Arial" w:cs="Arial" w:eastAsia="Arial" w:hAnsi="Arial"/>
          <w:sz w:val="18"/>
          <w:szCs w:val="18"/>
          <w:color w:val="auto"/>
        </w:rPr>
      </w:pPr>
    </w:p>
    <w:p>
      <w:pPr>
        <w:ind w:left="180" w:right="580" w:hanging="172"/>
        <w:spacing w:after="0" w:line="260"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$10.7 million reduction to operating expenses from property, plant and equipment gains in connection with the spectrum repacking mandate of the FCC;</w:t>
      </w:r>
    </w:p>
    <w:p>
      <w:pPr>
        <w:spacing w:after="0" w:line="91"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$49.3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$29.0 million gain from the sale of Gimlet Media;</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non-operating gain of $5.1 million from the write-ups of cost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 million in non-operating foreign currency gains.</w:t>
      </w:r>
    </w:p>
    <w:p>
      <w:pPr>
        <w:spacing w:after="0" w:line="14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Revenue for the first nine months of 2020 was $2,102.1 million, down 3% from $2,168.6 million in the first nine months of 2019, largely due to the impact of COVID-19. Revenues declined at education and manufacturing, partially offset by increases at television broadcasting, healthcare and other businesses. The Company reported operating income of $54.2 million for the first nine months of 2020, compared to $114.2 million for the first nine months of 2019. Operating results declined in education, television broadcasting, manufacturing, and other businesses, partially offset by an improvement at healthcare.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COVID-19 pandemic adversely impacted Kaplan’s operating results in the third quarter and first nine months of 2020. The impact began in February and continued through the third quarter of 2020.</w:t>
      </w:r>
    </w:p>
    <w:p>
      <w:pPr>
        <w:spacing w:after="0" w:line="92"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In these instances, Kaplan extended the life of its courses to be responsive to the changes in study needs of its students. These program modifications resulted in longer revenue recognition periods, affecting the timing of revenue recognition at Kaplan’s Test Preparation and Professional education divisions. Overall, this is expected to continue to adversely impact Kaplan's revenues and operating results through the remainder of 2020 and into 2021, particularly at Kaplan International Languages. KHE did not experience any significant disruption in its service delivery and Purdue Global has experienced an increase in program demand in the first nine months of 2020.</w:t>
      </w:r>
    </w:p>
    <w:p>
      <w:pPr>
        <w:spacing w:after="0" w:line="112" w:lineRule="exact"/>
        <w:rPr>
          <w:sz w:val="20"/>
          <w:szCs w:val="20"/>
          <w:color w:val="auto"/>
        </w:rPr>
      </w:pPr>
    </w:p>
    <w:p>
      <w:pPr>
        <w:jc w:val="both"/>
        <w:ind w:right="400"/>
        <w:spacing w:after="0" w:line="239" w:lineRule="auto"/>
        <w:rPr>
          <w:sz w:val="20"/>
          <w:szCs w:val="20"/>
          <w:color w:val="auto"/>
        </w:rPr>
      </w:pPr>
      <w:r>
        <w:rPr>
          <w:rFonts w:ascii="Arial" w:cs="Arial" w:eastAsia="Arial" w:hAnsi="Arial"/>
          <w:sz w:val="18"/>
          <w:szCs w:val="18"/>
          <w:color w:val="auto"/>
        </w:rPr>
        <w:t>To help mitigate the negative revenue impact arising from the COVID-19 disruption, and to re-align its program offerings to better pursue opportunities arising from the disruption, Kaplan management developed and implemented a number of initiatives across its businesses, including: employee salary and work-hour reductions;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ind w:right="40"/>
        <w:spacing w:after="0" w:line="234" w:lineRule="auto"/>
        <w:rPr>
          <w:sz w:val="20"/>
          <w:szCs w:val="20"/>
          <w:color w:val="auto"/>
        </w:rPr>
      </w:pPr>
      <w:r>
        <w:rPr>
          <w:rFonts w:ascii="Arial" w:cs="Arial" w:eastAsia="Arial" w:hAnsi="Arial"/>
          <w:sz w:val="18"/>
          <w:szCs w:val="18"/>
          <w:color w:val="auto"/>
        </w:rPr>
        <w:t>temporary furlough and other employee reductions; reduced discretionary spending; facility restructuring; and reduced capital expenditures. Importantly, Kaplan also accelerated development and promotion of various online programs and solutions, rapidly transitioned most of its classroom-based programs online and addressed the individual needs of its students and partners, substantially reducing the disruption from COVID-19.</w:t>
      </w:r>
    </w:p>
    <w:p>
      <w:pPr>
        <w:spacing w:after="0" w:line="11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facility restructuring plan undertaken by Kaplan was developed to align classroom and office space at International Languages and Higher Education with future business requirements, and was premised on the decision at Kaplan Test Prep and Kaplan Professional (U.S.) to substantially reduce location-based in person course offerings in step with shifting consumer preferences for online programs. In the first nine months of 2020, Kaplan recorded $ 12.5 million in lease restructuring costs and in the third quarter and first nine months of 2020, Kaplan recorded $1.9 million and $3.1 million in severance restructuring costs, respectively. The lease restructuring costs included $3.4 million in accelerated depreciation expense in the first nine months of 2020. Kaplan also recorded $1.9 million and $11.9 million in lease impairment charges in connection with these restructuring plans in the third quarter and first nine months of 2020, respectively. These impairment charges included $ 0.2 million and $2.2 million in property, plant and equipment write-downs in the third quarter and first nine months of 2020, respectively. In the second and third quarters of 2020, the Company approved Separation Incentive Programs that reduced the number of employees at all of Kaplan’s divisions, resulting in $7.8 million and $12.8 million in non-operating pension expense in the third quarter and first nine months of 2020, respectively. Additional restructuring and cost reduction plans are under development at Kaplan and are expected to be implemented in the fourth quarter of 2020.</w:t>
      </w:r>
    </w:p>
    <w:p>
      <w:pPr>
        <w:spacing w:after="0" w:line="11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June 2020, Kaplan announced a plan to combine its three primary divisions based in the United States (Kaplan Test Prep, Kaplan Professional, and Kaplan Higher Education) into one business known as Kaplan North America (KNA). The plan for this combination is in the process of being implemented and is designed to create and reinforce Kaplan’s competitiveness in each market and new markets into which Kaplan extends.</w:t>
      </w:r>
    </w:p>
    <w:p>
      <w:pPr>
        <w:spacing w:after="0" w:line="11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Education division revenue totaled $302.5 million for the third quarter of 2020, down 15% from $357.3 million for the same period of 2019. Kaplan reported operating income of $3.3 million for the third quarter of 2020, compared to an operating loss of $7.2 million for the third quarter of 2019.</w:t>
      </w:r>
    </w:p>
    <w:p>
      <w:pPr>
        <w:spacing w:after="0" w:line="11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For the first nine months of 2020, education division revenue totaled $992.0 million, down 10% from revenue of $1,097.5 million for the same period of 2019. Kaplan reported operating income of $20.3 million for the first nine months of 2020, a 55% decline from $44.7 million for the first nine months of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 Change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123,768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178,169</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488,096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552,505</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83,841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78,712</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243,831</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237,780</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59,737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64,710</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153,687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191,533</w:t>
            </w: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32,831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33,820</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99,954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110,181</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3,194</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9,438</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7,121</w:t>
            </w: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37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(2,986)</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37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302,467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357,319</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992,020</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1,097,536</w:t>
            </w: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700" w:type="dxa"/>
            <w:vAlign w:val="bottom"/>
            <w:vMerge w:val="continue"/>
          </w:tcPr>
          <w:p>
            <w:pPr>
              <w:spacing w:after="0"/>
              <w:rPr>
                <w:sz w:val="18"/>
                <w:szCs w:val="18"/>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(13,759)</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21,256</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(14,226)</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35,596</w:t>
            </w: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6,853</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5,177</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21,883</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9,813</w:t>
            </w: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13,348</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8,794</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5,721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4,939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13,225</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20,943</w:t>
            </w: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(2,579)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(4,067)</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(10,971)</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(18,824)</w:t>
            </w: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(4,335)</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(3,944)</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(12,807)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(10,888)</w:t>
            </w: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(1,916)</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(11,936)</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(693)</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7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37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3,333</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20,279</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44,739</w:t>
            </w: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decreased 31% and 12% for the third quarter and first nine months of 2020, respectively. On a constant currency basis, revenue decreased 32% and 10% for the third quarter and first nine months of 2020, respectively. The revenue decreases were due to significant declines at Languages, along with declines at U.S. and Australia Pathways, UK Professional and Singapore, partially offset by growth at UK</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3" w:name="page34"/>
    <w:bookmarkEnd w:id="33"/>
    <w:p>
      <w:pPr>
        <w:spacing w:after="0" w:line="223" w:lineRule="auto"/>
        <w:rPr>
          <w:sz w:val="20"/>
          <w:szCs w:val="20"/>
          <w:color w:val="auto"/>
        </w:rPr>
      </w:pPr>
      <w:r>
        <w:rPr>
          <w:rFonts w:ascii="Arial" w:cs="Arial" w:eastAsia="Arial" w:hAnsi="Arial"/>
          <w:sz w:val="18"/>
          <w:szCs w:val="18"/>
          <w:color w:val="auto"/>
        </w:rPr>
        <w:t>Pathways and Australia. Kaplan International reported an operating loss of $13.8 million in the third quarter of 2020, compared to $14.2 million in the third quarter of 2019. Operating income decreased to $21.3 million in the first nine months of 2020, compared to $35.6 million in the first nine months of 2019. The decline in operating results in the first nine months of 2020 is due primarily to significant losses at Languages, along with declines at U.S. and Australia Pathways, and UK Professional, partially offset by the $ 17.1 million VAT provision recorded at UK Pathways in the third quarter of 2019, and improved results at UK Pathways and Australia. In particular, Kaplan International Languages 2020 operating results were negatively impacted by COVID-19 travel restrictions, along with U.S. and Australia Pathways. UK Professional results were negatively impacted by postponements of standardized exam dates. In addition, Kaplan International recorded $3.9 million of lease restructuring costs and $2.2 million of severance restructuring costs at Languages in the first nine months of 2020; the lease restructuring costs included $1.5 million in accelerated depreciation expense. Due to travel restrictions imposed as a result of COVID-19, management expects significant continued challenges in Languages’ operating environment for the remainder of 2020 and into 2021. In June 2020, UK Visas and Immigration announced that a mixed mode of online and face to face teaching would be permitted to continue for the duration of the entire academic year from July 1, 2020 to June 30, 2021; this will provide flexibility and confidence for students enrolling in UK Pathways programs.</w:t>
      </w:r>
    </w:p>
    <w:p>
      <w:pPr>
        <w:spacing w:after="0" w:line="11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and the Company believes it has met all requirements under UK VAT law and is entitled to recover the amounts from assessments and subsequent payments. Due to developments in the case, in the third quarter of 2019, the Company recorded a full provision against a receivable to expense, of which £14.1 million ($17.1 million) related to years 2014 to 2018. The Company recorded additional annual VAT expense at the UK Pathways business of approximately $6.0 million related to this matter for 2019 and will record an estimated $ 8.0 million for 2020. If the Company ultimately prevails in this case, the provision will be reversed and a pre-tax credit will be recorded in the Company’s Consolidated Statement of Operations. The result of the case is expected to be finalized by the end of 2020.</w:t>
      </w:r>
    </w:p>
    <w:p>
      <w:pPr>
        <w:spacing w:after="0" w:line="109"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The Higher Education division primarily includes the results of Kaplan as a service provider to higher education institutions. In the third quarter and first nine months of 2020, Higher Education revenue was up 7% and 3%, respectively, due to an increase in the Purdue University Global fee recorded and revenue from new university agreements. For the first nine months of 2020, the Company recorded a portion of the fee with Purdue Global based on an assessment of its collectability under the TOSA. Purdue Global experienced increased enrollments and higher retention rates for the first nine months of 2020, which resulted in improved Higher Education results for the third quarter and first nine months of 2020. The Company will continue to assess the collectability of the fee with Purdue Global on a quarterly basis to make a determination as to whether to record all or part of the fee in the future. For the first nine months of 2020, Kaplan Higher Education recorded $3.5 million in lease restructuring costs, of which $0.1 million was accelerated depreciation expense.</w:t>
      </w:r>
    </w:p>
    <w:p>
      <w:pPr>
        <w:spacing w:after="0" w:line="11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As of September 30, 2020, Kaplan had a total outstanding accounts receivable balance of $75.3 million from Purdue Global related to amounts due for reimbursements for services, fees earned and a deferred fee. In addition, Kaplan has an $18.8 million long-term receivable balance due from Purdue Global at September 30, 2020, related to the advance of $20 million during the initial KU Transaction.</w:t>
      </w:r>
    </w:p>
    <w:p>
      <w:pPr>
        <w:spacing w:after="0" w:line="11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decreased 8% and 20% for the third quarter and first nine months of 2020, respectively, due to reduced demand for KTP’s retail comprehensive test preparation programs and product-life extensions related to the postponement of various standardized test dates due to the COVID-19 pandemic. Overall, product-life extensions have resulted in lower revenue being recognized in the first nine months of 2020; however, substantially all of this will be recognized over the remainder of 2020. KTP operating results increased in the third quarter of 2020 due to savings from cost reduction and related restructuring plans implemented in 2020, and additional revenue recognized in the third quarter of 2020 due to product-life extensions made earlier in the year, offset by $0.9 million in severance restructuring costs. Operating results decreased in the first nine months of 2020 due to revenue declines and $4.5 million of lease restructuring costs ($1.8 million of which was accelerated depreciation expense) and $0.9 million in severance restructuring costs.</w:t>
      </w:r>
    </w:p>
    <w:p>
      <w:pPr>
        <w:spacing w:after="0" w:line="10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Kaplan Professional (U.S.) revenue in the third quarter and first nine months of 2020 declined 3% and 9%, respectively, due to declines in CFA, securities and accountancy programs, partly due to the postponement of certification exams, offset in part by growth in real estate, architecture and engineering programs. Kaplan Professional (U.S.) operating results increased in the third quarter of 2020 due to savings from cost reduction and related restructuring plans implemented in 2020, and additional revenue recognized in the third quarter of 2020 due to the postponement of certification exams earlier in the year. Operating results decreased in the first nine months of 2020, primarily due to the revenue declines and $0.6 million in lease restructuring costs.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4" w:name="page35"/>
    <w:bookmarkEnd w:id="34"/>
    <w:p>
      <w:pPr>
        <w:ind w:right="24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the first nine months of 2020 due to lower compensation costs.</w:t>
      </w:r>
    </w:p>
    <w:p>
      <w:pPr>
        <w:spacing w:after="0" w:line="92"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 the third quarter of 2020, the Company approved a SIP that reduced the number of employees at Higher Education, KTP, Kaplan Professional (U.S.) and Kaplan corporate, resulting in $7.8 million in non-operating pension expense. In the second quarter of 2020, the Company approved a SIP that reduced the number of employees at Kaplan International, Higher Education, Kaplan Professional (U.S.) and Kaplan corporate, resulting in $5.0 million in non-operating pension expense. In the second quarter of 2019, the Company approved a SIP that reduced the number of employees at KTP and Higher Education, resulting in $6.6 million in non-operating pension expense.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7"/>
                <w:szCs w:val="17"/>
                <w:color w:val="auto"/>
              </w:rPr>
            </w:pPr>
          </w:p>
        </w:tc>
      </w:tr>
      <w:tr>
        <w:trPr>
          <w:trHeight w:val="19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17"/>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133,828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115,161</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350,038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340,012</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52,745</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36,813</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112,148</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116,847</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18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Revenue at the television broadcasting division increased 16% to $133.8 million in the third quarter of 2020, from $115.2 million in the same period of 2019. The revenue increase is due to a $24.8 million increase in political advertising revenue and $3.1 million increase in retransmission revenues, partially offset by reduced local and national advertising demand related to the COVID-19 pandemic. In the third quarter of 2020 and 2019, the television broadcasting division recorded $1.2 million and $1.1 million, respectively, in reductions to operating expenses related to property, plant and equipment gains due to new equipment received at no cost in connection with the spectrum repacking mandate of the FCC. Operating income for the third quarter of 2020 increased 43% to $52.7 million, from $36.8 million in the same period of 2019, due to revenue increases, partially offset by higher network fees. While revenues and operating results continued to be adversely impacted by the COVID-19 pandemic in the third quarter of 2020, local and national advertising revenues have improved steadily throughout the second and third quarters of 2020.</w:t>
      </w:r>
    </w:p>
    <w:p>
      <w:pPr>
        <w:spacing w:after="0" w:line="10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Revenue at the television broadcasting division increased 3% to $ 350.0 million in the first nine months of 2020, from $340.0 million in the same period of 2019. The revenue increase is due a $38.2 million increase in political advertising revenue and a $7.2 million increase in retransmission revenue, partially offset by reduced local and national advertising demand related to the COVID-19 pandemic. In the first nine months of 2020 and 2019, the television broadcasting division recorded $2.5 million and $10.7 million, respectively, in reductions to operating expenses related to property, plant and equipment gains due to new equipment received at no cost in connection with the spectrum repacking mandate of the FCC. Operating income for the first nine months of 2020 decreased 4% to $112.1 million, from $ 116.8 million in the same period of 2019, due to a reduction in property, plant and equipment gains and higher network fees, partially offset by increased revenues.</w:t>
      </w:r>
    </w:p>
    <w:p>
      <w:pPr>
        <w:spacing w:after="0" w:line="11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postponement of the 2020 summer Olympics, the reduction and uncertainty surrounding broadcast sporting events, and overall reduced advertising demand related to the COVID-19 pandemic has negatively impacted advertising revenue and the operating results at the television broadcasting division for the first nine months of 2020 and is expected to adversely impact results for the remainder of 2020 and into 2021. In 2020, significant political revenues have substantially offset these adverse trends.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spacing w:after="0"/>
              <w:rPr>
                <w:sz w:val="17"/>
                <w:szCs w:val="17"/>
                <w:color w:val="auto"/>
              </w:rPr>
            </w:pPr>
          </w:p>
        </w:tc>
      </w:tr>
      <w:tr>
        <w:trPr>
          <w:trHeight w:val="198"/>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 Change</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106,690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111,676</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303,387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341,706</w:t>
            </w: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4,851</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6,845</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9"/>
                <w:szCs w:val="19"/>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9,870</w:t>
            </w:r>
          </w:p>
        </w:tc>
        <w:tc>
          <w:tcPr>
            <w:tcW w:w="340" w:type="dxa"/>
            <w:vAlign w:val="bottom"/>
          </w:tcPr>
          <w:p>
            <w:pPr>
              <w:spacing w:after="0"/>
              <w:rPr>
                <w:sz w:val="19"/>
                <w:szCs w:val="19"/>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14,811</w:t>
            </w: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18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1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Manufacturing revenues declined 4% and 11% in the third quarter and first nine months of 2020, respectively. The revenue declines are due primarily to a significant reduction in product demand at Dekko, particularly in the commercial office electrical products, hospitality, transportation and industrial sectors. In the third quarter of 2020, Hoover revenues increased due to higher wood prices, partially offset by lower product demand; while Hoover revenues declined in the first nine months of 2020 due to lower product demand, partially offset by higher wood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ind w:right="280"/>
        <w:spacing w:after="0" w:line="239" w:lineRule="auto"/>
        <w:rPr>
          <w:sz w:val="20"/>
          <w:szCs w:val="20"/>
          <w:color w:val="auto"/>
        </w:rPr>
      </w:pPr>
      <w:r>
        <w:rPr>
          <w:rFonts w:ascii="Arial" w:cs="Arial" w:eastAsia="Arial" w:hAnsi="Arial"/>
          <w:sz w:val="18"/>
          <w:szCs w:val="18"/>
          <w:color w:val="auto"/>
        </w:rPr>
        <w:t>prices. Manufacturing operating results declined in the third quarter and first nine months of 2020, due to a significant decline in Dekko results from lower revenues, partially offset by improved results at Hoover from significant gains on inventory sales and reduced operating costs.</w:t>
      </w:r>
    </w:p>
    <w:p>
      <w:pPr>
        <w:spacing w:after="0" w:line="11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Starting in the second half of March 2020, certain of Dekko, Joyce/Dayton and Hoover’s manufacturing plants began operating at reduced levels due to lower product demand and other jurisdictional factors related to the COVID-19 pandemic. The manufacturing businesses are tightly managing expenses and continuing with cost reduction plans to mitigate the impact of lower product demand. Overall, this is expected to continue to adversely impact manufacturing revenues and operating results for the remainder of 2020 and into 2021, particularly at Dekko. Also, wood prices declined starting in October 2020, which is expected to result in significant losses on inventory sales at Hoover in the fourth quarter of 2020, offsetting significant gains on inventory sales at Hoover in the first nine months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7"/>
                <w:szCs w:val="17"/>
                <w:color w:val="auto"/>
              </w:rPr>
            </w:pPr>
          </w:p>
        </w:tc>
      </w:tr>
      <w:tr>
        <w:trPr>
          <w:trHeight w:val="198"/>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51,426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40,688</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146,601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119,057</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23</w:t>
            </w: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8,142</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1,208</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20,129</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6,135</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187"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Graham Healthcare Group (GHG) provides home health and hospice services in three states. In December 2019, GHG acquired a 75% interest in CSI Pharmacy Holding Company, LLC (CSI), a Wake Village, TX-based company, which coordinates the prescriptions and nursing care for patients receiving in-home infusion treatments. Healthcare revenues increased 26% and 23% for the third quarter and first nine months of 2020, due to the CSI acquisition, offset by revenue declines from home health services due to lower patient volumes.</w:t>
      </w:r>
    </w:p>
    <w:p>
      <w:pPr>
        <w:spacing w:after="0" w:line="11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 the second quarter of 2020, GHG received $7.4 million from the Federal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$5.5 million and $0.2 million in revenue in the second and third quarters of 2020, respectively, to partially offset the impact of revenue reductions due to the COVID-19 pandemic from the curtailment of elective procedures by health systems and other factors. GHG recorded $1.7 million in the second quarter of 2020 as a credit to operating costs to partially offset the impact of costs incurred to procure personal protective equipment for GHG employees and other COVID-19 related costs. The improvement in GHG operating results in the third quarter and first nine months of 2020 is due to improved results from home health and hospice services and operating income from the CSI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4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As part of the transaction, the Company entered into an agreement with Christopher J. Ourisman, a member of the Ourisman Automotive Group family of dealerships, to operate and manage the dealerships. In the fourth quarter of 2019, the Company and Mr. Ourisman commenced operations at a new Jeep automotive dealership, which began generating sales in January 2020 as Ourisman Jeep of Bethesda. Mr. Ourisman and his team of industry professionals operate and manage the dealerships; Graham Holdings Company holds a 90% stake in all three dealerships. As a result of the COVID-19 pandemic and the related recessionary conditions, the Company’s automotive dealerships experienced reduced demand for sales and service beginning in March 2020. Given the uncertain and challenging operating environment for automotive dealerships, the Company completed a goodwill and other long-lived assets impairment review of its automotive dealerships in the first quarter of 2020, resulting in a $6.7 million intangible assets impairment charge.</w:t>
      </w:r>
    </w:p>
    <w:p>
      <w:pPr>
        <w:spacing w:after="0" w:line="10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Revenues for the first nine months of 2020 increased due to the new Jeep dealership and one less month of ownership in 2019, partially offset by reduced demand for sales and service in the first half of 2020 as a result of the pandemic. Operating results for the first nine months of 2020 declined from the prior year due to losses in the first half of 2020 related to the pandemic, in addition to the $6.7 million impairment charge recorded in the first quarter of 2020. Revenues increased in the third quarter of 2020 due to the new Jeep dealership and overall sales growth at the other dealerships; operating earnings also increased in the third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 (CRG)</w:t>
      </w:r>
    </w:p>
    <w:p>
      <w:pPr>
        <w:spacing w:after="0" w:line="14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On July 31, 2019, the Company acquired Clyde’s Restaurant Group (CRG). CRG owns and operates twelve restaurants and entertainment venues in the Washington, DC metropolitan area, including Old Ebbitt Grill and The Hamilton, two of the top twenty highest grossing independent restaurants in the United States. As a result of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ind w:right="80"/>
        <w:spacing w:after="0" w:line="231" w:lineRule="auto"/>
        <w:rPr>
          <w:sz w:val="20"/>
          <w:szCs w:val="20"/>
          <w:color w:val="auto"/>
        </w:rPr>
      </w:pPr>
      <w:r>
        <w:rPr>
          <w:rFonts w:ascii="Arial" w:cs="Arial" w:eastAsia="Arial" w:hAnsi="Arial"/>
          <w:sz w:val="18"/>
          <w:szCs w:val="18"/>
          <w:color w:val="auto"/>
        </w:rPr>
        <w:t>COVID-19 pandemic, CRG temporarily closed all of its restaurants and venues in the second half of March 2020, pursuant to government orders, maintaining limited operations for delivery and pickup. At the time, CRG had temporarily laid off many of its employees due to the uncertainty as to the timing, safety and other details regarding reopening. Given the uncertain and challenging operating environment for the restaurant industry, the Company completed a goodwill and other long-lived assets impairment review of CRG in the first quarter of 2020, resulting in a $9.7 million goodwill and intangible assets impairment charge.</w:t>
      </w:r>
    </w:p>
    <w:p>
      <w:pPr>
        <w:spacing w:after="0" w:line="11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May 2020, CRG began limited outdoor dining services at most of its restaurants, and in June 2020, CRG began limited indoor dining services at most of its restaurants. While many of CRG’s laid-off employees were rehired, CRG is uncertain as to the timing and other details regarding a full reopening. In June 2020, CRG made the decision to close its restaurant and entertainment venue in Columbia, MD effective July 19, 2020, resulting in accelerated depreciation of property, plant and equipment totaling $2.8 million in the second quarter of 2020; an additional $2.8 million in accelerated depreciation was recorded in the third quarter of 2020. While CRG revenues have experienced a significant adverse impact as a result of the pandemic, such revenues have improved steadily during the second and third quarters of 2020. CRG incurred significant operating losses in the third quarter and first nine months of 2020 due to limited revenues and costs incurred to maintain its facilities, support its employees and to reopen the restaurants for limited outdoor and indoor services, in addition to the impairment and accelerated depreciation charges recorded in 2020. CRG continues to develop and implement initiatives to increase sales and reduce costs to mitigate the impact of COVID-19. The pandemic is expected to continue to adversely impact CRG revenues and operating results for the remainder of 2020 and into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 and Decile</w:t>
      </w:r>
    </w:p>
    <w:p>
      <w:pPr>
        <w:spacing w:after="0" w:line="14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July 2020, SocialCode announced it would be splitting into two separate companies. SocialCode’s agency business continues as a leading digital marketing agency, operating under the new name, Code3. Code3 is a performance marketing agency focused on driving performance for brands through three core elements of digital success: media, creative and commerce. The legacy business surrounding the Audience Intelligence Platform (AIP) continues as a separate software company, operating under the new name, Decile. Decile uses first party customer data to deliver business intelligence and customer insights to its customers. As a result of these changes, Code3 and Decile are now reported in other businesses.</w:t>
      </w:r>
    </w:p>
    <w:p>
      <w:pPr>
        <w:spacing w:after="0" w:line="111"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On a combined basis, Code3 and Decile revenue declined in the third quarter and first nine months of 2020, due to reduced marketing spending by advertising clients as a result of the recessionary environment from the COVID-19 pandemic. In the second quarter of 2020, a $1.5 million lease impairment charge was recorded in connection with a restructuring plan that included other cost reduction initiatives to mitigate the adverse impact of COVID-19 on advertising demand, which is expected to continue for the remainder of 2020 and into 2021. These initiatives included the approval of a Separation Incentive Program (SIP) that reduced the number of employees, resulting in $ 1.0 million in non-operating pension expense in the second quarter of 2020. On a combined basis, Code3 and Decile reported operating losses for the third quarter and first nine months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42"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Megaphone is an investment stage business which provides podcast technology for publishers and advertisers through the Megaphone platform and Megaphone Targeted Marketplace (MTM). Megaphone’s revenues increased significantly in the first nine months of 2020, as both advertising and platform sales experienced rapid growth during the period. As an investment stage business, Megaphone reported operating losses in the third quarter and first nine months of 2020; however, such losses were down significantly from the prior year.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4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In the third quarter of 2020, Framebridge opened a new retail location in Brooklyn, NY and two new retail locations in the Atlanta, GA area. The Company previously disclosed a minority investment interest in Framebridge. As an investment stage business, Framebridge reported operating losses in the third quarter and first nine months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Pinna and CyberVista. Foreign Policy, CyberVista and Pinna reported revenue increases in the first nine months of 2020. Losses from each of these four businesses in the first nine months of 2020 adversely affected operating results.</w:t>
      </w:r>
    </w:p>
    <w:p>
      <w:pPr>
        <w:spacing w:after="0" w:line="11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Overall, for the first nine months of 2020, operating revenues for other businesses increased due largely to the CRG, Framebridge and automotive dealership acquisitions and growth at Megaphone, partially offset by declines at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ind w:right="80"/>
        <w:spacing w:after="0" w:line="234" w:lineRule="auto"/>
        <w:rPr>
          <w:sz w:val="20"/>
          <w:szCs w:val="20"/>
          <w:color w:val="auto"/>
        </w:rPr>
      </w:pPr>
      <w:r>
        <w:rPr>
          <w:rFonts w:ascii="Arial" w:cs="Arial" w:eastAsia="Arial" w:hAnsi="Arial"/>
          <w:sz w:val="18"/>
          <w:szCs w:val="18"/>
          <w:color w:val="auto"/>
        </w:rPr>
        <w:t>Code3/Decile. Revenues from other businesses increased in the third quarter of 2020, due to the Framebridge acquisition, increases at the automotive dealerships, and growth at Megaphone, partially offset by declines in revenues at CRG and Code3/Decile. CRG incurred significant losses in the third quarter and first nine months of 2020 due to the challenging operating conditions that began in March 2020 and the goodwill and other long-lived asset impairment charges recorded in the first quarter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declined in the first nine months of 2020 due primarily to lower compensation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At September 30, 2020,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$4.1 million for the third quarter of 2020, compared to $4.7 million for the third quarter of 2019. The Company recorded equity in earnings of affiliates of $3.7 million for the first nine months of 2020, compared to $7.8 million for the first nine months of 2019. The Company recorded $3.6 million in write-downs in equity in earnings of affiliates related to two of its investments in the first quarter of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6"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On June 30, 2020, the Company repaid the £60 million borrowings due under the Kaplan Credit Agreement, financed by a £60 million drawdown on the Company’s $300 million revolving credit facility.</w:t>
      </w:r>
    </w:p>
    <w:p>
      <w:pPr>
        <w:spacing w:after="0" w:line="9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11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Company incurred net interest expense of $6.4 million and $19.3 million for the third quarter and first nine months of 2020, respectively; compared to $5.3 million and $17.8 million for the third quarter and first nine months of 2019, respectively.</w:t>
      </w:r>
    </w:p>
    <w:p>
      <w:pPr>
        <w:spacing w:after="0" w:line="9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At September 30, 2020, the Company had $515.4 million in borrowings outstanding at an average interest rate of 5.0% and cash, marketable equity securities and other investments of $817.5 million. At September 30, 2020, the Company had £60 million ($77.2 million) outstanding on its $300 million revolving credit facility, in connection with the refinancing of the debt repaid under the Kaplan Credit Agreement. In management’s opinion, the Company will have sufficient financial resources to meet its business requirements in the next twelve months, including working capital requirements, capital expenditures, interest payments and dividends.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Company recorded net non-operating pension and postretirement benefit income of $10.5 million and $ 41.0 million for the third quarter and first nine months of 2020, respectively; compared to $19.6 million and $51.7 million for the third quarter and first nine months of 2019, respectively.</w:t>
      </w:r>
    </w:p>
    <w:p>
      <w:pPr>
        <w:spacing w:after="0" w:line="11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the third quarter of 2020, the Company recorded $7.8 million in expenses related to a non-operating Separation Incentive Program at the education division. In the second quarter of 2020, the Company recorded $6.0 million in expenses related to non-operating Separation Incentive Programs at the education division and other businesses. In the second quarter of 2019, the Company recorded $6.6 million in expenses related to a non-operating Separation Incentive Program at the education division.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4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Overall, the Company recognized $59.4 million in net gains and $1.1 million in net losses on marketable equity securities in the third quarter and first nine months of 2020, respectively; compared to $17.4 million and $49.3 million in net gains on marketable equity securities in the third quarter and first nine months of 2019, respectively.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Company recorded total other non-operating income, net, of $0.2 million for the third quarter of 2020, compared to $5.6 million for the third quarter of 2019. The 2020 amounts included a $1.6 million fair value increase on a cost method investment and other items; partially offset by $2.3 million in foreign currency losses. The 2019 amounts included $3.7 million in fair value increases on cost method investments; $0.7 million in foreign currency gains and other items.</w:t>
      </w:r>
    </w:p>
    <w:p>
      <w:pPr>
        <w:spacing w:after="0" w:line="11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Company recorded total other non-operating income, net, of $11.0 million for the first nine months of 2020, compared to $36.1 million for the first nine months of 2019. The 2020 amounts included a $4.2 million fair value increase on a cost method investment; a $ 3.7 million gain on acquiring a controlling interest in an equity affiliate; $1.4 million net gain on sales of equity affiliates; $0.9 million in foreign currency gains and other items; partially offset by $2.6 million in impairments on cost method investments. The 2019 amounts included a $29.0 million gain on the sale of the Company’s interest in Gimlet Media; $5.1 million in fair value increases on cost method investments; $1.3 million in foreign currency gains and other items.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nine months of 2020 was 29.6%.</w:t>
      </w:r>
    </w:p>
    <w:p>
      <w:pPr>
        <w:spacing w:after="0" w:line="14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Company’s effective tax rate for the first nine months of 2019 was 24.7%. In the first quarter of 2019, the Company recorded income tax benefits related to stock compensation of $1.7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6"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calculation of diluted earnings per share for the third quarter and first nine months of 2020 was based on 5,071,998 and 5,191,556 weighted average shares outstanding, compared to 5,328,855 and 5,327,865 for the third quarter and first nine months of 2019. At September 30, 2020, there were 5,006,473 shares outstanding. On September 10, 2020, the Board of Directors authorized the Company to acquire up to 500,000 shares of its Class B common stock; the Company has remaining authorization for 448,399 shares as of September 30,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performed an interim impairment review at CRG and the automotive dealerships given the uncertain and challenging operating environment and recorded $16.4 million in goodwill and intangible asset impairment charges in the first quarter of 2020. Following the impairments, the remaining goodwill balance at these two reporting units as of September 30, 2020 was $39.1 million, or 3% of the total goodwill of the Company.</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Company continued to evaluate the impact of the COVID-19 pandemic on the fair value of its reporting units and intangible assets during the third quarter of 2020 to determine whether it was more likely than not that the fair value of the reporting units and intangible assets were less than their carrying values. Following the evaluation, the Company performed an interim impairment review at the Dekko reporting unit in the third quarter of 2020 due to a further decline in operating results from the continued reduction in product demand in the commercial office electrical products, hospitality, transportation and industrial sectors caused by the COVID-19 pandemic. The quantitative goodwill impairment analysis indicated the estimated fair value of the Dekko reporting unit, included in the manufacturing businesses, exceeded its carrying values as of September 30, 2020. This margin is down from the 46% indicated at the time of the Company’s last annual impairment review performed as of November 30, 2019. The total goodwill at the Dekko reporting unit was $74.4 million as of September 30, 2020, or 5% of the total goodwill of the Company.</w:t>
      </w:r>
    </w:p>
    <w:p>
      <w:pPr>
        <w:spacing w:after="0" w:line="10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In connection with the Company’s annual impairment testing in 2019, the Company performed a quantitative goodwill impairment review at all of its reporting units. At the time, the estimated fair value of the Hoover reporting unit at the manufacturing businesses exceeded its carrying values by a margin less than 25%. The total goodwill at this reporting unit was $91.3 million as of September 30, 2020, or 6% of the total goodwill of the Company. The estimated fair value of the Company’s other reporting units with significant goodwill balances exceeded their respective carrying values by a margin in excess of 25%. Given the uncertain impact of the COVID-19 pandemic, it is possible that impairment charges could occur in the future, given changes in market conditions and the inherent variability in projecting future operating performance.</w:t>
      </w:r>
    </w:p>
    <w:p>
      <w:pPr>
        <w:spacing w:after="0" w:line="10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recessionary environment resulting from the COVID-19 pandemic adversely impacted the underlying businesses of Intersection Holdings, LLC due to lower marketing spending by advertising clients. The decline in revenues adversely impacted the operating results and liquidity of the business since the onset of the COVID-19 pandemic. The Company accounts for its 12% interest in Intersection Holdings, LLC under the equity method, and concluded that these events are not indicative of an other than temporary decline in the value of its investment to an amount less than its carrying value. Given the uncertain economic impact of the COVID-19 pandemic, it is possible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9" w:name="page40"/>
    <w:bookmarkEnd w:id="39"/>
    <w:p>
      <w:pPr>
        <w:ind w:right="220"/>
        <w:spacing w:after="0" w:line="260" w:lineRule="auto"/>
        <w:rPr>
          <w:sz w:val="20"/>
          <w:szCs w:val="20"/>
          <w:color w:val="auto"/>
        </w:rPr>
      </w:pPr>
      <w:r>
        <w:rPr>
          <w:rFonts w:ascii="Arial" w:cs="Arial" w:eastAsia="Arial" w:hAnsi="Arial"/>
          <w:sz w:val="18"/>
          <w:szCs w:val="18"/>
          <w:color w:val="auto"/>
        </w:rPr>
        <w:t>that an other than temporary impairment charge could occur in the future should Intersection Holdings, LLC fail to execute on its operating and financing strategy to address the decline in revenues and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20" w:type="dxa"/>
            <w:vAlign w:val="bottom"/>
          </w:tcPr>
          <w:p>
            <w:pPr>
              <w:jc w:val="right"/>
              <w:ind w:right="123"/>
              <w:spacing w:after="0" w:line="143"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202"/>
        </w:trPr>
        <w:tc>
          <w:tcPr>
            <w:tcW w:w="8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295,672</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200,165</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15,581</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13,879</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506,246</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599,967</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515,386</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512,829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revolving credit facility, amounting to $222.8 million at September 30, 2020.</w:t>
      </w:r>
    </w:p>
    <w:p>
      <w:pPr>
        <w:spacing w:after="0" w:line="11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March 2020, the U.S. government enacted legislation, including the Coronavirus Aid, Relief, and Economic Security Act (“CARES Act”) to provide stimulus in the form of financial aid to businesses affected by the COVID-19 pandemic. Under the CARES Act, employers may defer the payment of the employer share of FICA taxes due for the period beginning on March 27, 2020, and ending December 31, 2020. As of September 30, 2020, the Company has deferred $14.1 million of FICA payments under this program, of which 50% is due by December 31, 2021 and the remaining balance due by December 31, 2022.</w:t>
      </w:r>
    </w:p>
    <w:p>
      <w:pPr>
        <w:spacing w:after="0" w:line="11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the second quarter of 2020, GHG received $7.4 million under the CARES Act as a general distribution from the Provider Relief Fund to provide relief for lost revenues and expenses incurred in connection with COVID-19. In addition to the above distribution, in April 2020, GHG applied for and received $31.5 million under the expanded Medicare Accelerated and Advanced Payment Program, modified by the CARES Act. The Department of Health and Human Services will recoup this advance beginning 365 days after the payment was issued, and the advance will be reduced by a portion of the amount of revenue recognized for claims submitted for services provided after the recoupment period begins.</w:t>
      </w:r>
    </w:p>
    <w:p>
      <w:pPr>
        <w:spacing w:after="0" w:line="109"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Governments in other jurisdictions where the Company operates also provided relief to businesses affected by the COVID-19 pandemic in the form of job retention schemes, payroll assistance, deferral of income and other tax payments, and loans. As of September 30, 2020, Kaplan has recorded benefits totaling $10.4 million related to job retention and payroll schemes, mostly at Kaplan International. Additionally, Kaplan deferred VAT and other tax payments in the U.K. and Ireland amounting to $4.3 million as of September 30, 2020.</w:t>
      </w:r>
    </w:p>
    <w:p>
      <w:pPr>
        <w:spacing w:after="0" w:line="11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During the first nine months of 2020, the Company’s cash and cash equivalents increased by $95.5 million, due largely to cash generated from operations and the proceeds from the sale of marketable equity securities. The increase was offset by the repurchase of common shares, payment of dividends, capital expenditures and the acquisition of three businesses and other investments. In the first nine months of 2020, the Company’s borrowings increased by $2.6 million, primarily due to additional borrowings, which were partially offset by foreign currency translation adjustments.</w:t>
      </w:r>
    </w:p>
    <w:p>
      <w:pPr>
        <w:spacing w:after="0" w:line="11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As of September 30, 2020 and December 31, 2019, the Company had money market investments of $178.1 million and $45.2 million, respectively, that are included in cash and cash equivalents. At September 30, 2020, the Company held approximately $105 million in cash and cash equivalents in businesses domiciled outside the U.S., of which approximately $ 7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At September 30, 2020, the fair value of the Company’s investments in marketable equity securities was $491.2 million, which includes investments in the common stock of five publicly traded companies. During the first nine months of 2020, the Company sold marketable equity securities that generated proceeds of $93.8 million. At September 30, 2020, the unrealized gain related to the Company’s investments totaled $278.3 million.</w:t>
      </w:r>
    </w:p>
    <w:p>
      <w:pPr>
        <w:spacing w:after="0" w:line="11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Company had working capital of $603.6 million and $ 621.6 million at September 30, 2020 and December 31, 2019, respectively. The Company maintains working capital levels consistent with its underlying business requirements and consistently generates cash from operations in excess of required interest or principal payments.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40" w:name="page41"/>
    <w:bookmarkEnd w:id="40"/>
    <w:p>
      <w:pPr>
        <w:jc w:val="both"/>
        <w:spacing w:after="0" w:line="241" w:lineRule="auto"/>
        <w:rPr>
          <w:sz w:val="20"/>
          <w:szCs w:val="20"/>
          <w:color w:val="auto"/>
        </w:rPr>
      </w:pPr>
      <w:r>
        <w:rPr>
          <w:rFonts w:ascii="Arial" w:cs="Arial" w:eastAsia="Arial" w:hAnsi="Arial"/>
          <w:sz w:val="17"/>
          <w:szCs w:val="17"/>
          <w:color w:val="auto"/>
        </w:rPr>
        <w:t>At September 30, 2020 and December 31, 2019, the Company had borrowings outstanding of $515.4 million and $512.8 million, respectively. The Company’s borrowings at September 30, 2020 were mostly from $ 400.0 million of 5.75% unsecured notes due June 1, 2026, £60 million in outstanding borrowings under the Company’s revolving credit facility and a commercial note of $26.0 million at the Automotive subsidiary.</w:t>
      </w:r>
    </w:p>
    <w:p>
      <w:pPr>
        <w:ind w:right="80"/>
        <w:spacing w:after="0" w:line="231" w:lineRule="auto"/>
        <w:rPr>
          <w:sz w:val="20"/>
          <w:szCs w:val="20"/>
          <w:color w:val="auto"/>
        </w:rPr>
      </w:pPr>
      <w:r>
        <w:rPr>
          <w:rFonts w:ascii="Arial" w:cs="Arial" w:eastAsia="Arial" w:hAnsi="Arial"/>
          <w:sz w:val="18"/>
          <w:szCs w:val="18"/>
          <w:color w:val="auto"/>
        </w:rPr>
        <w:t>The Company’s borrowings at December 31, 2019 were mostly from $400.0 million of 5.75% unsecured notes due June 1, 2026, £60 million in outstanding borrowings under the Kaplan Credit Agreement and a commercial note of $27.5 million at the Automotive subsidiary. The interest on $400.0 million of 5.75% unsecured notes is payable semiannually on June 1 and December 1.</w:t>
      </w:r>
    </w:p>
    <w:p>
      <w:pPr>
        <w:spacing w:after="0" w:line="1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During the nine months ended September 30, 2020 and 2019, the Company had average borrowings outstanding of approximately $512.8 million and $499.7 million, respectively, at an average annual interest rate of approximately 5.1%. During the nine months ended September 30, 2020 and 2019, the Company incurred net interest expense of $19.3 million and $17.8 million, respectively.</w:t>
      </w:r>
    </w:p>
    <w:p>
      <w:pPr>
        <w:spacing w:after="0" w:line="111"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On April 10, 2020, Moody’s affirmed the Company’s credit ratings, but revised the outlook from Stable to Negative. On April 27, 2020, Standard &amp; Poor’s downgraded the Company’s credit rating to BB and revised the outlook from Stable to Negative.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Standard &amp; Poor’s</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ind w:left="4420"/>
              <w:spacing w:after="0"/>
              <w:rPr>
                <w:sz w:val="20"/>
                <w:szCs w:val="20"/>
                <w:color w:val="auto"/>
              </w:rPr>
            </w:pPr>
            <w:r>
              <w:rPr>
                <w:rFonts w:ascii="Arial" w:cs="Arial" w:eastAsia="Arial" w:hAnsi="Arial"/>
                <w:sz w:val="16"/>
                <w:szCs w:val="16"/>
                <w:color w:val="auto"/>
              </w:rPr>
              <w:t>Ba1</w:t>
            </w:r>
          </w:p>
        </w:tc>
        <w:tc>
          <w:tcPr>
            <w:tcW w:w="1660" w:type="dxa"/>
            <w:vAlign w:val="bottom"/>
          </w:tcPr>
          <w:p>
            <w:pPr>
              <w:ind w:left="1420"/>
              <w:spacing w:after="0"/>
              <w:rPr>
                <w:sz w:val="20"/>
                <w:szCs w:val="20"/>
                <w:color w:val="auto"/>
              </w:rPr>
            </w:pPr>
            <w:r>
              <w:rPr>
                <w:rFonts w:ascii="Arial" w:cs="Arial" w:eastAsia="Arial" w:hAnsi="Arial"/>
                <w:sz w:val="16"/>
                <w:szCs w:val="16"/>
                <w:color w:val="auto"/>
              </w:rPr>
              <w:t>BB</w:t>
            </w:r>
          </w:p>
        </w:tc>
      </w:tr>
    </w:tbl>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As of September 30, 2020, the Company had $ 77.2 million outstanding under the $300 million revolving credit facility, which borrowing was used to repay the £60 million Kaplan U.K. credit facility that matured at the end of June 2020.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0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2019</w:t>
            </w:r>
          </w:p>
        </w:tc>
      </w:tr>
      <w:tr>
        <w:trPr>
          <w:trHeight w:val="217"/>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240,890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72,284</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12,722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(202,450)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(153,674)</w:t>
            </w:r>
          </w:p>
        </w:tc>
        <w:tc>
          <w:tcPr>
            <w:tcW w:w="5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25,635</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(2,729)</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97,209</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(106,708)</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63,025</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181,862</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8420" w:type="dxa"/>
            <w:vAlign w:val="bottom"/>
          </w:tcPr>
          <w:p>
            <w:pPr>
              <w:ind w:left="1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130,568</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83,335</w:t>
            </w:r>
          </w:p>
        </w:tc>
      </w:tr>
      <w:tr>
        <w:trPr>
          <w:trHeight w:val="229"/>
        </w:trPr>
        <w:tc>
          <w:tcPr>
            <w:tcW w:w="8420" w:type="dxa"/>
            <w:vAlign w:val="bottom"/>
          </w:tcPr>
          <w:p>
            <w:pPr>
              <w:ind w:left="12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70,214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61,797</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(27,669)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(33,061)</w:t>
            </w:r>
          </w:p>
        </w:tc>
      </w:tr>
      <w:tr>
        <w:trPr>
          <w:trHeight w:val="230"/>
        </w:trPr>
        <w:tc>
          <w:tcPr>
            <w:tcW w:w="8420" w:type="dxa"/>
            <w:vAlign w:val="bottom"/>
          </w:tcPr>
          <w:p>
            <w:pPr>
              <w:ind w:left="12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7,895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(35,197)</w:t>
            </w:r>
          </w:p>
        </w:tc>
      </w:tr>
      <w:tr>
        <w:trPr>
          <w:trHeight w:val="233"/>
        </w:trPr>
        <w:tc>
          <w:tcPr>
            <w:tcW w:w="842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(3,143)</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(186,452)</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240,890</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72,284</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For the first nine months of 2020 compared to the first nine months of 2019, the increase in net cash provided by operating activities is primarily due to changes in operating assets and liabilities. Changes in operating assets and liabilities were driven by the collection of accounts receivable, the advance received by GHG under the expanded Medicare Accelerated and Advanced Payment Program as modified by the CARES Act, and the deferral of FICA payments under the CARES Act.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provided by (used in) investing activities were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8"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certain businesses, net of cash acquired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right="2900"/>
        <w:spacing w:after="0" w:line="299" w:lineRule="auto"/>
        <w:rPr>
          <w:sz w:val="20"/>
          <w:szCs w:val="20"/>
          <w:color w:val="auto"/>
        </w:rPr>
      </w:pPr>
      <w:r>
        <w:rPr>
          <w:rFonts w:ascii="Arial" w:cs="Arial" w:eastAsia="Arial" w:hAnsi="Arial"/>
          <w:sz w:val="16"/>
          <w:szCs w:val="16"/>
          <w:color w:val="auto"/>
        </w:rPr>
        <w:t>Net proceeds from sales of marketable equity securities Investments in equity affiliates, cost method and other investments</w:t>
      </w:r>
    </w:p>
    <w:p>
      <w:pPr>
        <w:spacing w:after="0" w:line="1" w:lineRule="exact"/>
        <w:rPr>
          <w:sz w:val="20"/>
          <w:szCs w:val="20"/>
          <w:color w:val="auto"/>
        </w:rPr>
      </w:pPr>
    </w:p>
    <w:p>
      <w:pPr>
        <w:ind w:left="20" w:right="1420"/>
        <w:spacing w:after="0" w:line="324" w:lineRule="auto"/>
        <w:rPr>
          <w:sz w:val="20"/>
          <w:szCs w:val="20"/>
          <w:color w:val="auto"/>
        </w:rPr>
      </w:pPr>
      <w:r>
        <w:rPr>
          <w:rFonts w:ascii="Arial" w:cs="Arial" w:eastAsia="Arial" w:hAnsi="Arial"/>
          <w:sz w:val="16"/>
          <w:szCs w:val="16"/>
          <w:color w:val="auto"/>
        </w:rPr>
        <w:t>Net proceeds from sales of businesses, property, plant and equipment and investments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(20,080)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(162,060)</w:t>
            </w:r>
          </w:p>
        </w:tc>
      </w:tr>
      <w:tr>
        <w:trPr>
          <w:trHeight w:val="229"/>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(56,121)</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(75,712)</w:t>
            </w:r>
          </w:p>
        </w:tc>
      </w:tr>
      <w:tr>
        <w:trPr>
          <w:trHeight w:val="230"/>
        </w:trPr>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93,775</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10,087</w:t>
            </w:r>
          </w:p>
        </w:tc>
      </w:tr>
      <w:tr>
        <w:trPr>
          <w:trHeight w:val="229"/>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(8,298)</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(25,836)</w:t>
            </w:r>
          </w:p>
        </w:tc>
      </w:tr>
      <w:tr>
        <w:trPr>
          <w:trHeight w:val="230"/>
        </w:trPr>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1,570</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53,785</w:t>
            </w:r>
          </w:p>
        </w:tc>
      </w:tr>
      <w:tr>
        <w:trPr>
          <w:trHeight w:val="233"/>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1,876</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(2,714)</w:t>
            </w:r>
          </w:p>
        </w:tc>
      </w:tr>
      <w:tr>
        <w:trPr>
          <w:trHeight w:val="226"/>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12,722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(202,450)</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7700" w:space="720"/>
            <w:col w:w="2800"/>
          </w:cols>
          <w:pgMar w:left="320" w:top="925" w:right="359" w:bottom="1440" w:gutter="0" w:footer="0" w:header="0"/>
          <w:type w:val="continuous"/>
        </w:sectPr>
      </w:pPr>
    </w:p>
    <w:p>
      <w:pPr>
        <w:ind w:right="20"/>
        <w:spacing w:after="0" w:line="231"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nine months of 2020, the Company acquired three businesses: two small businesses in its education division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an additional interest in Framebridge, Inc., which is included in other businesses. The Framebridge purchase price includes $54.3 million in deferred payments and contingent consideration based on the acquiree achieving certain revenue milestones in the future. During the first nine months of 2019, the Company acquired an interest in two automotive dealerships for cash and the assumption of floor plan payables, Clyde’s Restaurant Group, and four other small businesses.</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for the first nine months of 2020 were lower than the first nine months of 2019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an academic and student residential facility in connection with Kaplan’s Pathways program in Liverpool, U.K. Both periods include capital expenditures in connection with spectrum repacking at the Company’s television stations in Detroit, MI, Jacksonville, FL, and Roanoke, VA, as mandated by the FCC; these expenditures are expected to be largely reimbursed to the Company by the FCC. The amounts reflected in the Company’s Condensed Consolidated Statements of Cash Flows are based on cash payments made during the relevant periods, whereas the Company’s capital expenditures for the first nine months of 2020 of $52.4 million include assets acquired during the quarter. The Company is also postponing noncritical capital expenditures originally planned for 2020 to preserve cash resources in response to the COVID-19 pandemic. The Company estimates that its capital expenditures will be in the range of $55 million to $65 million in 2020.</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i w:val="1"/>
          <w:iCs w:val="1"/>
          <w:color w:val="auto"/>
        </w:rPr>
        <w:t xml:space="preserve">Net proceeds from sale of investments and businesses. </w:t>
      </w:r>
      <w:r>
        <w:rPr>
          <w:rFonts w:ascii="Arial" w:cs="Arial" w:eastAsia="Arial" w:hAnsi="Arial"/>
          <w:sz w:val="18"/>
          <w:szCs w:val="18"/>
          <w:color w:val="auto"/>
        </w:rPr>
        <w:t>During the first nine months of 2020 and 2019, the Company sold marketable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that generated proceeds of $93.8 million and $17.6 million, respectively. The Company purchased $ 7.5 million of marketable equity securities during the first nine months of 2019. The Company sold its interest in Gimlet Media during February 2019; the total proceeds from the sale were $33.5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provided by financing activities were as follows:</w:t>
      </w:r>
    </w:p>
    <w:p>
      <w:pPr>
        <w:spacing w:after="0" w:line="15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r>
      <w:tr>
        <w:trPr>
          <w:trHeight w:val="217"/>
        </w:trPr>
        <w:tc>
          <w:tcPr>
            <w:tcW w:w="842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2,084</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(75,841)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(7,901)</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borrowing under revolving credit facility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75,905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(16,300)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15,106</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(123,155)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(22,870)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(22,167)</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6,503</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5,597</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(153,674)</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nine months of 2020, the Company borrowed £60 million against the $300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and used the proceeds to repay the £60 million outstanding balance under the Kaplan Credit Agreement that matured at the end of June 2020. In the first nine months of 2019, the Company had cash inflows from borrowings to fund the acquisition of a business at Automotive and used floor vehicle plan financing to fund the purchase of new vehicles at its Automotive subsidiary.</w:t>
      </w:r>
    </w:p>
    <w:p>
      <w:pPr>
        <w:spacing w:after="0" w:line="57" w:lineRule="exact"/>
        <w:rPr>
          <w:sz w:val="20"/>
          <w:szCs w:val="20"/>
          <w:color w:val="auto"/>
        </w:rPr>
      </w:pPr>
    </w:p>
    <w:p>
      <w:pPr>
        <w:spacing w:after="0" w:line="231"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nine months of 2020, the Company purchased a total of 321,864 shares of its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cost of approximately $123.2 million. During the first nine months of 2019, the Company did not purchase any shares of its Class B common stock. On September 10, 2020, the Board of Directors authorized the Company to acquire up to 500,000 shares of its Class B common stock. The Company did not announce a ceiling price or time limit for the purchases. At September 30, 2020, the Company had remaining authorization from the Board of Directors to purchase up to 448,399 shares of Class B common stock.</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$1.45 and $1.39 for the first nine months of 2020 and 2019, respectively.</w:t>
      </w:r>
    </w:p>
    <w:p>
      <w:pPr>
        <w:spacing w:after="0" w:line="14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nine months of 2020, the Company increased the borrowings under its cash overdraft facilities by $6.5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$ 5.3 million in proceeds from the exercise of stock options. In March 2019, a Hoover minority shareholder put some shares to the Company, which had a redemption value of $0.6 million.</w:t>
      </w:r>
    </w:p>
    <w:p>
      <w:pPr>
        <w:spacing w:after="0" w:line="11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report, in the Company’s Annual Report on Form 10-K and in the Company’s 2019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6"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2019 Annual Report filed on Form 10-K have not otherwise changed significantly.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8"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 -15(e) and 15d-15(e)), as of September 30, 2020.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2020</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43" w:name="page44"/>
    <w:bookmarkEnd w:id="43"/>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44"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During the quarter ended September 30, 2020, the Company purchased shares of its Class B Common Stock as set forth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202"/>
        </w:trPr>
        <w:tc>
          <w:tcPr>
            <w:tcW w:w="4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30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6"/>
                <w:szCs w:val="16"/>
                <w:color w:val="auto"/>
              </w:rPr>
              <w:t>July</w:t>
            </w:r>
          </w:p>
        </w:tc>
        <w:tc>
          <w:tcPr>
            <w:tcW w:w="1320" w:type="dxa"/>
            <w:vAlign w:val="bottom"/>
          </w:tcPr>
          <w:p>
            <w:pPr>
              <w:jc w:val="right"/>
              <w:spacing w:after="0"/>
              <w:rPr>
                <w:sz w:val="20"/>
                <w:szCs w:val="20"/>
                <w:color w:val="auto"/>
              </w:rPr>
            </w:pPr>
            <w:r>
              <w:rPr>
                <w:rFonts w:ascii="Arial" w:cs="Arial" w:eastAsia="Arial" w:hAnsi="Arial"/>
                <w:sz w:val="16"/>
                <w:szCs w:val="16"/>
                <w:color w:val="auto"/>
              </w:rPr>
              <w:t>47,171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342.10</w:t>
            </w:r>
          </w:p>
        </w:tc>
        <w:tc>
          <w:tcPr>
            <w:tcW w:w="1720" w:type="dxa"/>
            <w:vAlign w:val="bottom"/>
          </w:tcPr>
          <w:p>
            <w:pPr>
              <w:jc w:val="right"/>
              <w:spacing w:after="0"/>
              <w:rPr>
                <w:sz w:val="20"/>
                <w:szCs w:val="20"/>
                <w:color w:val="auto"/>
              </w:rPr>
            </w:pPr>
            <w:r>
              <w:rPr>
                <w:rFonts w:ascii="Arial" w:cs="Arial" w:eastAsia="Arial" w:hAnsi="Arial"/>
                <w:sz w:val="16"/>
                <w:szCs w:val="16"/>
                <w:color w:val="auto"/>
              </w:rPr>
              <w:t>47,171</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53,825</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6"/>
                <w:szCs w:val="16"/>
                <w:color w:val="auto"/>
              </w:rPr>
              <w:t>August</w:t>
            </w:r>
          </w:p>
        </w:tc>
        <w:tc>
          <w:tcPr>
            <w:tcW w:w="1320" w:type="dxa"/>
            <w:vAlign w:val="bottom"/>
          </w:tcPr>
          <w:p>
            <w:pPr>
              <w:jc w:val="right"/>
              <w:spacing w:after="0"/>
              <w:rPr>
                <w:sz w:val="20"/>
                <w:szCs w:val="20"/>
                <w:color w:val="auto"/>
              </w:rPr>
            </w:pPr>
            <w:r>
              <w:rPr>
                <w:rFonts w:ascii="Arial" w:cs="Arial" w:eastAsia="Arial" w:hAnsi="Arial"/>
                <w:sz w:val="16"/>
                <w:szCs w:val="16"/>
                <w:color w:val="auto"/>
              </w:rPr>
              <w:t>50,984</w:t>
            </w:r>
          </w:p>
        </w:tc>
        <w:tc>
          <w:tcPr>
            <w:tcW w:w="2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414.51</w:t>
            </w:r>
          </w:p>
        </w:tc>
        <w:tc>
          <w:tcPr>
            <w:tcW w:w="1720" w:type="dxa"/>
            <w:vAlign w:val="bottom"/>
          </w:tcPr>
          <w:p>
            <w:pPr>
              <w:jc w:val="right"/>
              <w:spacing w:after="0"/>
              <w:rPr>
                <w:sz w:val="20"/>
                <w:szCs w:val="20"/>
                <w:color w:val="auto"/>
              </w:rPr>
            </w:pPr>
            <w:r>
              <w:rPr>
                <w:rFonts w:ascii="Arial" w:cs="Arial" w:eastAsia="Arial" w:hAnsi="Arial"/>
                <w:sz w:val="16"/>
                <w:szCs w:val="16"/>
                <w:color w:val="auto"/>
              </w:rPr>
              <w:t>50,984</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Arial" w:cs="Arial" w:eastAsia="Arial" w:hAnsi="Arial"/>
                <w:sz w:val="16"/>
                <w:szCs w:val="16"/>
                <w:color w:val="auto"/>
              </w:rPr>
              <w:t>September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54,442</w:t>
            </w:r>
          </w:p>
        </w:tc>
        <w:tc>
          <w:tcPr>
            <w:tcW w:w="240" w:type="dxa"/>
            <w:vAlign w:val="bottom"/>
          </w:tcPr>
          <w:p>
            <w:pPr>
              <w:spacing w:after="0"/>
              <w:rPr>
                <w:sz w:val="20"/>
                <w:szCs w:val="20"/>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422.10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54,442</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448,399</w:t>
            </w:r>
          </w:p>
        </w:tc>
        <w:tc>
          <w:tcPr>
            <w:tcW w:w="0" w:type="dxa"/>
            <w:vAlign w:val="bottom"/>
          </w:tcPr>
          <w:p>
            <w:pPr>
              <w:spacing w:after="0"/>
              <w:rPr>
                <w:sz w:val="1"/>
                <w:szCs w:val="1"/>
                <w:color w:val="auto"/>
              </w:rPr>
            </w:pPr>
          </w:p>
        </w:tc>
      </w:tr>
      <w:tr>
        <w:trPr>
          <w:trHeight w:val="219"/>
        </w:trPr>
        <w:tc>
          <w:tcPr>
            <w:tcW w:w="4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152,597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394.83</w:t>
            </w:r>
          </w:p>
        </w:tc>
        <w:tc>
          <w:tcPr>
            <w:tcW w:w="1720" w:type="dxa"/>
            <w:vAlign w:val="bottom"/>
          </w:tcPr>
          <w:p>
            <w:pPr>
              <w:jc w:val="right"/>
              <w:spacing w:after="0"/>
              <w:rPr>
                <w:sz w:val="20"/>
                <w:szCs w:val="20"/>
                <w:color w:val="auto"/>
              </w:rPr>
            </w:pPr>
            <w:r>
              <w:rPr>
                <w:rFonts w:ascii="Arial" w:cs="Arial" w:eastAsia="Arial" w:hAnsi="Arial"/>
                <w:sz w:val="16"/>
                <w:szCs w:val="16"/>
                <w:color w:val="auto"/>
              </w:rPr>
              <w:t>152,597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*On November 9, 2017 the Company’s Board of Directors authorized the Company to purchase, on the open market or otherwise, up to 500,000 shares of its Class B Common Stock. That authorization included 163,237 shares that remained under the previous authorization. There was no expiration date for that authorization. On September 10, 2020, the Company’s Board of Directors authorized the Company to purchase, on the open market or otherwise, up to 500,000 shares of its Class B Common Stock. There is no expiration date for this authorization. All purchases made during the quarter ended September 30, 2020 were open market transactions.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14"/>
                <w:szCs w:val="14"/>
                <w:color w:val="auto"/>
              </w:rPr>
            </w:pPr>
          </w:p>
        </w:tc>
        <w:tc>
          <w:tcPr>
            <w:tcW w:w="6080" w:type="dxa"/>
            <w:vAlign w:val="bottom"/>
            <w:gridSpan w:val="10"/>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2"/>
        </w:trPr>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7"/>
                <w:szCs w:val="17"/>
                <w:color w:val="auto"/>
              </w:rPr>
            </w:pPr>
          </w:p>
        </w:tc>
        <w:tc>
          <w:tcPr>
            <w:tcW w:w="6080" w:type="dxa"/>
            <w:vAlign w:val="bottom"/>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0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100" w:type="dxa"/>
            <w:vAlign w:val="bottom"/>
          </w:tcPr>
          <w:p>
            <w:pPr>
              <w:ind w:left="120"/>
              <w:spacing w:after="0"/>
              <w:rPr>
                <w:sz w:val="20"/>
                <w:szCs w:val="20"/>
                <w:color w:val="auto"/>
              </w:rPr>
            </w:pPr>
            <w:r>
              <w:rPr>
                <w:rFonts w:ascii="Arial" w:cs="Arial" w:eastAsia="Arial" w:hAnsi="Arial"/>
                <w:sz w:val="16"/>
                <w:szCs w:val="16"/>
                <w:color w:val="auto"/>
              </w:rPr>
              <w:t>3.1</w:t>
            </w:r>
          </w:p>
        </w:tc>
        <w:tc>
          <w:tcPr>
            <w:tcW w:w="10100" w:type="dxa"/>
            <w:vAlign w:val="bottom"/>
            <w:gridSpan w:val="11"/>
          </w:tcPr>
          <w:p>
            <w:pPr>
              <w:spacing w:after="0"/>
              <w:rPr>
                <w:rFonts w:ascii="Arial" w:cs="Arial" w:eastAsia="Arial" w:hAnsi="Arial"/>
                <w:sz w:val="16"/>
                <w:szCs w:val="16"/>
                <w:color w:val="0000FF"/>
              </w:rPr>
            </w:pPr>
            <w:hyperlink r:id="rId63">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7"/>
          </w:tcPr>
          <w:p>
            <w:pPr>
              <w:spacing w:after="0" w:line="155" w:lineRule="exact"/>
              <w:rPr>
                <w:rFonts w:ascii="Arial" w:cs="Arial" w:eastAsia="Arial" w:hAnsi="Arial"/>
                <w:sz w:val="16"/>
                <w:szCs w:val="16"/>
                <w:color w:val="0000FF"/>
              </w:rPr>
            </w:pPr>
            <w:hyperlink r:id="rId63">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20"/>
              <w:spacing w:after="0"/>
              <w:rPr>
                <w:sz w:val="20"/>
                <w:szCs w:val="20"/>
                <w:color w:val="auto"/>
              </w:rPr>
            </w:pPr>
            <w:r>
              <w:rPr>
                <w:rFonts w:ascii="Arial" w:cs="Arial" w:eastAsia="Arial" w:hAnsi="Arial"/>
                <w:sz w:val="16"/>
                <w:szCs w:val="16"/>
                <w:color w:val="auto"/>
              </w:rPr>
              <w:t>3.2</w:t>
            </w:r>
          </w:p>
        </w:tc>
        <w:tc>
          <w:tcPr>
            <w:tcW w:w="10100" w:type="dxa"/>
            <w:vAlign w:val="bottom"/>
            <w:gridSpan w:val="11"/>
          </w:tcPr>
          <w:p>
            <w:pPr>
              <w:spacing w:after="0"/>
              <w:rPr>
                <w:rFonts w:ascii="Arial" w:cs="Arial" w:eastAsia="Arial" w:hAnsi="Arial"/>
                <w:sz w:val="16"/>
                <w:szCs w:val="16"/>
                <w:color w:val="0000FF"/>
              </w:rPr>
            </w:pPr>
            <w:hyperlink r:id="rId64">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20" w:type="dxa"/>
            <w:vAlign w:val="bottom"/>
            <w:tcBorders>
              <w:top w:val="single" w:sz="8" w:color="0000FF"/>
            </w:tcBorders>
            <w:gridSpan w:val="5"/>
          </w:tcPr>
          <w:p>
            <w:pPr>
              <w:spacing w:after="0" w:line="155" w:lineRule="exact"/>
              <w:rPr>
                <w:rFonts w:ascii="Arial" w:cs="Arial" w:eastAsia="Arial" w:hAnsi="Arial"/>
                <w:sz w:val="16"/>
                <w:szCs w:val="16"/>
                <w:color w:val="0000FF"/>
              </w:rPr>
            </w:pPr>
            <w:hyperlink r:id="rId64">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20"/>
              <w:spacing w:after="0"/>
              <w:rPr>
                <w:sz w:val="20"/>
                <w:szCs w:val="20"/>
                <w:color w:val="auto"/>
              </w:rPr>
            </w:pPr>
            <w:r>
              <w:rPr>
                <w:rFonts w:ascii="Arial" w:cs="Arial" w:eastAsia="Arial" w:hAnsi="Arial"/>
                <w:sz w:val="16"/>
                <w:szCs w:val="16"/>
                <w:color w:val="auto"/>
              </w:rPr>
              <w:t>3.3</w:t>
            </w:r>
          </w:p>
        </w:tc>
        <w:tc>
          <w:tcPr>
            <w:tcW w:w="10100" w:type="dxa"/>
            <w:vAlign w:val="bottom"/>
            <w:gridSpan w:val="11"/>
          </w:tcPr>
          <w:p>
            <w:pPr>
              <w:spacing w:after="0"/>
              <w:rPr>
                <w:rFonts w:ascii="Arial" w:cs="Arial" w:eastAsia="Arial" w:hAnsi="Arial"/>
                <w:sz w:val="16"/>
                <w:szCs w:val="16"/>
                <w:color w:val="0000FF"/>
              </w:rPr>
            </w:pPr>
            <w:hyperlink r:id="rId65">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8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Current Report on Form 8-K dated November 29, 2013).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20"/>
              <w:spacing w:after="0"/>
              <w:rPr>
                <w:sz w:val="20"/>
                <w:szCs w:val="20"/>
                <w:color w:val="auto"/>
              </w:rPr>
            </w:pPr>
            <w:r>
              <w:rPr>
                <w:rFonts w:ascii="Arial" w:cs="Arial" w:eastAsia="Arial" w:hAnsi="Arial"/>
                <w:sz w:val="16"/>
                <w:szCs w:val="16"/>
                <w:color w:val="auto"/>
              </w:rPr>
              <w:t>4.1</w:t>
            </w:r>
          </w:p>
        </w:tc>
        <w:tc>
          <w:tcPr>
            <w:tcW w:w="10100" w:type="dxa"/>
            <w:vAlign w:val="bottom"/>
            <w:gridSpan w:val="11"/>
          </w:tcPr>
          <w:p>
            <w:pPr>
              <w:spacing w:after="0"/>
              <w:rPr>
                <w:rFonts w:ascii="Arial" w:cs="Arial" w:eastAsia="Arial" w:hAnsi="Arial"/>
                <w:sz w:val="16"/>
                <w:szCs w:val="16"/>
                <w:color w:val="0000FF"/>
              </w:rPr>
            </w:pPr>
            <w:hyperlink r:id="rId66">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9540" w:type="dxa"/>
            <w:vAlign w:val="bottom"/>
            <w:tcBorders>
              <w:top w:val="single" w:sz="8" w:color="0000FF"/>
            </w:tcBorders>
            <w:gridSpan w:val="6"/>
          </w:tcPr>
          <w:p>
            <w:pPr>
              <w:spacing w:after="0"/>
              <w:rPr>
                <w:rFonts w:ascii="Arial" w:cs="Arial" w:eastAsia="Arial" w:hAnsi="Arial"/>
                <w:sz w:val="16"/>
                <w:szCs w:val="16"/>
                <w:u w:val="single" w:color="auto"/>
                <w:color w:val="0000FF"/>
              </w:rPr>
            </w:pPr>
            <w:hyperlink r:id="rId66">
              <w:r>
                <w:rPr>
                  <w:rFonts w:ascii="Arial" w:cs="Arial" w:eastAsia="Arial" w:hAnsi="Arial"/>
                  <w:sz w:val="16"/>
                  <w:szCs w:val="16"/>
                  <w:u w:val="single" w:color="auto"/>
                  <w:color w:val="0000FF"/>
                </w:rPr>
                <w:t>Trustee (incorporated by reference to Exhibit 4.1 to the Company’s Current Report on Form 8-K dated May 30, 2018).</w:t>
              </w:r>
            </w:hyperlink>
          </w:p>
        </w:tc>
        <w:tc>
          <w:tcPr>
            <w:tcW w:w="40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6"/>
        </w:trPr>
        <w:tc>
          <w:tcPr>
            <w:tcW w:w="1100" w:type="dxa"/>
            <w:vAlign w:val="bottom"/>
          </w:tcPr>
          <w:p>
            <w:pPr>
              <w:ind w:left="120"/>
              <w:spacing w:after="0"/>
              <w:rPr>
                <w:sz w:val="20"/>
                <w:szCs w:val="20"/>
                <w:color w:val="auto"/>
              </w:rPr>
            </w:pPr>
            <w:r>
              <w:rPr>
                <w:rFonts w:ascii="Arial" w:cs="Arial" w:eastAsia="Arial" w:hAnsi="Arial"/>
                <w:sz w:val="16"/>
                <w:szCs w:val="16"/>
                <w:color w:val="auto"/>
              </w:rPr>
              <w:t>4.2</w:t>
            </w:r>
          </w:p>
        </w:tc>
        <w:tc>
          <w:tcPr>
            <w:tcW w:w="10100" w:type="dxa"/>
            <w:vAlign w:val="bottom"/>
            <w:gridSpan w:val="11"/>
          </w:tcPr>
          <w:p>
            <w:pPr>
              <w:spacing w:after="0"/>
              <w:rPr>
                <w:rFonts w:ascii="Arial" w:cs="Arial" w:eastAsia="Arial" w:hAnsi="Arial"/>
                <w:sz w:val="16"/>
                <w:szCs w:val="16"/>
                <w:color w:val="0000FF"/>
              </w:rPr>
            </w:pPr>
            <w:hyperlink r:id="rId67">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w w:val="99"/>
              </w:rPr>
            </w:pPr>
            <w:hyperlink r:id="rId67">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80" w:type="dxa"/>
            <w:vAlign w:val="bottom"/>
            <w:tcBorders>
              <w:bottom w:val="single" w:sz="8" w:color="0000FF"/>
            </w:tcBorders>
            <w:gridSpan w:val="2"/>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Quarterly Report on Form 10-Q for the quarter ended March 31, 2020).</w:t>
              </w:r>
            </w:hyperlink>
          </w:p>
        </w:tc>
        <w:tc>
          <w:tcPr>
            <w:tcW w:w="4960" w:type="dxa"/>
            <w:vAlign w:val="bottom"/>
            <w:gridSpan w:val="8"/>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6"/>
        </w:trPr>
        <w:tc>
          <w:tcPr>
            <w:tcW w:w="1100" w:type="dxa"/>
            <w:vAlign w:val="bottom"/>
          </w:tcPr>
          <w:p>
            <w:pPr>
              <w:ind w:left="120"/>
              <w:spacing w:after="0"/>
              <w:rPr>
                <w:sz w:val="20"/>
                <w:szCs w:val="20"/>
                <w:color w:val="auto"/>
              </w:rPr>
            </w:pPr>
            <w:r>
              <w:rPr>
                <w:rFonts w:ascii="Arial" w:cs="Arial" w:eastAsia="Arial" w:hAnsi="Arial"/>
                <w:sz w:val="16"/>
                <w:szCs w:val="16"/>
                <w:color w:val="auto"/>
              </w:rPr>
              <w:t>31.1</w:t>
            </w:r>
          </w:p>
        </w:tc>
        <w:tc>
          <w:tcPr>
            <w:tcW w:w="10100" w:type="dxa"/>
            <w:vAlign w:val="bottom"/>
            <w:gridSpan w:val="11"/>
          </w:tcPr>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Rule 13a-14(a)/15d-14(a) Certification of the Chief Executive Officer.</w:t>
              </w:r>
            </w:hyperlink>
          </w:p>
        </w:tc>
        <w:tc>
          <w:tcPr>
            <w:tcW w:w="0" w:type="dxa"/>
            <w:vAlign w:val="bottom"/>
          </w:tcPr>
          <w:p>
            <w:pPr>
              <w:spacing w:after="0"/>
              <w:rPr>
                <w:sz w:val="1"/>
                <w:szCs w:val="1"/>
                <w:color w:val="auto"/>
              </w:rPr>
            </w:pPr>
          </w:p>
        </w:tc>
      </w:tr>
      <w:tr>
        <w:trPr>
          <w:trHeight w:val="783"/>
        </w:trPr>
        <w:tc>
          <w:tcPr>
            <w:tcW w:w="1100" w:type="dxa"/>
            <w:vAlign w:val="bottom"/>
          </w:tcPr>
          <w:p>
            <w:pPr>
              <w:ind w:left="120"/>
              <w:spacing w:after="0"/>
              <w:rPr>
                <w:sz w:val="20"/>
                <w:szCs w:val="20"/>
                <w:color w:val="auto"/>
              </w:rPr>
            </w:pPr>
            <w:r>
              <w:rPr>
                <w:rFonts w:ascii="Arial" w:cs="Arial" w:eastAsia="Arial" w:hAnsi="Arial"/>
                <w:sz w:val="16"/>
                <w:szCs w:val="16"/>
                <w:color w:val="auto"/>
              </w:rPr>
              <w:t>31.2</w:t>
            </w:r>
          </w:p>
        </w:tc>
        <w:tc>
          <w:tcPr>
            <w:tcW w:w="10100" w:type="dxa"/>
            <w:vAlign w:val="bottom"/>
            <w:gridSpan w:val="11"/>
          </w:tcPr>
          <w:p>
            <w:pPr>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Rule 13a-14(a)/15d-14(a) Certification of the Chief Financial Officer.</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left="1100" w:hanging="971"/>
        <w:spacing w:after="0"/>
        <w:tabs>
          <w:tab w:leader="none" w:pos="1100" w:val="left"/>
        </w:tabs>
        <w:numPr>
          <w:ilvl w:val="0"/>
          <w:numId w:val="12"/>
        </w:numPr>
        <w:rPr>
          <w:rFonts w:ascii="Arial" w:cs="Arial" w:eastAsia="Arial" w:hAnsi="Arial"/>
          <w:sz w:val="16"/>
          <w:szCs w:val="16"/>
          <w:color w:val="0000FF"/>
        </w:rPr>
      </w:pPr>
      <w:hyperlink w:anchor="page49">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9"/>
        </w:trPr>
        <w:tc>
          <w:tcPr>
            <w:tcW w:w="82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608"/>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607"/>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608"/>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608"/>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608"/>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389" w:lineRule="exact"/>
        <w:rPr>
          <w:sz w:val="20"/>
          <w:szCs w:val="20"/>
          <w:color w:val="auto"/>
        </w:rPr>
      </w:pPr>
    </w:p>
    <w:p>
      <w:pPr>
        <w:ind w:left="1100" w:hanging="971"/>
        <w:spacing w:after="0"/>
        <w:tabs>
          <w:tab w:leader="none" w:pos="11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ectPr>
          <w:pgSz w:w="11900" w:h="16838" w:orient="portrait"/>
          <w:cols w:equalWidth="0" w:num="1">
            <w:col w:w="11200"/>
          </w:cols>
          <w:pgMar w:left="320" w:top="925" w:right="37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7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43"/>
        </w:trPr>
        <w:tc>
          <w:tcPr>
            <w:tcW w:w="37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31"/>
        </w:trPr>
        <w:tc>
          <w:tcPr>
            <w:tcW w:w="3720" w:type="dxa"/>
            <w:vAlign w:val="bottom"/>
          </w:tcPr>
          <w:p>
            <w:pPr>
              <w:spacing w:after="0"/>
              <w:rPr>
                <w:sz w:val="20"/>
                <w:szCs w:val="20"/>
                <w:color w:val="auto"/>
              </w:rPr>
            </w:pPr>
            <w:r>
              <w:rPr>
                <w:rFonts w:ascii="Arial" w:cs="Arial" w:eastAsia="Arial" w:hAnsi="Arial"/>
                <w:sz w:val="18"/>
                <w:szCs w:val="18"/>
                <w:color w:val="auto"/>
              </w:rPr>
              <w:t>Date: November 4, 2020</w:t>
            </w:r>
          </w:p>
        </w:tc>
        <w:tc>
          <w:tcPr>
            <w:tcW w:w="344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47"/>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35"/>
        </w:trPr>
        <w:tc>
          <w:tcPr>
            <w:tcW w:w="37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202"/>
        </w:trPr>
        <w:tc>
          <w:tcPr>
            <w:tcW w:w="3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495"/>
        </w:trPr>
        <w:tc>
          <w:tcPr>
            <w:tcW w:w="3720" w:type="dxa"/>
            <w:vAlign w:val="bottom"/>
          </w:tcPr>
          <w:p>
            <w:pPr>
              <w:spacing w:after="0"/>
              <w:rPr>
                <w:sz w:val="20"/>
                <w:szCs w:val="20"/>
                <w:color w:val="auto"/>
              </w:rPr>
            </w:pPr>
            <w:r>
              <w:rPr>
                <w:rFonts w:ascii="Arial" w:cs="Arial" w:eastAsia="Arial" w:hAnsi="Arial"/>
                <w:sz w:val="18"/>
                <w:szCs w:val="18"/>
                <w:color w:val="auto"/>
              </w:rPr>
              <w:t>Date: November 4, 2020</w:t>
            </w:r>
          </w:p>
        </w:tc>
        <w:tc>
          <w:tcPr>
            <w:tcW w:w="344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47"/>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Wallace R. Cooney,</w:t>
            </w:r>
          </w:p>
        </w:tc>
      </w:tr>
      <w:tr>
        <w:trPr>
          <w:trHeight w:val="149"/>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202"/>
        </w:trPr>
        <w:tc>
          <w:tcPr>
            <w:tcW w:w="3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5"/>
        </w:trPr>
        <w:tc>
          <w:tcPr>
            <w:tcW w:w="3720" w:type="dxa"/>
            <w:vAlign w:val="bottom"/>
          </w:tcPr>
          <w:p>
            <w:pPr>
              <w:spacing w:after="0"/>
              <w:rPr>
                <w:sz w:val="24"/>
                <w:szCs w:val="24"/>
                <w:color w:val="auto"/>
              </w:rPr>
            </w:pPr>
          </w:p>
        </w:tc>
        <w:tc>
          <w:tcPr>
            <w:tcW w:w="3440" w:type="dxa"/>
            <w:vAlign w:val="bottom"/>
          </w:tcPr>
          <w:p>
            <w:pPr>
              <w:jc w:val="right"/>
              <w:ind w:right="1390"/>
              <w:spacing w:after="0"/>
              <w:rPr>
                <w:sz w:val="20"/>
                <w:szCs w:val="20"/>
                <w:color w:val="auto"/>
              </w:rPr>
            </w:pPr>
            <w:r>
              <w:rPr>
                <w:rFonts w:ascii="Arial" w:cs="Arial" w:eastAsia="Arial" w:hAnsi="Arial"/>
                <w:sz w:val="18"/>
                <w:szCs w:val="18"/>
                <w:color w:val="auto"/>
              </w:rPr>
              <w:t>44</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35"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49"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71"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jc w:val="both"/>
        <w:ind w:left="340" w:right="100" w:hanging="8"/>
        <w:spacing w:after="0" w:line="323"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ind w:left="340" w:right="80" w:hanging="8"/>
        <w:spacing w:after="0" w:line="278"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1300" w:right="20" w:hanging="320"/>
        <w:spacing w:after="0" w:line="271"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00" w:right="540" w:hanging="320"/>
        <w:spacing w:after="0" w:line="294" w:lineRule="auto"/>
        <w:tabs>
          <w:tab w:leader="none" w:pos="12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7"/>
          <w:szCs w:val="17"/>
          <w:color w:val="auto"/>
        </w:rPr>
      </w:pPr>
    </w:p>
    <w:p>
      <w:pPr>
        <w:ind w:left="1300" w:right="300" w:hanging="320"/>
        <w:spacing w:after="0" w:line="271"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300" w:right="300" w:hanging="320"/>
        <w:spacing w:after="0" w:line="294" w:lineRule="auto"/>
        <w:tabs>
          <w:tab w:leader="none" w:pos="12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Arial" w:cs="Arial" w:eastAsia="Arial" w:hAnsi="Arial"/>
          <w:sz w:val="17"/>
          <w:szCs w:val="17"/>
          <w:color w:val="auto"/>
        </w:rPr>
      </w:pPr>
    </w:p>
    <w:p>
      <w:pPr>
        <w:jc w:val="both"/>
        <w:ind w:left="340" w:right="280" w:hanging="8"/>
        <w:spacing w:after="0" w:line="271"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1300" w:right="420" w:hanging="320"/>
        <w:spacing w:after="0" w:line="271"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300" w:right="780" w:hanging="320"/>
        <w:spacing w:after="0" w:line="292"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ectPr>
          <w:pgSz w:w="11900" w:h="16838" w:orient="portrait"/>
          <w:cols w:equalWidth="0" w:num="1">
            <w:col w:w="11240"/>
          </w:cols>
          <w:pgMar w:left="320" w:top="114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71"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jc w:val="both"/>
        <w:ind w:left="340" w:right="100" w:hanging="8"/>
        <w:spacing w:after="0" w:line="323"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ind w:left="340" w:right="80" w:hanging="8"/>
        <w:spacing w:after="0" w:line="278"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1300" w:right="20" w:hanging="320"/>
        <w:spacing w:after="0" w:line="271"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00" w:right="540" w:hanging="320"/>
        <w:spacing w:after="0" w:line="294"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7"/>
          <w:szCs w:val="17"/>
          <w:color w:val="auto"/>
        </w:rPr>
      </w:pPr>
    </w:p>
    <w:p>
      <w:pPr>
        <w:ind w:left="1300" w:right="300" w:hanging="320"/>
        <w:spacing w:after="0" w:line="271"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300" w:right="300" w:hanging="320"/>
        <w:spacing w:after="0" w:line="294"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Arial" w:cs="Arial" w:eastAsia="Arial" w:hAnsi="Arial"/>
          <w:sz w:val="17"/>
          <w:szCs w:val="17"/>
          <w:color w:val="auto"/>
        </w:rPr>
      </w:pPr>
    </w:p>
    <w:p>
      <w:pPr>
        <w:jc w:val="both"/>
        <w:ind w:left="340" w:right="280" w:hanging="8"/>
        <w:spacing w:after="0" w:line="271"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1300" w:right="420" w:hanging="320"/>
        <w:spacing w:after="0" w:line="271"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300" w:right="780" w:hanging="320"/>
        <w:spacing w:after="0" w:line="292"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ectPr>
          <w:pgSz w:w="11900" w:h="16838" w:orient="portrait"/>
          <w:cols w:equalWidth="0" w:num="1">
            <w:col w:w="11240"/>
          </w:cols>
          <w:pgMar w:left="320" w:top="114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2020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1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92"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
      <w:numFmt w:val="bullet"/>
      <w:start w:val="1"/>
    </w:lvl>
    <w:lvl w:ilvl="1">
      <w:lvlJc w:val="left"/>
      <w:lvlText w:val="%2"/>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63" Type="http://schemas.openxmlformats.org/officeDocument/2006/relationships/hyperlink" Target="http://www.sec.gov/Archives/edgar/data/104889/000095013304000785/w94191exv3w1.htm" TargetMode="External"/><Relationship Id="rId64" Type="http://schemas.openxmlformats.org/officeDocument/2006/relationships/hyperlink" Target="http://www.sec.gov/Archives/edgar/data/104889/000095015713000428/ex3-1.htm" TargetMode="External"/><Relationship Id="rId65" Type="http://schemas.openxmlformats.org/officeDocument/2006/relationships/hyperlink" Target="http://www.sec.gov/Archives/edgar/data/104889/000095015713000428/ex3-2.htm" TargetMode="External"/><Relationship Id="rId66" Type="http://schemas.openxmlformats.org/officeDocument/2006/relationships/hyperlink" Target="http://www.sec.gov/Archives/edgar/data/104889/000095015718000572/ex4-1.htm" TargetMode="External"/><Relationship Id="rId67" Type="http://schemas.openxmlformats.org/officeDocument/2006/relationships/hyperlink" Target="http://www.sec.gov/Archives/edgar/data/104889/0000104889200000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2020-11-04T07:47:52Z</dcterms:created>
  <dcterms:modified xsi:type="dcterms:W3CDTF">2020-11-04T07:47:52Z</dcterms:modified>
</cp:coreProperties>
</file>