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4, 2016</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197485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75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00" w:lineRule="exact"/>
        <w:rPr>
          <w:sz w:val="20"/>
          <w:szCs w:val="20"/>
          <w:color w:val="auto"/>
        </w:rPr>
      </w:pPr>
    </w:p>
    <w:p>
      <w:pPr>
        <w:spacing w:after="0" w:line="3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May 4, 2016, Graham Holdings Company issued a press release announcing the Company’s earnings for the first quarter ended March 31, 2016. A copy of this press release is furnished with this report as an exhibit to this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417830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981"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-19050</wp:posOffset>
            </wp:positionV>
            <wp:extent cx="1664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4335" cy="8890"/>
                    </a:xfrm>
                    <a:prstGeom prst="rect">
                      <a:avLst/>
                    </a:prstGeom>
                    <a:noFill/>
                  </pic:spPr>
                </pic:pic>
              </a:graphicData>
            </a:graphic>
          </wp:anchor>
        </w:drawing>
      </w:r>
    </w:p>
    <w:p>
      <w:pPr>
        <w:spacing w:after="0" w:line="1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820" w:val="left"/>
          <w:tab w:leader="none" w:pos="4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2016</w:t>
      </w:r>
      <w:r>
        <w:rPr>
          <w:sz w:val="20"/>
          <w:szCs w:val="20"/>
          <w:color w:val="auto"/>
        </w:rPr>
        <w:tab/>
      </w:r>
      <w:r>
        <w:rPr>
          <w:rFonts w:ascii="Arial" w:cs="Arial" w:eastAsia="Arial" w:hAnsi="Arial"/>
          <w:sz w:val="17"/>
          <w:szCs w:val="17"/>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-19050</wp:posOffset>
            </wp:positionV>
            <wp:extent cx="1009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0965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-19050</wp:posOffset>
            </wp:positionV>
            <wp:extent cx="1454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4150" cy="8890"/>
                    </a:xfrm>
                    <a:prstGeom prst="rect">
                      <a:avLst/>
                    </a:prstGeom>
                    <a:noFill/>
                  </pic:spPr>
                </pic:pic>
              </a:graphicData>
            </a:graphic>
          </wp:anchor>
        </w:drawing>
      </w:r>
    </w:p>
    <w:p>
      <w:pPr>
        <w:spacing w:after="0" w:line="12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Nicole Maddrey</w:t>
      </w:r>
    </w:p>
    <w:p>
      <w:pPr>
        <w:spacing w:after="0" w:line="14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640715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981"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May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640715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8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660" w:type="dxa"/>
            <w:vAlign w:val="bottom"/>
          </w:tcPr>
          <w:p>
            <w:pPr>
              <w:jc w:val="right"/>
              <w:ind w:right="2230"/>
              <w:spacing w:after="0"/>
              <w:rPr>
                <w:sz w:val="20"/>
                <w:szCs w:val="20"/>
                <w:color w:val="auto"/>
              </w:rPr>
            </w:pPr>
            <w:r>
              <w:rPr>
                <w:rFonts w:ascii="Arial" w:cs="Arial" w:eastAsia="Arial" w:hAnsi="Arial"/>
                <w:sz w:val="18"/>
                <w:szCs w:val="18"/>
                <w:color w:val="auto"/>
              </w:rPr>
              <w:t>Hal S. Jones</w:t>
            </w:r>
          </w:p>
        </w:tc>
        <w:tc>
          <w:tcPr>
            <w:tcW w:w="4000" w:type="dxa"/>
            <w:vAlign w:val="bottom"/>
            <w:gridSpan w:val="2"/>
          </w:tcPr>
          <w:p>
            <w:pPr>
              <w:ind w:left="2120"/>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3660" w:type="dxa"/>
            <w:vAlign w:val="bottom"/>
          </w:tcPr>
          <w:p>
            <w:pPr>
              <w:jc w:val="right"/>
              <w:ind w:right="2050"/>
              <w:spacing w:after="0"/>
              <w:rPr>
                <w:sz w:val="20"/>
                <w:szCs w:val="20"/>
                <w:color w:val="auto"/>
              </w:rPr>
            </w:pPr>
            <w:r>
              <w:rPr>
                <w:rFonts w:ascii="Arial" w:cs="Arial" w:eastAsia="Arial" w:hAnsi="Arial"/>
                <w:sz w:val="18"/>
                <w:szCs w:val="18"/>
                <w:color w:val="auto"/>
              </w:rPr>
              <w:t>(703) 345-6370</w:t>
            </w:r>
          </w:p>
        </w:tc>
        <w:tc>
          <w:tcPr>
            <w:tcW w:w="2120" w:type="dxa"/>
            <w:vAlign w:val="bottom"/>
          </w:tcPr>
          <w:p>
            <w:pPr>
              <w:spacing w:after="0"/>
              <w:rPr>
                <w:sz w:val="20"/>
                <w:szCs w:val="20"/>
                <w:color w:val="auto"/>
              </w:rPr>
            </w:pPr>
          </w:p>
        </w:tc>
        <w:tc>
          <w:tcPr>
            <w:tcW w:w="18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May 4, 2016</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FIRST QUARTER EARNINGS</w:t>
      </w:r>
    </w:p>
    <w:p>
      <w:pPr>
        <w:spacing w:after="0" w:line="14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ARLINGTON, VA – Graham Holdings Company (NYSE: GHC) today reported income from continuing operations attributable to common shares of $37.8 million ($6.59 per share) for the first quarter of 2016, compared to a loss of $2.7 million ($0.58 per share) for the first quarter of 2015. Net income attributable to common shares was $20.6 million ($3.48 per share) for the first quarter of 2015, including $23.3 million ($4.06 per share) in income from discontinued operations. (Refer to “Discontinued Operations” discussion below.)</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results for the first quarter of 2016 and 2015 were affected by a number of items as described in the following paragraphs. Excluding these items, income from continuing operations attributable to common shares was $28.2 million ($4.92 per share) for the first quarter of 2016, compared to $4.9 million ($0.84 per share) for the first quarter of 2015.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2016:</w:t>
      </w:r>
    </w:p>
    <w:p>
      <w:pPr>
        <w:spacing w:after="0" w:line="14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$18.9 million non-operating gain arising from the sale of a business (after-tax impact of $11.9 million, or $2.08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$1.8 million gain on the sale of marketable equity securities (after-tax impact of $1.1 million, or $0.19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$5.4 million in non-operating unrealized foreign currency losses (after-tax impact of $3.4 million, or $0.60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first quarter of 2015:</w:t>
      </w:r>
    </w:p>
    <w:p>
      <w:pPr>
        <w:spacing w:after="0" w:line="144" w:lineRule="exact"/>
        <w:rPr>
          <w:sz w:val="20"/>
          <w:szCs w:val="20"/>
          <w:color w:val="auto"/>
        </w:rPr>
      </w:pPr>
    </w:p>
    <w:p>
      <w:pPr>
        <w:ind w:left="180" w:right="3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$10.7 million in restructuring charges and accelerated depreciation at the education division (after-tax impact of $6.8 million, or $1.17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 million gain on the formation of a joint venture (after-tax impact of $3.6 million, or $0.50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$6.8 million in non-operating unrealized foreign currency losses (after-tax impact of $4.4 million, or $0.75 per share).</w:t>
      </w:r>
    </w:p>
    <w:p>
      <w:pPr>
        <w:spacing w:after="0" w:line="144"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Revenue for the first quarter of 2016 was $ 601.7 million, down 7% from $647.4 million in the first quarter of 2015. Revenues declined at the education division, offset by an increase at the television broadcasting division and in other businesses. The Company reported operating income of $51.9 million for the first quarter of 2016, compared to $8.9 million for the first quarter of 2015. Operating results improved at the education and television broadcasting divisions, offset by a small decline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Education division revenue totaled $401.1 million for the first quarter of 2016, down 20% from revenue of $500.6 million for the same period of 2015. Kaplan reported operating income of $14.5 million for the first quarter of 2016, compared to an operating loss of $22.8 million for the first quarter of 2015. Operating results for the first quarter of 2015 included restructuring costs of $10.7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 summary of Kaplan’s operating results for the first quarter of 2016 compared to 2015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62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165,549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237,568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66,462</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69,226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169,287</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192,081</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125</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1,859</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83"/>
        </w:trPr>
        <w:tc>
          <w:tcPr>
            <w:tcW w:w="7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(347)</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6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401,076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500,602</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21,306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593</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(2,310)</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(4,334)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4,897</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7,717</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(7,724)</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(25,350)</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7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(1,681)</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(1,507)</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3"/>
        </w:trPr>
        <w:tc>
          <w:tcPr>
            <w:tcW w:w="7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620" w:type="dxa"/>
            <w:vAlign w:val="bottom"/>
          </w:tcPr>
          <w:p>
            <w:pPr>
              <w:spacing w:after="0"/>
              <w:rPr>
                <w:sz w:val="23"/>
                <w:szCs w:val="23"/>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14,488</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(22,849)</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Since 2012, KHE has closed campuses, consolidated facilities and reduced its workforce. On September 3, 2015, Kaplan completed the sale of substantially all of the remaining assets of its KHE Campuses business. In connection with these and other plans, KHE incurred $2.8 million in restructuring costs in the first quarter of 2015, including severance ($1.1 million), lease obligation losses ($0.9 million), accelerated depreciation ($0.7 million) and other items ($0.1 million).</w:t>
      </w:r>
    </w:p>
    <w:p>
      <w:pPr>
        <w:spacing w:after="0" w:line="135"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KHE results include revenue and operating losses (including restructuring charges) related to all KHE Campuses, those sold or closed, including Mount Washington College and Bauder College,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798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65,307</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(1,192)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(12,288)</w:t>
            </w:r>
          </w:p>
        </w:tc>
      </w:tr>
    </w:tbl>
    <w:p>
      <w:pPr>
        <w:spacing w:after="0" w:line="167"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In the first quarter of 2016, KHE revenue declined 30% due to campus sales and closings, and declines in average enrollments at Kaplan University, reflecting weaker market demand. KHE operating results improved in the first quarter of 2016 due to reduced losses at the KHE Campuses business and lower marketing expenditures at Kaplan University.</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New higher education student enrollments at Kaplan University declined 34% in the first quarter of 2016 due to lower demand across Kaplan University programs and a timing shift in the academic calendar in the first quarter of 2016. Total students at Kaplan University were 37,398 at March 31, 2016, down 18% from March 31,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March 31, 2016 and 2015, by degree and certificate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As of March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2015</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5.8%</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22.1%</w:t>
            </w:r>
          </w:p>
        </w:tc>
        <w:tc>
          <w:tcPr>
            <w:tcW w:w="88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50.5%</w:t>
            </w:r>
          </w:p>
        </w:tc>
        <w:tc>
          <w:tcPr>
            <w:tcW w:w="88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4% for the first quarter of 2016. Enrollments, excluding the new economy skills training offerings, were down 14% for the first three months of 2016 due primarily to declines in pre-college programs; however, unit prices were generally higher. In comparison, KTP operating results improved in the first quarter of 2016 due to a reduction in operating expenses.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4" w:right="239" w:bottom="1440" w:gutter="0" w:footer="0" w:header="0"/>
          <w:type w:val="continuous"/>
        </w:sectPr>
      </w:pPr>
    </w:p>
    <w:bookmarkStart w:id="6" w:name="page7"/>
    <w:bookmarkEnd w:id="6"/>
    <w:p>
      <w:pPr>
        <w:ind w:right="22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January and February 2016, Kaplan acquired Mander Portman Woodward, a leading provider of high-quality, bespoke education to U.K. and international students in London, Cambridge and Birmingham; and Osborne Books, a leading education publisher of learning resources for accounting qualifications in the U.K.</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Kaplan International revenue declined 12% in the first quarter of 2016, of which 4% was due to currency fluctuations. The remaining decrease is due to enrollment declines in English-language and Pathways programs, partially offset by enrollment growth in Singapore and Australia higher education programs. Revenue growth from the acquisitions in the first quarter of 2016 was largely offset by revenue declines due to prior year dispositions. Operating income declined in the first quarter of 2016, due largely to the declines in English-language and Pathways results, partially offset by operating income from newly acquired businesses.</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first quarter of 2015, Kaplan Corporate recorded $7.6 million in restructuring charges, including accelerated depreciation ($6.5 million) and lease obligation losses ($1.1 million), related to office space managed by Kaplan corporate. In addition to lower restructuring costs, Kaplan corporate expenses also declined due to the benefits from restructuring activities, as well as 2015 spending for the replacement of its human resources system.</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 that is included in other non-operating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at the television broadcasting division increased 10% to $92.0 million in the first quarter of 2016, from $83.6 million in the same period of 2015; operating income for the first quarter of 2016 increased 7% to $41.2 million, from $38.6 million in the same period of 2015. The revenue increase is due primarily to $4.8 million in increased retransmission revenues and a $2.8 million increase in political advertising revenue. The increase in operating income is due to the revenue increase, offset by higher spending on digital initiatives and increased network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Other businesses is comprised of three manufacturing businesses, including Dekko, a manufacturer of electrical workspace solutions, architectural lighting, and electrical components and assemblies acquired in November 2015; and providers of home health and hospice services. Other businesses also include SocialCode, a provider of marketing solutions on social-media platforms; Slate and Foreign Policy, which publish online and print magazines and websites; and certain other new ventures.</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increase in revenues for the first quarter of 2016 is mostly due to the Dekko acquisition. In the first quarter of 2016, positive operating results from the healthcare and manufacturing businesses were offset by intangibles amortization and losses from publishing, SocialCode and new ventures.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Supplementary information regarding manufacturing results is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03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revenues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226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2016</w:t>
      </w:r>
    </w:p>
    <w:p>
      <w:pPr>
        <w:spacing w:after="0" w:line="91" w:lineRule="exact"/>
        <w:rPr>
          <w:sz w:val="20"/>
          <w:szCs w:val="20"/>
          <w:color w:val="auto"/>
        </w:rPr>
      </w:pPr>
    </w:p>
    <w:p>
      <w:pPr>
        <w:ind w:left="1300" w:hanging="1292"/>
        <w:spacing w:after="0"/>
        <w:tabs>
          <w:tab w:leader="none" w:pos="13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56,675</w:t>
      </w:r>
    </w:p>
    <w:p>
      <w:pPr>
        <w:spacing w:after="0" w:line="86" w:lineRule="exact"/>
        <w:rPr>
          <w:rFonts w:ascii="Arial" w:cs="Arial" w:eastAsia="Arial" w:hAnsi="Arial"/>
          <w:sz w:val="16"/>
          <w:szCs w:val="16"/>
          <w:b w:val="1"/>
          <w:bCs w:val="1"/>
          <w:color w:val="auto"/>
        </w:rPr>
      </w:pPr>
    </w:p>
    <w:p>
      <w:pPr>
        <w:ind w:left="13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50,848</w:t>
      </w:r>
    </w:p>
    <w:p>
      <w:pPr>
        <w:spacing w:after="0" w:line="86" w:lineRule="exact"/>
        <w:rPr>
          <w:rFonts w:ascii="Arial" w:cs="Arial" w:eastAsia="Arial" w:hAnsi="Arial"/>
          <w:sz w:val="16"/>
          <w:szCs w:val="16"/>
          <w:b w:val="1"/>
          <w:bCs w:val="1"/>
          <w:color w:val="auto"/>
        </w:rPr>
      </w:pPr>
    </w:p>
    <w:p>
      <w:pPr>
        <w:ind w:left="1400"/>
        <w:spacing w:after="0"/>
        <w:rPr>
          <w:rFonts w:ascii="Arial" w:cs="Arial" w:eastAsia="Arial" w:hAnsi="Arial"/>
          <w:sz w:val="16"/>
          <w:szCs w:val="16"/>
          <w:b w:val="1"/>
          <w:bCs w:val="1"/>
          <w:color w:val="auto"/>
        </w:rPr>
      </w:pPr>
      <w:r>
        <w:rPr>
          <w:rFonts w:ascii="Arial" w:cs="Arial" w:eastAsia="Arial" w:hAnsi="Arial"/>
          <w:sz w:val="15"/>
          <w:szCs w:val="15"/>
          <w:b w:val="1"/>
          <w:bCs w:val="1"/>
          <w:color w:val="auto"/>
        </w:rPr>
        <w:t>1,873</w:t>
      </w:r>
    </w:p>
    <w:p>
      <w:pPr>
        <w:spacing w:after="0" w:line="98"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2,817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2261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3" w:lineRule="exact"/>
        <w:rPr>
          <w:sz w:val="20"/>
          <w:szCs w:val="20"/>
          <w:color w:val="auto"/>
        </w:rPr>
      </w:pPr>
    </w:p>
    <w:p>
      <w:pPr>
        <w:ind w:left="1400" w:hanging="1392"/>
        <w:spacing w:after="0"/>
        <w:tabs>
          <w:tab w:leader="none" w:pos="140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1,137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39370</wp:posOffset>
            </wp:positionV>
            <wp:extent cx="12261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56515</wp:posOffset>
            </wp:positionV>
            <wp:extent cx="12261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8720" w:space="720"/>
            <w:col w:w="1980"/>
          </w:cols>
          <w:pgMar w:left="240" w:top="584"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$16.0 million and $17.1 million in the first three months of 2016 and 2015,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Without the pension credit, corporate office expenses declined in the first quarter of 2016 due primarily to lower compensation costs.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At March 31, 2016, the Company held interests in a number of home health and hospice joint ventures, and interests in several other affiliates. The Company recorded equity in earnings of affiliates of $1.0 million for the first quarter of 2016, compared to losses of $0.4 million for the first quarter of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recorded total other non-operating income, net, of $15.1 million for the first quarter of 2016, compared to a loss of $ 1.1 million for the first quarter of 2015. The 2016 amounts included an $18.9 million gain on the sale of a business and a $1.8 million gain on the sale of marketable equity securities, offset by $5.4 million in unrealized foreign currency losses and other items. The 2015 amounts included $6.8 million in unrealized foreign currency losses and other items, offset by a $6.0 million gain on the Celtic joint venture transaction.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incurred net interest expense of $7.4 million for the first quarter of 2016, compared to $ 7.9 million for the same period of 2015. At March 31, 2016, the Company had $399.9 million in borrowings outstanding at an average interest rate of 7.2% and cash, marketable equity securities and other investments of $949.4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three months of 2016 was 37.0%.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July 1, 2015, the Company completed the spin-off of Cable ONE as an independent, publicly traded company.</w:t>
      </w:r>
    </w:p>
    <w:p>
      <w:pPr>
        <w:spacing w:after="0" w:line="225"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21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The calculation of diluted earnings (loss) per share for the first quarter of 2016 was based on 5,651,655 weighted average shares outstanding, compared to 5,790,768 for the first quarter of 2015. At March 31, 2016, there were 5,634,613 shares outstanding. On May 14, 2015, the Board of Directors authorized the Company to acquire up to 500,000 shares of its Class B common stock; the Company has remaining authorization for 284,008 shares as of March 31,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6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9"/>
                <w:szCs w:val="19"/>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601,740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647,425</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526,845</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611,628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16,761</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22,197</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6,262</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4,738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51,872</w:t>
            </w:r>
          </w:p>
        </w:tc>
        <w:tc>
          <w:tcPr>
            <w:tcW w:w="3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8,862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1,004</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591</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559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(7,948)</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(8,501)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15,096</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60,615</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22,400</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38,215</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(1,489)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23,289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38,215</w:t>
            </w:r>
          </w:p>
        </w:tc>
        <w:tc>
          <w:tcPr>
            <w:tcW w:w="3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21,800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(435)</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37,780</w:t>
            </w:r>
          </w:p>
        </w:tc>
        <w:tc>
          <w:tcPr>
            <w:tcW w:w="38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21,026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37,780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20,606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37,780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(2,683)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23,289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37,780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20,606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6.63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6.63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5,623</w:t>
            </w:r>
          </w:p>
        </w:tc>
        <w:tc>
          <w:tcPr>
            <w:tcW w:w="3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5,704</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5,652</w:t>
            </w: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5,791</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76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401,076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500,602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92,018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83,564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108,716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63,259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601,740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647,425</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386,588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523,451</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50,798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45,002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114,446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68,421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(1,894)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549,868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638,563</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14,488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(22,849)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41,220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38,562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(5,730)</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(5,162)</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1,894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51,872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11,103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18,528</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2,377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2,109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3,027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1,302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16,761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22,197</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1,681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4,518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6,262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3,109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3,947</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439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254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(15,861)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(12,059)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0"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165,549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237,568</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66,462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69,226</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169,287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192,081</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125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1,859</w:t>
            </w:r>
          </w:p>
        </w:tc>
        <w:tc>
          <w:tcPr>
            <w:tcW w:w="9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401,076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500,602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144,243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236,975</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68,772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73,560</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164,390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184,364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7,849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27,209</w:t>
            </w: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1,681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386,588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523,451</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21,306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(2,310)</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4,897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7,717</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(7,724)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(25,350)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(1,681)</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(1,507)</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14,488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4,175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4,828</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1,781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2,890</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5,060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4,654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6,156</w:t>
            </w: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11,103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18,528</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1,905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2,532</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768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775</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369</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64"/>
        </w:trPr>
        <w:tc>
          <w:tcPr>
            <w:tcW w:w="8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3,109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3,947</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4"/>
                <w:szCs w:val="24"/>
                <w:color w:val="auto"/>
              </w:rPr>
            </w:pP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2015</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Income (loss) from continuing operations, as reported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37,780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6,841</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Gain from the sale of a business and the formation of a joint venture</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(11,927)</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(3,643)</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Gain on the sale of marketable equity securities</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(1,105)</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260" w:type="dxa"/>
            <w:vAlign w:val="bottom"/>
          </w:tcPr>
          <w:p>
            <w:pPr>
              <w:ind w:left="280"/>
              <w:spacing w:after="0"/>
              <w:rPr>
                <w:sz w:val="20"/>
                <w:szCs w:val="20"/>
                <w:color w:val="auto"/>
              </w:rPr>
            </w:pPr>
            <w:r>
              <w:rPr>
                <w:rFonts w:ascii="Arial" w:cs="Arial" w:eastAsia="Arial" w:hAnsi="Arial"/>
                <w:sz w:val="16"/>
                <w:szCs w:val="16"/>
                <w:color w:val="auto"/>
              </w:rPr>
              <w:t>Foreign currency loss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3,429</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4,370</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28,177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4,885</w:t>
            </w:r>
          </w:p>
        </w:tc>
      </w:tr>
      <w:tr>
        <w:trPr>
          <w:trHeight w:val="49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Diluted income (loss) per common share from continuing operations, as reported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6.59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1.17</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Gain from the sale of a business and the formation of a joint venture</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(2.08)</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Gain on the sale of marketable equity securities</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(0.19)</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260" w:type="dxa"/>
            <w:vAlign w:val="bottom"/>
          </w:tcPr>
          <w:p>
            <w:pPr>
              <w:ind w:left="280"/>
              <w:spacing w:after="0"/>
              <w:rPr>
                <w:sz w:val="20"/>
                <w:szCs w:val="20"/>
                <w:color w:val="auto"/>
              </w:rPr>
            </w:pPr>
            <w:r>
              <w:rPr>
                <w:rFonts w:ascii="Arial" w:cs="Arial" w:eastAsia="Arial" w:hAnsi="Arial"/>
                <w:sz w:val="16"/>
                <w:szCs w:val="16"/>
                <w:color w:val="auto"/>
              </w:rPr>
              <w:t>Foreign currency loss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0.60</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0.75</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4.92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0.84</w:t>
            </w: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2019-12-05T11:24:56Z</dcterms:created>
  <dcterms:modified xsi:type="dcterms:W3CDTF">2019-12-05T11:24:56Z</dcterms:modified>
</cp:coreProperties>
</file>