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N/A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February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|1,001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|209,126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 w:right="4720" w:hanging="92"/>
        <w:spacing w:after="0" w:line="250" w:lineRule="auto"/>
        <w:tabs>
          <w:tab w:leader="none" w:pos="2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 In addition to the direct and indirect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148,270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680" w:firstLine="8"/>
        <w:spacing w:after="0" w:line="250" w:lineRule="auto"/>
        <w:tabs>
          <w:tab w:leader="none" w:pos="344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in these securities. Revocable trust established with</w:t>
      </w:r>
    </w:p>
    <w:p>
      <w:pPr>
        <w:ind w:right="74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 person.</w:t>
      </w:r>
    </w:p>
    <w:p>
      <w:pPr>
        <w:ind w:right="77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March 10, 1998 filing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12, 1999</w:t>
      </w:r>
    </w:p>
    <w:sectPr>
      <w:pgSz w:w="11900" w:h="16838" w:orient="portrait"/>
      <w:cols w:equalWidth="0" w:num="1">
        <w:col w:w="11540"/>
      </w:cols>
      <w:pgMar w:left="220" w:top="230" w:right="139" w:bottom="81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2020-02-22T07:23:09Z</dcterms:created>
  <dcterms:modified xsi:type="dcterms:W3CDTF">2020-02-22T07:23:09Z</dcterms:modified>
</cp:coreProperties>
</file>