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333-155374</w:t>
      </w:r>
    </w:p>
    <w:p>
      <w:pPr>
        <w:spacing w:after="0" w:line="327"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3440" w:type="dxa"/>
            <w:vAlign w:val="bottom"/>
          </w:tcPr>
          <w:p>
            <w:pPr>
              <w:spacing w:after="0"/>
              <w:rPr>
                <w:sz w:val="19"/>
                <w:szCs w:val="19"/>
                <w:color w:val="auto"/>
              </w:rPr>
            </w:pPr>
          </w:p>
        </w:tc>
        <w:tc>
          <w:tcPr>
            <w:tcW w:w="7860" w:type="dxa"/>
            <w:vAlign w:val="bottom"/>
            <w:gridSpan w:val="3"/>
          </w:tcPr>
          <w:p>
            <w:pPr>
              <w:jc w:val="center"/>
              <w:ind w:right="3320"/>
              <w:spacing w:after="0"/>
              <w:rPr>
                <w:sz w:val="20"/>
                <w:szCs w:val="20"/>
                <w:color w:val="auto"/>
              </w:rPr>
            </w:pPr>
            <w:r>
              <w:rPr>
                <w:rFonts w:ascii="Arial" w:cs="Arial" w:eastAsia="Arial" w:hAnsi="Arial"/>
                <w:sz w:val="18"/>
                <w:szCs w:val="18"/>
                <w:color w:val="auto"/>
                <w:w w:val="93"/>
              </w:rPr>
              <w:t>THE WASHINGTON POST COMPANY</w:t>
            </w:r>
          </w:p>
        </w:tc>
      </w:tr>
      <w:tr>
        <w:trPr>
          <w:trHeight w:val="340"/>
        </w:trPr>
        <w:tc>
          <w:tcPr>
            <w:tcW w:w="3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Pricing Term Sheet</w:t>
            </w:r>
          </w:p>
        </w:tc>
        <w:tc>
          <w:tcPr>
            <w:tcW w:w="4900" w:type="dxa"/>
            <w:vAlign w:val="bottom"/>
          </w:tcPr>
          <w:p>
            <w:pPr>
              <w:spacing w:after="0"/>
              <w:rPr>
                <w:sz w:val="24"/>
                <w:szCs w:val="24"/>
                <w:color w:val="auto"/>
              </w:rPr>
            </w:pPr>
          </w:p>
        </w:tc>
      </w:tr>
      <w:tr>
        <w:trPr>
          <w:trHeight w:val="397"/>
        </w:trPr>
        <w:tc>
          <w:tcPr>
            <w:tcW w:w="3440" w:type="dxa"/>
            <w:vAlign w:val="bottom"/>
          </w:tcPr>
          <w:p>
            <w:pPr>
              <w:spacing w:after="0"/>
              <w:rPr>
                <w:sz w:val="24"/>
                <w:szCs w:val="24"/>
                <w:color w:val="auto"/>
              </w:rPr>
            </w:pPr>
          </w:p>
        </w:tc>
        <w:tc>
          <w:tcPr>
            <w:tcW w:w="7860" w:type="dxa"/>
            <w:vAlign w:val="bottom"/>
            <w:gridSpan w:val="3"/>
          </w:tcPr>
          <w:p>
            <w:pPr>
              <w:jc w:val="center"/>
              <w:ind w:right="3320"/>
              <w:spacing w:after="0"/>
              <w:rPr>
                <w:sz w:val="20"/>
                <w:szCs w:val="20"/>
                <w:color w:val="auto"/>
              </w:rPr>
            </w:pPr>
            <w:r>
              <w:rPr>
                <w:rFonts w:ascii="Arial" w:cs="Arial" w:eastAsia="Arial" w:hAnsi="Arial"/>
                <w:sz w:val="18"/>
                <w:szCs w:val="18"/>
                <w:color w:val="auto"/>
                <w:w w:val="87"/>
              </w:rPr>
              <w:t>7.250% Notes due February 1, 2019</w:t>
            </w:r>
          </w:p>
        </w:tc>
      </w:tr>
      <w:tr>
        <w:trPr>
          <w:trHeight w:val="419"/>
        </w:trPr>
        <w:tc>
          <w:tcPr>
            <w:tcW w:w="3440" w:type="dxa"/>
            <w:vAlign w:val="bottom"/>
          </w:tcPr>
          <w:p>
            <w:pPr>
              <w:spacing w:after="0"/>
              <w:rPr>
                <w:sz w:val="20"/>
                <w:szCs w:val="20"/>
                <w:color w:val="auto"/>
              </w:rPr>
            </w:pPr>
            <w:r>
              <w:rPr>
                <w:rFonts w:ascii="Arial" w:cs="Arial" w:eastAsia="Arial" w:hAnsi="Arial"/>
                <w:sz w:val="18"/>
                <w:szCs w:val="18"/>
                <w:color w:val="auto"/>
              </w:rPr>
              <w:t>Issuer:</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The Washington Post Company</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Size:</w:t>
            </w:r>
          </w:p>
        </w:tc>
        <w:tc>
          <w:tcPr>
            <w:tcW w:w="7860" w:type="dxa"/>
            <w:vAlign w:val="bottom"/>
            <w:gridSpan w:val="3"/>
          </w:tcPr>
          <w:p>
            <w:pPr>
              <w:ind w:left="2620"/>
              <w:spacing w:after="0"/>
              <w:rPr>
                <w:sz w:val="20"/>
                <w:szCs w:val="20"/>
                <w:color w:val="auto"/>
              </w:rPr>
            </w:pPr>
            <w:r>
              <w:rPr>
                <w:rFonts w:ascii="Arial" w:cs="Arial" w:eastAsia="Arial" w:hAnsi="Arial"/>
                <w:sz w:val="18"/>
                <w:szCs w:val="18"/>
                <w:color w:val="auto"/>
              </w:rPr>
              <w:t>$400,000,000</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Maturity:</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February 1, 2019</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Coupon:</w:t>
            </w:r>
          </w:p>
        </w:tc>
        <w:tc>
          <w:tcPr>
            <w:tcW w:w="7860" w:type="dxa"/>
            <w:vAlign w:val="bottom"/>
            <w:gridSpan w:val="3"/>
          </w:tcPr>
          <w:p>
            <w:pPr>
              <w:ind w:left="2620"/>
              <w:spacing w:after="0"/>
              <w:rPr>
                <w:sz w:val="20"/>
                <w:szCs w:val="20"/>
                <w:color w:val="auto"/>
              </w:rPr>
            </w:pPr>
            <w:r>
              <w:rPr>
                <w:rFonts w:ascii="Arial" w:cs="Arial" w:eastAsia="Arial" w:hAnsi="Arial"/>
                <w:sz w:val="18"/>
                <w:szCs w:val="18"/>
                <w:color w:val="auto"/>
              </w:rPr>
              <w:t>7.250%</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Price:</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99.614% of face amount</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Yield to Maturity:</w:t>
            </w:r>
          </w:p>
        </w:tc>
        <w:tc>
          <w:tcPr>
            <w:tcW w:w="7860" w:type="dxa"/>
            <w:vAlign w:val="bottom"/>
            <w:gridSpan w:val="3"/>
          </w:tcPr>
          <w:p>
            <w:pPr>
              <w:ind w:left="2620"/>
              <w:spacing w:after="0"/>
              <w:rPr>
                <w:sz w:val="20"/>
                <w:szCs w:val="20"/>
                <w:color w:val="auto"/>
              </w:rPr>
            </w:pPr>
            <w:r>
              <w:rPr>
                <w:rFonts w:ascii="Arial" w:cs="Arial" w:eastAsia="Arial" w:hAnsi="Arial"/>
                <w:sz w:val="18"/>
                <w:szCs w:val="18"/>
                <w:color w:val="auto"/>
              </w:rPr>
              <w:t>7.305%</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+475 bp</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Benchmark Treasury:</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3.750% due November 15, 2018</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Benchmark Treasury Spot and Yield:</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110-9+ and 2.555%</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Interest Payment Dates:</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February 1 and August 1, commencing August 1, 2009</w:t>
            </w:r>
          </w:p>
        </w:tc>
      </w:tr>
      <w:tr>
        <w:trPr>
          <w:trHeight w:val="318"/>
        </w:trPr>
        <w:tc>
          <w:tcPr>
            <w:tcW w:w="3440" w:type="dxa"/>
            <w:vAlign w:val="bottom"/>
          </w:tcPr>
          <w:p>
            <w:pPr>
              <w:spacing w:after="0"/>
              <w:rPr>
                <w:sz w:val="20"/>
                <w:szCs w:val="20"/>
                <w:color w:val="auto"/>
              </w:rPr>
            </w:pPr>
            <w:r>
              <w:rPr>
                <w:rFonts w:ascii="Arial" w:cs="Arial" w:eastAsia="Arial" w:hAnsi="Arial"/>
                <w:sz w:val="18"/>
                <w:szCs w:val="18"/>
                <w:color w:val="auto"/>
              </w:rPr>
              <w:t>Make-Whole Call:</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w w:val="87"/>
              </w:rPr>
              <w:t>At any time at the greater of 100% or a discount rate of Treasury Rate plus</w:t>
            </w:r>
          </w:p>
        </w:tc>
      </w:tr>
      <w:tr>
        <w:trPr>
          <w:trHeight w:val="222"/>
        </w:trPr>
        <w:tc>
          <w:tcPr>
            <w:tcW w:w="3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50 basis points</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Trade Date:</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January 27, 2009</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Settlement Date:</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T+3; January 30, 2009</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CUSIP:</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939640 AD0</w:t>
            </w:r>
          </w:p>
        </w:tc>
      </w:tr>
      <w:tr>
        <w:trPr>
          <w:trHeight w:val="400"/>
        </w:trPr>
        <w:tc>
          <w:tcPr>
            <w:tcW w:w="3440" w:type="dxa"/>
            <w:vAlign w:val="bottom"/>
          </w:tcPr>
          <w:p>
            <w:pPr>
              <w:spacing w:after="0"/>
              <w:rPr>
                <w:sz w:val="20"/>
                <w:szCs w:val="20"/>
                <w:color w:val="auto"/>
              </w:rPr>
            </w:pPr>
            <w:r>
              <w:rPr>
                <w:rFonts w:ascii="Arial" w:cs="Arial" w:eastAsia="Arial" w:hAnsi="Arial"/>
                <w:sz w:val="18"/>
                <w:szCs w:val="18"/>
                <w:color w:val="auto"/>
              </w:rPr>
              <w:t>Anticipated Ratings</w:t>
            </w:r>
            <w:r>
              <w:rPr>
                <w:rFonts w:ascii="Arial" w:cs="Arial" w:eastAsia="Arial" w:hAnsi="Arial"/>
                <w:sz w:val="22"/>
                <w:szCs w:val="22"/>
                <w:color w:val="auto"/>
                <w:vertAlign w:val="superscript"/>
              </w:rPr>
              <w:t>*</w:t>
            </w:r>
            <w:r>
              <w:rPr>
                <w:rFonts w:ascii="Arial" w:cs="Arial" w:eastAsia="Arial" w:hAnsi="Arial"/>
                <w:sz w:val="18"/>
                <w:szCs w:val="18"/>
                <w:color w:val="auto"/>
              </w:rPr>
              <w:t>:</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A1 (negative outlook) / A+ (negative outlook)</w:t>
            </w:r>
          </w:p>
        </w:tc>
      </w:tr>
      <w:tr>
        <w:trPr>
          <w:trHeight w:val="241"/>
        </w:trPr>
        <w:tc>
          <w:tcPr>
            <w:tcW w:w="3440" w:type="dxa"/>
            <w:vAlign w:val="bottom"/>
          </w:tcPr>
          <w:p>
            <w:pPr>
              <w:spacing w:after="0"/>
              <w:rPr>
                <w:sz w:val="20"/>
                <w:szCs w:val="20"/>
                <w:color w:val="auto"/>
              </w:rPr>
            </w:pPr>
            <w:r>
              <w:rPr>
                <w:rFonts w:ascii="Arial" w:cs="Arial" w:eastAsia="Arial" w:hAnsi="Arial"/>
                <w:sz w:val="18"/>
                <w:szCs w:val="18"/>
                <w:color w:val="auto"/>
              </w:rPr>
              <w:t>Joint Bookrunners:</w:t>
            </w:r>
          </w:p>
        </w:tc>
        <w:tc>
          <w:tcPr>
            <w:tcW w:w="1600" w:type="dxa"/>
            <w:vAlign w:val="bottom"/>
          </w:tcPr>
          <w:p>
            <w:pPr>
              <w:spacing w:after="0"/>
              <w:rPr>
                <w:sz w:val="20"/>
                <w:szCs w:val="20"/>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Citigroup Global Markets Inc.</w:t>
            </w:r>
          </w:p>
        </w:tc>
      </w:tr>
      <w:tr>
        <w:trPr>
          <w:trHeight w:val="222"/>
        </w:trPr>
        <w:tc>
          <w:tcPr>
            <w:tcW w:w="3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J.P. Morgan Securities Inc.</w:t>
            </w:r>
          </w:p>
        </w:tc>
      </w:tr>
      <w:tr>
        <w:trPr>
          <w:trHeight w:val="331"/>
        </w:trPr>
        <w:tc>
          <w:tcPr>
            <w:tcW w:w="3440" w:type="dxa"/>
            <w:vAlign w:val="bottom"/>
          </w:tcPr>
          <w:p>
            <w:pPr>
              <w:spacing w:after="0"/>
              <w:rPr>
                <w:sz w:val="20"/>
                <w:szCs w:val="20"/>
                <w:color w:val="auto"/>
              </w:rPr>
            </w:pPr>
            <w:r>
              <w:rPr>
                <w:rFonts w:ascii="Arial" w:cs="Arial" w:eastAsia="Arial" w:hAnsi="Arial"/>
                <w:sz w:val="18"/>
                <w:szCs w:val="18"/>
                <w:color w:val="auto"/>
              </w:rPr>
              <w:t>Co-Managers:</w:t>
            </w:r>
          </w:p>
        </w:tc>
        <w:tc>
          <w:tcPr>
            <w:tcW w:w="1600" w:type="dxa"/>
            <w:vAlign w:val="bottom"/>
          </w:tcPr>
          <w:p>
            <w:pPr>
              <w:spacing w:after="0"/>
              <w:rPr>
                <w:sz w:val="24"/>
                <w:szCs w:val="24"/>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SunTrust Robinson Humphrey, Inc.</w:t>
            </w:r>
          </w:p>
        </w:tc>
      </w:tr>
      <w:tr>
        <w:trPr>
          <w:trHeight w:val="216"/>
        </w:trPr>
        <w:tc>
          <w:tcPr>
            <w:tcW w:w="3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Wachovia Capital Markets, LLC</w:t>
            </w:r>
          </w:p>
        </w:tc>
      </w:tr>
      <w:tr>
        <w:trPr>
          <w:trHeight w:val="216"/>
        </w:trPr>
        <w:tc>
          <w:tcPr>
            <w:tcW w:w="3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34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PNC Capital Markets LLC</w:t>
            </w:r>
          </w:p>
        </w:tc>
      </w:tr>
      <w:tr>
        <w:trPr>
          <w:trHeight w:val="222"/>
        </w:trPr>
        <w:tc>
          <w:tcPr>
            <w:tcW w:w="3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60" w:type="dxa"/>
            <w:vAlign w:val="bottom"/>
            <w:gridSpan w:val="2"/>
          </w:tcPr>
          <w:p>
            <w:pPr>
              <w:ind w:left="1020"/>
              <w:spacing w:after="0"/>
              <w:rPr>
                <w:sz w:val="20"/>
                <w:szCs w:val="20"/>
                <w:color w:val="auto"/>
              </w:rPr>
            </w:pPr>
            <w:r>
              <w:rPr>
                <w:rFonts w:ascii="Arial" w:cs="Arial" w:eastAsia="Arial" w:hAnsi="Arial"/>
                <w:sz w:val="18"/>
                <w:szCs w:val="18"/>
                <w:color w:val="auto"/>
              </w:rPr>
              <w:t>Wells Fargo Securities, LLC</w:t>
            </w:r>
          </w:p>
        </w:tc>
      </w:tr>
    </w:tbl>
    <w:p>
      <w:pPr>
        <w:spacing w:after="0" w:line="169" w:lineRule="exact"/>
        <w:rPr>
          <w:sz w:val="24"/>
          <w:szCs w:val="24"/>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65" w:lineRule="exact"/>
        <w:rPr>
          <w:sz w:val="24"/>
          <w:szCs w:val="24"/>
          <w:color w:val="auto"/>
        </w:rPr>
      </w:pPr>
    </w:p>
    <w:p>
      <w:pPr>
        <w:ind w:right="200"/>
        <w:spacing w:after="0" w:line="296"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Citigroup Global Markets Inc. toll free at 1-877-858-5407 or J.P. Morgan Securities Inc. collect at 212-834-4533.</w:t>
      </w:r>
    </w:p>
    <w:sectPr>
      <w:pgSz w:w="11900" w:h="16838" w:orient="portrait"/>
      <w:cols w:equalWidth="0" w:num="1">
        <w:col w:w="11420"/>
      </w:cols>
      <w:pgMar w:left="240" w:top="2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2019-12-10T03:22:17Z</dcterms:created>
  <dcterms:modified xsi:type="dcterms:W3CDTF">2019-12-10T03:22:17Z</dcterms:modified>
</cp:coreProperties>
</file>