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272655" cy="50247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50247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O'Shaughnessy Timothy J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160"/>
        <w:spacing w:after="0" w:line="3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GRAHAM HOLDINGS COMPANY 1300 NORTH 17TH STREET, SUITE 1700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Graham Holdings Co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GHC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11/03/2014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President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3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9"/>
          </w:tcPr>
          <w:p>
            <w:pPr>
              <w:jc w:val="center"/>
              <w:ind w:right="38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3"/>
          </w:tcPr>
          <w:p>
            <w:pPr>
              <w:ind w:left="32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3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ARLINGTON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VA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22209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10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3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B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1,111.2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11/03/2014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11/03/2024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1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50,000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60" w:type="dxa"/>
            <w:vAlign w:val="bottom"/>
            <w:gridSpan w:val="2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8"/>
              </w:rPr>
              <w:t>1. Employee stock option was granted on 11/03/2014 and vests annually over six years, 8,333 shares in each of years 1 through 5, and 8,335 shares in year 6.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/s/ Timothy J. O'Shaughnessy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11/04/2014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top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8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14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-3307715</wp:posOffset>
            </wp:positionV>
            <wp:extent cx="24765" cy="22993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299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21362" TargetMode="External"/><Relationship Id="rId13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2019-12-17T06:36:01Z</dcterms:created>
  <dcterms:modified xsi:type="dcterms:W3CDTF">2019-12-17T06:36:01Z</dcterms:modified>
</cp:coreProperties>
</file>