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363220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160655</wp:posOffset>
            </wp:positionV>
            <wp:extent cx="49485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9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243840</wp:posOffset>
            </wp:positionV>
            <wp:extent cx="49485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8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Date of Report (Date of earliest event reported) </w:t>
      </w:r>
      <w:r>
        <w:rPr>
          <w:rFonts w:ascii="Arial" w:cs="Arial" w:eastAsia="Arial" w:hAnsi="Arial"/>
          <w:sz w:val="22"/>
          <w:szCs w:val="22"/>
          <w:b w:val="1"/>
          <w:bCs w:val="1"/>
          <w:u w:val="single" w:color="auto"/>
          <w:color w:val="auto"/>
        </w:rPr>
        <w:t>August 1, 2014</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GRAHAM HOLDINGS COMPANY</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327" w:lineRule="exact"/>
        <w:rPr>
          <w:sz w:val="24"/>
          <w:szCs w:val="24"/>
          <w:color w:val="auto"/>
        </w:rPr>
      </w:pPr>
    </w:p>
    <w:tbl>
      <w:tblPr>
        <w:tblLayout w:type="fixed"/>
        <w:tblInd w:w="1020" w:type="dxa"/>
        <w:tblCellMar>
          <w:top w:w="0" w:type="dxa"/>
          <w:left w:w="0" w:type="dxa"/>
          <w:bottom w:w="0" w:type="dxa"/>
          <w:right w:w="0" w:type="dxa"/>
        </w:tblCellMar>
      </w:tblPr>
      <w:tr>
        <w:trPr>
          <w:trHeight w:val="239"/>
        </w:trPr>
        <w:tc>
          <w:tcPr>
            <w:tcW w:w="4200" w:type="dxa"/>
            <w:vAlign w:val="bottom"/>
          </w:tcPr>
          <w:p>
            <w:pPr>
              <w:jc w:val="center"/>
              <w:ind w:right="2141"/>
              <w:spacing w:after="0"/>
              <w:rPr>
                <w:sz w:val="20"/>
                <w:szCs w:val="20"/>
                <w:color w:val="auto"/>
              </w:rPr>
            </w:pPr>
            <w:r>
              <w:rPr>
                <w:rFonts w:ascii="Arial" w:cs="Arial" w:eastAsia="Arial" w:hAnsi="Arial"/>
                <w:sz w:val="18"/>
                <w:szCs w:val="18"/>
                <w:b w:val="1"/>
                <w:bCs w:val="1"/>
                <w:color w:val="auto"/>
                <w:w w:val="98"/>
              </w:rPr>
              <w:t>Delaware</w:t>
            </w:r>
          </w:p>
        </w:tc>
        <w:tc>
          <w:tcPr>
            <w:tcW w:w="2340" w:type="dxa"/>
            <w:vAlign w:val="bottom"/>
          </w:tcPr>
          <w:p>
            <w:pPr>
              <w:jc w:val="center"/>
              <w:ind w:right="1142"/>
              <w:spacing w:after="0"/>
              <w:rPr>
                <w:sz w:val="20"/>
                <w:szCs w:val="20"/>
                <w:color w:val="auto"/>
              </w:rPr>
            </w:pPr>
            <w:r>
              <w:rPr>
                <w:rFonts w:ascii="Arial" w:cs="Arial" w:eastAsia="Arial" w:hAnsi="Arial"/>
                <w:sz w:val="18"/>
                <w:szCs w:val="18"/>
                <w:b w:val="1"/>
                <w:bCs w:val="1"/>
                <w:color w:val="auto"/>
                <w:w w:val="99"/>
              </w:rPr>
              <w:t>1-6714</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r>
      <w:tr>
        <w:trPr>
          <w:trHeight w:val="189"/>
        </w:trPr>
        <w:tc>
          <w:tcPr>
            <w:tcW w:w="4200" w:type="dxa"/>
            <w:vAlign w:val="bottom"/>
          </w:tcPr>
          <w:p>
            <w:pPr>
              <w:jc w:val="center"/>
              <w:ind w:right="2141"/>
              <w:spacing w:after="0"/>
              <w:rPr>
                <w:sz w:val="20"/>
                <w:szCs w:val="20"/>
                <w:color w:val="auto"/>
              </w:rPr>
            </w:pPr>
            <w:r>
              <w:rPr>
                <w:rFonts w:ascii="Arial" w:cs="Arial" w:eastAsia="Arial" w:hAnsi="Arial"/>
                <w:sz w:val="14"/>
                <w:szCs w:val="14"/>
                <w:b w:val="1"/>
                <w:bCs w:val="1"/>
                <w:color w:val="auto"/>
              </w:rPr>
              <w:t>(State or other jurisdiction of</w:t>
            </w:r>
          </w:p>
        </w:tc>
        <w:tc>
          <w:tcPr>
            <w:tcW w:w="2340" w:type="dxa"/>
            <w:vAlign w:val="bottom"/>
          </w:tcPr>
          <w:p>
            <w:pPr>
              <w:jc w:val="center"/>
              <w:ind w:right="1142"/>
              <w:spacing w:after="0"/>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261"/>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4200" w:type="dxa"/>
            <w:vAlign w:val="bottom"/>
          </w:tcPr>
          <w:p>
            <w:pPr>
              <w:jc w:val="center"/>
              <w:ind w:right="2141"/>
              <w:spacing w:after="0"/>
              <w:rPr>
                <w:sz w:val="20"/>
                <w:szCs w:val="20"/>
                <w:color w:val="auto"/>
              </w:rPr>
            </w:pPr>
            <w:r>
              <w:rPr>
                <w:rFonts w:ascii="Arial" w:cs="Arial" w:eastAsia="Arial" w:hAnsi="Arial"/>
                <w:sz w:val="14"/>
                <w:szCs w:val="14"/>
                <w:b w:val="1"/>
                <w:bCs w:val="1"/>
                <w:color w:val="auto"/>
              </w:rPr>
              <w:t>incorporation)</w:t>
            </w:r>
          </w:p>
        </w:tc>
        <w:tc>
          <w:tcPr>
            <w:tcW w:w="2340" w:type="dxa"/>
            <w:vAlign w:val="bottom"/>
          </w:tcPr>
          <w:p>
            <w:pPr>
              <w:jc w:val="center"/>
              <w:ind w:right="1142"/>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241"/>
              <w:spacing w:after="0"/>
              <w:rPr>
                <w:sz w:val="20"/>
                <w:szCs w:val="20"/>
                <w:color w:val="auto"/>
              </w:rPr>
            </w:pPr>
            <w:r>
              <w:rPr>
                <w:rFonts w:ascii="Arial" w:cs="Arial" w:eastAsia="Arial" w:hAnsi="Arial"/>
                <w:sz w:val="14"/>
                <w:szCs w:val="14"/>
                <w:b w:val="1"/>
                <w:bCs w:val="1"/>
                <w:color w:val="auto"/>
              </w:rPr>
              <w:t>Identification No.)</w:t>
            </w:r>
          </w:p>
        </w:tc>
      </w:tr>
      <w:tr>
        <w:trPr>
          <w:trHeight w:val="552"/>
        </w:trPr>
        <w:tc>
          <w:tcPr>
            <w:tcW w:w="6540" w:type="dxa"/>
            <w:vAlign w:val="bottom"/>
            <w:gridSpan w:val="2"/>
          </w:tcPr>
          <w:p>
            <w:pPr>
              <w:jc w:val="center"/>
              <w:ind w:right="942"/>
              <w:spacing w:after="0"/>
              <w:rPr>
                <w:sz w:val="20"/>
                <w:szCs w:val="20"/>
                <w:color w:val="auto"/>
              </w:rPr>
            </w:pPr>
            <w:r>
              <w:rPr>
                <w:rFonts w:ascii="Arial" w:cs="Arial" w:eastAsia="Arial" w:hAnsi="Arial"/>
                <w:sz w:val="18"/>
                <w:szCs w:val="18"/>
                <w:b w:val="1"/>
                <w:bCs w:val="1"/>
                <w:color w:val="auto"/>
                <w:w w:val="99"/>
              </w:rPr>
              <w:t>1150 15th Street, N.W. Washington, D.C.</w:t>
            </w: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20071</w:t>
            </w:r>
          </w:p>
        </w:tc>
      </w:tr>
      <w:tr>
        <w:trPr>
          <w:trHeight w:val="218"/>
        </w:trPr>
        <w:tc>
          <w:tcPr>
            <w:tcW w:w="4200" w:type="dxa"/>
            <w:vAlign w:val="bottom"/>
          </w:tcPr>
          <w:p>
            <w:pPr>
              <w:jc w:val="center"/>
              <w:ind w:left="1241"/>
              <w:spacing w:after="0"/>
              <w:rPr>
                <w:sz w:val="20"/>
                <w:szCs w:val="20"/>
                <w:color w:val="auto"/>
              </w:rPr>
            </w:pPr>
            <w:r>
              <w:rPr>
                <w:rFonts w:ascii="Arial" w:cs="Arial" w:eastAsia="Arial" w:hAnsi="Arial"/>
                <w:sz w:val="14"/>
                <w:szCs w:val="14"/>
                <w:b w:val="1"/>
                <w:bCs w:val="1"/>
                <w:color w:val="auto"/>
              </w:rPr>
              <w:t>(Address of principal executive offices)</w:t>
            </w:r>
          </w:p>
        </w:tc>
        <w:tc>
          <w:tcPr>
            <w:tcW w:w="2340" w:type="dxa"/>
            <w:vAlign w:val="bottom"/>
          </w:tcPr>
          <w:p>
            <w:pPr>
              <w:spacing w:after="0"/>
              <w:rPr>
                <w:sz w:val="18"/>
                <w:szCs w:val="18"/>
                <w:color w:val="auto"/>
              </w:rPr>
            </w:pPr>
          </w:p>
        </w:tc>
        <w:tc>
          <w:tcPr>
            <w:tcW w:w="2520" w:type="dxa"/>
            <w:vAlign w:val="bottom"/>
          </w:tcPr>
          <w:p>
            <w:pPr>
              <w:jc w:val="center"/>
              <w:ind w:left="1241"/>
              <w:spacing w:after="0"/>
              <w:rPr>
                <w:sz w:val="20"/>
                <w:szCs w:val="20"/>
                <w:color w:val="auto"/>
              </w:rPr>
            </w:pPr>
            <w:r>
              <w:rPr>
                <w:rFonts w:ascii="Arial" w:cs="Arial" w:eastAsia="Arial" w:hAnsi="Arial"/>
                <w:sz w:val="14"/>
                <w:szCs w:val="14"/>
                <w:b w:val="1"/>
                <w:bCs w:val="1"/>
                <w:color w:val="auto"/>
              </w:rPr>
              <w:t>(Zip Code)</w:t>
            </w:r>
          </w:p>
        </w:tc>
      </w:tr>
    </w:tbl>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(202) 334-6000</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86360</wp:posOffset>
            </wp:positionV>
            <wp:extent cx="49485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331"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99" w:lineRule="exact"/>
        <w:rPr>
          <w:sz w:val="24"/>
          <w:szCs w:val="24"/>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71"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171"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171"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ectPr>
          <w:pgSz w:w="11900" w:h="16838" w:orient="portrait"/>
          <w:cols w:equalWidth="0" w:num="1">
            <w:col w:w="11420"/>
          </w:cols>
          <w:pgMar w:left="240" w:top="603" w:right="239" w:bottom="1440" w:gutter="0" w:footer="0" w:header="0"/>
        </w:sectPr>
      </w:pPr>
    </w:p>
    <w:bookmarkStart w:id="1" w:name="page2"/>
    <w:bookmarkEnd w:id="1"/>
    <w:p>
      <w:pPr>
        <w:spacing w:after="0"/>
        <w:tabs>
          <w:tab w:leader="none" w:pos="12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174625</wp:posOffset>
            </wp:positionH>
            <wp:positionV relativeFrom="page">
              <wp:posOffset>380365</wp:posOffset>
            </wp:positionV>
            <wp:extent cx="7212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2330" cy="8890"/>
                    </a:xfrm>
                    <a:prstGeom prst="rect">
                      <a:avLst/>
                    </a:prstGeom>
                    <a:noFill/>
                  </pic:spPr>
                </pic:pic>
              </a:graphicData>
            </a:graphic>
          </wp:anchor>
        </w:drawing>
        <w:t>Item 2.02</w:t>
      </w:r>
      <w:r>
        <w:rPr>
          <w:sz w:val="20"/>
          <w:szCs w:val="20"/>
          <w:color w:val="auto"/>
        </w:rPr>
        <w:tab/>
      </w:r>
      <w:r>
        <w:rPr>
          <w:rFonts w:ascii="Arial" w:cs="Arial" w:eastAsia="Arial" w:hAnsi="Arial"/>
          <w:sz w:val="17"/>
          <w:szCs w:val="17"/>
          <w:b w:val="1"/>
          <w:bCs w:val="1"/>
          <w:color w:val="auto"/>
        </w:rPr>
        <w:t>Results of Operations and Financial Condition.</w:t>
      </w:r>
    </w:p>
    <w:p>
      <w:pPr>
        <w:spacing w:after="0" w:line="28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On August 1, 2014, Graham Holdings Company issued a press release announcing the Company’s earnings for the second quarter ended June 30, 2014. A copy of this press release is furnished with this report as an exhibit to this Form 8-K.</w:t>
      </w:r>
    </w:p>
    <w:p>
      <w:pPr>
        <w:spacing w:after="0" w:line="200" w:lineRule="exact"/>
        <w:rPr>
          <w:sz w:val="20"/>
          <w:szCs w:val="20"/>
          <w:color w:val="auto"/>
        </w:rPr>
      </w:pPr>
    </w:p>
    <w:p>
      <w:pPr>
        <w:spacing w:after="0" w:line="271"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Exhibit 99.1 Graham Holdings Company Earnings Release Dated August 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323850</wp:posOffset>
            </wp:positionV>
            <wp:extent cx="7212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240" w:top="832" w:right="6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174625</wp:posOffset>
            </wp:positionH>
            <wp:positionV relativeFrom="page">
              <wp:posOffset>380365</wp:posOffset>
            </wp:positionV>
            <wp:extent cx="72123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2330" cy="8890"/>
                    </a:xfrm>
                    <a:prstGeom prst="rect">
                      <a:avLst/>
                    </a:prstGeom>
                    <a:noFill/>
                  </pic:spPr>
                </pic:pic>
              </a:graphicData>
            </a:graphic>
          </wp:anchor>
        </w:drawing>
        <w:t>SIGNATURE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Graham Holdings Company</w:t>
            </w:r>
          </w:p>
        </w:tc>
        <w:tc>
          <w:tcPr>
            <w:tcW w:w="4620" w:type="dxa"/>
            <w:vAlign w:val="bottom"/>
          </w:tcPr>
          <w:p>
            <w:pPr>
              <w:spacing w:after="0"/>
              <w:rPr>
                <w:sz w:val="17"/>
                <w:szCs w:val="17"/>
                <w:color w:val="auto"/>
              </w:rPr>
            </w:pPr>
          </w:p>
        </w:tc>
      </w:tr>
      <w:tr>
        <w:trPr>
          <w:trHeight w:val="237"/>
        </w:trPr>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40" w:type="dxa"/>
            <w:vAlign w:val="bottom"/>
            <w:gridSpan w:val="3"/>
          </w:tcPr>
          <w:p>
            <w:pPr>
              <w:jc w:val="center"/>
              <w:ind w:right="4860"/>
              <w:spacing w:after="0"/>
              <w:rPr>
                <w:sz w:val="20"/>
                <w:szCs w:val="20"/>
                <w:color w:val="auto"/>
              </w:rPr>
            </w:pPr>
            <w:r>
              <w:rPr>
                <w:rFonts w:ascii="Arial" w:cs="Arial" w:eastAsia="Arial" w:hAnsi="Arial"/>
                <w:sz w:val="18"/>
                <w:szCs w:val="18"/>
                <w:color w:val="auto"/>
                <w:w w:val="99"/>
              </w:rPr>
              <w:t>(Registrant)</w:t>
            </w:r>
          </w:p>
        </w:tc>
      </w:tr>
      <w:tr>
        <w:trPr>
          <w:trHeight w:val="824"/>
        </w:trPr>
        <w:tc>
          <w:tcPr>
            <w:tcW w:w="440" w:type="dxa"/>
            <w:vAlign w:val="bottom"/>
            <w:gridSpan w:val="2"/>
          </w:tcPr>
          <w:p>
            <w:pPr>
              <w:spacing w:after="0"/>
              <w:rPr>
                <w:sz w:val="20"/>
                <w:szCs w:val="20"/>
                <w:color w:val="auto"/>
              </w:rPr>
            </w:pPr>
            <w:r>
              <w:rPr>
                <w:rFonts w:ascii="Arial" w:cs="Arial" w:eastAsia="Arial" w:hAnsi="Arial"/>
                <w:sz w:val="18"/>
                <w:szCs w:val="18"/>
                <w:color w:val="auto"/>
              </w:rPr>
              <w:t>Date</w:t>
            </w:r>
          </w:p>
        </w:tc>
        <w:tc>
          <w:tcPr>
            <w:tcW w:w="180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August 1, 2014</w:t>
            </w:r>
          </w:p>
        </w:tc>
        <w:tc>
          <w:tcPr>
            <w:tcW w:w="19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9"/>
              </w:rPr>
              <w:t>/s/ Hal S. Jones</w:t>
            </w:r>
          </w:p>
        </w:tc>
        <w:tc>
          <w:tcPr>
            <w:tcW w:w="4740" w:type="dxa"/>
            <w:vAlign w:val="bottom"/>
            <w:gridSpan w:val="2"/>
          </w:tcPr>
          <w:p>
            <w:pPr>
              <w:spacing w:after="0"/>
              <w:rPr>
                <w:sz w:val="24"/>
                <w:szCs w:val="24"/>
                <w:color w:val="auto"/>
              </w:rPr>
            </w:pPr>
          </w:p>
        </w:tc>
      </w:tr>
      <w:tr>
        <w:trPr>
          <w:trHeight w:val="236"/>
        </w:trPr>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40" w:type="dxa"/>
            <w:vAlign w:val="bottom"/>
            <w:gridSpan w:val="3"/>
          </w:tcPr>
          <w:p>
            <w:pPr>
              <w:ind w:left="540"/>
              <w:spacing w:after="0"/>
              <w:rPr>
                <w:sz w:val="20"/>
                <w:szCs w:val="20"/>
                <w:color w:val="auto"/>
              </w:rPr>
            </w:pPr>
            <w:r>
              <w:rPr>
                <w:rFonts w:ascii="Arial" w:cs="Arial" w:eastAsia="Arial" w:hAnsi="Arial"/>
                <w:sz w:val="18"/>
                <w:szCs w:val="18"/>
                <w:color w:val="auto"/>
              </w:rPr>
              <w:t>Hal S. Jones</w:t>
            </w:r>
          </w:p>
        </w:tc>
      </w:tr>
      <w:tr>
        <w:trPr>
          <w:trHeight w:val="216"/>
        </w:trPr>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9160" w:type="dxa"/>
            <w:vAlign w:val="bottom"/>
            <w:gridSpan w:val="5"/>
          </w:tcPr>
          <w:p>
            <w:pPr>
              <w:jc w:val="center"/>
              <w:ind w:right="2960"/>
              <w:spacing w:after="0"/>
              <w:rPr>
                <w:sz w:val="20"/>
                <w:szCs w:val="20"/>
                <w:color w:val="auto"/>
              </w:rPr>
            </w:pPr>
            <w:r>
              <w:rPr>
                <w:rFonts w:ascii="Arial" w:cs="Arial" w:eastAsia="Arial" w:hAnsi="Arial"/>
                <w:sz w:val="18"/>
                <w:szCs w:val="18"/>
                <w:color w:val="auto"/>
              </w:rPr>
              <w:t>Senior Vice President–Finance</w:t>
            </w:r>
          </w:p>
        </w:tc>
      </w:tr>
      <w:tr>
        <w:trPr>
          <w:trHeight w:val="217"/>
        </w:trPr>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40" w:type="dxa"/>
            <w:vAlign w:val="bottom"/>
            <w:gridSpan w:val="3"/>
          </w:tcPr>
          <w:p>
            <w:pPr>
              <w:ind w:left="160"/>
              <w:spacing w:after="0"/>
              <w:rPr>
                <w:sz w:val="20"/>
                <w:szCs w:val="20"/>
                <w:color w:val="auto"/>
              </w:rPr>
            </w:pPr>
            <w:r>
              <w:rPr>
                <w:rFonts w:ascii="Arial" w:cs="Arial" w:eastAsia="Arial" w:hAnsi="Arial"/>
                <w:sz w:val="18"/>
                <w:szCs w:val="18"/>
                <w:color w:val="auto"/>
              </w:rPr>
              <w:t>(Principal Financial Officer)</w:t>
            </w:r>
          </w:p>
        </w:tc>
      </w:tr>
      <w:tr>
        <w:trPr>
          <w:trHeight w:val="716"/>
        </w:trPr>
        <w:tc>
          <w:tcPr>
            <w:tcW w:w="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r>
      <w:tr>
        <w:trPr>
          <w:trHeight w:val="210"/>
        </w:trPr>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420" w:type="dxa"/>
            <w:vAlign w:val="bottom"/>
            <w:gridSpan w:val="3"/>
          </w:tcPr>
          <w:p>
            <w:pPr>
              <w:jc w:val="right"/>
              <w:ind w:right="8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4620" w:type="dxa"/>
            <w:vAlign w:val="bottom"/>
          </w:tcPr>
          <w:p>
            <w:pPr>
              <w:spacing w:after="0"/>
              <w:rPr>
                <w:sz w:val="18"/>
                <w:szCs w:val="18"/>
                <w:color w:val="auto"/>
              </w:rPr>
            </w:pPr>
          </w:p>
        </w:tc>
      </w:tr>
    </w:tbl>
    <w:p>
      <w:pPr>
        <w:sectPr>
          <w:pgSz w:w="11900" w:h="16838" w:orient="portrait"/>
          <w:cols w:equalWidth="0" w:num="1">
            <w:col w:w="11400"/>
          </w:cols>
          <w:pgMar w:left="240" w:top="832"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174625</wp:posOffset>
            </wp:positionH>
            <wp:positionV relativeFrom="page">
              <wp:posOffset>380365</wp:posOffset>
            </wp:positionV>
            <wp:extent cx="72123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2330" cy="8890"/>
                    </a:xfrm>
                    <a:prstGeom prst="rect">
                      <a:avLst/>
                    </a:prstGeom>
                    <a:noFill/>
                  </pic:spPr>
                </pic:pic>
              </a:graphicData>
            </a:graphic>
          </wp:anchor>
        </w:drawing>
        <w:t>Exhibit Index</w:t>
      </w:r>
    </w:p>
    <w:p>
      <w:pPr>
        <w:spacing w:after="0" w:line="200" w:lineRule="exact"/>
        <w:rPr>
          <w:sz w:val="20"/>
          <w:szCs w:val="20"/>
          <w:color w:val="auto"/>
        </w:rPr>
      </w:pPr>
    </w:p>
    <w:p>
      <w:pPr>
        <w:spacing w:after="0" w:line="263"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7"/>
          <w:szCs w:val="17"/>
          <w:color w:val="auto"/>
        </w:rPr>
        <w:t>Graham Holdings Company Earnings Release dated August 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461010</wp:posOffset>
            </wp:positionV>
            <wp:extent cx="72123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832"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Arial" w:cs="Arial" w:eastAsia="Arial" w:hAnsi="Arial"/>
                <w:sz w:val="18"/>
                <w:szCs w:val="18"/>
                <w:color w:val="auto"/>
              </w:rPr>
              <w:t>Contact:</w:t>
            </w:r>
          </w:p>
        </w:tc>
        <w:tc>
          <w:tcPr>
            <w:tcW w:w="3660" w:type="dxa"/>
            <w:vAlign w:val="bottom"/>
          </w:tcPr>
          <w:p>
            <w:pPr>
              <w:jc w:val="right"/>
              <w:ind w:right="2230"/>
              <w:spacing w:after="0"/>
              <w:rPr>
                <w:sz w:val="20"/>
                <w:szCs w:val="20"/>
                <w:color w:val="auto"/>
              </w:rPr>
            </w:pPr>
            <w:r>
              <w:rPr>
                <w:rFonts w:ascii="Arial" w:cs="Arial" w:eastAsia="Arial" w:hAnsi="Arial"/>
                <w:sz w:val="18"/>
                <w:szCs w:val="18"/>
                <w:color w:val="auto"/>
              </w:rPr>
              <w:t>Hal S. Jones</w:t>
            </w:r>
          </w:p>
        </w:tc>
        <w:tc>
          <w:tcPr>
            <w:tcW w:w="4000" w:type="dxa"/>
            <w:vAlign w:val="bottom"/>
            <w:gridSpan w:val="2"/>
          </w:tcPr>
          <w:p>
            <w:pPr>
              <w:ind w:left="2120"/>
              <w:spacing w:after="0"/>
              <w:rPr>
                <w:sz w:val="20"/>
                <w:szCs w:val="20"/>
                <w:color w:val="auto"/>
              </w:rPr>
            </w:pPr>
            <w:r>
              <w:rPr>
                <w:rFonts w:ascii="Arial" w:cs="Arial" w:eastAsia="Arial" w:hAnsi="Arial"/>
                <w:sz w:val="18"/>
                <w:szCs w:val="18"/>
                <w:color w:val="auto"/>
                <w:w w:val="99"/>
              </w:rPr>
              <w:t>For Immediate Release</w:t>
            </w:r>
          </w:p>
        </w:tc>
      </w:tr>
      <w:tr>
        <w:trPr>
          <w:trHeight w:val="237"/>
        </w:trPr>
        <w:tc>
          <w:tcPr>
            <w:tcW w:w="960" w:type="dxa"/>
            <w:vAlign w:val="bottom"/>
          </w:tcPr>
          <w:p>
            <w:pPr>
              <w:spacing w:after="0"/>
              <w:rPr>
                <w:sz w:val="20"/>
                <w:szCs w:val="20"/>
                <w:color w:val="auto"/>
              </w:rPr>
            </w:pPr>
          </w:p>
        </w:tc>
        <w:tc>
          <w:tcPr>
            <w:tcW w:w="3660" w:type="dxa"/>
            <w:vAlign w:val="bottom"/>
          </w:tcPr>
          <w:p>
            <w:pPr>
              <w:jc w:val="right"/>
              <w:ind w:right="2050"/>
              <w:spacing w:after="0"/>
              <w:rPr>
                <w:sz w:val="20"/>
                <w:szCs w:val="20"/>
                <w:color w:val="auto"/>
              </w:rPr>
            </w:pPr>
            <w:r>
              <w:rPr>
                <w:rFonts w:ascii="Arial" w:cs="Arial" w:eastAsia="Arial" w:hAnsi="Arial"/>
                <w:sz w:val="18"/>
                <w:szCs w:val="18"/>
                <w:color w:val="auto"/>
              </w:rPr>
              <w:t>(202) 334-6645</w:t>
            </w:r>
          </w:p>
        </w:tc>
        <w:tc>
          <w:tcPr>
            <w:tcW w:w="2120" w:type="dxa"/>
            <w:vAlign w:val="bottom"/>
          </w:tcPr>
          <w:p>
            <w:pPr>
              <w:spacing w:after="0"/>
              <w:rPr>
                <w:sz w:val="20"/>
                <w:szCs w:val="20"/>
                <w:color w:val="auto"/>
              </w:rPr>
            </w:pPr>
          </w:p>
        </w:tc>
        <w:tc>
          <w:tcPr>
            <w:tcW w:w="18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August 1, 2014</w:t>
            </w: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GRAHAM HOLDINGS COMPANY REPORTS</w:t>
      </w:r>
    </w:p>
    <w:p>
      <w:pPr>
        <w:jc w:val="center"/>
        <w:spacing w:after="0"/>
        <w:rPr>
          <w:sz w:val="20"/>
          <w:szCs w:val="20"/>
          <w:color w:val="auto"/>
        </w:rPr>
      </w:pPr>
      <w:r>
        <w:rPr>
          <w:rFonts w:ascii="Arial" w:cs="Arial" w:eastAsia="Arial" w:hAnsi="Arial"/>
          <w:sz w:val="18"/>
          <w:szCs w:val="18"/>
          <w:color w:val="auto"/>
        </w:rPr>
        <w:t>SECOND QUARTER EARNINGS</w:t>
      </w:r>
    </w:p>
    <w:p>
      <w:pPr>
        <w:spacing w:after="0" w:line="144"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WASHINGTON – Graham Holdings Company (NYSE: GHC) today reported income from continuing operations attributable to common shares of $ 369.7 million ($49.52 per share) for the second quarter of 2014, compared to $ 46.6 million ($6.28 per share) for the second quarter of 2013. Net income attributable to common shares was $750.1 million ($100.48 per share) for the second quarter ended June 30, 2014, compared to $44.7 million ($6.02 per share) for the second quarter of last year. Net income includes $380.5 million ($50.96 per share) in income and $2.0 million ($0.26 per share) in losses from discontinued operations for the second quarter of 2014 and 2013, respectively. (Refer to “Discontinued Operations” discussion below.)</w:t>
      </w:r>
    </w:p>
    <w:p>
      <w:pPr>
        <w:spacing w:after="0" w:line="137" w:lineRule="exact"/>
        <w:rPr>
          <w:sz w:val="20"/>
          <w:szCs w:val="20"/>
          <w:color w:val="auto"/>
        </w:rPr>
      </w:pPr>
    </w:p>
    <w:p>
      <w:pPr>
        <w:ind w:right="40"/>
        <w:spacing w:after="0" w:line="223" w:lineRule="auto"/>
        <w:rPr>
          <w:sz w:val="20"/>
          <w:szCs w:val="20"/>
          <w:color w:val="auto"/>
        </w:rPr>
      </w:pPr>
      <w:r>
        <w:rPr>
          <w:rFonts w:ascii="Arial" w:cs="Arial" w:eastAsia="Arial" w:hAnsi="Arial"/>
          <w:sz w:val="18"/>
          <w:szCs w:val="18"/>
          <w:color w:val="auto"/>
        </w:rPr>
        <w:t>On June 30, 2014, the Company and Berkshire Hathaway Inc. completed a previously announced transaction in which Berkshire acquired a wholly-owned subsidiary of the Company that included, among other things, WPLG, a Miami-based television station, 2,107 Class A Berkshire shares and 1,278 Class B Berkshire shares owned by Graham Holdings and $327.7 million in cash, in exchange for 1,620,190 shares of Graham Holdings Class B common stock owned by Berkshire Hathaway (Berkshire exchange transaction). As a result, income from continuing operations for the second quarter of 2014 includes a $266.7 million gain from the exchange of the Berkshire Hathaway shares, and income from discontinued operations for the second quarter of 2014 includes a $375.0 million gain from the WPLG exchange. Also, income from continuing operations excludes the operating results of WPLG, which have been reclassified to discontinued operations, net of tax, for all periods presented.</w:t>
      </w:r>
    </w:p>
    <w:p>
      <w:pPr>
        <w:spacing w:after="0" w:line="136" w:lineRule="exact"/>
        <w:rPr>
          <w:sz w:val="20"/>
          <w:szCs w:val="20"/>
          <w:color w:val="auto"/>
        </w:rPr>
      </w:pPr>
    </w:p>
    <w:p>
      <w:pPr>
        <w:jc w:val="both"/>
        <w:ind w:right="220"/>
        <w:spacing w:after="0" w:line="227" w:lineRule="auto"/>
        <w:rPr>
          <w:sz w:val="20"/>
          <w:szCs w:val="20"/>
          <w:color w:val="auto"/>
        </w:rPr>
      </w:pPr>
      <w:r>
        <w:rPr>
          <w:rFonts w:ascii="Arial" w:cs="Arial" w:eastAsia="Arial" w:hAnsi="Arial"/>
          <w:sz w:val="18"/>
          <w:szCs w:val="18"/>
          <w:color w:val="auto"/>
        </w:rPr>
        <w:t>The results for the second quarter of 2014 and 2013 were affected by a number of items as described in the following paragraphs. Excluding these items, income from continuing operations attributable to common shares was $54.5 million ($7.31 per share) for the second quarter of 2014, compared to $58.7 million ($7.93 per share) for the second quarter of 2013. (Refer to the Non-GAAP Financial Information schedule at the end of this release for additional details.)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from continuing operations for the second quarter of 2014:</w:t>
      </w:r>
    </w:p>
    <w:p>
      <w:pPr>
        <w:spacing w:after="0" w:line="144" w:lineRule="exact"/>
        <w:rPr>
          <w:sz w:val="20"/>
          <w:szCs w:val="20"/>
          <w:color w:val="auto"/>
        </w:rPr>
      </w:pPr>
    </w:p>
    <w:p>
      <w:pPr>
        <w:ind w:left="180" w:right="400" w:hanging="172"/>
        <w:spacing w:after="0" w:line="235" w:lineRule="auto"/>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$10.5 million in restructuring charges and software asset write-offs at the education division (after-tax impact of $6.7 million, or $0.90 per share);</w:t>
      </w:r>
    </w:p>
    <w:p>
      <w:pPr>
        <w:spacing w:after="0" w:line="134" w:lineRule="exact"/>
        <w:rPr>
          <w:rFonts w:ascii="Arial" w:cs="Arial" w:eastAsia="Arial" w:hAnsi="Arial"/>
          <w:sz w:val="18"/>
          <w:szCs w:val="18"/>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$7.8 million noncash intangible asset impairment charge at the education division (after-tax impact of $5.0 million, or $0.67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$90.9 million gain from the Classified Ventures’ sale of apartments.com (after-tax impact of $58.2 million, or $7.80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$266.7 million gain from the Berkshire exchange transaction (after-tax impact of $266.7 million, or $35.73 per share); and</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$2.9 million in non-operating unrealized foreign currency gains (after-tax impact of $1.9 million, or $0.25 per share).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from continuing operations for the second quarter of 2013:</w:t>
      </w:r>
    </w:p>
    <w:p>
      <w:pPr>
        <w:spacing w:after="0" w:line="144" w:lineRule="exact"/>
        <w:rPr>
          <w:sz w:val="20"/>
          <w:szCs w:val="20"/>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$4.9 million in restructuring charges at the education division (after-tax impact of $3.9 million, or $0.54 per share); and</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$12.6 million in non-operating unrealized foreign currency losses (after-tax impact of $8.1 million, or $1.11 per share).</w:t>
      </w:r>
    </w:p>
    <w:p>
      <w:pPr>
        <w:spacing w:after="0" w:line="144"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color w:val="auto"/>
        </w:rPr>
        <w:t>Revenue for the second quarter of 2014 was $878.6 million, up 1% from $870.5 million in the second quarter of 2013. The Company reported operating income of $94.5 million in the second quarter of 2014, compared to $96.3 million in the second quarter of 2013. Revenues increased at the television broadcasting division and in other businesses, declined at the cable division and were flat at the education division. Operating results were down in the second quarter of 2014 due to declines at the education division and in other businesses, offset by improvements at the television broadcasting and cable divisions.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76"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For the first six months of 2014, the Company reported income from continuing operations attributable to common shares of $500.7 million</w:t>
      </w:r>
    </w:p>
    <w:p>
      <w:pPr>
        <w:spacing w:after="0" w:line="227" w:lineRule="auto"/>
        <w:rPr>
          <w:sz w:val="20"/>
          <w:szCs w:val="20"/>
          <w:color w:val="auto"/>
        </w:rPr>
      </w:pPr>
      <w:r>
        <w:rPr>
          <w:rFonts w:ascii="Arial" w:cs="Arial" w:eastAsia="Arial" w:hAnsi="Arial"/>
          <w:sz w:val="18"/>
          <w:szCs w:val="18"/>
          <w:color w:val="auto"/>
        </w:rPr>
        <w:t>($67.13 per share), compared to $68.3 million ($9.21 per share) for the first six months of 2013. Net income attributable to common shares was $882.2 million ($118.26 per share) for the first six months of 2013, compared to $49.4 million ($6.66 per share) for the same period of 2013. Net income includes $381.5 million ($51.13 per share) in income and $18.9 million ($2.55 per share) in losses from discontinued operations for the first six months of 2014 and 2013, respectively. (Refer to “Discontinued Operations” discussion below.)</w:t>
      </w:r>
    </w:p>
    <w:p>
      <w:pPr>
        <w:spacing w:after="0" w:line="135"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The results for the first six months of 2014 and 2013 were affected by a number of significant items as described in the following paragraphs. Excluding these items, income from continuing operations attributable to common shares was $103.4 million ($13.74 per share) for the first six months of 2014, compared to $89.4 million ($12.12 per share) for the first six months of 2013. (Refer to the Non-GAAP Financial Information schedule at the end of this release for additional details.)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from continuing operations for the first six months of 2014:</w:t>
      </w:r>
    </w:p>
    <w:p>
      <w:pPr>
        <w:spacing w:after="0" w:line="144" w:lineRule="exact"/>
        <w:rPr>
          <w:sz w:val="20"/>
          <w:szCs w:val="20"/>
          <w:color w:val="auto"/>
        </w:rPr>
      </w:pPr>
    </w:p>
    <w:p>
      <w:pPr>
        <w:ind w:left="180" w:right="520" w:hanging="172"/>
        <w:spacing w:after="0" w:line="235" w:lineRule="auto"/>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$15.0 million in early retirement program expense, restructuring charges and software asset write-offs at the education division and the corporate office (after-tax impact of $9.6 million, or $1.29 per share);</w:t>
      </w:r>
    </w:p>
    <w:p>
      <w:pPr>
        <w:spacing w:after="0" w:line="134"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$7.8 million noncash intangible asset impairment charge at the education division (after-tax impact of $5.0 million, or $0.67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$90.9 million gain from the Classified Ventures’ sale of apartments.com (after-tax impact of $58.2 million, or $7.80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$266.7 million gain from the Berkshire exchange transaction (after-tax impact of $266.7 million, or $35.73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$127.7 million gain on the sale of the corporate headquarters building (after-tax impact of $81.8 million, or $11.13 per share); and</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$7.9 million in non-operating unrealized foreign currency gains (after-tax impact of $5.1 million, or $0.69 per share).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from continuing operations for the first six months of 2013:</w:t>
      </w:r>
    </w:p>
    <w:p>
      <w:pPr>
        <w:spacing w:after="0" w:line="144"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$14.3 million in restructuring charges at the education division (after-tax impact of $10.1 million, or $1.39 per share); and</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$17.2 million in non-operating unrealized foreign currency losses (after-tax impact of $11.0 million, or $1.52 per share).</w:t>
      </w:r>
    </w:p>
    <w:p>
      <w:pPr>
        <w:spacing w:after="0" w:line="144"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Revenue for the first six months of 2014 was $1,719.2 million, up 2% from $1,691.1 million in the first six months of 2013. Revenues increased at the television broadcasting division and in other businesses, while revenues at the education and cable divisions were flat. The Company reported operating income of $174.0 million for the first six months of 2014, compared to $143.4 million for the first six months of 2013. Operating results improved at the television broadcasting and cable divisions, offset by a decline at the education division and in other businesses.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Division Results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166" w:lineRule="exact"/>
        <w:rPr>
          <w:sz w:val="20"/>
          <w:szCs w:val="20"/>
          <w:color w:val="auto"/>
        </w:rPr>
      </w:pPr>
    </w:p>
    <w:p>
      <w:pPr>
        <w:ind w:right="180"/>
        <w:spacing w:after="0" w:line="225" w:lineRule="auto"/>
        <w:rPr>
          <w:sz w:val="20"/>
          <w:szCs w:val="20"/>
          <w:color w:val="auto"/>
        </w:rPr>
      </w:pPr>
      <w:r>
        <w:rPr>
          <w:rFonts w:ascii="Arial" w:cs="Arial" w:eastAsia="Arial" w:hAnsi="Arial"/>
          <w:sz w:val="18"/>
          <w:szCs w:val="18"/>
          <w:color w:val="auto"/>
        </w:rPr>
        <w:t>Education division revenue totaled $547.2 million for the second quarter of 2014, essentially flat compared with revenue of $548.2 million for the second quarter of 2013. Kaplan reported second quarter 2014 operating income of $10.6 million, compared to $23.7 million in the second quarter of 2013. Restructuring costs and software asset write-offs totaled $10.5 million and $4.9 million for the second quarter of 2014 and 2013, respectively. Operating results for the second quarter of 2014 also include a $7.8 million intangible asset impairment charge related to the Kaplan China operations.</w:t>
      </w:r>
    </w:p>
    <w:p>
      <w:pPr>
        <w:spacing w:after="0" w:line="137" w:lineRule="exact"/>
        <w:rPr>
          <w:sz w:val="20"/>
          <w:szCs w:val="20"/>
          <w:color w:val="auto"/>
        </w:rPr>
      </w:pPr>
    </w:p>
    <w:p>
      <w:pPr>
        <w:ind w:right="120"/>
        <w:spacing w:after="0" w:line="225" w:lineRule="auto"/>
        <w:rPr>
          <w:sz w:val="20"/>
          <w:szCs w:val="20"/>
          <w:color w:val="auto"/>
        </w:rPr>
      </w:pPr>
      <w:r>
        <w:rPr>
          <w:rFonts w:ascii="Arial" w:cs="Arial" w:eastAsia="Arial" w:hAnsi="Arial"/>
          <w:sz w:val="18"/>
          <w:szCs w:val="18"/>
          <w:color w:val="auto"/>
        </w:rPr>
        <w:t>For the first six months of 2014, education division revenue totaled $1,073.4 million, essentially flat compared with revenue of $1,076.0 million for the same period of 2013. Kaplan reported operating income of $13.1 million for the first six months of 2014, compared to operating income of $ 19.7 million for the first six months of 2013. Restructuring costs and software asset write-offs totaled $10.5 million and $14.3 million for the first six months of 2014 and 2013, respectively. Operating results for the first six months of 2014 also include a $7.8 million intangible asset impairment charge related to the Kaplan China operations.</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566"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A summary of Kaplan’s operating results for the second quarter and first six months of 2014 compared to 2013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2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1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Six Months Ended</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34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4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2013</w:t>
            </w:r>
          </w:p>
        </w:tc>
        <w:tc>
          <w:tcPr>
            <w:tcW w:w="14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 Change</w:t>
            </w: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2013</w:t>
            </w:r>
          </w:p>
        </w:tc>
        <w:tc>
          <w:tcPr>
            <w:tcW w:w="140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50"/>
        </w:trPr>
        <w:tc>
          <w:tcPr>
            <w:tcW w:w="3460" w:type="dxa"/>
            <w:vAlign w:val="bottom"/>
          </w:tcPr>
          <w:p>
            <w:pPr>
              <w:ind w:left="40"/>
              <w:spacing w:after="0"/>
              <w:rPr>
                <w:sz w:val="20"/>
                <w:szCs w:val="20"/>
                <w:color w:val="auto"/>
              </w:rPr>
            </w:pPr>
            <w:r>
              <w:rPr>
                <w:rFonts w:ascii="Arial" w:cs="Arial" w:eastAsia="Arial" w:hAnsi="Arial"/>
                <w:sz w:val="16"/>
                <w:szCs w:val="16"/>
                <w:b w:val="1"/>
                <w:bCs w:val="1"/>
                <w:color w:val="auto"/>
              </w:rPr>
              <w:t>Revenue</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460" w:type="dxa"/>
            <w:vAlign w:val="bottom"/>
          </w:tcPr>
          <w:p>
            <w:pPr>
              <w:ind w:left="180"/>
              <w:spacing w:after="0"/>
              <w:rPr>
                <w:sz w:val="20"/>
                <w:szCs w:val="20"/>
                <w:color w:val="auto"/>
              </w:rPr>
            </w:pPr>
            <w:r>
              <w:rPr>
                <w:rFonts w:ascii="Arial" w:cs="Arial" w:eastAsia="Arial" w:hAnsi="Arial"/>
                <w:sz w:val="16"/>
                <w:szCs w:val="16"/>
                <w:color w:val="auto"/>
              </w:rPr>
              <w:t>Higher education</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81"/>
              <w:spacing w:after="0"/>
              <w:rPr>
                <w:sz w:val="20"/>
                <w:szCs w:val="20"/>
                <w:color w:val="auto"/>
              </w:rPr>
            </w:pPr>
            <w:r>
              <w:rPr>
                <w:rFonts w:ascii="Arial" w:cs="Arial" w:eastAsia="Arial" w:hAnsi="Arial"/>
                <w:sz w:val="16"/>
                <w:szCs w:val="16"/>
                <w:b w:val="1"/>
                <w:bCs w:val="1"/>
                <w:color w:val="auto"/>
              </w:rPr>
              <w:t>251,936</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273,092</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(8)</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1"/>
              <w:spacing w:after="0"/>
              <w:rPr>
                <w:sz w:val="20"/>
                <w:szCs w:val="20"/>
                <w:color w:val="auto"/>
              </w:rPr>
            </w:pPr>
            <w:r>
              <w:rPr>
                <w:rFonts w:ascii="Arial" w:cs="Arial" w:eastAsia="Arial" w:hAnsi="Arial"/>
                <w:sz w:val="16"/>
                <w:szCs w:val="16"/>
                <w:b w:val="1"/>
                <w:bCs w:val="1"/>
                <w:color w:val="auto"/>
              </w:rPr>
              <w:t>505,715</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544,952</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70"/>
        </w:trPr>
        <w:tc>
          <w:tcPr>
            <w:tcW w:w="3460" w:type="dxa"/>
            <w:vAlign w:val="bottom"/>
          </w:tcPr>
          <w:p>
            <w:pPr>
              <w:ind w:left="180"/>
              <w:spacing w:after="0"/>
              <w:rPr>
                <w:sz w:val="20"/>
                <w:szCs w:val="20"/>
                <w:color w:val="auto"/>
              </w:rPr>
            </w:pPr>
            <w:r>
              <w:rPr>
                <w:rFonts w:ascii="Arial" w:cs="Arial" w:eastAsia="Arial" w:hAnsi="Arial"/>
                <w:sz w:val="16"/>
                <w:szCs w:val="16"/>
                <w:color w:val="auto"/>
              </w:rPr>
              <w:t>Test preparation</w:t>
            </w:r>
          </w:p>
        </w:tc>
        <w:tc>
          <w:tcPr>
            <w:tcW w:w="320" w:type="dxa"/>
            <w:vAlign w:val="bottom"/>
          </w:tcPr>
          <w:p>
            <w:pPr>
              <w:spacing w:after="0"/>
              <w:rPr>
                <w:sz w:val="23"/>
                <w:szCs w:val="23"/>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b w:val="1"/>
                <w:bCs w:val="1"/>
                <w:color w:val="auto"/>
              </w:rPr>
              <w:t>81,098</w:t>
            </w:r>
          </w:p>
        </w:tc>
        <w:tc>
          <w:tcPr>
            <w:tcW w:w="420" w:type="dxa"/>
            <w:vAlign w:val="bottom"/>
          </w:tcPr>
          <w:p>
            <w:pPr>
              <w:spacing w:after="0"/>
              <w:rPr>
                <w:sz w:val="23"/>
                <w:szCs w:val="23"/>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85,690</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(5)</w:t>
            </w:r>
          </w:p>
        </w:tc>
        <w:tc>
          <w:tcPr>
            <w:tcW w:w="200" w:type="dxa"/>
            <w:vAlign w:val="bottom"/>
          </w:tcPr>
          <w:p>
            <w:pPr>
              <w:spacing w:after="0"/>
              <w:rPr>
                <w:sz w:val="23"/>
                <w:szCs w:val="23"/>
                <w:color w:val="auto"/>
              </w:rPr>
            </w:pPr>
          </w:p>
        </w:tc>
        <w:tc>
          <w:tcPr>
            <w:tcW w:w="960" w:type="dxa"/>
            <w:vAlign w:val="bottom"/>
          </w:tcPr>
          <w:p>
            <w:pPr>
              <w:jc w:val="right"/>
              <w:ind w:right="61"/>
              <w:spacing w:after="0"/>
              <w:rPr>
                <w:sz w:val="20"/>
                <w:szCs w:val="20"/>
                <w:color w:val="auto"/>
              </w:rPr>
            </w:pPr>
            <w:r>
              <w:rPr>
                <w:rFonts w:ascii="Arial" w:cs="Arial" w:eastAsia="Arial" w:hAnsi="Arial"/>
                <w:sz w:val="16"/>
                <w:szCs w:val="16"/>
                <w:b w:val="1"/>
                <w:bCs w:val="1"/>
                <w:color w:val="auto"/>
              </w:rPr>
              <w:t>148,902</w:t>
            </w:r>
          </w:p>
        </w:tc>
        <w:tc>
          <w:tcPr>
            <w:tcW w:w="32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154,633</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70"/>
        </w:trPr>
        <w:tc>
          <w:tcPr>
            <w:tcW w:w="3460" w:type="dxa"/>
            <w:vAlign w:val="bottom"/>
          </w:tcPr>
          <w:p>
            <w:pPr>
              <w:ind w:left="180"/>
              <w:spacing w:after="0"/>
              <w:rPr>
                <w:sz w:val="20"/>
                <w:szCs w:val="20"/>
                <w:color w:val="auto"/>
              </w:rPr>
            </w:pPr>
            <w:r>
              <w:rPr>
                <w:rFonts w:ascii="Arial" w:cs="Arial" w:eastAsia="Arial" w:hAnsi="Arial"/>
                <w:sz w:val="16"/>
                <w:szCs w:val="16"/>
                <w:color w:val="auto"/>
              </w:rPr>
              <w:t>Kaplan international</w:t>
            </w:r>
          </w:p>
        </w:tc>
        <w:tc>
          <w:tcPr>
            <w:tcW w:w="320" w:type="dxa"/>
            <w:vAlign w:val="bottom"/>
          </w:tcPr>
          <w:p>
            <w:pPr>
              <w:spacing w:after="0"/>
              <w:rPr>
                <w:sz w:val="23"/>
                <w:szCs w:val="23"/>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b w:val="1"/>
                <w:bCs w:val="1"/>
                <w:color w:val="auto"/>
              </w:rPr>
              <w:t>213,262</w:t>
            </w:r>
          </w:p>
        </w:tc>
        <w:tc>
          <w:tcPr>
            <w:tcW w:w="420" w:type="dxa"/>
            <w:vAlign w:val="bottom"/>
          </w:tcPr>
          <w:p>
            <w:pPr>
              <w:spacing w:after="0"/>
              <w:rPr>
                <w:sz w:val="23"/>
                <w:szCs w:val="23"/>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187,968</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13</w:t>
            </w:r>
          </w:p>
        </w:tc>
        <w:tc>
          <w:tcPr>
            <w:tcW w:w="200" w:type="dxa"/>
            <w:vAlign w:val="bottom"/>
          </w:tcPr>
          <w:p>
            <w:pPr>
              <w:spacing w:after="0"/>
              <w:rPr>
                <w:sz w:val="23"/>
                <w:szCs w:val="23"/>
                <w:color w:val="auto"/>
              </w:rPr>
            </w:pPr>
          </w:p>
        </w:tc>
        <w:tc>
          <w:tcPr>
            <w:tcW w:w="960" w:type="dxa"/>
            <w:vAlign w:val="bottom"/>
          </w:tcPr>
          <w:p>
            <w:pPr>
              <w:jc w:val="right"/>
              <w:ind w:right="61"/>
              <w:spacing w:after="0"/>
              <w:rPr>
                <w:sz w:val="20"/>
                <w:szCs w:val="20"/>
                <w:color w:val="auto"/>
              </w:rPr>
            </w:pPr>
            <w:r>
              <w:rPr>
                <w:rFonts w:ascii="Arial" w:cs="Arial" w:eastAsia="Arial" w:hAnsi="Arial"/>
                <w:sz w:val="16"/>
                <w:szCs w:val="16"/>
                <w:b w:val="1"/>
                <w:bCs w:val="1"/>
                <w:color w:val="auto"/>
              </w:rPr>
              <w:t>416,129</w:t>
            </w:r>
          </w:p>
        </w:tc>
        <w:tc>
          <w:tcPr>
            <w:tcW w:w="32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372,781</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70"/>
        </w:trPr>
        <w:tc>
          <w:tcPr>
            <w:tcW w:w="3460" w:type="dxa"/>
            <w:vAlign w:val="bottom"/>
          </w:tcPr>
          <w:p>
            <w:pPr>
              <w:ind w:left="180"/>
              <w:spacing w:after="0"/>
              <w:rPr>
                <w:sz w:val="20"/>
                <w:szCs w:val="20"/>
                <w:color w:val="auto"/>
              </w:rPr>
            </w:pPr>
            <w:r>
              <w:rPr>
                <w:rFonts w:ascii="Arial" w:cs="Arial" w:eastAsia="Arial" w:hAnsi="Arial"/>
                <w:sz w:val="16"/>
                <w:szCs w:val="16"/>
                <w:color w:val="auto"/>
              </w:rPr>
              <w:t>Kaplan corporate and other</w:t>
            </w:r>
          </w:p>
        </w:tc>
        <w:tc>
          <w:tcPr>
            <w:tcW w:w="320" w:type="dxa"/>
            <w:vAlign w:val="bottom"/>
          </w:tcPr>
          <w:p>
            <w:pPr>
              <w:spacing w:after="0"/>
              <w:rPr>
                <w:sz w:val="23"/>
                <w:szCs w:val="23"/>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b w:val="1"/>
                <w:bCs w:val="1"/>
                <w:color w:val="auto"/>
              </w:rPr>
              <w:t>1,385</w:t>
            </w:r>
          </w:p>
        </w:tc>
        <w:tc>
          <w:tcPr>
            <w:tcW w:w="420" w:type="dxa"/>
            <w:vAlign w:val="bottom"/>
          </w:tcPr>
          <w:p>
            <w:pPr>
              <w:spacing w:after="0"/>
              <w:rPr>
                <w:sz w:val="23"/>
                <w:szCs w:val="23"/>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1,669</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(17)</w:t>
            </w:r>
          </w:p>
        </w:tc>
        <w:tc>
          <w:tcPr>
            <w:tcW w:w="200" w:type="dxa"/>
            <w:vAlign w:val="bottom"/>
          </w:tcPr>
          <w:p>
            <w:pPr>
              <w:spacing w:after="0"/>
              <w:rPr>
                <w:sz w:val="23"/>
                <w:szCs w:val="23"/>
                <w:color w:val="auto"/>
              </w:rPr>
            </w:pPr>
          </w:p>
        </w:tc>
        <w:tc>
          <w:tcPr>
            <w:tcW w:w="960" w:type="dxa"/>
            <w:vAlign w:val="bottom"/>
          </w:tcPr>
          <w:p>
            <w:pPr>
              <w:jc w:val="right"/>
              <w:ind w:right="61"/>
              <w:spacing w:after="0"/>
              <w:rPr>
                <w:sz w:val="20"/>
                <w:szCs w:val="20"/>
                <w:color w:val="auto"/>
              </w:rPr>
            </w:pPr>
            <w:r>
              <w:rPr>
                <w:rFonts w:ascii="Arial" w:cs="Arial" w:eastAsia="Arial" w:hAnsi="Arial"/>
                <w:sz w:val="16"/>
                <w:szCs w:val="16"/>
                <w:b w:val="1"/>
                <w:bCs w:val="1"/>
                <w:color w:val="auto"/>
              </w:rPr>
              <w:t>3,399</w:t>
            </w:r>
          </w:p>
        </w:tc>
        <w:tc>
          <w:tcPr>
            <w:tcW w:w="32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4,273</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83"/>
        </w:trPr>
        <w:tc>
          <w:tcPr>
            <w:tcW w:w="346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(500)</w:t>
            </w:r>
          </w:p>
        </w:tc>
        <w:tc>
          <w:tcPr>
            <w:tcW w:w="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(790)</w:t>
            </w: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(594)</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3460" w:type="dxa"/>
            <w:vAlign w:val="bottom"/>
          </w:tcPr>
          <w:p>
            <w:pPr>
              <w:spacing w:after="0"/>
              <w:rPr>
                <w:sz w:val="22"/>
                <w:szCs w:val="22"/>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547,181</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548,230</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1,073,355</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1,076,045</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
        </w:trPr>
        <w:tc>
          <w:tcPr>
            <w:tcW w:w="34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6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460" w:type="dxa"/>
            <w:vAlign w:val="bottom"/>
          </w:tcPr>
          <w:p>
            <w:pPr>
              <w:ind w:left="180"/>
              <w:spacing w:after="0"/>
              <w:rPr>
                <w:sz w:val="20"/>
                <w:szCs w:val="20"/>
                <w:color w:val="auto"/>
              </w:rPr>
            </w:pPr>
            <w:r>
              <w:rPr>
                <w:rFonts w:ascii="Arial" w:cs="Arial" w:eastAsia="Arial" w:hAnsi="Arial"/>
                <w:sz w:val="16"/>
                <w:szCs w:val="16"/>
                <w:color w:val="auto"/>
              </w:rPr>
              <w:t>Higher education</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81"/>
              <w:spacing w:after="0"/>
              <w:rPr>
                <w:sz w:val="20"/>
                <w:szCs w:val="20"/>
                <w:color w:val="auto"/>
              </w:rPr>
            </w:pPr>
            <w:r>
              <w:rPr>
                <w:rFonts w:ascii="Arial" w:cs="Arial" w:eastAsia="Arial" w:hAnsi="Arial"/>
                <w:sz w:val="16"/>
                <w:szCs w:val="16"/>
                <w:b w:val="1"/>
                <w:bCs w:val="1"/>
                <w:color w:val="auto"/>
              </w:rPr>
              <w:t>20,952</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22,534</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(7)</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1"/>
              <w:spacing w:after="0"/>
              <w:rPr>
                <w:sz w:val="20"/>
                <w:szCs w:val="20"/>
                <w:color w:val="auto"/>
              </w:rPr>
            </w:pPr>
            <w:r>
              <w:rPr>
                <w:rFonts w:ascii="Arial" w:cs="Arial" w:eastAsia="Arial" w:hAnsi="Arial"/>
                <w:sz w:val="16"/>
                <w:szCs w:val="16"/>
                <w:b w:val="1"/>
                <w:bCs w:val="1"/>
                <w:color w:val="auto"/>
              </w:rPr>
              <w:t>34,096</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27,635</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70"/>
        </w:trPr>
        <w:tc>
          <w:tcPr>
            <w:tcW w:w="3460" w:type="dxa"/>
            <w:vAlign w:val="bottom"/>
          </w:tcPr>
          <w:p>
            <w:pPr>
              <w:ind w:left="180"/>
              <w:spacing w:after="0"/>
              <w:rPr>
                <w:sz w:val="20"/>
                <w:szCs w:val="20"/>
                <w:color w:val="auto"/>
              </w:rPr>
            </w:pPr>
            <w:r>
              <w:rPr>
                <w:rFonts w:ascii="Arial" w:cs="Arial" w:eastAsia="Arial" w:hAnsi="Arial"/>
                <w:sz w:val="16"/>
                <w:szCs w:val="16"/>
                <w:color w:val="auto"/>
              </w:rPr>
              <w:t>Test preparation</w:t>
            </w:r>
          </w:p>
        </w:tc>
        <w:tc>
          <w:tcPr>
            <w:tcW w:w="320" w:type="dxa"/>
            <w:vAlign w:val="bottom"/>
          </w:tcPr>
          <w:p>
            <w:pPr>
              <w:spacing w:after="0"/>
              <w:rPr>
                <w:sz w:val="23"/>
                <w:szCs w:val="23"/>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b w:val="1"/>
                <w:bCs w:val="1"/>
                <w:color w:val="auto"/>
              </w:rPr>
              <w:t>(3,904)</w:t>
            </w:r>
          </w:p>
        </w:tc>
        <w:tc>
          <w:tcPr>
            <w:tcW w:w="420" w:type="dxa"/>
            <w:vAlign w:val="bottom"/>
          </w:tcPr>
          <w:p>
            <w:pPr>
              <w:spacing w:after="0"/>
              <w:rPr>
                <w:sz w:val="23"/>
                <w:szCs w:val="23"/>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7,831</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b w:val="1"/>
                <w:bCs w:val="1"/>
                <w:color w:val="auto"/>
              </w:rPr>
              <w:t>(10,532)</w:t>
            </w:r>
          </w:p>
        </w:tc>
        <w:tc>
          <w:tcPr>
            <w:tcW w:w="32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3,486</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3460" w:type="dxa"/>
            <w:vAlign w:val="bottom"/>
          </w:tcPr>
          <w:p>
            <w:pPr>
              <w:ind w:left="180"/>
              <w:spacing w:after="0"/>
              <w:rPr>
                <w:sz w:val="20"/>
                <w:szCs w:val="20"/>
                <w:color w:val="auto"/>
              </w:rPr>
            </w:pPr>
            <w:r>
              <w:rPr>
                <w:rFonts w:ascii="Arial" w:cs="Arial" w:eastAsia="Arial" w:hAnsi="Arial"/>
                <w:sz w:val="16"/>
                <w:szCs w:val="16"/>
                <w:color w:val="auto"/>
              </w:rPr>
              <w:t>Kaplan international</w:t>
            </w:r>
          </w:p>
        </w:tc>
        <w:tc>
          <w:tcPr>
            <w:tcW w:w="320" w:type="dxa"/>
            <w:vAlign w:val="bottom"/>
          </w:tcPr>
          <w:p>
            <w:pPr>
              <w:spacing w:after="0"/>
              <w:rPr>
                <w:sz w:val="23"/>
                <w:szCs w:val="23"/>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b w:val="1"/>
                <w:bCs w:val="1"/>
                <w:color w:val="auto"/>
              </w:rPr>
              <w:t>17,960</w:t>
            </w:r>
          </w:p>
        </w:tc>
        <w:tc>
          <w:tcPr>
            <w:tcW w:w="420" w:type="dxa"/>
            <w:vAlign w:val="bottom"/>
          </w:tcPr>
          <w:p>
            <w:pPr>
              <w:spacing w:after="0"/>
              <w:rPr>
                <w:sz w:val="23"/>
                <w:szCs w:val="23"/>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6,490</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60" w:type="dxa"/>
            <w:vAlign w:val="bottom"/>
          </w:tcPr>
          <w:p>
            <w:pPr>
              <w:jc w:val="right"/>
              <w:ind w:right="61"/>
              <w:spacing w:after="0"/>
              <w:rPr>
                <w:sz w:val="20"/>
                <w:szCs w:val="20"/>
                <w:color w:val="auto"/>
              </w:rPr>
            </w:pPr>
            <w:r>
              <w:rPr>
                <w:rFonts w:ascii="Arial" w:cs="Arial" w:eastAsia="Arial" w:hAnsi="Arial"/>
                <w:sz w:val="16"/>
                <w:szCs w:val="16"/>
                <w:b w:val="1"/>
                <w:bCs w:val="1"/>
                <w:color w:val="auto"/>
              </w:rPr>
              <w:t>28,842</w:t>
            </w:r>
          </w:p>
        </w:tc>
        <w:tc>
          <w:tcPr>
            <w:tcW w:w="32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12,887</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3460" w:type="dxa"/>
            <w:vAlign w:val="bottom"/>
          </w:tcPr>
          <w:p>
            <w:pPr>
              <w:ind w:left="180"/>
              <w:spacing w:after="0"/>
              <w:rPr>
                <w:sz w:val="20"/>
                <w:szCs w:val="20"/>
                <w:color w:val="auto"/>
              </w:rPr>
            </w:pPr>
            <w:r>
              <w:rPr>
                <w:rFonts w:ascii="Arial" w:cs="Arial" w:eastAsia="Arial" w:hAnsi="Arial"/>
                <w:sz w:val="16"/>
                <w:szCs w:val="16"/>
                <w:color w:val="auto"/>
              </w:rPr>
              <w:t>Kaplan corporate and other</w:t>
            </w:r>
          </w:p>
        </w:tc>
        <w:tc>
          <w:tcPr>
            <w:tcW w:w="320" w:type="dxa"/>
            <w:vAlign w:val="bottom"/>
          </w:tcPr>
          <w:p>
            <w:pPr>
              <w:spacing w:after="0"/>
              <w:rPr>
                <w:sz w:val="23"/>
                <w:szCs w:val="23"/>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b w:val="1"/>
                <w:bCs w:val="1"/>
                <w:color w:val="auto"/>
              </w:rPr>
              <w:t>(14,602)</w:t>
            </w:r>
          </w:p>
        </w:tc>
        <w:tc>
          <w:tcPr>
            <w:tcW w:w="4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(10,860)</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(34)</w:t>
            </w:r>
          </w:p>
        </w:tc>
        <w:tc>
          <w:tcPr>
            <w:tcW w:w="200" w:type="dxa"/>
            <w:vAlign w:val="bottom"/>
          </w:tcPr>
          <w:p>
            <w:pPr>
              <w:spacing w:after="0"/>
              <w:rPr>
                <w:sz w:val="23"/>
                <w:szCs w:val="23"/>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b w:val="1"/>
                <w:bCs w:val="1"/>
                <w:color w:val="auto"/>
              </w:rPr>
              <w:t>(27,234)</w:t>
            </w:r>
          </w:p>
        </w:tc>
        <w:tc>
          <w:tcPr>
            <w:tcW w:w="3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(19,682)</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70"/>
        </w:trPr>
        <w:tc>
          <w:tcPr>
            <w:tcW w:w="3460" w:type="dxa"/>
            <w:vAlign w:val="bottom"/>
          </w:tcPr>
          <w:p>
            <w:pPr>
              <w:ind w:left="180"/>
              <w:spacing w:after="0"/>
              <w:rPr>
                <w:sz w:val="20"/>
                <w:szCs w:val="20"/>
                <w:color w:val="auto"/>
              </w:rPr>
            </w:pPr>
            <w:r>
              <w:rPr>
                <w:rFonts w:ascii="Arial" w:cs="Arial" w:eastAsia="Arial" w:hAnsi="Arial"/>
                <w:sz w:val="16"/>
                <w:szCs w:val="16"/>
                <w:color w:val="auto"/>
              </w:rPr>
              <w:t>Amortization of intangible assets</w:t>
            </w:r>
          </w:p>
        </w:tc>
        <w:tc>
          <w:tcPr>
            <w:tcW w:w="320" w:type="dxa"/>
            <w:vAlign w:val="bottom"/>
          </w:tcPr>
          <w:p>
            <w:pPr>
              <w:spacing w:after="0"/>
              <w:rPr>
                <w:sz w:val="23"/>
                <w:szCs w:val="23"/>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b w:val="1"/>
                <w:bCs w:val="1"/>
                <w:color w:val="auto"/>
              </w:rPr>
              <w:t>(2,163)</w:t>
            </w:r>
          </w:p>
        </w:tc>
        <w:tc>
          <w:tcPr>
            <w:tcW w:w="4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(2,363)</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8</w:t>
            </w:r>
          </w:p>
        </w:tc>
        <w:tc>
          <w:tcPr>
            <w:tcW w:w="200" w:type="dxa"/>
            <w:vAlign w:val="bottom"/>
          </w:tcPr>
          <w:p>
            <w:pPr>
              <w:spacing w:after="0"/>
              <w:rPr>
                <w:sz w:val="23"/>
                <w:szCs w:val="23"/>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b w:val="1"/>
                <w:bCs w:val="1"/>
                <w:color w:val="auto"/>
              </w:rPr>
              <w:t>(4,451)</w:t>
            </w:r>
          </w:p>
        </w:tc>
        <w:tc>
          <w:tcPr>
            <w:tcW w:w="3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(4,881)</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70"/>
        </w:trPr>
        <w:tc>
          <w:tcPr>
            <w:tcW w:w="3460" w:type="dxa"/>
            <w:vAlign w:val="bottom"/>
          </w:tcPr>
          <w:p>
            <w:pPr>
              <w:ind w:left="180"/>
              <w:spacing w:after="0"/>
              <w:rPr>
                <w:sz w:val="20"/>
                <w:szCs w:val="20"/>
                <w:color w:val="auto"/>
              </w:rPr>
            </w:pPr>
            <w:r>
              <w:rPr>
                <w:rFonts w:ascii="Arial" w:cs="Arial" w:eastAsia="Arial" w:hAnsi="Arial"/>
                <w:sz w:val="16"/>
                <w:szCs w:val="16"/>
                <w:color w:val="auto"/>
              </w:rPr>
              <w:t>Impairment of intangible assets</w:t>
            </w:r>
          </w:p>
        </w:tc>
        <w:tc>
          <w:tcPr>
            <w:tcW w:w="320" w:type="dxa"/>
            <w:vAlign w:val="bottom"/>
          </w:tcPr>
          <w:p>
            <w:pPr>
              <w:spacing w:after="0"/>
              <w:rPr>
                <w:sz w:val="23"/>
                <w:szCs w:val="23"/>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b w:val="1"/>
                <w:bCs w:val="1"/>
                <w:color w:val="auto"/>
              </w:rPr>
              <w:t>(7,774)</w:t>
            </w:r>
          </w:p>
        </w:tc>
        <w:tc>
          <w:tcPr>
            <w:tcW w:w="420" w:type="dxa"/>
            <w:vAlign w:val="bottom"/>
          </w:tcPr>
          <w:p>
            <w:pPr>
              <w:spacing w:after="0"/>
              <w:rPr>
                <w:sz w:val="23"/>
                <w:szCs w:val="23"/>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b w:val="1"/>
                <w:bCs w:val="1"/>
                <w:color w:val="auto"/>
              </w:rPr>
              <w:t>(7,774)</w:t>
            </w:r>
          </w:p>
        </w:tc>
        <w:tc>
          <w:tcPr>
            <w:tcW w:w="32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346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92</w:t>
            </w:r>
          </w:p>
        </w:tc>
        <w:tc>
          <w:tcPr>
            <w:tcW w:w="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94</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136</w:t>
            </w: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225</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7"/>
        </w:trPr>
        <w:tc>
          <w:tcPr>
            <w:tcW w:w="3460" w:type="dxa"/>
            <w:vAlign w:val="bottom"/>
          </w:tcPr>
          <w:p>
            <w:pPr>
              <w:spacing w:after="0"/>
              <w:rPr>
                <w:sz w:val="23"/>
                <w:szCs w:val="23"/>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10,561</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23,726</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(55)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13,083</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19,670</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Kaplan Higher Education (KHE) includes Kaplan’s domestic postsecondary education businesses, made up of fixed-facility colleges and online postsecondary and career programs. KHE also includes the domestic professional training and other continuing education businesses.</w:t>
      </w:r>
    </w:p>
    <w:p>
      <w:pPr>
        <w:spacing w:after="0" w:line="135" w:lineRule="exact"/>
        <w:rPr>
          <w:sz w:val="20"/>
          <w:szCs w:val="20"/>
          <w:color w:val="auto"/>
        </w:rPr>
      </w:pPr>
    </w:p>
    <w:p>
      <w:pPr>
        <w:ind w:right="60"/>
        <w:spacing w:after="0" w:line="222" w:lineRule="auto"/>
        <w:rPr>
          <w:sz w:val="20"/>
          <w:szCs w:val="20"/>
          <w:color w:val="auto"/>
        </w:rPr>
      </w:pPr>
      <w:r>
        <w:rPr>
          <w:rFonts w:ascii="Arial" w:cs="Arial" w:eastAsia="Arial" w:hAnsi="Arial"/>
          <w:sz w:val="18"/>
          <w:szCs w:val="18"/>
          <w:color w:val="auto"/>
        </w:rPr>
        <w:t>In 2012, KHE began implementing plans to close or merge 13 ground campuses, consolidate other facilities and reduce its workforce. The last two of these campus closures were completed in the second quarter of 2014. In April 2014, KHE announced plans to close two additional ground campuses, and in July 2014, KHE announced plans to close an additional three campuses; KHE will teach out the current students and the campus closures will be completed by the end of 2015. In July 2014, KHE also announced plans to further reduce its workforce. In connection with these and other plans, KHE incurred $2.5 million in restructuring costs for the second quarter and first six months of 2014 and $2.6 million and $11.6 million in restructuring costs in the second quarter and first six months of 2013, respectively. For the second quarter of 2014, these costs included severance ($2.0 million), accelerated depreciation ($0.3 million), lease obligation losses ($0.1 million) and other items ($0.1 million). For the second quarter of 2013, these costs included accelerated depreciation ($1.4 million), severance ($0.6 million) and lease obligation losses ($0.6 million). For the first six months of 2013, these costs included accelerated depreciation ($5.0 million), severance ($1.4 million), lease obligation losses ($4.3 million) and other items ($0.9 million).</w:t>
      </w:r>
    </w:p>
    <w:p>
      <w:pPr>
        <w:spacing w:after="0" w:line="138"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In the second quarter and first six months of 2014, KHE revenue declined 8% and 7%, respectively, due largely to declines in average enrollments that reflect weaker market demand over the past year, lower average tuition and the impact of closed campuses. KHE operating income declined in the second quarter due largely to revenue declines, partially offset by expense reductions associated with lower enrollments and recent restructuring efforts. KHE operating income increased in the first six months of 2014 due largely to expense reductions associated with lower enrollments and recent restructuring efforts, as well as higher restructuring costs recorded in 2013.</w:t>
      </w:r>
    </w:p>
    <w:p>
      <w:pPr>
        <w:spacing w:after="0" w:line="137" w:lineRule="exact"/>
        <w:rPr>
          <w:sz w:val="20"/>
          <w:szCs w:val="20"/>
          <w:color w:val="auto"/>
        </w:rPr>
      </w:pPr>
    </w:p>
    <w:p>
      <w:pPr>
        <w:ind w:right="460"/>
        <w:spacing w:after="0" w:line="229" w:lineRule="auto"/>
        <w:rPr>
          <w:sz w:val="20"/>
          <w:szCs w:val="20"/>
          <w:color w:val="auto"/>
        </w:rPr>
      </w:pPr>
      <w:r>
        <w:rPr>
          <w:rFonts w:ascii="Arial" w:cs="Arial" w:eastAsia="Arial" w:hAnsi="Arial"/>
          <w:sz w:val="18"/>
          <w:szCs w:val="18"/>
          <w:color w:val="auto"/>
        </w:rPr>
        <w:t>New student enrollments at KHE declined 9% in the second quarter of 2014 due to lower demand across KHE and the impact of closed campuses. New student enrollments increased 5% for the first six months of 2014 due to growth at Kaplan University in the first quarter of 2014, offset in part by declines at KHE campuses.</w:t>
      </w:r>
    </w:p>
    <w:p>
      <w:pPr>
        <w:spacing w:after="0" w:line="15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Total students at June 30, 2014, were down 2% compared to June 30, 2013, and declined 7% compared to March 31, 2014. Excluding campuses closed or planned for closure, total students at June 30, 2014, were down 1% compared to June 30, 2013 and down 7% compared to March 31, 2014. A summary of student enrollments is as follows:</w:t>
      </w:r>
    </w:p>
    <w:p>
      <w:pPr>
        <w:spacing w:after="0" w:line="190" w:lineRule="exact"/>
        <w:rPr>
          <w:sz w:val="20"/>
          <w:szCs w:val="20"/>
          <w:color w:val="auto"/>
        </w:rPr>
      </w:pPr>
    </w:p>
    <w:p>
      <w:pPr>
        <w:ind w:left="8280"/>
        <w:spacing w:after="0"/>
        <w:rPr>
          <w:sz w:val="20"/>
          <w:szCs w:val="20"/>
          <w:color w:val="auto"/>
        </w:rPr>
      </w:pPr>
      <w:r>
        <w:rPr>
          <w:rFonts w:ascii="Arial" w:cs="Arial" w:eastAsia="Arial" w:hAnsi="Arial"/>
          <w:sz w:val="14"/>
          <w:szCs w:val="14"/>
          <w:b w:val="1"/>
          <w:bCs w:val="1"/>
          <w:color w:val="auto"/>
        </w:rPr>
        <w:t>Excluding Campuses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26035</wp:posOffset>
            </wp:positionV>
            <wp:extent cx="27184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p>
      <w:pPr>
        <w:spacing w:after="0" w:line="109" w:lineRule="exact"/>
        <w:rPr>
          <w:sz w:val="20"/>
          <w:szCs w:val="20"/>
          <w:color w:val="auto"/>
        </w:rPr>
      </w:pPr>
    </w:p>
    <w:p>
      <w:pPr>
        <w:jc w:val="center"/>
        <w:ind w:left="2860"/>
        <w:spacing w:after="0"/>
        <w:rPr>
          <w:sz w:val="20"/>
          <w:szCs w:val="20"/>
          <w:color w:val="auto"/>
        </w:rPr>
      </w:pPr>
      <w:r>
        <w:rPr>
          <w:rFonts w:ascii="Arial" w:cs="Arial" w:eastAsia="Arial" w:hAnsi="Arial"/>
          <w:sz w:val="14"/>
          <w:szCs w:val="14"/>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26035</wp:posOffset>
            </wp:positionV>
            <wp:extent cx="27787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103" w:lineRule="exact"/>
        <w:rPr>
          <w:sz w:val="20"/>
          <w:szCs w:val="20"/>
          <w:color w:val="auto"/>
        </w:rPr>
      </w:pPr>
    </w:p>
    <w:p>
      <w:pPr>
        <w:ind w:left="3040"/>
        <w:spacing w:after="0"/>
        <w:tabs>
          <w:tab w:leader="none" w:pos="4480" w:val="left"/>
          <w:tab w:leader="none" w:pos="6040" w:val="left"/>
        </w:tabs>
        <w:rPr>
          <w:sz w:val="20"/>
          <w:szCs w:val="20"/>
          <w:color w:val="auto"/>
        </w:rPr>
      </w:pPr>
      <w:r>
        <w:rPr>
          <w:rFonts w:ascii="Arial" w:cs="Arial" w:eastAsia="Arial" w:hAnsi="Arial"/>
          <w:sz w:val="14"/>
          <w:szCs w:val="14"/>
          <w:b w:val="1"/>
          <w:bCs w:val="1"/>
          <w:color w:val="auto"/>
        </w:rPr>
        <w:t>June 30,</w:t>
      </w:r>
      <w:r>
        <w:rPr>
          <w:sz w:val="20"/>
          <w:szCs w:val="20"/>
          <w:color w:val="auto"/>
        </w:rPr>
        <w:tab/>
      </w:r>
      <w:r>
        <w:rPr>
          <w:rFonts w:ascii="Arial" w:cs="Arial" w:eastAsia="Arial" w:hAnsi="Arial"/>
          <w:sz w:val="14"/>
          <w:szCs w:val="14"/>
          <w:color w:val="auto"/>
        </w:rPr>
        <w:t>March 31,</w:t>
      </w:r>
      <w:r>
        <w:rPr>
          <w:sz w:val="20"/>
          <w:szCs w:val="20"/>
          <w:color w:val="auto"/>
        </w:rPr>
        <w:tab/>
      </w:r>
      <w:r>
        <w:rPr>
          <w:rFonts w:ascii="Arial" w:cs="Arial" w:eastAsia="Arial" w:hAnsi="Arial"/>
          <w:sz w:val="14"/>
          <w:szCs w:val="14"/>
          <w:color w:val="auto"/>
        </w:rPr>
        <w:t>June 30,</w:t>
      </w:r>
    </w:p>
    <w:p>
      <w:pPr>
        <w:spacing w:after="0" w:line="109" w:lineRule="exact"/>
        <w:rPr>
          <w:sz w:val="20"/>
          <w:szCs w:val="20"/>
          <w:color w:val="auto"/>
        </w:rPr>
      </w:pPr>
    </w:p>
    <w:p>
      <w:pPr>
        <w:ind w:left="3180"/>
        <w:spacing w:after="0"/>
        <w:tabs>
          <w:tab w:leader="none" w:pos="4640" w:val="left"/>
          <w:tab w:leader="none" w:pos="6140" w:val="left"/>
        </w:tabs>
        <w:rPr>
          <w:sz w:val="20"/>
          <w:szCs w:val="20"/>
          <w:color w:val="auto"/>
        </w:rPr>
      </w:pPr>
      <w:r>
        <w:rPr>
          <w:rFonts w:ascii="Arial" w:cs="Arial" w:eastAsia="Arial" w:hAnsi="Arial"/>
          <w:sz w:val="14"/>
          <w:szCs w:val="14"/>
          <w:b w:val="1"/>
          <w:bCs w:val="1"/>
          <w:color w:val="auto"/>
        </w:rPr>
        <w:t>2014</w:t>
      </w:r>
      <w:r>
        <w:rPr>
          <w:sz w:val="20"/>
          <w:szCs w:val="20"/>
          <w:color w:val="auto"/>
        </w:rPr>
        <w:tab/>
      </w:r>
      <w:r>
        <w:rPr>
          <w:rFonts w:ascii="Arial" w:cs="Arial" w:eastAsia="Arial" w:hAnsi="Arial"/>
          <w:sz w:val="14"/>
          <w:szCs w:val="14"/>
          <w:color w:val="auto"/>
        </w:rPr>
        <w:t>2014</w:t>
      </w:r>
      <w:r>
        <w:rPr>
          <w:sz w:val="20"/>
          <w:szCs w:val="20"/>
          <w:color w:val="auto"/>
        </w:rPr>
        <w:tab/>
      </w:r>
      <w:r>
        <w:rPr>
          <w:rFonts w:ascii="Arial" w:cs="Arial" w:eastAsia="Arial" w:hAnsi="Arial"/>
          <w:sz w:val="14"/>
          <w:szCs w:val="14"/>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jc w:val="center"/>
        <w:ind w:right="380"/>
        <w:spacing w:after="0"/>
        <w:rPr>
          <w:sz w:val="20"/>
          <w:szCs w:val="20"/>
          <w:color w:val="auto"/>
        </w:rPr>
      </w:pPr>
      <w:r>
        <w:rPr>
          <w:rFonts w:ascii="Arial" w:cs="Arial" w:eastAsia="Arial" w:hAnsi="Arial"/>
          <w:sz w:val="14"/>
          <w:szCs w:val="14"/>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26035</wp:posOffset>
            </wp:positionV>
            <wp:extent cx="27184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03" w:lineRule="exact"/>
        <w:rPr>
          <w:sz w:val="20"/>
          <w:szCs w:val="20"/>
          <w:color w:val="auto"/>
        </w:rPr>
      </w:pPr>
    </w:p>
    <w:p>
      <w:pPr>
        <w:spacing w:after="0"/>
        <w:tabs>
          <w:tab w:leader="none" w:pos="1400" w:val="left"/>
          <w:tab w:leader="none" w:pos="2900" w:val="left"/>
        </w:tabs>
        <w:rPr>
          <w:sz w:val="20"/>
          <w:szCs w:val="20"/>
          <w:color w:val="auto"/>
        </w:rPr>
      </w:pPr>
      <w:r>
        <w:rPr>
          <w:rFonts w:ascii="Arial" w:cs="Arial" w:eastAsia="Arial" w:hAnsi="Arial"/>
          <w:sz w:val="14"/>
          <w:szCs w:val="14"/>
          <w:b w:val="1"/>
          <w:bCs w:val="1"/>
          <w:color w:val="auto"/>
        </w:rPr>
        <w:t>June 30,</w:t>
      </w:r>
      <w:r>
        <w:rPr>
          <w:sz w:val="20"/>
          <w:szCs w:val="20"/>
          <w:color w:val="auto"/>
        </w:rPr>
        <w:tab/>
      </w:r>
      <w:r>
        <w:rPr>
          <w:rFonts w:ascii="Arial" w:cs="Arial" w:eastAsia="Arial" w:hAnsi="Arial"/>
          <w:sz w:val="14"/>
          <w:szCs w:val="14"/>
          <w:color w:val="auto"/>
        </w:rPr>
        <w:t>March 31,</w:t>
      </w:r>
      <w:r>
        <w:rPr>
          <w:sz w:val="20"/>
          <w:szCs w:val="20"/>
          <w:color w:val="auto"/>
        </w:rPr>
        <w:tab/>
      </w:r>
      <w:r>
        <w:rPr>
          <w:rFonts w:ascii="Arial" w:cs="Arial" w:eastAsia="Arial" w:hAnsi="Arial"/>
          <w:sz w:val="14"/>
          <w:szCs w:val="14"/>
          <w:color w:val="auto"/>
        </w:rPr>
        <w:t>June 30,</w:t>
      </w:r>
    </w:p>
    <w:p>
      <w:pPr>
        <w:spacing w:after="0" w:line="109"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4"/>
          <w:szCs w:val="14"/>
          <w:b w:val="1"/>
          <w:bCs w:val="1"/>
          <w:color w:val="auto"/>
        </w:rPr>
        <w:t>2014</w:t>
      </w:r>
      <w:r>
        <w:rPr>
          <w:sz w:val="20"/>
          <w:szCs w:val="20"/>
          <w:color w:val="auto"/>
        </w:rPr>
        <w:tab/>
      </w:r>
      <w:r>
        <w:rPr>
          <w:rFonts w:ascii="Arial" w:cs="Arial" w:eastAsia="Arial" w:hAnsi="Arial"/>
          <w:sz w:val="14"/>
          <w:szCs w:val="14"/>
          <w:color w:val="auto"/>
        </w:rPr>
        <w:t>2014</w:t>
      </w:r>
      <w:r>
        <w:rPr>
          <w:sz w:val="20"/>
          <w:szCs w:val="20"/>
          <w:color w:val="auto"/>
        </w:rPr>
        <w:tab/>
      </w:r>
      <w:r>
        <w:rPr>
          <w:rFonts w:ascii="Arial" w:cs="Arial" w:eastAsia="Arial" w:hAnsi="Arial"/>
          <w:sz w:val="14"/>
          <w:szCs w:val="14"/>
          <w:color w:val="auto"/>
        </w:rPr>
        <w:t>2013</w:t>
      </w:r>
    </w:p>
    <w:p>
      <w:pPr>
        <w:spacing w:after="0" w:line="91" w:lineRule="exact"/>
        <w:rPr>
          <w:sz w:val="20"/>
          <w:szCs w:val="20"/>
          <w:color w:val="auto"/>
        </w:rPr>
      </w:pPr>
    </w:p>
    <w:p>
      <w:pPr>
        <w:sectPr>
          <w:pgSz w:w="11900" w:h="16838" w:orient="portrait"/>
          <w:cols w:equalWidth="0" w:num="2">
            <w:col w:w="6820" w:space="720"/>
            <w:col w:w="3880"/>
          </w:cols>
          <w:pgMar w:left="240" w:top="584" w:right="239" w:bottom="1440" w:gutter="0" w:footer="0" w:header="0"/>
          <w:type w:val="continuous"/>
        </w:sectPr>
      </w:pPr>
    </w:p>
    <w:tbl>
      <w:tblPr>
        <w:tblLayout w:type="fixed"/>
        <w:tblInd w:w="40" w:type="dxa"/>
        <w:tblCellMar>
          <w:top w:w="0" w:type="dxa"/>
          <w:left w:w="0" w:type="dxa"/>
          <w:bottom w:w="0" w:type="dxa"/>
          <w:right w:w="0" w:type="dxa"/>
        </w:tblCellMar>
      </w:tblPr>
      <w:tr>
        <w:trPr>
          <w:trHeight w:val="215"/>
        </w:trPr>
        <w:tc>
          <w:tcPr>
            <w:tcW w:w="2600" w:type="dxa"/>
            <w:vAlign w:val="bottom"/>
          </w:tcPr>
          <w:p>
            <w:pPr>
              <w:spacing w:after="0"/>
              <w:rPr>
                <w:sz w:val="20"/>
                <w:szCs w:val="20"/>
                <w:color w:val="auto"/>
              </w:rPr>
            </w:pPr>
            <w:r>
              <w:rPr>
                <w:rFonts w:ascii="Arial" w:cs="Arial" w:eastAsia="Arial" w:hAnsi="Arial"/>
                <w:sz w:val="16"/>
                <w:szCs w:val="16"/>
                <w:color w:val="auto"/>
              </w:rPr>
              <w:t>Kaplan University</w:t>
            </w:r>
          </w:p>
        </w:tc>
        <w:tc>
          <w:tcPr>
            <w:tcW w:w="1760" w:type="dxa"/>
            <w:vAlign w:val="bottom"/>
          </w:tcPr>
          <w:p>
            <w:pPr>
              <w:jc w:val="right"/>
              <w:ind w:right="419"/>
              <w:spacing w:after="0"/>
              <w:rPr>
                <w:sz w:val="20"/>
                <w:szCs w:val="20"/>
                <w:color w:val="auto"/>
              </w:rPr>
            </w:pPr>
            <w:r>
              <w:rPr>
                <w:rFonts w:ascii="Arial" w:cs="Arial" w:eastAsia="Arial" w:hAnsi="Arial"/>
                <w:sz w:val="16"/>
                <w:szCs w:val="16"/>
                <w:b w:val="1"/>
                <w:bCs w:val="1"/>
                <w:color w:val="auto"/>
              </w:rPr>
              <w:t>44,515</w:t>
            </w:r>
          </w:p>
        </w:tc>
        <w:tc>
          <w:tcPr>
            <w:tcW w:w="1500" w:type="dxa"/>
            <w:vAlign w:val="bottom"/>
          </w:tcPr>
          <w:p>
            <w:pPr>
              <w:jc w:val="right"/>
              <w:ind w:right="419"/>
              <w:spacing w:after="0"/>
              <w:rPr>
                <w:sz w:val="20"/>
                <w:szCs w:val="20"/>
                <w:color w:val="auto"/>
              </w:rPr>
            </w:pPr>
            <w:r>
              <w:rPr>
                <w:rFonts w:ascii="Arial" w:cs="Arial" w:eastAsia="Arial" w:hAnsi="Arial"/>
                <w:sz w:val="16"/>
                <w:szCs w:val="16"/>
                <w:color w:val="auto"/>
              </w:rPr>
              <w:t>47,109</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43,601</w:t>
            </w:r>
          </w:p>
        </w:tc>
        <w:tc>
          <w:tcPr>
            <w:tcW w:w="120" w:type="dxa"/>
            <w:vAlign w:val="bottom"/>
          </w:tcPr>
          <w:p>
            <w:pPr>
              <w:spacing w:after="0"/>
              <w:rPr>
                <w:sz w:val="18"/>
                <w:szCs w:val="18"/>
                <w:color w:val="auto"/>
              </w:rPr>
            </w:pPr>
          </w:p>
        </w:tc>
        <w:tc>
          <w:tcPr>
            <w:tcW w:w="1740" w:type="dxa"/>
            <w:vAlign w:val="bottom"/>
          </w:tcPr>
          <w:p>
            <w:pPr>
              <w:jc w:val="right"/>
              <w:ind w:right="399"/>
              <w:spacing w:after="0"/>
              <w:rPr>
                <w:sz w:val="20"/>
                <w:szCs w:val="20"/>
                <w:color w:val="auto"/>
              </w:rPr>
            </w:pPr>
            <w:r>
              <w:rPr>
                <w:rFonts w:ascii="Arial" w:cs="Arial" w:eastAsia="Arial" w:hAnsi="Arial"/>
                <w:sz w:val="16"/>
                <w:szCs w:val="16"/>
                <w:b w:val="1"/>
                <w:bCs w:val="1"/>
                <w:color w:val="auto"/>
              </w:rPr>
              <w:t>44,515</w:t>
            </w:r>
          </w:p>
        </w:tc>
        <w:tc>
          <w:tcPr>
            <w:tcW w:w="1460" w:type="dxa"/>
            <w:vAlign w:val="bottom"/>
          </w:tcPr>
          <w:p>
            <w:pPr>
              <w:jc w:val="right"/>
              <w:ind w:right="399"/>
              <w:spacing w:after="0"/>
              <w:rPr>
                <w:sz w:val="20"/>
                <w:szCs w:val="20"/>
                <w:color w:val="auto"/>
              </w:rPr>
            </w:pPr>
            <w:r>
              <w:rPr>
                <w:rFonts w:ascii="Arial" w:cs="Arial" w:eastAsia="Arial" w:hAnsi="Arial"/>
                <w:sz w:val="16"/>
                <w:szCs w:val="16"/>
                <w:color w:val="auto"/>
              </w:rPr>
              <w:t>47,109</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43,601</w:t>
            </w:r>
          </w:p>
        </w:tc>
      </w:tr>
      <w:tr>
        <w:trPr>
          <w:trHeight w:val="283"/>
        </w:trPr>
        <w:tc>
          <w:tcPr>
            <w:tcW w:w="2600" w:type="dxa"/>
            <w:vAlign w:val="bottom"/>
          </w:tcPr>
          <w:p>
            <w:pPr>
              <w:spacing w:after="0"/>
              <w:rPr>
                <w:sz w:val="20"/>
                <w:szCs w:val="20"/>
                <w:color w:val="auto"/>
              </w:rPr>
            </w:pPr>
            <w:r>
              <w:rPr>
                <w:rFonts w:ascii="Arial" w:cs="Arial" w:eastAsia="Arial" w:hAnsi="Arial"/>
                <w:sz w:val="16"/>
                <w:szCs w:val="16"/>
                <w:color w:val="auto"/>
              </w:rPr>
              <w:t>Other Campuses</w:t>
            </w:r>
          </w:p>
        </w:tc>
        <w:tc>
          <w:tcPr>
            <w:tcW w:w="17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16,508</w:t>
            </w:r>
          </w:p>
        </w:tc>
        <w:tc>
          <w:tcPr>
            <w:tcW w:w="15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18,842</w:t>
            </w: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18,591</w:t>
            </w:r>
          </w:p>
        </w:tc>
        <w:tc>
          <w:tcPr>
            <w:tcW w:w="120" w:type="dxa"/>
            <w:vAlign w:val="bottom"/>
          </w:tcPr>
          <w:p>
            <w:pPr>
              <w:spacing w:after="0"/>
              <w:rPr>
                <w:sz w:val="24"/>
                <w:szCs w:val="24"/>
                <w:color w:val="auto"/>
              </w:rPr>
            </w:pPr>
          </w:p>
        </w:tc>
        <w:tc>
          <w:tcPr>
            <w:tcW w:w="17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15,221</w:t>
            </w:r>
          </w:p>
        </w:tc>
        <w:tc>
          <w:tcPr>
            <w:tcW w:w="14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16,997</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16,623</w:t>
            </w:r>
          </w:p>
        </w:tc>
      </w:tr>
      <w:tr>
        <w:trPr>
          <w:trHeight w:val="264"/>
        </w:trPr>
        <w:tc>
          <w:tcPr>
            <w:tcW w:w="2600" w:type="dxa"/>
            <w:vAlign w:val="bottom"/>
          </w:tcPr>
          <w:p>
            <w:pPr>
              <w:spacing w:after="0"/>
              <w:rPr>
                <w:sz w:val="22"/>
                <w:szCs w:val="22"/>
                <w:color w:val="auto"/>
              </w:rPr>
            </w:pPr>
          </w:p>
        </w:tc>
        <w:tc>
          <w:tcPr>
            <w:tcW w:w="17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61,023</w:t>
            </w:r>
          </w:p>
        </w:tc>
        <w:tc>
          <w:tcPr>
            <w:tcW w:w="15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65,951</w:t>
            </w: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62,192</w:t>
            </w:r>
          </w:p>
        </w:tc>
        <w:tc>
          <w:tcPr>
            <w:tcW w:w="120" w:type="dxa"/>
            <w:vAlign w:val="bottom"/>
          </w:tcPr>
          <w:p>
            <w:pPr>
              <w:spacing w:after="0"/>
              <w:rPr>
                <w:sz w:val="22"/>
                <w:szCs w:val="22"/>
                <w:color w:val="auto"/>
              </w:rPr>
            </w:pPr>
          </w:p>
        </w:tc>
        <w:tc>
          <w:tcPr>
            <w:tcW w:w="17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59,736</w:t>
            </w:r>
          </w:p>
        </w:tc>
        <w:tc>
          <w:tcPr>
            <w:tcW w:w="14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64,106</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60,224</w:t>
            </w:r>
          </w:p>
        </w:tc>
      </w:tr>
      <w:tr>
        <w:trPr>
          <w:trHeight w:val="20"/>
        </w:trPr>
        <w:tc>
          <w:tcPr>
            <w:tcW w:w="26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4" w:right="239" w:bottom="1440" w:gutter="0" w:footer="0" w:header="0"/>
          <w:type w:val="continuous"/>
        </w:sect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4" w:right="2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color w:val="auto"/>
        </w:rPr>
        <w:t>Kaplan University and Other Campuses enrollments at June 30, 2014 and 2013, by degree and certificate programs, are as follows: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360" w:type="dxa"/>
            <w:vAlign w:val="bottom"/>
          </w:tcPr>
          <w:p>
            <w:pPr>
              <w:spacing w:after="0"/>
              <w:rPr>
                <w:sz w:val="17"/>
                <w:szCs w:val="17"/>
                <w:color w:val="auto"/>
              </w:rPr>
            </w:pPr>
          </w:p>
        </w:tc>
        <w:tc>
          <w:tcPr>
            <w:tcW w:w="206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rPr>
              <w:t>As of June 30</w:t>
            </w:r>
          </w:p>
        </w:tc>
      </w:tr>
      <w:tr>
        <w:trPr>
          <w:trHeight w:val="264"/>
        </w:trPr>
        <w:tc>
          <w:tcPr>
            <w:tcW w:w="9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2014</w:t>
            </w:r>
          </w:p>
        </w:tc>
        <w:tc>
          <w:tcPr>
            <w:tcW w:w="88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color w:val="auto"/>
              </w:rPr>
              <w:t>2013</w:t>
            </w:r>
          </w:p>
        </w:tc>
      </w:tr>
      <w:tr>
        <w:trPr>
          <w:trHeight w:val="250"/>
        </w:trPr>
        <w:tc>
          <w:tcPr>
            <w:tcW w:w="9360" w:type="dxa"/>
            <w:vAlign w:val="bottom"/>
          </w:tcPr>
          <w:p>
            <w:pPr>
              <w:ind w:left="40"/>
              <w:spacing w:after="0"/>
              <w:rPr>
                <w:sz w:val="20"/>
                <w:szCs w:val="20"/>
                <w:color w:val="auto"/>
              </w:rPr>
            </w:pPr>
            <w:r>
              <w:rPr>
                <w:rFonts w:ascii="Arial" w:cs="Arial" w:eastAsia="Arial" w:hAnsi="Arial"/>
                <w:sz w:val="16"/>
                <w:szCs w:val="16"/>
                <w:color w:val="auto"/>
              </w:rPr>
              <w:t>Certificate</w:t>
            </w:r>
          </w:p>
        </w:tc>
        <w:tc>
          <w:tcPr>
            <w:tcW w:w="1180" w:type="dxa"/>
            <w:vAlign w:val="bottom"/>
          </w:tcPr>
          <w:p>
            <w:pPr>
              <w:jc w:val="right"/>
              <w:ind w:right="162"/>
              <w:spacing w:after="0"/>
              <w:rPr>
                <w:sz w:val="20"/>
                <w:szCs w:val="20"/>
                <w:color w:val="auto"/>
              </w:rPr>
            </w:pPr>
            <w:r>
              <w:rPr>
                <w:rFonts w:ascii="Arial" w:cs="Arial" w:eastAsia="Arial" w:hAnsi="Arial"/>
                <w:sz w:val="16"/>
                <w:szCs w:val="16"/>
                <w:b w:val="1"/>
                <w:bCs w:val="1"/>
                <w:color w:val="auto"/>
              </w:rPr>
              <w:t>21.1%</w:t>
            </w:r>
          </w:p>
        </w:tc>
        <w:tc>
          <w:tcPr>
            <w:tcW w:w="880" w:type="dxa"/>
            <w:vAlign w:val="bottom"/>
          </w:tcPr>
          <w:p>
            <w:pPr>
              <w:jc w:val="right"/>
              <w:spacing w:after="0"/>
              <w:rPr>
                <w:sz w:val="20"/>
                <w:szCs w:val="20"/>
                <w:color w:val="auto"/>
              </w:rPr>
            </w:pPr>
            <w:r>
              <w:rPr>
                <w:rFonts w:ascii="Arial" w:cs="Arial" w:eastAsia="Arial" w:hAnsi="Arial"/>
                <w:sz w:val="16"/>
                <w:szCs w:val="16"/>
                <w:color w:val="auto"/>
              </w:rPr>
              <w:t>21.7%</w:t>
            </w:r>
          </w:p>
        </w:tc>
      </w:tr>
      <w:tr>
        <w:trPr>
          <w:trHeight w:val="270"/>
        </w:trPr>
        <w:tc>
          <w:tcPr>
            <w:tcW w:w="9360" w:type="dxa"/>
            <w:vAlign w:val="bottom"/>
          </w:tcPr>
          <w:p>
            <w:pPr>
              <w:ind w:left="40"/>
              <w:spacing w:after="0"/>
              <w:rPr>
                <w:sz w:val="20"/>
                <w:szCs w:val="20"/>
                <w:color w:val="auto"/>
              </w:rPr>
            </w:pPr>
            <w:r>
              <w:rPr>
                <w:rFonts w:ascii="Arial" w:cs="Arial" w:eastAsia="Arial" w:hAnsi="Arial"/>
                <w:sz w:val="16"/>
                <w:szCs w:val="16"/>
                <w:color w:val="auto"/>
              </w:rPr>
              <w:t>Associate’s</w:t>
            </w:r>
          </w:p>
        </w:tc>
        <w:tc>
          <w:tcPr>
            <w:tcW w:w="1180" w:type="dxa"/>
            <w:vAlign w:val="bottom"/>
          </w:tcPr>
          <w:p>
            <w:pPr>
              <w:jc w:val="right"/>
              <w:ind w:right="162"/>
              <w:spacing w:after="0"/>
              <w:rPr>
                <w:sz w:val="20"/>
                <w:szCs w:val="20"/>
                <w:color w:val="auto"/>
              </w:rPr>
            </w:pPr>
            <w:r>
              <w:rPr>
                <w:rFonts w:ascii="Arial" w:cs="Arial" w:eastAsia="Arial" w:hAnsi="Arial"/>
                <w:sz w:val="16"/>
                <w:szCs w:val="16"/>
                <w:b w:val="1"/>
                <w:bCs w:val="1"/>
                <w:color w:val="auto"/>
              </w:rPr>
              <w:t>30.2%</w:t>
            </w:r>
          </w:p>
        </w:tc>
        <w:tc>
          <w:tcPr>
            <w:tcW w:w="880" w:type="dxa"/>
            <w:vAlign w:val="bottom"/>
          </w:tcPr>
          <w:p>
            <w:pPr>
              <w:jc w:val="right"/>
              <w:spacing w:after="0"/>
              <w:rPr>
                <w:sz w:val="20"/>
                <w:szCs w:val="20"/>
                <w:color w:val="auto"/>
              </w:rPr>
            </w:pPr>
            <w:r>
              <w:rPr>
                <w:rFonts w:ascii="Arial" w:cs="Arial" w:eastAsia="Arial" w:hAnsi="Arial"/>
                <w:sz w:val="16"/>
                <w:szCs w:val="16"/>
                <w:color w:val="auto"/>
              </w:rPr>
              <w:t>30.5%</w:t>
            </w:r>
          </w:p>
        </w:tc>
      </w:tr>
      <w:tr>
        <w:trPr>
          <w:trHeight w:val="270"/>
        </w:trPr>
        <w:tc>
          <w:tcPr>
            <w:tcW w:w="9360" w:type="dxa"/>
            <w:vAlign w:val="bottom"/>
          </w:tcPr>
          <w:p>
            <w:pPr>
              <w:ind w:left="40"/>
              <w:spacing w:after="0"/>
              <w:rPr>
                <w:sz w:val="20"/>
                <w:szCs w:val="20"/>
                <w:color w:val="auto"/>
              </w:rPr>
            </w:pPr>
            <w:r>
              <w:rPr>
                <w:rFonts w:ascii="Arial" w:cs="Arial" w:eastAsia="Arial" w:hAnsi="Arial"/>
                <w:sz w:val="16"/>
                <w:szCs w:val="16"/>
                <w:color w:val="auto"/>
              </w:rPr>
              <w:t>Bachelor’s</w:t>
            </w:r>
          </w:p>
        </w:tc>
        <w:tc>
          <w:tcPr>
            <w:tcW w:w="1180" w:type="dxa"/>
            <w:vAlign w:val="bottom"/>
          </w:tcPr>
          <w:p>
            <w:pPr>
              <w:jc w:val="right"/>
              <w:ind w:right="162"/>
              <w:spacing w:after="0"/>
              <w:rPr>
                <w:sz w:val="20"/>
                <w:szCs w:val="20"/>
                <w:color w:val="auto"/>
              </w:rPr>
            </w:pPr>
            <w:r>
              <w:rPr>
                <w:rFonts w:ascii="Arial" w:cs="Arial" w:eastAsia="Arial" w:hAnsi="Arial"/>
                <w:sz w:val="16"/>
                <w:szCs w:val="16"/>
                <w:b w:val="1"/>
                <w:bCs w:val="1"/>
                <w:color w:val="auto"/>
              </w:rPr>
              <w:t>32.2%</w:t>
            </w:r>
          </w:p>
        </w:tc>
        <w:tc>
          <w:tcPr>
            <w:tcW w:w="880" w:type="dxa"/>
            <w:vAlign w:val="bottom"/>
          </w:tcPr>
          <w:p>
            <w:pPr>
              <w:jc w:val="right"/>
              <w:spacing w:after="0"/>
              <w:rPr>
                <w:sz w:val="20"/>
                <w:szCs w:val="20"/>
                <w:color w:val="auto"/>
              </w:rPr>
            </w:pPr>
            <w:r>
              <w:rPr>
                <w:rFonts w:ascii="Arial" w:cs="Arial" w:eastAsia="Arial" w:hAnsi="Arial"/>
                <w:sz w:val="16"/>
                <w:szCs w:val="16"/>
                <w:color w:val="auto"/>
              </w:rPr>
              <w:t>33.1%</w:t>
            </w:r>
          </w:p>
        </w:tc>
      </w:tr>
      <w:tr>
        <w:trPr>
          <w:trHeight w:val="283"/>
        </w:trPr>
        <w:tc>
          <w:tcPr>
            <w:tcW w:w="9360" w:type="dxa"/>
            <w:vAlign w:val="bottom"/>
          </w:tcPr>
          <w:p>
            <w:pPr>
              <w:ind w:left="40"/>
              <w:spacing w:after="0"/>
              <w:rPr>
                <w:sz w:val="20"/>
                <w:szCs w:val="20"/>
                <w:color w:val="auto"/>
              </w:rPr>
            </w:pPr>
            <w:r>
              <w:rPr>
                <w:rFonts w:ascii="Arial" w:cs="Arial" w:eastAsia="Arial" w:hAnsi="Arial"/>
                <w:sz w:val="16"/>
                <w:szCs w:val="16"/>
                <w:color w:val="auto"/>
              </w:rPr>
              <w:t>Master’s</w:t>
            </w:r>
          </w:p>
        </w:tc>
        <w:tc>
          <w:tcPr>
            <w:tcW w:w="118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16.5%</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w:t>
            </w:r>
          </w:p>
        </w:tc>
      </w:tr>
      <w:tr>
        <w:trPr>
          <w:trHeight w:val="264"/>
        </w:trPr>
        <w:tc>
          <w:tcPr>
            <w:tcW w:w="9360" w:type="dxa"/>
            <w:vAlign w:val="bottom"/>
          </w:tcPr>
          <w:p>
            <w:pPr>
              <w:spacing w:after="0"/>
              <w:rPr>
                <w:sz w:val="22"/>
                <w:szCs w:val="22"/>
                <w:color w:val="auto"/>
              </w:rPr>
            </w:pPr>
          </w:p>
        </w:tc>
        <w:tc>
          <w:tcPr>
            <w:tcW w:w="118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100.0%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93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200"/>
        <w:spacing w:after="0" w:line="224" w:lineRule="auto"/>
        <w:rPr>
          <w:sz w:val="20"/>
          <w:szCs w:val="20"/>
          <w:color w:val="auto"/>
        </w:rPr>
      </w:pPr>
      <w:r>
        <w:rPr>
          <w:rFonts w:ascii="Arial" w:cs="Arial" w:eastAsia="Arial" w:hAnsi="Arial"/>
          <w:sz w:val="18"/>
          <w:szCs w:val="18"/>
          <w:color w:val="auto"/>
        </w:rPr>
        <w:t>Kaplan Test Preparation (KTP) includes Kaplan’s standardized test preparation programs. KTP revenue declined 5% and 4% for the second quarter and first six months of 2014, respectively. Enrollment increased 3% and 2% for the second quarter and first six months of 2014, respectively, due to growth in health and bar review programs, offset by declines in graduate and pre-college programs. KTP recorded a $7.7 million software asset write-off in the second quarter of 2014 as a decision was made to consolidate certain learning management systems. KTP operating results declined in the first six months of 2014 due to this software asset write-off and an increase in program length for MCAT courses that extends revenue recognition periods.</w:t>
      </w:r>
    </w:p>
    <w:p>
      <w:pPr>
        <w:spacing w:after="0" w:line="137"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Kaplan International includes English-language programs and postsecondary education and professional training businesses largely outside the United States. Kaplan International revenue increased 13% and 12% in the second quarter and first six months of 2014, respectively, due to enrollment growth in the pathways programs, English-language and Singapore higher education programs. Kaplan International operating income improved in the second quarter and first six months of 2014 due to improved earnings in the pathways and English-language programs, as well as improved results from operations in Australia. In the second quarter and first six months of 2013, restructuring costs in Australia totaled $2.3 million and $2.6 million, respectively, largely made up of severance costs.</w:t>
      </w:r>
    </w:p>
    <w:p>
      <w:pPr>
        <w:spacing w:after="0" w:line="137" w:lineRule="exact"/>
        <w:rPr>
          <w:sz w:val="20"/>
          <w:szCs w:val="20"/>
          <w:color w:val="auto"/>
        </w:rPr>
      </w:pPr>
    </w:p>
    <w:p>
      <w:pPr>
        <w:jc w:val="both"/>
        <w:ind w:right="420"/>
        <w:spacing w:after="0" w:line="229" w:lineRule="auto"/>
        <w:rPr>
          <w:sz w:val="20"/>
          <w:szCs w:val="20"/>
          <w:color w:val="auto"/>
        </w:rPr>
      </w:pPr>
      <w:r>
        <w:rPr>
          <w:rFonts w:ascii="Arial" w:cs="Arial" w:eastAsia="Arial" w:hAnsi="Arial"/>
          <w:sz w:val="18"/>
          <w:szCs w:val="18"/>
          <w:color w:val="auto"/>
        </w:rPr>
        <w:t>Kaplan corporate represents unallocated expenses of Kaplan, Inc.’s corporate office, other minor businesses and certain shared activities. Corporate expense increased in the first six months of 2014 due to higher compensation expense and costs associated with new business development activities.</w:t>
      </w:r>
    </w:p>
    <w:p>
      <w:pPr>
        <w:spacing w:after="0" w:line="137" w:lineRule="exact"/>
        <w:rPr>
          <w:sz w:val="20"/>
          <w:szCs w:val="20"/>
          <w:color w:val="auto"/>
        </w:rPr>
      </w:pPr>
    </w:p>
    <w:p>
      <w:pPr>
        <w:ind w:right="840"/>
        <w:spacing w:after="0" w:line="407" w:lineRule="auto"/>
        <w:rPr>
          <w:sz w:val="20"/>
          <w:szCs w:val="20"/>
          <w:color w:val="auto"/>
        </w:rPr>
      </w:pPr>
      <w:r>
        <w:rPr>
          <w:rFonts w:ascii="Arial" w:cs="Arial" w:eastAsia="Arial" w:hAnsi="Arial"/>
          <w:sz w:val="18"/>
          <w:szCs w:val="18"/>
          <w:color w:val="auto"/>
        </w:rPr>
        <w:t xml:space="preserve">Kaplan continues to evaluate its cost structure and will likely develop additional restructuring plans in 2014 and incur additional costs. </w:t>
      </w:r>
      <w:r>
        <w:rPr>
          <w:rFonts w:ascii="Arial" w:cs="Arial" w:eastAsia="Arial" w:hAnsi="Arial"/>
          <w:sz w:val="18"/>
          <w:szCs w:val="18"/>
          <w:b w:val="1"/>
          <w:bCs w:val="1"/>
          <w:i w:val="1"/>
          <w:iCs w:val="1"/>
          <w:color w:val="auto"/>
        </w:rPr>
        <w:t>Cable</w:t>
      </w:r>
    </w:p>
    <w:p>
      <w:pPr>
        <w:ind w:right="120"/>
        <w:spacing w:after="0" w:line="224" w:lineRule="auto"/>
        <w:rPr>
          <w:sz w:val="20"/>
          <w:szCs w:val="20"/>
          <w:color w:val="auto"/>
        </w:rPr>
      </w:pPr>
      <w:r>
        <w:rPr>
          <w:rFonts w:ascii="Arial" w:cs="Arial" w:eastAsia="Arial" w:hAnsi="Arial"/>
          <w:sz w:val="18"/>
          <w:szCs w:val="18"/>
          <w:color w:val="auto"/>
        </w:rPr>
        <w:t>Cable division revenue declined 2% in the second quarter of 2014 to $ 200.8 million, from $204.6 million for the second quarter of 2013, due to 4% fewer customers and 7% fewer Primary Service Units (PSUs). For the first six months of 2014, revenue of $404.8 million was flat with the prior year. Operating expenses in the second quarter declined 4%, from $159.8 million to $154.0 million due to fewer customers and significantly reduced programming costs. Operating expenses declined 2% in the first six months of 2014 to $316.8 million. Cable division operating income grew 5% in the second quarter of 2014 to $46.8 million, from $44.7 million in the second quarter of 2013; for the first six months of 2014, operating income increased 8% to $87.9 million, from $81.3 million in the first six months of 2013.</w:t>
      </w:r>
    </w:p>
    <w:p>
      <w:pPr>
        <w:spacing w:after="0" w:line="137"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The cable division continues its focus on higher value and higher margin lines of business and customers, in particular high-speed data (subscribers up 4% over the second quarter of last year). Also, business sales comprised 8.9% of total revenue for the first six months of 2014, compared with 7.5% of total revenue for the first six months of 2013. Due to rapidly rising programming costs and shrinking margins, video sales now have less value and emphasis (subscribers down 15% over the second quarter of last year) and programming costs have been reduced significantly. Effective April 1, 2014, the cable division elected not to renew its contract for 15 Viacom networks for a six-year term.</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A summary of PSUs and total customers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040" w:type="dxa"/>
            <w:vAlign w:val="bottom"/>
          </w:tcPr>
          <w:p>
            <w:pPr>
              <w:spacing w:after="0"/>
              <w:rPr>
                <w:sz w:val="17"/>
                <w:szCs w:val="17"/>
                <w:color w:val="auto"/>
              </w:rPr>
            </w:pPr>
          </w:p>
        </w:tc>
        <w:tc>
          <w:tcPr>
            <w:tcW w:w="2380" w:type="dxa"/>
            <w:vAlign w:val="bottom"/>
            <w:tcBorders>
              <w:bottom w:val="single" w:sz="8" w:color="auto"/>
            </w:tcBorders>
            <w:gridSpan w:val="2"/>
          </w:tcPr>
          <w:p>
            <w:pPr>
              <w:jc w:val="right"/>
              <w:ind w:right="620"/>
              <w:spacing w:after="0"/>
              <w:rPr>
                <w:sz w:val="20"/>
                <w:szCs w:val="20"/>
                <w:color w:val="auto"/>
              </w:rPr>
            </w:pPr>
            <w:r>
              <w:rPr>
                <w:rFonts w:ascii="Arial" w:cs="Arial" w:eastAsia="Arial" w:hAnsi="Arial"/>
                <w:sz w:val="14"/>
                <w:szCs w:val="14"/>
                <w:b w:val="1"/>
                <w:bCs w:val="1"/>
                <w:color w:val="auto"/>
              </w:rPr>
              <w:t>As of June 30</w:t>
            </w:r>
          </w:p>
        </w:tc>
      </w:tr>
      <w:tr>
        <w:trPr>
          <w:trHeight w:val="264"/>
        </w:trPr>
        <w:tc>
          <w:tcPr>
            <w:tcW w:w="90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2014</w:t>
            </w:r>
          </w:p>
        </w:tc>
        <w:tc>
          <w:tcPr>
            <w:tcW w:w="10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2013</w:t>
            </w:r>
          </w:p>
        </w:tc>
      </w:tr>
      <w:tr>
        <w:trPr>
          <w:trHeight w:val="250"/>
        </w:trPr>
        <w:tc>
          <w:tcPr>
            <w:tcW w:w="9040" w:type="dxa"/>
            <w:vAlign w:val="bottom"/>
          </w:tcPr>
          <w:p>
            <w:pPr>
              <w:ind w:left="40"/>
              <w:spacing w:after="0"/>
              <w:rPr>
                <w:sz w:val="20"/>
                <w:szCs w:val="20"/>
                <w:color w:val="auto"/>
              </w:rPr>
            </w:pPr>
            <w:r>
              <w:rPr>
                <w:rFonts w:ascii="Arial" w:cs="Arial" w:eastAsia="Arial" w:hAnsi="Arial"/>
                <w:sz w:val="16"/>
                <w:szCs w:val="16"/>
                <w:color w:val="auto"/>
              </w:rPr>
              <w:t>Video</w:t>
            </w:r>
          </w:p>
        </w:tc>
        <w:tc>
          <w:tcPr>
            <w:tcW w:w="1300" w:type="dxa"/>
            <w:vAlign w:val="bottom"/>
          </w:tcPr>
          <w:p>
            <w:pPr>
              <w:jc w:val="right"/>
              <w:ind w:right="202"/>
              <w:spacing w:after="0"/>
              <w:rPr>
                <w:sz w:val="20"/>
                <w:szCs w:val="20"/>
                <w:color w:val="auto"/>
              </w:rPr>
            </w:pPr>
            <w:r>
              <w:rPr>
                <w:rFonts w:ascii="Arial" w:cs="Arial" w:eastAsia="Arial" w:hAnsi="Arial"/>
                <w:sz w:val="16"/>
                <w:szCs w:val="16"/>
                <w:b w:val="1"/>
                <w:bCs w:val="1"/>
                <w:color w:val="auto"/>
              </w:rPr>
              <w:t>490,309</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575,762</w:t>
            </w:r>
          </w:p>
        </w:tc>
      </w:tr>
      <w:tr>
        <w:trPr>
          <w:trHeight w:val="270"/>
        </w:trPr>
        <w:tc>
          <w:tcPr>
            <w:tcW w:w="9040" w:type="dxa"/>
            <w:vAlign w:val="bottom"/>
          </w:tcPr>
          <w:p>
            <w:pPr>
              <w:ind w:left="40"/>
              <w:spacing w:after="0"/>
              <w:rPr>
                <w:sz w:val="20"/>
                <w:szCs w:val="20"/>
                <w:color w:val="auto"/>
              </w:rPr>
            </w:pPr>
            <w:r>
              <w:rPr>
                <w:rFonts w:ascii="Arial" w:cs="Arial" w:eastAsia="Arial" w:hAnsi="Arial"/>
                <w:sz w:val="16"/>
                <w:szCs w:val="16"/>
                <w:color w:val="auto"/>
              </w:rPr>
              <w:t>High-speed data</w:t>
            </w:r>
          </w:p>
        </w:tc>
        <w:tc>
          <w:tcPr>
            <w:tcW w:w="1300" w:type="dxa"/>
            <w:vAlign w:val="bottom"/>
          </w:tcPr>
          <w:p>
            <w:pPr>
              <w:jc w:val="right"/>
              <w:ind w:right="202"/>
              <w:spacing w:after="0"/>
              <w:rPr>
                <w:sz w:val="20"/>
                <w:szCs w:val="20"/>
                <w:color w:val="auto"/>
              </w:rPr>
            </w:pPr>
            <w:r>
              <w:rPr>
                <w:rFonts w:ascii="Arial" w:cs="Arial" w:eastAsia="Arial" w:hAnsi="Arial"/>
                <w:sz w:val="16"/>
                <w:szCs w:val="16"/>
                <w:b w:val="1"/>
                <w:bCs w:val="1"/>
                <w:color w:val="auto"/>
              </w:rPr>
              <w:t>482,725</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464,292</w:t>
            </w:r>
          </w:p>
        </w:tc>
      </w:tr>
      <w:tr>
        <w:trPr>
          <w:trHeight w:val="283"/>
        </w:trPr>
        <w:tc>
          <w:tcPr>
            <w:tcW w:w="9040" w:type="dxa"/>
            <w:vAlign w:val="bottom"/>
          </w:tcPr>
          <w:p>
            <w:pPr>
              <w:ind w:left="40"/>
              <w:spacing w:after="0"/>
              <w:rPr>
                <w:sz w:val="20"/>
                <w:szCs w:val="20"/>
                <w:color w:val="auto"/>
              </w:rPr>
            </w:pPr>
            <w:r>
              <w:rPr>
                <w:rFonts w:ascii="Arial" w:cs="Arial" w:eastAsia="Arial" w:hAnsi="Arial"/>
                <w:sz w:val="16"/>
                <w:szCs w:val="16"/>
                <w:color w:val="auto"/>
              </w:rPr>
              <w:t>Telephony</w:t>
            </w:r>
          </w:p>
        </w:tc>
        <w:tc>
          <w:tcPr>
            <w:tcW w:w="130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168,695</w:t>
            </w: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185,380</w:t>
            </w:r>
          </w:p>
        </w:tc>
      </w:tr>
      <w:tr>
        <w:trPr>
          <w:trHeight w:val="267"/>
        </w:trPr>
        <w:tc>
          <w:tcPr>
            <w:tcW w:w="9040" w:type="dxa"/>
            <w:vAlign w:val="bottom"/>
          </w:tcPr>
          <w:p>
            <w:pPr>
              <w:ind w:left="40"/>
              <w:spacing w:after="0"/>
              <w:rPr>
                <w:sz w:val="20"/>
                <w:szCs w:val="20"/>
                <w:color w:val="auto"/>
              </w:rPr>
            </w:pPr>
            <w:r>
              <w:rPr>
                <w:rFonts w:ascii="Arial" w:cs="Arial" w:eastAsia="Arial" w:hAnsi="Arial"/>
                <w:sz w:val="16"/>
                <w:szCs w:val="16"/>
                <w:b w:val="1"/>
                <w:bCs w:val="1"/>
                <w:color w:val="auto"/>
              </w:rPr>
              <w:t>Total Primary Service Units (PSUs)</w:t>
            </w:r>
          </w:p>
        </w:tc>
        <w:tc>
          <w:tcPr>
            <w:tcW w:w="130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1,141,729</w:t>
            </w: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1,225,434</w:t>
            </w:r>
          </w:p>
        </w:tc>
      </w:tr>
      <w:tr>
        <w:trPr>
          <w:trHeight w:val="20"/>
        </w:trPr>
        <w:tc>
          <w:tcPr>
            <w:tcW w:w="90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51"/>
        </w:trPr>
        <w:tc>
          <w:tcPr>
            <w:tcW w:w="9040" w:type="dxa"/>
            <w:vAlign w:val="bottom"/>
          </w:tcPr>
          <w:p>
            <w:pPr>
              <w:ind w:left="40"/>
              <w:spacing w:after="0"/>
              <w:rPr>
                <w:sz w:val="20"/>
                <w:szCs w:val="20"/>
                <w:color w:val="auto"/>
              </w:rPr>
            </w:pPr>
            <w:r>
              <w:rPr>
                <w:rFonts w:ascii="Arial" w:cs="Arial" w:eastAsia="Arial" w:hAnsi="Arial"/>
                <w:sz w:val="16"/>
                <w:szCs w:val="16"/>
                <w:b w:val="1"/>
                <w:bCs w:val="1"/>
                <w:color w:val="auto"/>
              </w:rPr>
              <w:t>Total Customers</w:t>
            </w:r>
          </w:p>
        </w:tc>
        <w:tc>
          <w:tcPr>
            <w:tcW w:w="130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698,699</w:t>
            </w: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725,525</w:t>
            </w:r>
          </w:p>
        </w:tc>
      </w:tr>
      <w:tr>
        <w:trPr>
          <w:trHeight w:val="20"/>
        </w:trPr>
        <w:tc>
          <w:tcPr>
            <w:tcW w:w="90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4" w:right="239" w:bottom="1440" w:gutter="0" w:footer="0" w:header="0"/>
        </w:sectPr>
      </w:pPr>
    </w:p>
    <w:bookmarkStart w:id="8" w:name="page9"/>
    <w:bookmarkEnd w:id="8"/>
    <w:p>
      <w:pPr>
        <w:jc w:val="both"/>
        <w:ind w:right="220"/>
        <w:spacing w:after="0" w:line="235" w:lineRule="auto"/>
        <w:rPr>
          <w:sz w:val="20"/>
          <w:szCs w:val="20"/>
          <w:color w:val="auto"/>
        </w:rPr>
      </w:pPr>
      <w:r>
        <w:rPr>
          <w:rFonts w:ascii="Arial" w:cs="Arial" w:eastAsia="Arial" w:hAnsi="Arial"/>
          <w:sz w:val="18"/>
          <w:szCs w:val="18"/>
          <w:color w:val="auto"/>
        </w:rPr>
        <w:t>In July 2014, the cable division sold wireless spectrum licenses for approximately $99 million; an estimated pre-tax gain of $75 million will be reported in the third quarter of 2014 in connection with these sales. The licenses had been purchased in the 2006 AWS Auction.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Television Broadcasting</w:t>
      </w:r>
    </w:p>
    <w:p>
      <w:pPr>
        <w:spacing w:after="0" w:line="166" w:lineRule="exact"/>
        <w:rPr>
          <w:sz w:val="20"/>
          <w:szCs w:val="20"/>
          <w:color w:val="auto"/>
        </w:rPr>
      </w:pPr>
    </w:p>
    <w:p>
      <w:pPr>
        <w:jc w:val="both"/>
        <w:ind w:right="220"/>
        <w:spacing w:after="0" w:line="227" w:lineRule="auto"/>
        <w:rPr>
          <w:sz w:val="20"/>
          <w:szCs w:val="20"/>
          <w:color w:val="auto"/>
        </w:rPr>
      </w:pPr>
      <w:r>
        <w:rPr>
          <w:rFonts w:ascii="Arial" w:cs="Arial" w:eastAsia="Arial" w:hAnsi="Arial"/>
          <w:sz w:val="18"/>
          <w:szCs w:val="18"/>
          <w:color w:val="auto"/>
        </w:rPr>
        <w:t>Revenue at the television broadcasting division increased 10% to $88.3 million in the second quarter of 2014, from $80.2 million in the same period of 2013; operating income for the second quarter of 2014 was up 12% to $44.1 million, from $ 39.2 million in the same period of 2013. The increase in revenue and operating income in the second quarter of 2014 is due to a $3.8 million increase in political advertising revenue and $4.6 million in increased retransmission revenues.</w:t>
      </w:r>
    </w:p>
    <w:p>
      <w:pPr>
        <w:spacing w:after="0" w:line="135"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For the first six months of 2014, revenue increased 17% to $173.9 million, from $149.1 million in the same period of 2013; operating income for the first six months of 2014 increased 29% to $88.5 million, from $68.3 million in the same period of 2013. The increase in revenue and operating income is due to a $6.9 million increase in political advertising revenue, $9.5 million in incremental winter Olympics-related advertising revenue at the Company’s NBC affiliates and $9.3 million in increased retransmission revenues.</w:t>
      </w:r>
    </w:p>
    <w:p>
      <w:pPr>
        <w:spacing w:after="0" w:line="135"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As discussed above, the television broadcasting operating results exclude WPLG, the Company’s Miami-based television station, which has been reclassified to discontinued operations for all periods presented.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Businesses</w:t>
      </w:r>
    </w:p>
    <w:p>
      <w:pPr>
        <w:spacing w:after="0" w:line="166" w:lineRule="exact"/>
        <w:rPr>
          <w:sz w:val="20"/>
          <w:szCs w:val="20"/>
          <w:color w:val="auto"/>
        </w:rPr>
      </w:pPr>
    </w:p>
    <w:p>
      <w:pPr>
        <w:ind w:right="180"/>
        <w:spacing w:after="0" w:line="225" w:lineRule="auto"/>
        <w:rPr>
          <w:sz w:val="20"/>
          <w:szCs w:val="20"/>
          <w:color w:val="auto"/>
        </w:rPr>
      </w:pPr>
      <w:r>
        <w:rPr>
          <w:rFonts w:ascii="Arial" w:cs="Arial" w:eastAsia="Arial" w:hAnsi="Arial"/>
          <w:sz w:val="18"/>
          <w:szCs w:val="18"/>
          <w:color w:val="auto"/>
        </w:rPr>
        <w:t>Other businesses includes the operating results of The Slate Group and Foreign Policy Group, which publish online and print magazines and websites; SocialCode, a marketing solutions provider helping companies with marketing on social-media platforms; Celtic Healthcare, a provider of home health and hospice services; Forney, a global supplier of products and systems that control and monitor combustion processes in electric utility and industrial applications, acquired by the Company in August 2013; and Trove, a digital innovation team that builds products and technologies in the news space.</w:t>
      </w:r>
    </w:p>
    <w:p>
      <w:pPr>
        <w:spacing w:after="0" w:line="137" w:lineRule="exact"/>
        <w:rPr>
          <w:sz w:val="20"/>
          <w:szCs w:val="20"/>
          <w:color w:val="auto"/>
        </w:rPr>
      </w:pPr>
    </w:p>
    <w:p>
      <w:pPr>
        <w:ind w:right="240"/>
        <w:spacing w:after="0" w:line="229" w:lineRule="auto"/>
        <w:rPr>
          <w:sz w:val="20"/>
          <w:szCs w:val="20"/>
          <w:color w:val="auto"/>
        </w:rPr>
      </w:pPr>
      <w:r>
        <w:rPr>
          <w:rFonts w:ascii="Arial" w:cs="Arial" w:eastAsia="Arial" w:hAnsi="Arial"/>
          <w:sz w:val="18"/>
          <w:szCs w:val="18"/>
          <w:color w:val="auto"/>
        </w:rPr>
        <w:t>In April 2014, Celtic Healthcare acquired the assets of VNA-TIP Healthcare of Bridgeton, MO. This acquisition has expanded Celtic's home health and hospice service areas from Pennsylvania and Maryland to the Missouri and Illinois regions. The operating results of VNA-TIP are included in Other Businesses from the date of acquisition in the second quarter of 2014.</w:t>
      </w:r>
    </w:p>
    <w:p>
      <w:pPr>
        <w:spacing w:after="0" w:line="137"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On May 30, 2014, the Company acquired Joyce/Dayton Corp., a Dayton, OH-based manufacturer of screw jacks and other linear motion systems. The operating results of Joyce/Dayton are included in Other Businesses from the date of acquisition in the second quarter of 2014.</w:t>
      </w:r>
    </w:p>
    <w:p>
      <w:pPr>
        <w:spacing w:after="0" w:line="135" w:lineRule="exact"/>
        <w:rPr>
          <w:sz w:val="20"/>
          <w:szCs w:val="20"/>
          <w:color w:val="auto"/>
        </w:rPr>
      </w:pPr>
    </w:p>
    <w:p>
      <w:pPr>
        <w:ind w:right="80"/>
        <w:spacing w:after="0" w:line="229" w:lineRule="auto"/>
        <w:rPr>
          <w:sz w:val="20"/>
          <w:szCs w:val="20"/>
          <w:color w:val="auto"/>
        </w:rPr>
      </w:pPr>
      <w:r>
        <w:rPr>
          <w:rFonts w:ascii="Arial" w:cs="Arial" w:eastAsia="Arial" w:hAnsi="Arial"/>
          <w:sz w:val="18"/>
          <w:szCs w:val="18"/>
          <w:color w:val="auto"/>
        </w:rPr>
        <w:t>On July 3, 2014, the Company acquired a majority interest in Residential Healthcare Group, Inc. (Residential), the parent company of Residential Home Health and Residential Hospice, leading providers of skilled home health care and hospice services in Michigan and Illinois. The operating results of Residential will be included in Other Businesses from the date of acquisition in the third quarter of 2014.</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Office</w:t>
      </w:r>
    </w:p>
    <w:p>
      <w:pPr>
        <w:spacing w:after="0" w:line="166"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Corporate office includes the expenses of the Company’s corporate office, the pension credit for the Company’s traditional defined benefit plan and certain continuing obligations related to prior business dispositions. In the first quarter of 2014, the corporate office implemented a Separation Incentive Program that resulted in early retirement program expense of $4.5 million, which will be funded from the assets of the Company’s pension plan. Excluding early retirement program expense, the total pension credit for the Company’s traditional defined benefit plan was $45.4 million and $18.9 million in the first six months of 2014 and 2013, respectively.</w:t>
      </w:r>
    </w:p>
    <w:p>
      <w:pPr>
        <w:spacing w:after="0" w:line="137"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color w:val="auto"/>
        </w:rPr>
        <w:t>Excluding the pension credit, corporate office expenses increased in the first six months of 2014 due primarily to higher compensation costs and expenses related to certain acquisitions.</w:t>
      </w:r>
    </w:p>
    <w:p>
      <w:pPr>
        <w:spacing w:after="0" w:line="135" w:lineRule="exact"/>
        <w:rPr>
          <w:sz w:val="20"/>
          <w:szCs w:val="20"/>
          <w:color w:val="auto"/>
        </w:rPr>
      </w:pPr>
    </w:p>
    <w:p>
      <w:pPr>
        <w:ind w:right="400"/>
        <w:spacing w:after="0" w:line="235" w:lineRule="auto"/>
        <w:rPr>
          <w:sz w:val="20"/>
          <w:szCs w:val="20"/>
          <w:color w:val="auto"/>
        </w:rPr>
      </w:pPr>
      <w:r>
        <w:rPr>
          <w:rFonts w:ascii="Arial" w:cs="Arial" w:eastAsia="Arial" w:hAnsi="Arial"/>
          <w:sz w:val="18"/>
          <w:szCs w:val="18"/>
          <w:color w:val="auto"/>
        </w:rPr>
        <w:t>Near the end of June 2014, the Company offered a Voluntary Retirement Incentive Plan (VRIP) to certain corporate office employees. The VRIP acceptance period ends in August, and the expense of the VRIP will be recognized in the third quarter of 2014.</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in Earnings (Losses) of Affiliates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 holds a 16.5% interest in Classified Ventures, LLC and interests in several other affiliates.</w:t>
      </w:r>
    </w:p>
    <w:p>
      <w:pPr>
        <w:spacing w:after="0" w:line="144" w:lineRule="exact"/>
        <w:rPr>
          <w:sz w:val="20"/>
          <w:szCs w:val="20"/>
          <w:color w:val="auto"/>
        </w:rPr>
      </w:pPr>
    </w:p>
    <w:p>
      <w:pPr>
        <w:ind w:right="200"/>
        <w:spacing w:after="0" w:line="229" w:lineRule="auto"/>
        <w:rPr>
          <w:sz w:val="20"/>
          <w:szCs w:val="20"/>
          <w:color w:val="auto"/>
        </w:rPr>
      </w:pPr>
      <w:r>
        <w:rPr>
          <w:rFonts w:ascii="Arial" w:cs="Arial" w:eastAsia="Arial" w:hAnsi="Arial"/>
          <w:sz w:val="18"/>
          <w:szCs w:val="18"/>
          <w:color w:val="auto"/>
        </w:rPr>
        <w:t>The Company’s equity in earnings of affiliates, net, was $91.5 million for the second quarter of 2014, compared to $3.9 million for the second quarter of 2013. For the first six months of 2014, the Company’s equity in earnings of affiliates, net, totaled $95.6 million, compared to $7.3 million for the same period of 2013.</w:t>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584" w:right="279" w:bottom="1440" w:gutter="0" w:footer="0" w:header="0"/>
        </w:sectPr>
      </w:pPr>
    </w:p>
    <w:bookmarkStart w:id="9" w:name="page10"/>
    <w:bookmarkEnd w:id="9"/>
    <w:p>
      <w:pPr>
        <w:ind w:right="480"/>
        <w:spacing w:after="0" w:line="407" w:lineRule="auto"/>
        <w:rPr>
          <w:sz w:val="20"/>
          <w:szCs w:val="20"/>
          <w:color w:val="auto"/>
        </w:rPr>
      </w:pPr>
      <w:r>
        <w:rPr>
          <w:rFonts w:ascii="Arial" w:cs="Arial" w:eastAsia="Arial" w:hAnsi="Arial"/>
          <w:sz w:val="18"/>
          <w:szCs w:val="18"/>
          <w:color w:val="auto"/>
        </w:rPr>
        <w:t xml:space="preserve">The 2014 results include the pre-tax gain of $90.9 million from Classified Ventures’ sale of apartments.com in the second quarter of 2014. </w:t>
      </w:r>
      <w:r>
        <w:rPr>
          <w:rFonts w:ascii="Arial" w:cs="Arial" w:eastAsia="Arial" w:hAnsi="Arial"/>
          <w:sz w:val="18"/>
          <w:szCs w:val="18"/>
          <w:b w:val="1"/>
          <w:bCs w:val="1"/>
          <w:u w:val="single" w:color="auto"/>
          <w:color w:val="auto"/>
        </w:rPr>
        <w:t>Other Non-Operating Income (Expense)</w:t>
      </w:r>
    </w:p>
    <w:p>
      <w:pPr>
        <w:ind w:right="120"/>
        <w:spacing w:after="0" w:line="225" w:lineRule="auto"/>
        <w:rPr>
          <w:sz w:val="20"/>
          <w:szCs w:val="20"/>
          <w:color w:val="auto"/>
        </w:rPr>
      </w:pPr>
      <w:r>
        <w:rPr>
          <w:rFonts w:ascii="Arial" w:cs="Arial" w:eastAsia="Arial" w:hAnsi="Arial"/>
          <w:sz w:val="18"/>
          <w:szCs w:val="18"/>
          <w:color w:val="auto"/>
        </w:rPr>
        <w:t>The Company recorded total other non-operating income, net, of $268.1 million for the second quarter of 2014, compared to expense of $12.9 million for the second quarter of 2013. The second quarter 2014 non-operating income, net, included a pre-tax gain of $266.7 million in connection with the Company’s exchange of Berkshire shares. Second quarter 2014 non-operating income, net, also included $ 2.9 million in unrealized foreign currency gains and other items. The second quarter 2013 non-operating expense, net, included $12.6 million in unrealized foreign currency losses and other items.</w:t>
      </w:r>
    </w:p>
    <w:p>
      <w:pPr>
        <w:spacing w:after="0" w:line="137"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The Company recorded non-operating income, net, of $401.4 million for the first six months of 2014, compared to other non-operating expense, net, of $16.9 million for the same period of the prior year. The 2014 amounts included the pre-tax gain of $ 266.7 million in connection with the Company's exchange of Berkshire shares, a pre-tax gain of $127.7 million on the sale of the headquarters building, $7.9 million in unrealized foreign currency gains and other items. The 2013 non-operating income, net, included $17.2 million in unrealized foreign currency losses and other items.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Interest Expense</w:t>
      </w:r>
    </w:p>
    <w:p>
      <w:pPr>
        <w:spacing w:after="0" w:line="166" w:lineRule="exact"/>
        <w:rPr>
          <w:sz w:val="20"/>
          <w:szCs w:val="20"/>
          <w:color w:val="auto"/>
        </w:rPr>
      </w:pPr>
    </w:p>
    <w:p>
      <w:pPr>
        <w:ind w:right="200"/>
        <w:spacing w:after="0" w:line="229" w:lineRule="auto"/>
        <w:rPr>
          <w:sz w:val="20"/>
          <w:szCs w:val="20"/>
          <w:color w:val="auto"/>
        </w:rPr>
      </w:pPr>
      <w:r>
        <w:rPr>
          <w:rFonts w:ascii="Arial" w:cs="Arial" w:eastAsia="Arial" w:hAnsi="Arial"/>
          <w:sz w:val="18"/>
          <w:szCs w:val="18"/>
          <w:color w:val="auto"/>
        </w:rPr>
        <w:t>The Company incurred net interest expense of $7.9 million and $16.1 million for the second quarter and first six months of 2014, respectively, compared to $ 8.5 million and $17.0 million for the same periods of 2013. At June 30, 2014, the Company had $451.9 million in borrowings outstanding at an average interest rate of 7.0%.</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166"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The effective tax rate for income from continuing operations for the first six months of 2014 was 23.5%, compared to 40.7% for the first six months of 2013. The lower effective tax rate in 2014 relates to the Berkshire exchange transaction. The pre-tax gain of $ 266.7 million related to the disposition of the Berkshire shares was not subject to income tax as the exchange transaction qualifies as a tax-free distribution. The higher effective tax rate in 2013 resulted mostly from losses in Australia for which no tax benefit was recorded.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Discontinued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On June 30, 2014, the Company and Berkshire Hathaway Inc. completed the Berkshire exchange transaction discussed above. A gain of</w:t>
      </w:r>
    </w:p>
    <w:p>
      <w:pPr>
        <w:jc w:val="both"/>
        <w:ind w:right="80"/>
        <w:spacing w:after="0" w:line="229" w:lineRule="auto"/>
        <w:rPr>
          <w:sz w:val="20"/>
          <w:szCs w:val="20"/>
          <w:color w:val="auto"/>
        </w:rPr>
      </w:pPr>
      <w:r>
        <w:rPr>
          <w:rFonts w:ascii="Arial" w:cs="Arial" w:eastAsia="Arial" w:hAnsi="Arial"/>
          <w:sz w:val="18"/>
          <w:szCs w:val="18"/>
          <w:color w:val="auto"/>
        </w:rPr>
        <w:t>$375.0 million was recorded in discontinued operations in connection with the disposition of WPLG, a Miami-based television station. This gain is not subject to income tax. Also as a result of the exchange transaction, income from continuing operations excludes WPLG, which has been reclassified to discontinued operations, net of tax, for all periods presented.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(Loss) Per Share</w:t>
      </w:r>
    </w:p>
    <w:p>
      <w:pPr>
        <w:spacing w:after="0" w:line="166"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color w:val="auto"/>
        </w:rPr>
        <w:t>The calculation of diluted earnings per share for the second quarter and first six months of 2014 was based on 7,363,492 and 7,361,441 weighted average shares outstanding, respectively, compared to 7,283,116 and 7,276,421 for the second quarter and first six months of 2013. At June 30, 2014, there were 5,792,628 shares outstanding after the Company acquired 1,620,190 shares in the Berkshire exchange transaction. The Company had remaining authorization from the Board of Directors to purchase up to 159,219 shares of Class B common stock. The earnings per share computations for the second quarter and first six months of 2014 are largely unaffected by the common shares repurchased as part of the Berkshire exchange transaction, as the transaction closed on June 30, 2014.</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66" w:lineRule="exact"/>
        <w:rPr>
          <w:sz w:val="20"/>
          <w:szCs w:val="20"/>
          <w:color w:val="auto"/>
        </w:rPr>
      </w:pPr>
    </w:p>
    <w:p>
      <w:pPr>
        <w:ind w:right="280"/>
        <w:spacing w:after="0" w:line="227" w:lineRule="auto"/>
        <w:rPr>
          <w:sz w:val="20"/>
          <w:szCs w:val="20"/>
          <w:color w:val="auto"/>
        </w:rPr>
      </w:pPr>
      <w:r>
        <w:rPr>
          <w:rFonts w:ascii="Arial" w:cs="Arial" w:eastAsia="Arial" w:hAnsi="Arial"/>
          <w:sz w:val="18"/>
          <w:szCs w:val="18"/>
          <w:color w:val="auto"/>
        </w:rPr>
        <w:t>This report contains certain forward-looking statements that are based largely on the Company’s current expectations. Forward-looking statements are subject to certain risks and uncertainties that could cause actual results and achievements to differ materially from those expressed in the forward-looking statements. For more information about these forward-looking statements and related risks, please refer to the section titled “Forward-Looking Statements” in Part I of the Company’s Annual Report on Form 10-K.</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OPERATIONS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20" w:type="dxa"/>
            <w:vAlign w:val="bottom"/>
            <w:gridSpan w:val="3"/>
          </w:tcPr>
          <w:p>
            <w:pPr>
              <w:jc w:val="right"/>
              <w:ind w:right="259"/>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3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9"/>
                <w:szCs w:val="19"/>
                <w:color w:val="auto"/>
              </w:rPr>
            </w:pPr>
          </w:p>
        </w:tc>
        <w:tc>
          <w:tcPr>
            <w:tcW w:w="900" w:type="dxa"/>
            <w:vAlign w:val="bottom"/>
          </w:tcPr>
          <w:p>
            <w:pPr>
              <w:jc w:val="right"/>
              <w:ind w:righ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color w:val="auto"/>
              </w:rPr>
              <w:t>2013</w:t>
            </w:r>
          </w:p>
        </w:tc>
        <w:tc>
          <w:tcPr>
            <w:tcW w:w="9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50"/>
        </w:trPr>
        <w:tc>
          <w:tcPr>
            <w:tcW w:w="8360" w:type="dxa"/>
            <w:vAlign w:val="bottom"/>
          </w:tcPr>
          <w:p>
            <w:pPr>
              <w:ind w:left="40"/>
              <w:spacing w:after="0"/>
              <w:rPr>
                <w:sz w:val="20"/>
                <w:szCs w:val="20"/>
                <w:color w:val="auto"/>
              </w:rPr>
            </w:pPr>
            <w:r>
              <w:rPr>
                <w:rFonts w:ascii="Arial" w:cs="Arial" w:eastAsia="Arial" w:hAnsi="Arial"/>
                <w:sz w:val="16"/>
                <w:szCs w:val="16"/>
                <w:color w:val="auto"/>
              </w:rPr>
              <w:t>Operating revenues</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878,628</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870,504</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70"/>
        </w:trPr>
        <w:tc>
          <w:tcPr>
            <w:tcW w:w="836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24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720,993</w:t>
            </w:r>
          </w:p>
        </w:tc>
        <w:tc>
          <w:tcPr>
            <w:tcW w:w="340" w:type="dxa"/>
            <w:vAlign w:val="bottom"/>
          </w:tcPr>
          <w:p>
            <w:pPr>
              <w:spacing w:after="0"/>
              <w:rPr>
                <w:sz w:val="23"/>
                <w:szCs w:val="23"/>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714,011</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70"/>
        </w:trPr>
        <w:tc>
          <w:tcPr>
            <w:tcW w:w="8360" w:type="dxa"/>
            <w:vAlign w:val="bottom"/>
          </w:tcPr>
          <w:p>
            <w:pPr>
              <w:ind w:left="40"/>
              <w:spacing w:after="0"/>
              <w:rPr>
                <w:sz w:val="20"/>
                <w:szCs w:val="20"/>
                <w:color w:val="auto"/>
              </w:rPr>
            </w:pPr>
            <w:r>
              <w:rPr>
                <w:rFonts w:ascii="Arial" w:cs="Arial" w:eastAsia="Arial" w:hAnsi="Arial"/>
                <w:sz w:val="16"/>
                <w:szCs w:val="16"/>
                <w:color w:val="auto"/>
              </w:rPr>
              <w:t>Depreciation of property, plant and equipment</w:t>
            </w:r>
          </w:p>
        </w:tc>
        <w:tc>
          <w:tcPr>
            <w:tcW w:w="24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52,017</w:t>
            </w:r>
          </w:p>
        </w:tc>
        <w:tc>
          <w:tcPr>
            <w:tcW w:w="340" w:type="dxa"/>
            <w:vAlign w:val="bottom"/>
          </w:tcPr>
          <w:p>
            <w:pPr>
              <w:spacing w:after="0"/>
              <w:rPr>
                <w:sz w:val="23"/>
                <w:szCs w:val="23"/>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56,879</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70"/>
        </w:trPr>
        <w:tc>
          <w:tcPr>
            <w:tcW w:w="8360" w:type="dxa"/>
            <w:vAlign w:val="bottom"/>
          </w:tcPr>
          <w:p>
            <w:pPr>
              <w:ind w:left="40"/>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3,360</w:t>
            </w:r>
          </w:p>
        </w:tc>
        <w:tc>
          <w:tcPr>
            <w:tcW w:w="340" w:type="dxa"/>
            <w:vAlign w:val="bottom"/>
          </w:tcPr>
          <w:p>
            <w:pPr>
              <w:spacing w:after="0"/>
              <w:rPr>
                <w:sz w:val="23"/>
                <w:szCs w:val="23"/>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3,313</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83"/>
        </w:trPr>
        <w:tc>
          <w:tcPr>
            <w:tcW w:w="8360" w:type="dxa"/>
            <w:vAlign w:val="bottom"/>
          </w:tcPr>
          <w:p>
            <w:pPr>
              <w:ind w:left="40"/>
              <w:spacing w:after="0"/>
              <w:rPr>
                <w:sz w:val="20"/>
                <w:szCs w:val="20"/>
                <w:color w:val="auto"/>
              </w:rPr>
            </w:pPr>
            <w:r>
              <w:rPr>
                <w:rFonts w:ascii="Arial" w:cs="Arial" w:eastAsia="Arial" w:hAnsi="Arial"/>
                <w:sz w:val="16"/>
                <w:szCs w:val="16"/>
                <w:color w:val="auto"/>
              </w:rPr>
              <w:t>Impairment of intangible assets</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7,774</w:t>
            </w:r>
          </w:p>
        </w:tc>
        <w:tc>
          <w:tcPr>
            <w:tcW w:w="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Operating income</w:t>
            </w:r>
          </w:p>
        </w:tc>
        <w:tc>
          <w:tcPr>
            <w:tcW w:w="240" w:type="dxa"/>
            <w:vAlign w:val="bottom"/>
          </w:tcPr>
          <w:p>
            <w:pPr>
              <w:spacing w:after="0"/>
              <w:rPr>
                <w:sz w:val="21"/>
                <w:szCs w:val="21"/>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94,484</w:t>
            </w:r>
          </w:p>
        </w:tc>
        <w:tc>
          <w:tcPr>
            <w:tcW w:w="340" w:type="dxa"/>
            <w:vAlign w:val="bottom"/>
          </w:tcPr>
          <w:p>
            <w:pPr>
              <w:spacing w:after="0"/>
              <w:rPr>
                <w:sz w:val="21"/>
                <w:szCs w:val="21"/>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96,301</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Equity in earnings of affiliates, net</w:t>
            </w:r>
          </w:p>
        </w:tc>
        <w:tc>
          <w:tcPr>
            <w:tcW w:w="24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91,503</w:t>
            </w:r>
          </w:p>
        </w:tc>
        <w:tc>
          <w:tcPr>
            <w:tcW w:w="340" w:type="dxa"/>
            <w:vAlign w:val="bottom"/>
          </w:tcPr>
          <w:p>
            <w:pPr>
              <w:spacing w:after="0"/>
              <w:rPr>
                <w:sz w:val="23"/>
                <w:szCs w:val="23"/>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3,868</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24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641</w:t>
            </w:r>
          </w:p>
        </w:tc>
        <w:tc>
          <w:tcPr>
            <w:tcW w:w="340" w:type="dxa"/>
            <w:vAlign w:val="bottom"/>
          </w:tcPr>
          <w:p>
            <w:pPr>
              <w:spacing w:after="0"/>
              <w:rPr>
                <w:sz w:val="23"/>
                <w:szCs w:val="23"/>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522</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(8,557)</w:t>
            </w:r>
          </w:p>
        </w:tc>
        <w:tc>
          <w:tcPr>
            <w:tcW w:w="3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(9,048)</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83"/>
        </w:trPr>
        <w:tc>
          <w:tcPr>
            <w:tcW w:w="8360" w:type="dxa"/>
            <w:vAlign w:val="bottom"/>
          </w:tcPr>
          <w:p>
            <w:pPr>
              <w:ind w:left="280"/>
              <w:spacing w:after="0"/>
              <w:rPr>
                <w:sz w:val="20"/>
                <w:szCs w:val="20"/>
                <w:color w:val="auto"/>
              </w:rPr>
            </w:pPr>
            <w:r>
              <w:rPr>
                <w:rFonts w:ascii="Arial" w:cs="Arial" w:eastAsia="Arial" w:hAnsi="Arial"/>
                <w:sz w:val="16"/>
                <w:szCs w:val="16"/>
                <w:color w:val="auto"/>
              </w:rPr>
              <w:t>Other income(expense), net</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268,114</w:t>
            </w:r>
          </w:p>
        </w:tc>
        <w:tc>
          <w:tcPr>
            <w:tcW w:w="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(12,858)</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Income from continuing operations before income taxes</w:t>
            </w:r>
          </w:p>
        </w:tc>
        <w:tc>
          <w:tcPr>
            <w:tcW w:w="240" w:type="dxa"/>
            <w:vAlign w:val="bottom"/>
          </w:tcPr>
          <w:p>
            <w:pPr>
              <w:spacing w:after="0"/>
              <w:rPr>
                <w:sz w:val="21"/>
                <w:szCs w:val="21"/>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446,185</w:t>
            </w:r>
          </w:p>
        </w:tc>
        <w:tc>
          <w:tcPr>
            <w:tcW w:w="340" w:type="dxa"/>
            <w:vAlign w:val="bottom"/>
          </w:tcPr>
          <w:p>
            <w:pPr>
              <w:spacing w:after="0"/>
              <w:rPr>
                <w:sz w:val="21"/>
                <w:szCs w:val="21"/>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78,785</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Provision for income taxes</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76,800</w:t>
            </w:r>
          </w:p>
        </w:tc>
        <w:tc>
          <w:tcPr>
            <w:tcW w:w="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31,700</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Income from continuing operations</w:t>
            </w:r>
          </w:p>
        </w:tc>
        <w:tc>
          <w:tcPr>
            <w:tcW w:w="240" w:type="dxa"/>
            <w:vAlign w:val="bottom"/>
          </w:tcPr>
          <w:p>
            <w:pPr>
              <w:spacing w:after="0"/>
              <w:rPr>
                <w:sz w:val="21"/>
                <w:szCs w:val="21"/>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369,385</w:t>
            </w:r>
          </w:p>
        </w:tc>
        <w:tc>
          <w:tcPr>
            <w:tcW w:w="340" w:type="dxa"/>
            <w:vAlign w:val="bottom"/>
          </w:tcPr>
          <w:p>
            <w:pPr>
              <w:spacing w:after="0"/>
              <w:rPr>
                <w:sz w:val="21"/>
                <w:szCs w:val="21"/>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47,085</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Income (loss) from discontinued operations, net of tax</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380,465</w:t>
            </w:r>
          </w:p>
        </w:tc>
        <w:tc>
          <w:tcPr>
            <w:tcW w:w="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(1,951)</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Net income</w:t>
            </w:r>
          </w:p>
        </w:tc>
        <w:tc>
          <w:tcPr>
            <w:tcW w:w="240" w:type="dxa"/>
            <w:vAlign w:val="bottom"/>
          </w:tcPr>
          <w:p>
            <w:pPr>
              <w:spacing w:after="0"/>
              <w:rPr>
                <w:sz w:val="21"/>
                <w:szCs w:val="21"/>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749,850</w:t>
            </w:r>
          </w:p>
        </w:tc>
        <w:tc>
          <w:tcPr>
            <w:tcW w:w="340" w:type="dxa"/>
            <w:vAlign w:val="bottom"/>
          </w:tcPr>
          <w:p>
            <w:pPr>
              <w:spacing w:after="0"/>
              <w:rPr>
                <w:sz w:val="21"/>
                <w:szCs w:val="21"/>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45,134</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Net loss (income) attributable to noncontrolling interests</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499</w:t>
            </w:r>
          </w:p>
        </w:tc>
        <w:tc>
          <w:tcPr>
            <w:tcW w:w="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Graham Holdings Company</w:t>
            </w:r>
          </w:p>
        </w:tc>
        <w:tc>
          <w:tcPr>
            <w:tcW w:w="240" w:type="dxa"/>
            <w:vAlign w:val="bottom"/>
          </w:tcPr>
          <w:p>
            <w:pPr>
              <w:spacing w:after="0"/>
              <w:rPr>
                <w:sz w:val="21"/>
                <w:szCs w:val="21"/>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750,349</w:t>
            </w:r>
          </w:p>
        </w:tc>
        <w:tc>
          <w:tcPr>
            <w:tcW w:w="340" w:type="dxa"/>
            <w:vAlign w:val="bottom"/>
          </w:tcPr>
          <w:p>
            <w:pPr>
              <w:spacing w:after="0"/>
              <w:rPr>
                <w:sz w:val="21"/>
                <w:szCs w:val="21"/>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44,881</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Redeemable preferred stock dividends</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(212)</w:t>
            </w:r>
          </w:p>
        </w:tc>
        <w:tc>
          <w:tcPr>
            <w:tcW w:w="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64"/>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750,137</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44,675</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3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Amounts Attributable to Graham Holdings Company Common Stockholders</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3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Income from continuing operations</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369,672</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46,626</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360" w:type="dxa"/>
            <w:vAlign w:val="bottom"/>
          </w:tcPr>
          <w:p>
            <w:pPr>
              <w:ind w:left="280"/>
              <w:spacing w:after="0"/>
              <w:rPr>
                <w:sz w:val="20"/>
                <w:szCs w:val="20"/>
                <w:color w:val="auto"/>
              </w:rPr>
            </w:pPr>
            <w:r>
              <w:rPr>
                <w:rFonts w:ascii="Arial" w:cs="Arial" w:eastAsia="Arial" w:hAnsi="Arial"/>
                <w:sz w:val="16"/>
                <w:szCs w:val="16"/>
                <w:color w:val="auto"/>
              </w:rPr>
              <w:t>Income (loss) from discontinued operations, net of tax</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380,465</w:t>
            </w:r>
          </w:p>
        </w:tc>
        <w:tc>
          <w:tcPr>
            <w:tcW w:w="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(1,951)</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8360" w:type="dxa"/>
            <w:vAlign w:val="bottom"/>
          </w:tcPr>
          <w:p>
            <w:pPr>
              <w:ind w:left="280"/>
              <w:spacing w:after="0"/>
              <w:rPr>
                <w:sz w:val="20"/>
                <w:szCs w:val="20"/>
                <w:color w:val="auto"/>
              </w:rPr>
            </w:pPr>
            <w:r>
              <w:rPr>
                <w:rFonts w:ascii="Arial" w:cs="Arial" w:eastAsia="Arial" w:hAnsi="Arial"/>
                <w:sz w:val="16"/>
                <w:szCs w:val="16"/>
                <w:color w:val="auto"/>
              </w:rPr>
              <w:t>Net income</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750,137</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44,675</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3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3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Basic income per common share from continuing operations</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49.68</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6.28</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360" w:type="dxa"/>
            <w:vAlign w:val="bottom"/>
          </w:tcPr>
          <w:p>
            <w:pPr>
              <w:ind w:left="280"/>
              <w:spacing w:after="0"/>
              <w:rPr>
                <w:sz w:val="20"/>
                <w:szCs w:val="20"/>
                <w:color w:val="auto"/>
              </w:rPr>
            </w:pPr>
            <w:r>
              <w:rPr>
                <w:rFonts w:ascii="Arial" w:cs="Arial" w:eastAsia="Arial" w:hAnsi="Arial"/>
                <w:sz w:val="16"/>
                <w:szCs w:val="16"/>
                <w:color w:val="auto"/>
              </w:rPr>
              <w:t>Basic income (loss) per common share from discontinued operations</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51.12</w:t>
            </w:r>
          </w:p>
        </w:tc>
        <w:tc>
          <w:tcPr>
            <w:tcW w:w="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(0.26)</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7"/>
        </w:trPr>
        <w:tc>
          <w:tcPr>
            <w:tcW w:w="8360" w:type="dxa"/>
            <w:vAlign w:val="bottom"/>
          </w:tcPr>
          <w:p>
            <w:pPr>
              <w:ind w:left="280"/>
              <w:spacing w:after="0"/>
              <w:rPr>
                <w:sz w:val="20"/>
                <w:szCs w:val="20"/>
                <w:color w:val="auto"/>
              </w:rPr>
            </w:pPr>
            <w:r>
              <w:rPr>
                <w:rFonts w:ascii="Arial" w:cs="Arial" w:eastAsia="Arial" w:hAnsi="Arial"/>
                <w:sz w:val="16"/>
                <w:szCs w:val="16"/>
                <w:color w:val="auto"/>
              </w:rPr>
              <w:t>Basic net income per common share</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100.80</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6.02</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8360" w:type="dxa"/>
            <w:vAlign w:val="bottom"/>
          </w:tcPr>
          <w:p>
            <w:pPr>
              <w:ind w:left="280"/>
              <w:spacing w:after="0"/>
              <w:rPr>
                <w:sz w:val="20"/>
                <w:szCs w:val="20"/>
                <w:color w:val="auto"/>
              </w:rPr>
            </w:pPr>
            <w:r>
              <w:rPr>
                <w:rFonts w:ascii="Arial" w:cs="Arial" w:eastAsia="Arial" w:hAnsi="Arial"/>
                <w:sz w:val="16"/>
                <w:szCs w:val="16"/>
                <w:color w:val="auto"/>
              </w:rPr>
              <w:t>Basic average number of common shares outstanding</w:t>
            </w:r>
          </w:p>
        </w:tc>
        <w:tc>
          <w:tcPr>
            <w:tcW w:w="240" w:type="dxa"/>
            <w:vAlign w:val="bottom"/>
          </w:tcPr>
          <w:p>
            <w:pPr>
              <w:spacing w:after="0"/>
              <w:rPr>
                <w:sz w:val="20"/>
                <w:szCs w:val="20"/>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7,284</w:t>
            </w:r>
          </w:p>
        </w:tc>
        <w:tc>
          <w:tcPr>
            <w:tcW w:w="34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7,229</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Diluted income per common share from continuing operations</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49.52</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6.28</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360" w:type="dxa"/>
            <w:vAlign w:val="bottom"/>
          </w:tcPr>
          <w:p>
            <w:pPr>
              <w:ind w:left="280"/>
              <w:spacing w:after="0"/>
              <w:rPr>
                <w:sz w:val="20"/>
                <w:szCs w:val="20"/>
                <w:color w:val="auto"/>
              </w:rPr>
            </w:pPr>
            <w:r>
              <w:rPr>
                <w:rFonts w:ascii="Arial" w:cs="Arial" w:eastAsia="Arial" w:hAnsi="Arial"/>
                <w:sz w:val="16"/>
                <w:szCs w:val="16"/>
                <w:color w:val="auto"/>
              </w:rPr>
              <w:t>Diluted income (loss) per common share from discontinued operations</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50.96</w:t>
            </w:r>
          </w:p>
        </w:tc>
        <w:tc>
          <w:tcPr>
            <w:tcW w:w="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(0.26)</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7"/>
        </w:trPr>
        <w:tc>
          <w:tcPr>
            <w:tcW w:w="8360" w:type="dxa"/>
            <w:vAlign w:val="bottom"/>
          </w:tcPr>
          <w:p>
            <w:pPr>
              <w:ind w:left="280"/>
              <w:spacing w:after="0"/>
              <w:rPr>
                <w:sz w:val="20"/>
                <w:szCs w:val="20"/>
                <w:color w:val="auto"/>
              </w:rPr>
            </w:pPr>
            <w:r>
              <w:rPr>
                <w:rFonts w:ascii="Arial" w:cs="Arial" w:eastAsia="Arial" w:hAnsi="Arial"/>
                <w:sz w:val="16"/>
                <w:szCs w:val="16"/>
                <w:color w:val="auto"/>
              </w:rPr>
              <w:t>Diluted net income per common share</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100.48</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6.02</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360" w:type="dxa"/>
            <w:vAlign w:val="bottom"/>
          </w:tcPr>
          <w:p>
            <w:pPr>
              <w:ind w:left="280"/>
              <w:spacing w:after="0"/>
              <w:rPr>
                <w:sz w:val="20"/>
                <w:szCs w:val="20"/>
                <w:color w:val="auto"/>
              </w:rPr>
            </w:pPr>
            <w:r>
              <w:rPr>
                <w:rFonts w:ascii="Arial" w:cs="Arial" w:eastAsia="Arial" w:hAnsi="Arial"/>
                <w:sz w:val="16"/>
                <w:szCs w:val="16"/>
                <w:color w:val="auto"/>
              </w:rPr>
              <w:t>Diluted average number of common shares outstanding</w:t>
            </w: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7,363</w:t>
            </w:r>
          </w:p>
        </w:tc>
        <w:tc>
          <w:tcPr>
            <w:tcW w:w="3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7,283</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60" w:right="239" w:bottom="1440" w:gutter="0" w:footer="0" w:header="0"/>
        </w:sectPr>
      </w:pPr>
    </w:p>
    <w:bookmarkStart w:id="11" w:name="page12"/>
    <w:bookmarkEnd w:id="11"/>
    <w:p>
      <w:pPr>
        <w:jc w:val="center"/>
        <w:ind w:right="880"/>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ind w:right="880"/>
        <w:spacing w:after="0"/>
        <w:rPr>
          <w:sz w:val="20"/>
          <w:szCs w:val="20"/>
          <w:color w:val="auto"/>
        </w:rPr>
      </w:pPr>
      <w:r>
        <w:rPr>
          <w:rFonts w:ascii="Arial" w:cs="Arial" w:eastAsia="Arial" w:hAnsi="Arial"/>
          <w:sz w:val="18"/>
          <w:szCs w:val="18"/>
          <w:u w:val="single" w:color="auto"/>
          <w:color w:val="auto"/>
        </w:rPr>
        <w:t>CONSOLIDATED STATEMENTS OF OPERATIONS</w:t>
      </w:r>
    </w:p>
    <w:p>
      <w:pPr>
        <w:spacing w:after="0" w:line="50" w:lineRule="exact"/>
        <w:rPr>
          <w:sz w:val="20"/>
          <w:szCs w:val="20"/>
          <w:color w:val="auto"/>
        </w:rPr>
      </w:pPr>
    </w:p>
    <w:p>
      <w:pPr>
        <w:jc w:val="center"/>
        <w:ind w:right="880"/>
        <w:spacing w:after="0"/>
        <w:rPr>
          <w:sz w:val="20"/>
          <w:szCs w:val="20"/>
          <w:color w:val="auto"/>
        </w:rPr>
      </w:pPr>
      <w:r>
        <w:rPr>
          <w:rFonts w:ascii="Arial" w:cs="Arial" w:eastAsia="Arial" w:hAnsi="Arial"/>
          <w:sz w:val="18"/>
          <w:szCs w:val="18"/>
          <w:color w:val="auto"/>
        </w:rPr>
        <w:t>(Unaudited)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60" w:type="dxa"/>
            <w:vAlign w:val="bottom"/>
            <w:gridSpan w:val="3"/>
          </w:tcPr>
          <w:p>
            <w:pPr>
              <w:jc w:val="right"/>
              <w:ind w:right="459"/>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9"/>
                <w:szCs w:val="19"/>
                <w:color w:val="auto"/>
              </w:rPr>
            </w:pPr>
          </w:p>
        </w:tc>
        <w:tc>
          <w:tcPr>
            <w:tcW w:w="900" w:type="dxa"/>
            <w:vAlign w:val="bottom"/>
          </w:tcPr>
          <w:p>
            <w:pPr>
              <w:jc w:val="right"/>
              <w:ind w:righ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2013</w:t>
            </w:r>
          </w:p>
        </w:tc>
        <w:tc>
          <w:tcPr>
            <w:tcW w:w="9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50"/>
        </w:trPr>
        <w:tc>
          <w:tcPr>
            <w:tcW w:w="8160" w:type="dxa"/>
            <w:vAlign w:val="bottom"/>
          </w:tcPr>
          <w:p>
            <w:pPr>
              <w:ind w:left="40"/>
              <w:spacing w:after="0"/>
              <w:rPr>
                <w:sz w:val="20"/>
                <w:szCs w:val="20"/>
                <w:color w:val="auto"/>
              </w:rPr>
            </w:pPr>
            <w:r>
              <w:rPr>
                <w:rFonts w:ascii="Arial" w:cs="Arial" w:eastAsia="Arial" w:hAnsi="Arial"/>
                <w:sz w:val="16"/>
                <w:szCs w:val="16"/>
                <w:color w:val="auto"/>
              </w:rPr>
              <w:t>Operating revenues</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1,719,189</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1,691,096</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70"/>
        </w:trPr>
        <w:tc>
          <w:tcPr>
            <w:tcW w:w="816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1,425,699</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1,424,780</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70"/>
        </w:trPr>
        <w:tc>
          <w:tcPr>
            <w:tcW w:w="8160" w:type="dxa"/>
            <w:vAlign w:val="bottom"/>
          </w:tcPr>
          <w:p>
            <w:pPr>
              <w:ind w:left="40"/>
              <w:spacing w:after="0"/>
              <w:rPr>
                <w:sz w:val="20"/>
                <w:szCs w:val="20"/>
                <w:color w:val="auto"/>
              </w:rPr>
            </w:pPr>
            <w:r>
              <w:rPr>
                <w:rFonts w:ascii="Arial" w:cs="Arial" w:eastAsia="Arial" w:hAnsi="Arial"/>
                <w:sz w:val="16"/>
                <w:szCs w:val="16"/>
                <w:color w:val="auto"/>
              </w:rPr>
              <w:t>Depreciation of property, plant and equipment</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105,262</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115,838</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70"/>
        </w:trPr>
        <w:tc>
          <w:tcPr>
            <w:tcW w:w="8160" w:type="dxa"/>
            <w:vAlign w:val="bottom"/>
          </w:tcPr>
          <w:p>
            <w:pPr>
              <w:ind w:left="40"/>
              <w:spacing w:after="0"/>
              <w:rPr>
                <w:sz w:val="20"/>
                <w:szCs w:val="20"/>
                <w:color w:val="auto"/>
              </w:rPr>
            </w:pPr>
            <w:r>
              <w:rPr>
                <w:rFonts w:ascii="Arial" w:cs="Arial" w:eastAsia="Arial" w:hAnsi="Arial"/>
                <w:sz w:val="16"/>
                <w:szCs w:val="16"/>
                <w:color w:val="auto"/>
              </w:rPr>
              <w:t>Amortization of intangible assets</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6,441</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7,030</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83"/>
        </w:trPr>
        <w:tc>
          <w:tcPr>
            <w:tcW w:w="8160" w:type="dxa"/>
            <w:vAlign w:val="bottom"/>
          </w:tcPr>
          <w:p>
            <w:pPr>
              <w:ind w:left="40"/>
              <w:spacing w:after="0"/>
              <w:rPr>
                <w:sz w:val="20"/>
                <w:szCs w:val="20"/>
                <w:color w:val="auto"/>
              </w:rPr>
            </w:pPr>
            <w:r>
              <w:rPr>
                <w:rFonts w:ascii="Arial" w:cs="Arial" w:eastAsia="Arial" w:hAnsi="Arial"/>
                <w:sz w:val="16"/>
                <w:szCs w:val="16"/>
                <w:color w:val="auto"/>
              </w:rPr>
              <w:t>Impairment of intangible assets</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7,774</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160" w:type="dxa"/>
            <w:vAlign w:val="bottom"/>
          </w:tcPr>
          <w:p>
            <w:pPr>
              <w:ind w:left="40"/>
              <w:spacing w:after="0"/>
              <w:rPr>
                <w:sz w:val="20"/>
                <w:szCs w:val="20"/>
                <w:color w:val="auto"/>
              </w:rPr>
            </w:pPr>
            <w:r>
              <w:rPr>
                <w:rFonts w:ascii="Arial" w:cs="Arial" w:eastAsia="Arial" w:hAnsi="Arial"/>
                <w:sz w:val="16"/>
                <w:szCs w:val="16"/>
                <w:b w:val="1"/>
                <w:bCs w:val="1"/>
                <w:color w:val="auto"/>
              </w:rPr>
              <w:t>Operating income</w:t>
            </w:r>
          </w:p>
        </w:tc>
        <w:tc>
          <w:tcPr>
            <w:tcW w:w="200" w:type="dxa"/>
            <w:vAlign w:val="bottom"/>
          </w:tcPr>
          <w:p>
            <w:pPr>
              <w:spacing w:after="0"/>
              <w:rPr>
                <w:sz w:val="21"/>
                <w:szCs w:val="21"/>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174,013</w:t>
            </w:r>
          </w:p>
        </w:tc>
        <w:tc>
          <w:tcPr>
            <w:tcW w:w="34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143,448</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70"/>
        </w:trPr>
        <w:tc>
          <w:tcPr>
            <w:tcW w:w="8160" w:type="dxa"/>
            <w:vAlign w:val="bottom"/>
          </w:tcPr>
          <w:p>
            <w:pPr>
              <w:ind w:left="280"/>
              <w:spacing w:after="0"/>
              <w:rPr>
                <w:sz w:val="20"/>
                <w:szCs w:val="20"/>
                <w:color w:val="auto"/>
              </w:rPr>
            </w:pPr>
            <w:r>
              <w:rPr>
                <w:rFonts w:ascii="Arial" w:cs="Arial" w:eastAsia="Arial" w:hAnsi="Arial"/>
                <w:sz w:val="16"/>
                <w:szCs w:val="16"/>
                <w:color w:val="auto"/>
              </w:rPr>
              <w:t>Equity in earnings of affiliates, net</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95,555</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7,286</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816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1,240</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1,032</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70"/>
        </w:trPr>
        <w:tc>
          <w:tcPr>
            <w:tcW w:w="816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(17,377)</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(18,008)</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83"/>
        </w:trPr>
        <w:tc>
          <w:tcPr>
            <w:tcW w:w="8160" w:type="dxa"/>
            <w:vAlign w:val="bottom"/>
          </w:tcPr>
          <w:p>
            <w:pPr>
              <w:ind w:left="280"/>
              <w:spacing w:after="0"/>
              <w:rPr>
                <w:sz w:val="20"/>
                <w:szCs w:val="20"/>
                <w:color w:val="auto"/>
              </w:rPr>
            </w:pPr>
            <w:r>
              <w:rPr>
                <w:rFonts w:ascii="Arial" w:cs="Arial" w:eastAsia="Arial" w:hAnsi="Arial"/>
                <w:sz w:val="16"/>
                <w:szCs w:val="16"/>
                <w:color w:val="auto"/>
              </w:rPr>
              <w:t>Other income (expense), net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401,387</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(16,941)</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160" w:type="dxa"/>
            <w:vAlign w:val="bottom"/>
          </w:tcPr>
          <w:p>
            <w:pPr>
              <w:ind w:left="40"/>
              <w:spacing w:after="0"/>
              <w:rPr>
                <w:sz w:val="20"/>
                <w:szCs w:val="20"/>
                <w:color w:val="auto"/>
              </w:rPr>
            </w:pPr>
            <w:r>
              <w:rPr>
                <w:rFonts w:ascii="Arial" w:cs="Arial" w:eastAsia="Arial" w:hAnsi="Arial"/>
                <w:sz w:val="16"/>
                <w:szCs w:val="16"/>
                <w:b w:val="1"/>
                <w:bCs w:val="1"/>
                <w:color w:val="auto"/>
              </w:rPr>
              <w:t>Income from continuing operations before income taxes</w:t>
            </w:r>
          </w:p>
        </w:tc>
        <w:tc>
          <w:tcPr>
            <w:tcW w:w="200" w:type="dxa"/>
            <w:vAlign w:val="bottom"/>
          </w:tcPr>
          <w:p>
            <w:pPr>
              <w:spacing w:after="0"/>
              <w:rPr>
                <w:sz w:val="21"/>
                <w:szCs w:val="21"/>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654,818</w:t>
            </w:r>
          </w:p>
        </w:tc>
        <w:tc>
          <w:tcPr>
            <w:tcW w:w="34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116,817</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160" w:type="dxa"/>
            <w:vAlign w:val="bottom"/>
          </w:tcPr>
          <w:p>
            <w:pPr>
              <w:ind w:left="40"/>
              <w:spacing w:after="0"/>
              <w:rPr>
                <w:sz w:val="20"/>
                <w:szCs w:val="20"/>
                <w:color w:val="auto"/>
              </w:rPr>
            </w:pPr>
            <w:r>
              <w:rPr>
                <w:rFonts w:ascii="Arial" w:cs="Arial" w:eastAsia="Arial" w:hAnsi="Arial"/>
                <w:sz w:val="16"/>
                <w:szCs w:val="16"/>
                <w:b w:val="1"/>
                <w:bCs w:val="1"/>
                <w:color w:val="auto"/>
              </w:rPr>
              <w:t>Provision for income taxes</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154,200</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47,500</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160" w:type="dxa"/>
            <w:vAlign w:val="bottom"/>
          </w:tcPr>
          <w:p>
            <w:pPr>
              <w:ind w:left="40"/>
              <w:spacing w:after="0"/>
              <w:rPr>
                <w:sz w:val="20"/>
                <w:szCs w:val="20"/>
                <w:color w:val="auto"/>
              </w:rPr>
            </w:pPr>
            <w:r>
              <w:rPr>
                <w:rFonts w:ascii="Arial" w:cs="Arial" w:eastAsia="Arial" w:hAnsi="Arial"/>
                <w:sz w:val="16"/>
                <w:szCs w:val="16"/>
                <w:b w:val="1"/>
                <w:bCs w:val="1"/>
                <w:color w:val="auto"/>
              </w:rPr>
              <w:t>Income from continuing operations</w:t>
            </w:r>
          </w:p>
        </w:tc>
        <w:tc>
          <w:tcPr>
            <w:tcW w:w="200" w:type="dxa"/>
            <w:vAlign w:val="bottom"/>
          </w:tcPr>
          <w:p>
            <w:pPr>
              <w:spacing w:after="0"/>
              <w:rPr>
                <w:sz w:val="21"/>
                <w:szCs w:val="21"/>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500,618</w:t>
            </w:r>
          </w:p>
        </w:tc>
        <w:tc>
          <w:tcPr>
            <w:tcW w:w="34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69,317</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160" w:type="dxa"/>
            <w:vAlign w:val="bottom"/>
          </w:tcPr>
          <w:p>
            <w:pPr>
              <w:ind w:left="40"/>
              <w:spacing w:after="0"/>
              <w:rPr>
                <w:sz w:val="20"/>
                <w:szCs w:val="20"/>
                <w:color w:val="auto"/>
              </w:rPr>
            </w:pPr>
            <w:r>
              <w:rPr>
                <w:rFonts w:ascii="Arial" w:cs="Arial" w:eastAsia="Arial" w:hAnsi="Arial"/>
                <w:sz w:val="16"/>
                <w:szCs w:val="16"/>
                <w:b w:val="1"/>
                <w:bCs w:val="1"/>
                <w:color w:val="auto"/>
              </w:rPr>
              <w:t>Income (loss) from discontinued operations, net of tax</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381,537</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(18,924)</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160" w:type="dxa"/>
            <w:vAlign w:val="bottom"/>
          </w:tcPr>
          <w:p>
            <w:pPr>
              <w:ind w:left="40"/>
              <w:spacing w:after="0"/>
              <w:rPr>
                <w:sz w:val="20"/>
                <w:szCs w:val="20"/>
                <w:color w:val="auto"/>
              </w:rPr>
            </w:pPr>
            <w:r>
              <w:rPr>
                <w:rFonts w:ascii="Arial" w:cs="Arial" w:eastAsia="Arial" w:hAnsi="Arial"/>
                <w:sz w:val="16"/>
                <w:szCs w:val="16"/>
                <w:b w:val="1"/>
                <w:bCs w:val="1"/>
                <w:color w:val="auto"/>
              </w:rPr>
              <w:t>Net income</w:t>
            </w:r>
          </w:p>
        </w:tc>
        <w:tc>
          <w:tcPr>
            <w:tcW w:w="200" w:type="dxa"/>
            <w:vAlign w:val="bottom"/>
          </w:tcPr>
          <w:p>
            <w:pPr>
              <w:spacing w:after="0"/>
              <w:rPr>
                <w:sz w:val="21"/>
                <w:szCs w:val="21"/>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882,155</w:t>
            </w:r>
          </w:p>
        </w:tc>
        <w:tc>
          <w:tcPr>
            <w:tcW w:w="34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50,393</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160" w:type="dxa"/>
            <w:vAlign w:val="bottom"/>
          </w:tcPr>
          <w:p>
            <w:pPr>
              <w:ind w:left="40"/>
              <w:spacing w:after="0"/>
              <w:rPr>
                <w:sz w:val="20"/>
                <w:szCs w:val="20"/>
                <w:color w:val="auto"/>
              </w:rPr>
            </w:pPr>
            <w:r>
              <w:rPr>
                <w:rFonts w:ascii="Arial" w:cs="Arial" w:eastAsia="Arial" w:hAnsi="Arial"/>
                <w:sz w:val="16"/>
                <w:szCs w:val="16"/>
                <w:b w:val="1"/>
                <w:bCs w:val="1"/>
                <w:color w:val="auto"/>
              </w:rPr>
              <w:t>Net loss (income) attributable to noncontrolling interests</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718</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16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Graham Holdings Company</w:t>
            </w:r>
          </w:p>
        </w:tc>
        <w:tc>
          <w:tcPr>
            <w:tcW w:w="200" w:type="dxa"/>
            <w:vAlign w:val="bottom"/>
          </w:tcPr>
          <w:p>
            <w:pPr>
              <w:spacing w:after="0"/>
              <w:rPr>
                <w:sz w:val="21"/>
                <w:szCs w:val="21"/>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882,873</w:t>
            </w:r>
          </w:p>
        </w:tc>
        <w:tc>
          <w:tcPr>
            <w:tcW w:w="34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50,043</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160" w:type="dxa"/>
            <w:vAlign w:val="bottom"/>
          </w:tcPr>
          <w:p>
            <w:pPr>
              <w:ind w:left="40"/>
              <w:spacing w:after="0"/>
              <w:rPr>
                <w:sz w:val="20"/>
                <w:szCs w:val="20"/>
                <w:color w:val="auto"/>
              </w:rPr>
            </w:pPr>
            <w:r>
              <w:rPr>
                <w:rFonts w:ascii="Arial" w:cs="Arial" w:eastAsia="Arial" w:hAnsi="Arial"/>
                <w:sz w:val="16"/>
                <w:szCs w:val="16"/>
                <w:b w:val="1"/>
                <w:bCs w:val="1"/>
                <w:color w:val="auto"/>
              </w:rPr>
              <w:t>Redeemable preferred stock dividends</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(638)</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(650)</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64"/>
        </w:trPr>
        <w:tc>
          <w:tcPr>
            <w:tcW w:w="816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882,235</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49,393</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160" w:type="dxa"/>
            <w:vAlign w:val="bottom"/>
            <w:vMerge w:val="restart"/>
          </w:tcPr>
          <w:p>
            <w:pPr>
              <w:ind w:left="180"/>
              <w:spacing w:after="0"/>
              <w:rPr>
                <w:sz w:val="20"/>
                <w:szCs w:val="20"/>
                <w:color w:val="auto"/>
              </w:rPr>
            </w:pPr>
            <w:r>
              <w:rPr>
                <w:rFonts w:ascii="Arial" w:cs="Arial" w:eastAsia="Arial" w:hAnsi="Arial"/>
                <w:sz w:val="16"/>
                <w:szCs w:val="16"/>
                <w:b w:val="1"/>
                <w:bCs w:val="1"/>
                <w:color w:val="auto"/>
              </w:rPr>
              <w:t>Amounts Attributable to Graham Holdings Company Common Stockholders</w:t>
            </w: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1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160" w:type="dxa"/>
            <w:vAlign w:val="bottom"/>
          </w:tcPr>
          <w:p>
            <w:pPr>
              <w:ind w:left="280"/>
              <w:spacing w:after="0"/>
              <w:rPr>
                <w:sz w:val="20"/>
                <w:szCs w:val="20"/>
                <w:color w:val="auto"/>
              </w:rPr>
            </w:pPr>
            <w:r>
              <w:rPr>
                <w:rFonts w:ascii="Arial" w:cs="Arial" w:eastAsia="Arial" w:hAnsi="Arial"/>
                <w:sz w:val="16"/>
                <w:szCs w:val="16"/>
                <w:color w:val="auto"/>
              </w:rPr>
              <w:t>Income from continuing operations</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500,698</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68,317</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160" w:type="dxa"/>
            <w:vAlign w:val="bottom"/>
          </w:tcPr>
          <w:p>
            <w:pPr>
              <w:ind w:left="280"/>
              <w:spacing w:after="0"/>
              <w:rPr>
                <w:sz w:val="20"/>
                <w:szCs w:val="20"/>
                <w:color w:val="auto"/>
              </w:rPr>
            </w:pPr>
            <w:r>
              <w:rPr>
                <w:rFonts w:ascii="Arial" w:cs="Arial" w:eastAsia="Arial" w:hAnsi="Arial"/>
                <w:sz w:val="16"/>
                <w:szCs w:val="16"/>
                <w:color w:val="auto"/>
              </w:rPr>
              <w:t>Income (loss) from discontinued operations, net of tax</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381,537</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(18,924)</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8160" w:type="dxa"/>
            <w:vAlign w:val="bottom"/>
          </w:tcPr>
          <w:p>
            <w:pPr>
              <w:ind w:left="280"/>
              <w:spacing w:after="0"/>
              <w:rPr>
                <w:sz w:val="20"/>
                <w:szCs w:val="20"/>
                <w:color w:val="auto"/>
              </w:rPr>
            </w:pPr>
            <w:r>
              <w:rPr>
                <w:rFonts w:ascii="Arial" w:cs="Arial" w:eastAsia="Arial" w:hAnsi="Arial"/>
                <w:sz w:val="16"/>
                <w:szCs w:val="16"/>
                <w:color w:val="auto"/>
              </w:rPr>
              <w:t>Net income</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882,235</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49,393</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1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1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160" w:type="dxa"/>
            <w:vAlign w:val="bottom"/>
          </w:tcPr>
          <w:p>
            <w:pPr>
              <w:ind w:left="280"/>
              <w:spacing w:after="0"/>
              <w:rPr>
                <w:sz w:val="20"/>
                <w:szCs w:val="20"/>
                <w:color w:val="auto"/>
              </w:rPr>
            </w:pPr>
            <w:r>
              <w:rPr>
                <w:rFonts w:ascii="Arial" w:cs="Arial" w:eastAsia="Arial" w:hAnsi="Arial"/>
                <w:sz w:val="16"/>
                <w:szCs w:val="16"/>
                <w:color w:val="auto"/>
              </w:rPr>
              <w:t>Basic income per common share from continuing operations</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67.35</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9.21</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160" w:type="dxa"/>
            <w:vAlign w:val="bottom"/>
          </w:tcPr>
          <w:p>
            <w:pPr>
              <w:ind w:left="280"/>
              <w:spacing w:after="0"/>
              <w:rPr>
                <w:sz w:val="20"/>
                <w:szCs w:val="20"/>
                <w:color w:val="auto"/>
              </w:rPr>
            </w:pPr>
            <w:r>
              <w:rPr>
                <w:rFonts w:ascii="Arial" w:cs="Arial" w:eastAsia="Arial" w:hAnsi="Arial"/>
                <w:sz w:val="16"/>
                <w:szCs w:val="16"/>
                <w:color w:val="auto"/>
              </w:rPr>
              <w:t>Basic income (loss) per common share from discontinued operations</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51.30</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7"/>
        </w:trPr>
        <w:tc>
          <w:tcPr>
            <w:tcW w:w="8160" w:type="dxa"/>
            <w:vAlign w:val="bottom"/>
          </w:tcPr>
          <w:p>
            <w:pPr>
              <w:ind w:left="280"/>
              <w:spacing w:after="0"/>
              <w:rPr>
                <w:sz w:val="20"/>
                <w:szCs w:val="20"/>
                <w:color w:val="auto"/>
              </w:rPr>
            </w:pPr>
            <w:r>
              <w:rPr>
                <w:rFonts w:ascii="Arial" w:cs="Arial" w:eastAsia="Arial" w:hAnsi="Arial"/>
                <w:sz w:val="16"/>
                <w:szCs w:val="16"/>
                <w:color w:val="auto"/>
              </w:rPr>
              <w:t>Basic net income per common share</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118.65</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6.66</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8160" w:type="dxa"/>
            <w:vAlign w:val="bottom"/>
          </w:tcPr>
          <w:p>
            <w:pPr>
              <w:ind w:left="280"/>
              <w:spacing w:after="0"/>
              <w:rPr>
                <w:sz w:val="20"/>
                <w:szCs w:val="20"/>
                <w:color w:val="auto"/>
              </w:rPr>
            </w:pPr>
            <w:r>
              <w:rPr>
                <w:rFonts w:ascii="Arial" w:cs="Arial" w:eastAsia="Arial" w:hAnsi="Arial"/>
                <w:sz w:val="16"/>
                <w:szCs w:val="16"/>
                <w:color w:val="auto"/>
              </w:rPr>
              <w:t>Basic average number of common shares outstanding</w:t>
            </w:r>
          </w:p>
        </w:tc>
        <w:tc>
          <w:tcPr>
            <w:tcW w:w="200" w:type="dxa"/>
            <w:vAlign w:val="bottom"/>
          </w:tcPr>
          <w:p>
            <w:pPr>
              <w:spacing w:after="0"/>
              <w:rPr>
                <w:sz w:val="20"/>
                <w:szCs w:val="20"/>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7,280</w:t>
            </w:r>
          </w:p>
        </w:tc>
        <w:tc>
          <w:tcPr>
            <w:tcW w:w="3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7,228</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160" w:type="dxa"/>
            <w:vAlign w:val="bottom"/>
          </w:tcPr>
          <w:p>
            <w:pPr>
              <w:ind w:left="280"/>
              <w:spacing w:after="0"/>
              <w:rPr>
                <w:sz w:val="20"/>
                <w:szCs w:val="20"/>
                <w:color w:val="auto"/>
              </w:rPr>
            </w:pPr>
            <w:r>
              <w:rPr>
                <w:rFonts w:ascii="Arial" w:cs="Arial" w:eastAsia="Arial" w:hAnsi="Arial"/>
                <w:sz w:val="16"/>
                <w:szCs w:val="16"/>
                <w:color w:val="auto"/>
              </w:rPr>
              <w:t>Diluted income per common share from continuing operations</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67.13</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9.21</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160" w:type="dxa"/>
            <w:vAlign w:val="bottom"/>
          </w:tcPr>
          <w:p>
            <w:pPr>
              <w:ind w:left="280"/>
              <w:spacing w:after="0"/>
              <w:rPr>
                <w:sz w:val="20"/>
                <w:szCs w:val="20"/>
                <w:color w:val="auto"/>
              </w:rPr>
            </w:pPr>
            <w:r>
              <w:rPr>
                <w:rFonts w:ascii="Arial" w:cs="Arial" w:eastAsia="Arial" w:hAnsi="Arial"/>
                <w:sz w:val="16"/>
                <w:szCs w:val="16"/>
                <w:color w:val="auto"/>
              </w:rPr>
              <w:t>Diluted income (loss) per common share from discontinued operations</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51.13</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7"/>
        </w:trPr>
        <w:tc>
          <w:tcPr>
            <w:tcW w:w="8160" w:type="dxa"/>
            <w:vAlign w:val="bottom"/>
          </w:tcPr>
          <w:p>
            <w:pPr>
              <w:ind w:left="280"/>
              <w:spacing w:after="0"/>
              <w:rPr>
                <w:sz w:val="20"/>
                <w:szCs w:val="20"/>
                <w:color w:val="auto"/>
              </w:rPr>
            </w:pPr>
            <w:r>
              <w:rPr>
                <w:rFonts w:ascii="Arial" w:cs="Arial" w:eastAsia="Arial" w:hAnsi="Arial"/>
                <w:sz w:val="16"/>
                <w:szCs w:val="16"/>
                <w:color w:val="auto"/>
              </w:rPr>
              <w:t>Diluted net income per common share</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118.26</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6.66</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160" w:type="dxa"/>
            <w:vAlign w:val="bottom"/>
          </w:tcPr>
          <w:p>
            <w:pPr>
              <w:ind w:left="280"/>
              <w:spacing w:after="0"/>
              <w:rPr>
                <w:sz w:val="20"/>
                <w:szCs w:val="20"/>
                <w:color w:val="auto"/>
              </w:rPr>
            </w:pPr>
            <w:r>
              <w:rPr>
                <w:rFonts w:ascii="Arial" w:cs="Arial" w:eastAsia="Arial" w:hAnsi="Arial"/>
                <w:sz w:val="16"/>
                <w:szCs w:val="16"/>
                <w:color w:val="auto"/>
              </w:rPr>
              <w:t>Diluted average number of common shares outstanding</w:t>
            </w: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7,361</w:t>
            </w:r>
          </w:p>
        </w:tc>
        <w:tc>
          <w:tcPr>
            <w:tcW w:w="3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7,276</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6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BUSINESS SEGMENT INFORMATION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0" w:type="dxa"/>
            <w:vAlign w:val="bottom"/>
            <w:gridSpan w:val="3"/>
          </w:tcPr>
          <w:p>
            <w:pPr>
              <w:jc w:val="right"/>
              <w:ind w:right="319"/>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60" w:type="dxa"/>
            <w:vAlign w:val="bottom"/>
            <w:gridSpan w:val="3"/>
          </w:tcPr>
          <w:p>
            <w:pPr>
              <w:jc w:val="right"/>
              <w:ind w:right="459"/>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6"/>
                <w:szCs w:val="16"/>
                <w:color w:val="auto"/>
              </w:rPr>
            </w:pPr>
          </w:p>
        </w:tc>
      </w:tr>
      <w:tr>
        <w:trPr>
          <w:trHeight w:val="276"/>
        </w:trPr>
        <w:tc>
          <w:tcPr>
            <w:tcW w:w="49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24"/>
                <w:szCs w:val="24"/>
                <w:color w:val="auto"/>
              </w:rPr>
            </w:pPr>
          </w:p>
        </w:tc>
        <w:tc>
          <w:tcPr>
            <w:tcW w:w="1000" w:type="dxa"/>
            <w:vAlign w:val="bottom"/>
          </w:tcPr>
          <w:p>
            <w:pPr>
              <w:jc w:val="right"/>
              <w:ind w:right="359"/>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24"/>
                <w:szCs w:val="24"/>
                <w:color w:val="auto"/>
              </w:rPr>
            </w:pPr>
          </w:p>
        </w:tc>
        <w:tc>
          <w:tcPr>
            <w:tcW w:w="900" w:type="dxa"/>
            <w:vAlign w:val="bottom"/>
          </w:tcPr>
          <w:p>
            <w:pPr>
              <w:jc w:val="right"/>
              <w:ind w:right="239"/>
              <w:spacing w:after="0"/>
              <w:rPr>
                <w:sz w:val="20"/>
                <w:szCs w:val="20"/>
                <w:color w:val="auto"/>
              </w:rPr>
            </w:pPr>
            <w:r>
              <w:rPr>
                <w:rFonts w:ascii="Arial" w:cs="Arial" w:eastAsia="Arial" w:hAnsi="Arial"/>
                <w:sz w:val="14"/>
                <w:szCs w:val="14"/>
                <w:color w:val="auto"/>
              </w:rPr>
              <w:t>%</w:t>
            </w:r>
          </w:p>
        </w:tc>
      </w:tr>
      <w:tr>
        <w:trPr>
          <w:trHeight w:val="264"/>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color w:val="auto"/>
              </w:rPr>
              <w:t>2013</w:t>
            </w:r>
          </w:p>
        </w:tc>
        <w:tc>
          <w:tcPr>
            <w:tcW w:w="10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color w:val="auto"/>
              </w:rPr>
              <w:t>Change</w:t>
            </w: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2013</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color w:val="auto"/>
              </w:rPr>
              <w:t>Change</w:t>
            </w:r>
          </w:p>
        </w:tc>
      </w:tr>
      <w:tr>
        <w:trPr>
          <w:trHeight w:val="250"/>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547,181</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548,230</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0</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1,073,355</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1,076,045</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0</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Cable</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200,829</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204,550</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404,750</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404,688</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0</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88,297</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80,228</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10</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173,948</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149,130</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17</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42,351</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37,572</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13</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67,264</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61,386</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10</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3"/>
        </w:trPr>
        <w:tc>
          <w:tcPr>
            <w:tcW w:w="492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(30)</w:t>
            </w: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(128)</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878,628</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870,504</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1,719,189</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1,691,096</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w:t>
            </w:r>
          </w:p>
        </w:tc>
      </w:tr>
      <w:tr>
        <w:trPr>
          <w:trHeight w:val="251"/>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Operating Expenses</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536,620</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524,504</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2</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1,060,272</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1,056,375</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0</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Cable</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154,049</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159,840</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316,808</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323,365</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44,209</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40,993</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8</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85,474</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80,784</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49,346</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43,540</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13</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85,006</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75,896</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12</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40" w:type="dxa"/>
            <w:vAlign w:val="bottom"/>
          </w:tcPr>
          <w:p>
            <w:pPr>
              <w:spacing w:after="0"/>
              <w:rPr>
                <w:sz w:val="23"/>
                <w:szCs w:val="23"/>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(50)</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5,402</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(2,256)</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11,381</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3"/>
        </w:trPr>
        <w:tc>
          <w:tcPr>
            <w:tcW w:w="492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(30)</w:t>
            </w: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(128)</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784,144</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774,203</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1,545,176</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1,547,648</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0</w:t>
            </w:r>
          </w:p>
        </w:tc>
      </w:tr>
      <w:tr>
        <w:trPr>
          <w:trHeight w:val="251"/>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10,561</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23,726</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(55)</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13,083</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19,670</w:t>
            </w:r>
          </w:p>
        </w:tc>
        <w:tc>
          <w:tcPr>
            <w:tcW w:w="90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Cable</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46,780</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44,710</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5</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87,942</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81,323</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8</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44,088</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39,235</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12</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88,474</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68,346</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29</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23"/>
                <w:szCs w:val="23"/>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(6,995)</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(5,968)</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(17)</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(17,742)</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(14,510)</w:t>
            </w:r>
          </w:p>
        </w:tc>
        <w:tc>
          <w:tcPr>
            <w:tcW w:w="90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83"/>
        </w:trPr>
        <w:tc>
          <w:tcPr>
            <w:tcW w:w="49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50</w:t>
            </w: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(5,402)</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2,256</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(11,381)</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94,484</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96,301</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174,013</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143,448</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21</w:t>
            </w:r>
          </w:p>
        </w:tc>
      </w:tr>
      <w:tr>
        <w:trPr>
          <w:trHeight w:val="251"/>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Depreciation</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15,400</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20,064</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(23)</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31,844</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42,652</w:t>
            </w:r>
          </w:p>
        </w:tc>
        <w:tc>
          <w:tcPr>
            <w:tcW w:w="90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Cable</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33,788</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33,964</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67,575</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67,697</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0</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2,039</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2,214</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(8)</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4,033</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4,423</w:t>
            </w: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780</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577</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35</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1,300</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1,006</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29</w:t>
            </w:r>
          </w:p>
        </w:tc>
      </w:tr>
      <w:tr>
        <w:trPr>
          <w:trHeight w:val="283"/>
        </w:trPr>
        <w:tc>
          <w:tcPr>
            <w:tcW w:w="49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10</w:t>
            </w: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60</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(83)</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510</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52,017</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56,879</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(9)</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105,262</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115,838</w:t>
            </w: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51"/>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Amortization and Impairment of Intangible Assets</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9,937</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2,363</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12,225</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4,881</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Cable</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59</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57</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94</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107</w:t>
            </w:r>
          </w:p>
        </w:tc>
        <w:tc>
          <w:tcPr>
            <w:tcW w:w="9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1,138</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893</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27</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1,896</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2,042</w:t>
            </w:r>
          </w:p>
        </w:tc>
        <w:tc>
          <w:tcPr>
            <w:tcW w:w="9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83"/>
        </w:trPr>
        <w:tc>
          <w:tcPr>
            <w:tcW w:w="49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11,134</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3,313</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14,215</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7,030</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1"/>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Pension Expense (Credit)</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3,566</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4,231</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(16)</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7,709</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8,337</w:t>
            </w: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Cable</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888</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913</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1,752</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1,795</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358</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1,250</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(71)</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678</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2,594</w:t>
            </w:r>
          </w:p>
        </w:tc>
        <w:tc>
          <w:tcPr>
            <w:tcW w:w="90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202</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134</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51</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366</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250</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46</w:t>
            </w:r>
          </w:p>
        </w:tc>
      </w:tr>
      <w:tr>
        <w:trPr>
          <w:trHeight w:val="283"/>
        </w:trPr>
        <w:tc>
          <w:tcPr>
            <w:tcW w:w="49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(22,933)</w:t>
            </w: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(9,129)</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(40,612)</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(18,250)</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(17,919)</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(2,601)</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(30,107)</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(5,274)</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ectPr>
          <w:pgSz w:w="11900" w:h="16838" w:orient="portrait"/>
          <w:cols w:equalWidth="0" w:num="1">
            <w:col w:w="11420"/>
          </w:cols>
          <w:pgMar w:left="240" w:top="760" w:right="239" w:bottom="991" w:gutter="0" w:footer="0" w:header="0"/>
        </w:sectPr>
      </w:pPr>
    </w:p>
    <w:p>
      <w:pPr>
        <w:spacing w:after="0" w:line="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60" w:right="239" w:bottom="991"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EDUCATION DIVISION INFORMATION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0" w:type="dxa"/>
            <w:vAlign w:val="bottom"/>
            <w:gridSpan w:val="3"/>
          </w:tcPr>
          <w:p>
            <w:pPr>
              <w:jc w:val="right"/>
              <w:ind w:right="319"/>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60" w:type="dxa"/>
            <w:vAlign w:val="bottom"/>
            <w:gridSpan w:val="3"/>
          </w:tcPr>
          <w:p>
            <w:pPr>
              <w:jc w:val="right"/>
              <w:ind w:right="459"/>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6"/>
                <w:szCs w:val="16"/>
                <w:color w:val="auto"/>
              </w:rPr>
            </w:pPr>
          </w:p>
        </w:tc>
      </w:tr>
      <w:tr>
        <w:trPr>
          <w:trHeight w:val="276"/>
        </w:trPr>
        <w:tc>
          <w:tcPr>
            <w:tcW w:w="49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24"/>
                <w:szCs w:val="24"/>
                <w:color w:val="auto"/>
              </w:rPr>
            </w:pPr>
          </w:p>
        </w:tc>
        <w:tc>
          <w:tcPr>
            <w:tcW w:w="1000" w:type="dxa"/>
            <w:vAlign w:val="bottom"/>
          </w:tcPr>
          <w:p>
            <w:pPr>
              <w:jc w:val="right"/>
              <w:ind w:right="3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24"/>
                <w:szCs w:val="24"/>
                <w:color w:val="auto"/>
              </w:rPr>
            </w:pPr>
          </w:p>
        </w:tc>
        <w:tc>
          <w:tcPr>
            <w:tcW w:w="900" w:type="dxa"/>
            <w:vAlign w:val="bottom"/>
          </w:tcPr>
          <w:p>
            <w:pPr>
              <w:jc w:val="right"/>
              <w:ind w:right="240"/>
              <w:spacing w:after="0"/>
              <w:rPr>
                <w:sz w:val="20"/>
                <w:szCs w:val="20"/>
                <w:color w:val="auto"/>
              </w:rPr>
            </w:pPr>
            <w:r>
              <w:rPr>
                <w:rFonts w:ascii="Arial" w:cs="Arial" w:eastAsia="Arial" w:hAnsi="Arial"/>
                <w:sz w:val="14"/>
                <w:szCs w:val="14"/>
                <w:color w:val="auto"/>
              </w:rPr>
              <w:t>%</w:t>
            </w:r>
          </w:p>
        </w:tc>
      </w:tr>
      <w:tr>
        <w:trPr>
          <w:trHeight w:val="264"/>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color w:val="auto"/>
              </w:rPr>
              <w:t>2013</w:t>
            </w:r>
          </w:p>
        </w:tc>
        <w:tc>
          <w:tcPr>
            <w:tcW w:w="100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color w:val="auto"/>
              </w:rPr>
              <w:t>Change</w:t>
            </w: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2013</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Change</w:t>
            </w:r>
          </w:p>
        </w:tc>
      </w:tr>
      <w:tr>
        <w:trPr>
          <w:trHeight w:val="250"/>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251,936</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273,092</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(8)</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505,715</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544,952</w:t>
            </w:r>
          </w:p>
        </w:tc>
        <w:tc>
          <w:tcPr>
            <w:tcW w:w="9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81,098</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85,690</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(5)</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148,902</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154,633</w:t>
            </w: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213,262</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187,968</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13</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416,129</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372,781</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12</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1,385</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1,669</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(17)</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3,399</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4,273</w:t>
            </w:r>
          </w:p>
        </w:tc>
        <w:tc>
          <w:tcPr>
            <w:tcW w:w="90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83"/>
        </w:trPr>
        <w:tc>
          <w:tcPr>
            <w:tcW w:w="492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(500)</w:t>
            </w: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(790)</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(594)</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547,181</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548,230</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0</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1,073,355</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1,076,045</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0</w:t>
            </w:r>
          </w:p>
        </w:tc>
      </w:tr>
      <w:tr>
        <w:trPr>
          <w:trHeight w:val="251"/>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Operating Expenses</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230,984</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250,558</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(8)</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471,619</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517,317</w:t>
            </w: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85,002</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77,859</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9</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159,434</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151,147</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5</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195,302</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181,478</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8</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387,287</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359,894</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8</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15,987</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12,529</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28</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30,633</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23,955</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28</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2,163</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2,363</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(8)</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4,451</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4,881</w:t>
            </w: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Impairment of intangible assets</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7,774</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7,774</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3"/>
        </w:trPr>
        <w:tc>
          <w:tcPr>
            <w:tcW w:w="492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(592)</w:t>
            </w: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(926)</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(819)</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536,620</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524,504</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2</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1,060,272</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1,056,375</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0</w:t>
            </w:r>
          </w:p>
        </w:tc>
      </w:tr>
      <w:tr>
        <w:trPr>
          <w:trHeight w:val="251"/>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20,952</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22,534</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(7)</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34,096</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27,635</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23</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40" w:type="dxa"/>
            <w:vAlign w:val="bottom"/>
          </w:tcPr>
          <w:p>
            <w:pPr>
              <w:spacing w:after="0"/>
              <w:rPr>
                <w:sz w:val="23"/>
                <w:szCs w:val="23"/>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(3,904)</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7,831</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(10,532)</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3,486</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17,960</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6,490</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28,842</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12,887</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23"/>
                <w:szCs w:val="23"/>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(14,602)</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(10,860)</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(34)</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(27,234)</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(19,682)</w:t>
            </w:r>
          </w:p>
        </w:tc>
        <w:tc>
          <w:tcPr>
            <w:tcW w:w="90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tcPr>
          <w:p>
            <w:pPr>
              <w:spacing w:after="0"/>
              <w:rPr>
                <w:sz w:val="23"/>
                <w:szCs w:val="23"/>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(2,163)</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(2,363)</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8</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(4,451)</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(4,881)</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9</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Impairment of intangible assets</w:t>
            </w:r>
          </w:p>
        </w:tc>
        <w:tc>
          <w:tcPr>
            <w:tcW w:w="240" w:type="dxa"/>
            <w:vAlign w:val="bottom"/>
          </w:tcPr>
          <w:p>
            <w:pPr>
              <w:spacing w:after="0"/>
              <w:rPr>
                <w:sz w:val="23"/>
                <w:szCs w:val="23"/>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(7,774)</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(7,774)</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3"/>
        </w:trPr>
        <w:tc>
          <w:tcPr>
            <w:tcW w:w="492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92</w:t>
            </w: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94</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136</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225</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10,561</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23,726</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(55)</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13,083</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19,670</w:t>
            </w:r>
          </w:p>
        </w:tc>
        <w:tc>
          <w:tcPr>
            <w:tcW w:w="90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51"/>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Depreciation</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7,080</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10,741</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(34)</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14,820</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24,180</w:t>
            </w:r>
          </w:p>
        </w:tc>
        <w:tc>
          <w:tcPr>
            <w:tcW w:w="90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3,072</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4,866</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(37)</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6,856</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9,624</w:t>
            </w:r>
          </w:p>
        </w:tc>
        <w:tc>
          <w:tcPr>
            <w:tcW w:w="90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4,944</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4,116</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20</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9,652</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8,112</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19</w:t>
            </w:r>
          </w:p>
        </w:tc>
      </w:tr>
      <w:tr>
        <w:trPr>
          <w:trHeight w:val="283"/>
        </w:trPr>
        <w:tc>
          <w:tcPr>
            <w:tcW w:w="49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304</w:t>
            </w: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341</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(11)</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516</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736</w:t>
            </w:r>
          </w:p>
        </w:tc>
        <w:tc>
          <w:tcPr>
            <w:tcW w:w="90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64"/>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15,400</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20,064</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(23)</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31,844</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42,652</w:t>
            </w:r>
          </w:p>
        </w:tc>
        <w:tc>
          <w:tcPr>
            <w:tcW w:w="90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51"/>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Pension Expense</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2,629</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2,807</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(6)</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5,257</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5,614</w:t>
            </w: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722</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641</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13</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1,444</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1,281</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13</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89</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87</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178</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174</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w:t>
            </w:r>
          </w:p>
        </w:tc>
      </w:tr>
      <w:tr>
        <w:trPr>
          <w:trHeight w:val="283"/>
        </w:trPr>
        <w:tc>
          <w:tcPr>
            <w:tcW w:w="49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126</w:t>
            </w: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696</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(82)</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830</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1,268</w:t>
            </w:r>
          </w:p>
        </w:tc>
        <w:tc>
          <w:tcPr>
            <w:tcW w:w="90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64"/>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3,566</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4,231</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(16)</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7,709</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8,337</w:t>
            </w: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r>
    </w:tbl>
    <w:p>
      <w:pPr>
        <w:spacing w:after="0" w:line="200" w:lineRule="exact"/>
        <w:rPr>
          <w:sz w:val="20"/>
          <w:szCs w:val="20"/>
          <w:color w:val="auto"/>
        </w:rPr>
      </w:pPr>
    </w:p>
    <w:p>
      <w:pPr>
        <w:sectPr>
          <w:pgSz w:w="11900" w:h="16838" w:orient="portrait"/>
          <w:cols w:equalWidth="0" w:num="1">
            <w:col w:w="11420"/>
          </w:cols>
          <w:pgMar w:left="240" w:top="76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60" w:right="2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color w:val="auto"/>
        </w:rPr>
        <w:t>NON-GAAP FINANCIAL INFORMATION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GRAHAM HOLDINGS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71"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In addition to the results reported in accordance with accounting principles generally accepted in the United States (GAAP) included in this press release, the Company has provided information regarding income from continuing operations, excluding certain items described below, reconciled to the most directly comparable GAAP measures. Management believes these non-GAAP measures, when read in conjunction with the Company‘s GAAP financials, provide useful information to investors by offering:</w:t>
      </w:r>
    </w:p>
    <w:p>
      <w:pPr>
        <w:spacing w:after="0" w:line="13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to make meaningful period-to-period comparisons of the Company’s ongoing results;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to identify trends in the Company’s underlying business;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better understanding of how management plans and measures the Company’s underlying business.</w:t>
      </w:r>
    </w:p>
    <w:p>
      <w:pPr>
        <w:spacing w:after="0" w:line="144" w:lineRule="exact"/>
        <w:rPr>
          <w:sz w:val="20"/>
          <w:szCs w:val="20"/>
          <w:color w:val="auto"/>
        </w:rPr>
      </w:pPr>
    </w:p>
    <w:p>
      <w:pPr>
        <w:ind w:right="140"/>
        <w:spacing w:after="0" w:line="229" w:lineRule="auto"/>
        <w:rPr>
          <w:sz w:val="20"/>
          <w:szCs w:val="20"/>
          <w:color w:val="auto"/>
        </w:rPr>
      </w:pPr>
      <w:r>
        <w:rPr>
          <w:rFonts w:ascii="Arial" w:cs="Arial" w:eastAsia="Arial" w:hAnsi="Arial"/>
          <w:sz w:val="18"/>
          <w:szCs w:val="18"/>
          <w:color w:val="auto"/>
        </w:rPr>
        <w:t>Income from continuing operations, excluding certain items, should not be considered substitutes or alternatives to computations calculated in accordance with and required by GAAP. These non-GAAP financial measures should be read only in conjunction with financial information presented on a GAAP basis.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non-GAAP financial measures to the most directly comparable GAAP measures: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19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70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24"/>
                <w:szCs w:val="24"/>
                <w:color w:val="auto"/>
              </w:rPr>
            </w:pPr>
          </w:p>
        </w:tc>
      </w:tr>
      <w:tr>
        <w:trPr>
          <w:trHeight w:val="264"/>
        </w:trPr>
        <w:tc>
          <w:tcPr>
            <w:tcW w:w="7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color w:val="auto"/>
              </w:rPr>
              <w:t>2013</w:t>
            </w: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color w:val="auto"/>
              </w:rPr>
              <w:t>2013</w:t>
            </w:r>
          </w:p>
        </w:tc>
      </w:tr>
      <w:tr>
        <w:trPr>
          <w:trHeight w:val="250"/>
        </w:trPr>
        <w:tc>
          <w:tcPr>
            <w:tcW w:w="7000" w:type="dxa"/>
            <w:vAlign w:val="bottom"/>
          </w:tcPr>
          <w:p>
            <w:pPr>
              <w:ind w:left="40"/>
              <w:spacing w:after="0"/>
              <w:rPr>
                <w:sz w:val="20"/>
                <w:szCs w:val="20"/>
                <w:color w:val="auto"/>
              </w:rPr>
            </w:pPr>
            <w:r>
              <w:rPr>
                <w:rFonts w:ascii="Arial" w:cs="Arial" w:eastAsia="Arial" w:hAnsi="Arial"/>
                <w:sz w:val="16"/>
                <w:szCs w:val="16"/>
                <w:b w:val="1"/>
                <w:bCs w:val="1"/>
                <w:color w:val="auto"/>
              </w:rPr>
              <w:t>Amounts attributable to Graham Holdings Company common stockholders</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83"/>
        </w:trPr>
        <w:tc>
          <w:tcPr>
            <w:tcW w:w="7000" w:type="dxa"/>
            <w:vAlign w:val="bottom"/>
          </w:tcPr>
          <w:p>
            <w:pPr>
              <w:ind w:left="40"/>
              <w:spacing w:after="0"/>
              <w:rPr>
                <w:sz w:val="20"/>
                <w:szCs w:val="20"/>
                <w:color w:val="auto"/>
              </w:rPr>
            </w:pPr>
            <w:r>
              <w:rPr>
                <w:rFonts w:ascii="Arial" w:cs="Arial" w:eastAsia="Arial" w:hAnsi="Arial"/>
                <w:sz w:val="16"/>
                <w:szCs w:val="16"/>
                <w:color w:val="auto"/>
              </w:rPr>
              <w:t>Income from continuing operations, as reported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369,672</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46,626</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500,698</w:t>
            </w:r>
          </w:p>
        </w:tc>
        <w:tc>
          <w:tcPr>
            <w:tcW w:w="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68,317</w:t>
            </w:r>
          </w:p>
        </w:tc>
      </w:tr>
      <w:tr>
        <w:trPr>
          <w:trHeight w:val="251"/>
        </w:trPr>
        <w:tc>
          <w:tcPr>
            <w:tcW w:w="7000" w:type="dxa"/>
            <w:vAlign w:val="bottom"/>
          </w:tcPr>
          <w:p>
            <w:pPr>
              <w:ind w:left="40"/>
              <w:spacing w:after="0"/>
              <w:rPr>
                <w:sz w:val="20"/>
                <w:szCs w:val="20"/>
                <w:color w:val="auto"/>
              </w:rPr>
            </w:pPr>
            <w:r>
              <w:rPr>
                <w:rFonts w:ascii="Arial" w:cs="Arial" w:eastAsia="Arial" w:hAnsi="Arial"/>
                <w:sz w:val="16"/>
                <w:szCs w:val="16"/>
                <w:color w:val="auto"/>
              </w:rPr>
              <w:t>Adjustments:</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0"/>
        </w:trPr>
        <w:tc>
          <w:tcPr>
            <w:tcW w:w="7000" w:type="dxa"/>
            <w:vAlign w:val="bottom"/>
          </w:tcPr>
          <w:p>
            <w:pPr>
              <w:ind w:left="280"/>
              <w:spacing w:after="0"/>
              <w:rPr>
                <w:sz w:val="20"/>
                <w:szCs w:val="20"/>
                <w:color w:val="auto"/>
              </w:rPr>
            </w:pPr>
            <w:r>
              <w:rPr>
                <w:rFonts w:ascii="Arial" w:cs="Arial" w:eastAsia="Arial" w:hAnsi="Arial"/>
                <w:sz w:val="16"/>
                <w:szCs w:val="16"/>
                <w:color w:val="auto"/>
              </w:rPr>
              <w:t>Early retirement, restructuring charges and software asset write-offs</w:t>
            </w:r>
          </w:p>
        </w:tc>
        <w:tc>
          <w:tcPr>
            <w:tcW w:w="180" w:type="dxa"/>
            <w:vAlign w:val="bottom"/>
          </w:tcPr>
          <w:p>
            <w:pPr>
              <w:spacing w:after="0"/>
              <w:rPr>
                <w:sz w:val="23"/>
                <w:szCs w:val="23"/>
                <w:color w:val="auto"/>
              </w:rPr>
            </w:pPr>
          </w:p>
        </w:tc>
        <w:tc>
          <w:tcPr>
            <w:tcW w:w="880" w:type="dxa"/>
            <w:vAlign w:val="bottom"/>
          </w:tcPr>
          <w:p>
            <w:pPr>
              <w:jc w:val="right"/>
              <w:ind w:right="81"/>
              <w:spacing w:after="0"/>
              <w:rPr>
                <w:sz w:val="20"/>
                <w:szCs w:val="20"/>
                <w:color w:val="auto"/>
              </w:rPr>
            </w:pPr>
            <w:r>
              <w:rPr>
                <w:rFonts w:ascii="Arial" w:cs="Arial" w:eastAsia="Arial" w:hAnsi="Arial"/>
                <w:sz w:val="16"/>
                <w:szCs w:val="16"/>
                <w:b w:val="1"/>
                <w:bCs w:val="1"/>
                <w:color w:val="auto"/>
              </w:rPr>
              <w:t>6,725</w:t>
            </w:r>
          </w:p>
        </w:tc>
        <w:tc>
          <w:tcPr>
            <w:tcW w:w="360" w:type="dxa"/>
            <w:vAlign w:val="bottom"/>
          </w:tcPr>
          <w:p>
            <w:pPr>
              <w:spacing w:after="0"/>
              <w:rPr>
                <w:sz w:val="23"/>
                <w:szCs w:val="23"/>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3,949</w:t>
            </w:r>
          </w:p>
        </w:tc>
        <w:tc>
          <w:tcPr>
            <w:tcW w:w="300" w:type="dxa"/>
            <w:vAlign w:val="bottom"/>
          </w:tcPr>
          <w:p>
            <w:pPr>
              <w:spacing w:after="0"/>
              <w:rPr>
                <w:sz w:val="23"/>
                <w:szCs w:val="23"/>
                <w:color w:val="auto"/>
              </w:rPr>
            </w:pPr>
          </w:p>
        </w:tc>
        <w:tc>
          <w:tcPr>
            <w:tcW w:w="860" w:type="dxa"/>
            <w:vAlign w:val="bottom"/>
          </w:tcPr>
          <w:p>
            <w:pPr>
              <w:jc w:val="right"/>
              <w:ind w:right="61"/>
              <w:spacing w:after="0"/>
              <w:rPr>
                <w:sz w:val="20"/>
                <w:szCs w:val="20"/>
                <w:color w:val="auto"/>
              </w:rPr>
            </w:pPr>
            <w:r>
              <w:rPr>
                <w:rFonts w:ascii="Arial" w:cs="Arial" w:eastAsia="Arial" w:hAnsi="Arial"/>
                <w:sz w:val="16"/>
                <w:szCs w:val="16"/>
                <w:b w:val="1"/>
                <w:bCs w:val="1"/>
                <w:color w:val="auto"/>
              </w:rPr>
              <w:t>9,603</w:t>
            </w:r>
          </w:p>
        </w:tc>
        <w:tc>
          <w:tcPr>
            <w:tcW w:w="360" w:type="dxa"/>
            <w:vAlign w:val="bottom"/>
          </w:tcPr>
          <w:p>
            <w:pPr>
              <w:spacing w:after="0"/>
              <w:rPr>
                <w:sz w:val="23"/>
                <w:szCs w:val="23"/>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10,090</w:t>
            </w:r>
          </w:p>
        </w:tc>
      </w:tr>
      <w:tr>
        <w:trPr>
          <w:trHeight w:val="270"/>
        </w:trPr>
        <w:tc>
          <w:tcPr>
            <w:tcW w:w="7000" w:type="dxa"/>
            <w:vAlign w:val="bottom"/>
          </w:tcPr>
          <w:p>
            <w:pPr>
              <w:ind w:left="280"/>
              <w:spacing w:after="0"/>
              <w:rPr>
                <w:sz w:val="20"/>
                <w:szCs w:val="20"/>
                <w:color w:val="auto"/>
              </w:rPr>
            </w:pPr>
            <w:r>
              <w:rPr>
                <w:rFonts w:ascii="Arial" w:cs="Arial" w:eastAsia="Arial" w:hAnsi="Arial"/>
                <w:sz w:val="16"/>
                <w:szCs w:val="16"/>
                <w:color w:val="auto"/>
              </w:rPr>
              <w:t>Intangible asset impairment charge</w:t>
            </w:r>
          </w:p>
        </w:tc>
        <w:tc>
          <w:tcPr>
            <w:tcW w:w="180" w:type="dxa"/>
            <w:vAlign w:val="bottom"/>
          </w:tcPr>
          <w:p>
            <w:pPr>
              <w:spacing w:after="0"/>
              <w:rPr>
                <w:sz w:val="23"/>
                <w:szCs w:val="23"/>
                <w:color w:val="auto"/>
              </w:rPr>
            </w:pPr>
          </w:p>
        </w:tc>
        <w:tc>
          <w:tcPr>
            <w:tcW w:w="880" w:type="dxa"/>
            <w:vAlign w:val="bottom"/>
          </w:tcPr>
          <w:p>
            <w:pPr>
              <w:jc w:val="right"/>
              <w:ind w:right="81"/>
              <w:spacing w:after="0"/>
              <w:rPr>
                <w:sz w:val="20"/>
                <w:szCs w:val="20"/>
                <w:color w:val="auto"/>
              </w:rPr>
            </w:pPr>
            <w:r>
              <w:rPr>
                <w:rFonts w:ascii="Arial" w:cs="Arial" w:eastAsia="Arial" w:hAnsi="Arial"/>
                <w:sz w:val="16"/>
                <w:szCs w:val="16"/>
                <w:b w:val="1"/>
                <w:bCs w:val="1"/>
                <w:color w:val="auto"/>
              </w:rPr>
              <w:t>4,983</w:t>
            </w:r>
          </w:p>
        </w:tc>
        <w:tc>
          <w:tcPr>
            <w:tcW w:w="360" w:type="dxa"/>
            <w:vAlign w:val="bottom"/>
          </w:tcPr>
          <w:p>
            <w:pPr>
              <w:spacing w:after="0"/>
              <w:rPr>
                <w:sz w:val="23"/>
                <w:szCs w:val="23"/>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860" w:type="dxa"/>
            <w:vAlign w:val="bottom"/>
          </w:tcPr>
          <w:p>
            <w:pPr>
              <w:jc w:val="right"/>
              <w:ind w:right="61"/>
              <w:spacing w:after="0"/>
              <w:rPr>
                <w:sz w:val="20"/>
                <w:szCs w:val="20"/>
                <w:color w:val="auto"/>
              </w:rPr>
            </w:pPr>
            <w:r>
              <w:rPr>
                <w:rFonts w:ascii="Arial" w:cs="Arial" w:eastAsia="Arial" w:hAnsi="Arial"/>
                <w:sz w:val="16"/>
                <w:szCs w:val="16"/>
                <w:b w:val="1"/>
                <w:bCs w:val="1"/>
                <w:color w:val="auto"/>
              </w:rPr>
              <w:t>4,983</w:t>
            </w:r>
          </w:p>
        </w:tc>
        <w:tc>
          <w:tcPr>
            <w:tcW w:w="360" w:type="dxa"/>
            <w:vAlign w:val="bottom"/>
          </w:tcPr>
          <w:p>
            <w:pPr>
              <w:spacing w:after="0"/>
              <w:rPr>
                <w:sz w:val="23"/>
                <w:szCs w:val="23"/>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7000" w:type="dxa"/>
            <w:vAlign w:val="bottom"/>
          </w:tcPr>
          <w:p>
            <w:pPr>
              <w:ind w:left="280"/>
              <w:spacing w:after="0"/>
              <w:rPr>
                <w:sz w:val="20"/>
                <w:szCs w:val="20"/>
                <w:color w:val="auto"/>
              </w:rPr>
            </w:pPr>
            <w:r>
              <w:rPr>
                <w:rFonts w:ascii="Arial" w:cs="Arial" w:eastAsia="Arial" w:hAnsi="Arial"/>
                <w:sz w:val="16"/>
                <w:szCs w:val="16"/>
                <w:color w:val="auto"/>
              </w:rPr>
              <w:t>Classified Ventures sale of apartments.com</w:t>
            </w:r>
          </w:p>
        </w:tc>
        <w:tc>
          <w:tcPr>
            <w:tcW w:w="180" w:type="dxa"/>
            <w:vAlign w:val="bottom"/>
          </w:tcPr>
          <w:p>
            <w:pPr>
              <w:spacing w:after="0"/>
              <w:rPr>
                <w:sz w:val="23"/>
                <w:szCs w:val="23"/>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b w:val="1"/>
                <w:bCs w:val="1"/>
                <w:color w:val="auto"/>
              </w:rPr>
              <w:t>(58,242)</w:t>
            </w:r>
          </w:p>
        </w:tc>
        <w:tc>
          <w:tcPr>
            <w:tcW w:w="360" w:type="dxa"/>
            <w:vAlign w:val="bottom"/>
          </w:tcPr>
          <w:p>
            <w:pPr>
              <w:spacing w:after="0"/>
              <w:rPr>
                <w:sz w:val="23"/>
                <w:szCs w:val="23"/>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b w:val="1"/>
                <w:bCs w:val="1"/>
                <w:color w:val="auto"/>
              </w:rPr>
              <w:t>(58,242)</w:t>
            </w:r>
          </w:p>
        </w:tc>
        <w:tc>
          <w:tcPr>
            <w:tcW w:w="360" w:type="dxa"/>
            <w:vAlign w:val="bottom"/>
          </w:tcPr>
          <w:p>
            <w:pPr>
              <w:spacing w:after="0"/>
              <w:rPr>
                <w:sz w:val="23"/>
                <w:szCs w:val="23"/>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7000" w:type="dxa"/>
            <w:vAlign w:val="bottom"/>
          </w:tcPr>
          <w:p>
            <w:pPr>
              <w:ind w:left="280"/>
              <w:spacing w:after="0"/>
              <w:rPr>
                <w:sz w:val="20"/>
                <w:szCs w:val="20"/>
                <w:color w:val="auto"/>
              </w:rPr>
            </w:pPr>
            <w:r>
              <w:rPr>
                <w:rFonts w:ascii="Arial" w:cs="Arial" w:eastAsia="Arial" w:hAnsi="Arial"/>
                <w:sz w:val="16"/>
                <w:szCs w:val="16"/>
                <w:color w:val="auto"/>
              </w:rPr>
              <w:t>Gain from exchange of Berkshire shares</w:t>
            </w:r>
          </w:p>
        </w:tc>
        <w:tc>
          <w:tcPr>
            <w:tcW w:w="180" w:type="dxa"/>
            <w:vAlign w:val="bottom"/>
          </w:tcPr>
          <w:p>
            <w:pPr>
              <w:spacing w:after="0"/>
              <w:rPr>
                <w:sz w:val="23"/>
                <w:szCs w:val="23"/>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b w:val="1"/>
                <w:bCs w:val="1"/>
                <w:color w:val="auto"/>
              </w:rPr>
              <w:t>(266,733)</w:t>
            </w:r>
          </w:p>
        </w:tc>
        <w:tc>
          <w:tcPr>
            <w:tcW w:w="360" w:type="dxa"/>
            <w:vAlign w:val="bottom"/>
          </w:tcPr>
          <w:p>
            <w:pPr>
              <w:spacing w:after="0"/>
              <w:rPr>
                <w:sz w:val="23"/>
                <w:szCs w:val="23"/>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b w:val="1"/>
                <w:bCs w:val="1"/>
                <w:color w:val="auto"/>
              </w:rPr>
              <w:t>(266,733)</w:t>
            </w:r>
          </w:p>
        </w:tc>
        <w:tc>
          <w:tcPr>
            <w:tcW w:w="360" w:type="dxa"/>
            <w:vAlign w:val="bottom"/>
          </w:tcPr>
          <w:p>
            <w:pPr>
              <w:spacing w:after="0"/>
              <w:rPr>
                <w:sz w:val="23"/>
                <w:szCs w:val="23"/>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7000" w:type="dxa"/>
            <w:vAlign w:val="bottom"/>
          </w:tcPr>
          <w:p>
            <w:pPr>
              <w:ind w:left="280"/>
              <w:spacing w:after="0"/>
              <w:rPr>
                <w:sz w:val="20"/>
                <w:szCs w:val="20"/>
                <w:color w:val="auto"/>
              </w:rPr>
            </w:pPr>
            <w:r>
              <w:rPr>
                <w:rFonts w:ascii="Arial" w:cs="Arial" w:eastAsia="Arial" w:hAnsi="Arial"/>
                <w:sz w:val="16"/>
                <w:szCs w:val="16"/>
                <w:color w:val="auto"/>
              </w:rPr>
              <w:t>Sale of headquarters building</w:t>
            </w:r>
          </w:p>
        </w:tc>
        <w:tc>
          <w:tcPr>
            <w:tcW w:w="180" w:type="dxa"/>
            <w:vAlign w:val="bottom"/>
          </w:tcPr>
          <w:p>
            <w:pPr>
              <w:spacing w:after="0"/>
              <w:rPr>
                <w:sz w:val="23"/>
                <w:szCs w:val="23"/>
                <w:color w:val="auto"/>
              </w:rPr>
            </w:pPr>
          </w:p>
        </w:tc>
        <w:tc>
          <w:tcPr>
            <w:tcW w:w="88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3"/>
                <w:szCs w:val="23"/>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b w:val="1"/>
                <w:bCs w:val="1"/>
                <w:color w:val="auto"/>
              </w:rPr>
              <w:t>(81,836)</w:t>
            </w:r>
          </w:p>
        </w:tc>
        <w:tc>
          <w:tcPr>
            <w:tcW w:w="360" w:type="dxa"/>
            <w:vAlign w:val="bottom"/>
          </w:tcPr>
          <w:p>
            <w:pPr>
              <w:spacing w:after="0"/>
              <w:rPr>
                <w:sz w:val="23"/>
                <w:szCs w:val="23"/>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3"/>
        </w:trPr>
        <w:tc>
          <w:tcPr>
            <w:tcW w:w="7000" w:type="dxa"/>
            <w:vAlign w:val="bottom"/>
          </w:tcPr>
          <w:p>
            <w:pPr>
              <w:ind w:left="280"/>
              <w:spacing w:after="0"/>
              <w:rPr>
                <w:sz w:val="20"/>
                <w:szCs w:val="20"/>
                <w:color w:val="auto"/>
              </w:rPr>
            </w:pPr>
            <w:r>
              <w:rPr>
                <w:rFonts w:ascii="Arial" w:cs="Arial" w:eastAsia="Arial" w:hAnsi="Arial"/>
                <w:sz w:val="16"/>
                <w:szCs w:val="16"/>
                <w:color w:val="auto"/>
              </w:rPr>
              <w:t>Foreign currency (gain) loss</w:t>
            </w: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(1,865)</w:t>
            </w: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8,078</w:t>
            </w: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(5,093)</w:t>
            </w: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11,031</w:t>
            </w:r>
          </w:p>
        </w:tc>
      </w:tr>
      <w:tr>
        <w:trPr>
          <w:trHeight w:val="264"/>
        </w:trPr>
        <w:tc>
          <w:tcPr>
            <w:tcW w:w="7000" w:type="dxa"/>
            <w:vAlign w:val="bottom"/>
          </w:tcPr>
          <w:p>
            <w:pPr>
              <w:ind w:left="40"/>
              <w:spacing w:after="0"/>
              <w:rPr>
                <w:sz w:val="20"/>
                <w:szCs w:val="20"/>
                <w:color w:val="auto"/>
              </w:rPr>
            </w:pPr>
            <w:r>
              <w:rPr>
                <w:rFonts w:ascii="Arial" w:cs="Arial" w:eastAsia="Arial" w:hAnsi="Arial"/>
                <w:sz w:val="16"/>
                <w:szCs w:val="16"/>
                <w:color w:val="auto"/>
              </w:rPr>
              <w:t>Income from continuing operations, adjusted (non-GAAP)</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54,540</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58,653</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103,380</w:t>
            </w:r>
          </w:p>
        </w:tc>
        <w:tc>
          <w:tcPr>
            <w:tcW w:w="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89,438</w:t>
            </w:r>
          </w:p>
        </w:tc>
      </w:tr>
    </w:tbl>
    <w:p>
      <w:pPr>
        <w:spacing w:after="0" w:line="252"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Per share information attributable to Graham Holdings Company common</w:t>
      </w:r>
    </w:p>
    <w:p>
      <w:pPr>
        <w:spacing w:after="0" w:line="25"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stockholders</w:t>
      </w:r>
    </w:p>
    <w:p>
      <w:pPr>
        <w:sectPr>
          <w:pgSz w:w="11900" w:h="16838" w:orient="portrait"/>
          <w:cols w:equalWidth="0" w:num="1">
            <w:col w:w="11420"/>
          </w:cols>
          <w:pgMar w:left="240" w:top="598" w:right="239" w:bottom="1440" w:gutter="0" w:footer="0" w:header="0"/>
        </w:sectPr>
      </w:pP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Diluted income per common share from continuing operations, as reported</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Adjustments: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Early retirement, restructuring charges and software asset write-offs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Intangible asset impairment charge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Classified Ventures sale of apartments.com</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Gain from exchange of Berkshire shares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Sale of headquarters building</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Foreign currency (gain) loss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Diluted income per common share from continuing operations, adjusted (non-GAAP)</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49.52</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6.28</w:t>
            </w:r>
          </w:p>
        </w:tc>
        <w:tc>
          <w:tcPr>
            <w:tcW w:w="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67.13</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9.21</w:t>
            </w:r>
          </w:p>
        </w:tc>
      </w:tr>
      <w:tr>
        <w:trPr>
          <w:trHeight w:val="521"/>
        </w:trPr>
        <w:tc>
          <w:tcPr>
            <w:tcW w:w="280" w:type="dxa"/>
            <w:vAlign w:val="bottom"/>
          </w:tcPr>
          <w:p>
            <w:pPr>
              <w:spacing w:after="0"/>
              <w:rPr>
                <w:sz w:val="24"/>
                <w:szCs w:val="24"/>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b w:val="1"/>
                <w:bCs w:val="1"/>
                <w:color w:val="auto"/>
              </w:rPr>
              <w:t>0.90</w:t>
            </w:r>
          </w:p>
        </w:tc>
        <w:tc>
          <w:tcPr>
            <w:tcW w:w="420" w:type="dxa"/>
            <w:vAlign w:val="bottom"/>
          </w:tcPr>
          <w:p>
            <w:pPr>
              <w:spacing w:after="0"/>
              <w:rPr>
                <w:sz w:val="24"/>
                <w:szCs w:val="24"/>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0.54</w:t>
            </w:r>
          </w:p>
        </w:tc>
        <w:tc>
          <w:tcPr>
            <w:tcW w:w="380" w:type="dxa"/>
            <w:vAlign w:val="bottom"/>
          </w:tcPr>
          <w:p>
            <w:pPr>
              <w:spacing w:after="0"/>
              <w:rPr>
                <w:sz w:val="24"/>
                <w:szCs w:val="24"/>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b w:val="1"/>
                <w:bCs w:val="1"/>
                <w:color w:val="auto"/>
              </w:rPr>
              <w:t>1.29</w:t>
            </w:r>
          </w:p>
        </w:tc>
        <w:tc>
          <w:tcPr>
            <w:tcW w:w="380" w:type="dxa"/>
            <w:vAlign w:val="bottom"/>
          </w:tcPr>
          <w:p>
            <w:pPr>
              <w:spacing w:after="0"/>
              <w:rPr>
                <w:sz w:val="24"/>
                <w:szCs w:val="24"/>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1.39</w:t>
            </w:r>
          </w:p>
        </w:tc>
      </w:tr>
      <w:tr>
        <w:trPr>
          <w:trHeight w:val="270"/>
        </w:trPr>
        <w:tc>
          <w:tcPr>
            <w:tcW w:w="280" w:type="dxa"/>
            <w:vAlign w:val="bottom"/>
          </w:tcPr>
          <w:p>
            <w:pPr>
              <w:spacing w:after="0"/>
              <w:rPr>
                <w:sz w:val="23"/>
                <w:szCs w:val="23"/>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b w:val="1"/>
                <w:bCs w:val="1"/>
                <w:color w:val="auto"/>
              </w:rPr>
              <w:t>0.67</w:t>
            </w:r>
          </w:p>
        </w:tc>
        <w:tc>
          <w:tcPr>
            <w:tcW w:w="420" w:type="dxa"/>
            <w:vAlign w:val="bottom"/>
          </w:tcPr>
          <w:p>
            <w:pPr>
              <w:spacing w:after="0"/>
              <w:rPr>
                <w:sz w:val="23"/>
                <w:szCs w:val="23"/>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b w:val="1"/>
                <w:bCs w:val="1"/>
                <w:color w:val="auto"/>
              </w:rPr>
              <w:t>0.67</w:t>
            </w:r>
          </w:p>
        </w:tc>
        <w:tc>
          <w:tcPr>
            <w:tcW w:w="38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28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b w:val="1"/>
                <w:bCs w:val="1"/>
                <w:color w:val="auto"/>
              </w:rPr>
              <w:t>(7.80)</w:t>
            </w:r>
          </w:p>
        </w:tc>
        <w:tc>
          <w:tcPr>
            <w:tcW w:w="420" w:type="dxa"/>
            <w:vAlign w:val="bottom"/>
          </w:tcPr>
          <w:p>
            <w:pPr>
              <w:spacing w:after="0"/>
              <w:rPr>
                <w:sz w:val="23"/>
                <w:szCs w:val="23"/>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(7.80)</w:t>
            </w:r>
          </w:p>
        </w:tc>
        <w:tc>
          <w:tcPr>
            <w:tcW w:w="38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28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b w:val="1"/>
                <w:bCs w:val="1"/>
                <w:color w:val="auto"/>
              </w:rPr>
              <w:t>(35.73)</w:t>
            </w:r>
          </w:p>
        </w:tc>
        <w:tc>
          <w:tcPr>
            <w:tcW w:w="420" w:type="dxa"/>
            <w:vAlign w:val="bottom"/>
          </w:tcPr>
          <w:p>
            <w:pPr>
              <w:spacing w:after="0"/>
              <w:rPr>
                <w:sz w:val="23"/>
                <w:szCs w:val="23"/>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(35.73)</w:t>
            </w:r>
          </w:p>
        </w:tc>
        <w:tc>
          <w:tcPr>
            <w:tcW w:w="38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280" w:type="dxa"/>
            <w:vAlign w:val="bottom"/>
          </w:tcPr>
          <w:p>
            <w:pPr>
              <w:spacing w:after="0"/>
              <w:rPr>
                <w:sz w:val="23"/>
                <w:szCs w:val="23"/>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spacing w:after="0"/>
              <w:rPr>
                <w:sz w:val="23"/>
                <w:szCs w:val="23"/>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(11.13)</w:t>
            </w:r>
          </w:p>
        </w:tc>
        <w:tc>
          <w:tcPr>
            <w:tcW w:w="38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3"/>
        </w:trPr>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(0.25)</w:t>
            </w:r>
          </w:p>
        </w:tc>
        <w:tc>
          <w:tcPr>
            <w:tcW w:w="4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1.11</w:t>
            </w: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(0.69)</w:t>
            </w:r>
          </w:p>
        </w:tc>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1.52</w:t>
            </w:r>
          </w:p>
        </w:tc>
      </w:tr>
      <w:tr>
        <w:trPr>
          <w:trHeight w:val="264"/>
        </w:trPr>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7.31</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7.93</w:t>
            </w:r>
          </w:p>
        </w:tc>
        <w:tc>
          <w:tcPr>
            <w:tcW w:w="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13.74</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12.12</w:t>
            </w:r>
          </w:p>
        </w:tc>
      </w:tr>
    </w:tbl>
    <w:p>
      <w:pPr>
        <w:spacing w:after="0" w:line="200" w:lineRule="exact"/>
        <w:rPr>
          <w:sz w:val="20"/>
          <w:szCs w:val="20"/>
          <w:color w:val="auto"/>
        </w:rPr>
      </w:pPr>
    </w:p>
    <w:p>
      <w:pPr>
        <w:sectPr>
          <w:pgSz w:w="11900" w:h="16838" w:orient="portrait"/>
          <w:cols w:equalWidth="0" w:num="2">
            <w:col w:w="6280" w:space="720"/>
            <w:col w:w="4420"/>
          </w:cols>
          <w:pgMar w:left="240" w:top="598" w:right="239" w:bottom="1440" w:gutter="0" w:footer="0" w:header="0"/>
          <w:type w:val="continuous"/>
        </w:sectPr>
      </w:pPr>
    </w:p>
    <w:p>
      <w:pPr>
        <w:spacing w:after="0" w:line="72"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adjusted diluted per share amounts may not compute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 #</w:t>
      </w:r>
    </w:p>
    <w:sectPr>
      <w:pgSz w:w="11900" w:h="16838" w:orient="portrait"/>
      <w:cols w:equalWidth="0" w:num="1">
        <w:col w:w="11420"/>
      </w:cols>
      <w:pgMar w:left="240" w:top="598"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2019-12-05T16:18:16Z</dcterms:created>
  <dcterms:modified xsi:type="dcterms:W3CDTF">2019-12-05T16:18:16Z</dcterms:modified>
</cp:coreProperties>
</file>