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13D/A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13d-101)</w:t>
      </w:r>
    </w:p>
    <w:p>
      <w:pPr>
        <w:spacing w:after="0" w:line="182" w:lineRule="exact"/>
        <w:rPr>
          <w:sz w:val="24"/>
          <w:szCs w:val="24"/>
          <w:color w:val="auto"/>
        </w:rPr>
      </w:pPr>
    </w:p>
    <w:p>
      <w:pPr>
        <w:ind w:left="210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14" w:lineRule="exact"/>
        <w:rPr>
          <w:sz w:val="24"/>
          <w:szCs w:val="24"/>
          <w:color w:val="auto"/>
        </w:rPr>
      </w:pPr>
    </w:p>
    <w:p>
      <w:pPr>
        <w:jc w:val="center"/>
        <w:ind w:left="380" w:right="2740"/>
        <w:spacing w:after="0" w:line="234" w:lineRule="auto"/>
        <w:rPr>
          <w:sz w:val="20"/>
          <w:szCs w:val="20"/>
          <w:color w:val="auto"/>
        </w:rPr>
      </w:pPr>
      <w:r>
        <w:rPr>
          <w:rFonts w:ascii="Arial" w:cs="Arial" w:eastAsia="Arial" w:hAnsi="Arial"/>
          <w:sz w:val="22"/>
          <w:szCs w:val="22"/>
          <w:b w:val="1"/>
          <w:bCs w:val="1"/>
          <w:color w:val="auto"/>
        </w:rPr>
        <w:t>TO § 240.13d-1(a) AND AMENDMENTS THERETO FILED PURSUANT TO § 240.13d-2(a) (Amendment No.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304165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GRAHAM HOLDINGS COMPANY</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(formerly THE WASHINGTON POST COMPANY)</w:t>
      </w:r>
    </w:p>
    <w:p>
      <w:pPr>
        <w:jc w:val="center"/>
        <w:ind w:right="-1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CLASS B COMMON STOCK</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384637104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MARC D. HAMBURG</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BERKSHIRE HATHAWAY INC.</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3555 FARNAM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OMAHA, NEBRASKA 68131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(402) 346-1400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March 11, 2014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the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 w:name="page2"/>
    <w:bookmarkEnd w:id="1"/>
    <w:p>
      <w:pPr>
        <w:spacing w:after="0"/>
        <w:tabs>
          <w:tab w:leader="none" w:pos="5200" w:val="left"/>
          <w:tab w:leader="none" w:pos="9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2 OF 3 PAGES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Amendment No. 9 to Schedule 13D (this “Amendment”) amends and supplements the information set forth in Items 4, 6 and 7 of the Schedule 13D filed by certain of the Reporting Persons with the Securities and Exchange Commission (the “Commission”) on June 1, 1973 (the “13D”), as subsequently amended thereafter, with respect to the shares of Class B Common Stock (“Class B Stock”) of Graham Holdings Company (formerly The Washington Post Company, the “Issuer”). Except as set forth below, this Amendment does not supplement, restate or amend any of the other information disclosed in the 13D as previously filed. Capitalized terms used in this Amendment but not otherwise defined herein shall have the meanings ascribed to them in Amendment No. 8 to the 13D filed with the Commission on February 12,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is hereby amended to add the following:</w:t>
      </w:r>
    </w:p>
    <w:p>
      <w:pPr>
        <w:spacing w:after="0" w:line="12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On March 11, 2014, Berkshire and the Issuer reached a non-binding agreement in principle for Berkshire to acquire a wholly-owned subsidiary of the Issuer, which will include (i) WPLG, a Miami-based television station, (ii) a number of shares of Berkshire Class A common stock and Class B common stock currently held by the Issuer and (iii) an amount of cash, in exchange for a number of shares of the Issuer’s Class B Stock currently owned by the Berkshire Entities. The specific number of shares of the Issuer’s Class B Stock and Berkshire’s Class A common stock and Class B common stock, as well as the specific amount of cash, to be included in the proposed transaction will be determined on the closing date based on certain factors, including the market prices of such shares at that time. The proposed transaction is subject to agreement on definitive documentation, and will be subject to regulatory approvals and other customary closing conditions. In addition, there will be certain termination rights relating to minimum trading prices of the stock of the Issuer and Berkshire on the closing date, and to a minimum value of the television station for purposes of the proposed transaction on the closing date. The terms of the parties’ current intentions with respect to the proposed transaction are set forth more fully in the non-binding term sheet attached as Exhibit 1 hereto (the “Term Sheet”), which is incorporated herein by reference. Although Berkshire understands that the Issuer’s Board of Directors has approved proceeding on the terms described in the non-binding term sheet, no binding agreement has yet been signed in connection with the proposed transaction, and there can be no assurance that the proposed transaction will be consummated.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is hereby amended to add the following: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amendment to Item 4 set forth above is hereby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is hereby amended to add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9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080" w:type="dxa"/>
            <w:vAlign w:val="bottom"/>
          </w:tcPr>
          <w:p>
            <w:pPr>
              <w:spacing w:after="0"/>
              <w:rPr>
                <w:sz w:val="14"/>
                <w:szCs w:val="1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Term Sheet for Proposed Transaction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w w:val="91"/>
              </w:rPr>
              <w:t>Joint Filing Agreement Pursuant to Rule 13d-1(k)(1)</w:t>
            </w: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5200" w:val="left"/>
          <w:tab w:leader="none" w:pos="9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3 OF 3 PAGES</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on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E. BUFFETT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W</w:t>
      </w:r>
      <w:r>
        <w:rPr>
          <w:rFonts w:ascii="Arial" w:cs="Arial" w:eastAsia="Arial" w:hAnsi="Arial"/>
          <w:sz w:val="15"/>
          <w:szCs w:val="15"/>
          <w:color w:val="auto"/>
        </w:rPr>
        <w:t>ARREN</w:t>
      </w:r>
      <w:r>
        <w:rPr>
          <w:rFonts w:ascii="Arial" w:cs="Arial" w:eastAsia="Arial" w:hAnsi="Arial"/>
          <w:sz w:val="18"/>
          <w:szCs w:val="18"/>
          <w:color w:val="auto"/>
        </w:rPr>
        <w:t xml:space="preserve"> E. B</w:t>
      </w:r>
      <w:r>
        <w:rPr>
          <w:rFonts w:ascii="Arial" w:cs="Arial" w:eastAsia="Arial" w:hAnsi="Arial"/>
          <w:sz w:val="15"/>
          <w:szCs w:val="15"/>
          <w:color w:val="auto"/>
        </w:rPr>
        <w:t>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BERKSHIRE HATHAWAY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Warren E. Buffett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Warren E. Buffett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INDEMNITY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FIRE &amp; MARINE INSURANCE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INDEMNITY COMPANY OF MID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BERKSHIRE HATHAWAY HOMESTATE 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LIABILITY &amp; FIRE 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Warren E. Buffett</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Attorney-in-Fact</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 Sheet for Proposed Transaction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term sheet (including Exhibit 1 hereto, “</w:t>
      </w:r>
      <w:r>
        <w:rPr>
          <w:rFonts w:ascii="Arial" w:cs="Arial" w:eastAsia="Arial" w:hAnsi="Arial"/>
          <w:sz w:val="16"/>
          <w:szCs w:val="16"/>
          <w:u w:val="single" w:color="auto"/>
          <w:color w:val="auto"/>
        </w:rPr>
        <w:t>Term Sheet</w:t>
      </w:r>
      <w:r>
        <w:rPr>
          <w:rFonts w:ascii="Arial" w:cs="Arial" w:eastAsia="Arial" w:hAnsi="Arial"/>
          <w:sz w:val="16"/>
          <w:szCs w:val="16"/>
          <w:color w:val="auto"/>
        </w:rPr>
        <w:t>”) sets forth the current intent of Berkshire Hathaway Inc. (“</w:t>
      </w:r>
      <w:r>
        <w:rPr>
          <w:rFonts w:ascii="Arial" w:cs="Arial" w:eastAsia="Arial" w:hAnsi="Arial"/>
          <w:sz w:val="16"/>
          <w:szCs w:val="16"/>
          <w:u w:val="single" w:color="auto"/>
          <w:color w:val="auto"/>
        </w:rPr>
        <w:t>BH</w:t>
      </w:r>
      <w:r>
        <w:rPr>
          <w:rFonts w:ascii="Arial" w:cs="Arial" w:eastAsia="Arial" w:hAnsi="Arial"/>
          <w:sz w:val="16"/>
          <w:szCs w:val="16"/>
          <w:color w:val="auto"/>
        </w:rPr>
        <w:t>”) and Graham Holdings Company (“</w:t>
      </w:r>
      <w:r>
        <w:rPr>
          <w:rFonts w:ascii="Arial" w:cs="Arial" w:eastAsia="Arial" w:hAnsi="Arial"/>
          <w:sz w:val="16"/>
          <w:szCs w:val="16"/>
          <w:u w:val="single" w:color="auto"/>
          <w:color w:val="auto"/>
        </w:rPr>
        <w:t>Graham</w:t>
      </w:r>
      <w:r>
        <w:rPr>
          <w:rFonts w:ascii="Arial" w:cs="Arial" w:eastAsia="Arial" w:hAnsi="Arial"/>
          <w:sz w:val="16"/>
          <w:szCs w:val="16"/>
          <w:color w:val="auto"/>
        </w:rPr>
        <w:t>”) in respect of the proposed exchange (the “</w:t>
      </w:r>
      <w:r>
        <w:rPr>
          <w:rFonts w:ascii="Arial" w:cs="Arial" w:eastAsia="Arial" w:hAnsi="Arial"/>
          <w:sz w:val="16"/>
          <w:szCs w:val="16"/>
          <w:u w:val="single" w:color="auto"/>
          <w:color w:val="auto"/>
        </w:rPr>
        <w:t>Exchange</w:t>
      </w:r>
      <w:r>
        <w:rPr>
          <w:rFonts w:ascii="Arial" w:cs="Arial" w:eastAsia="Arial" w:hAnsi="Arial"/>
          <w:sz w:val="16"/>
          <w:szCs w:val="16"/>
          <w:color w:val="auto"/>
        </w:rPr>
        <w:t>”) of (a) all the outstanding shares of capital stock of a wholly-owned, direct subsidiary of Graham (“</w:t>
      </w:r>
      <w:r>
        <w:rPr>
          <w:rFonts w:ascii="Arial" w:cs="Arial" w:eastAsia="Arial" w:hAnsi="Arial"/>
          <w:sz w:val="16"/>
          <w:szCs w:val="16"/>
          <w:u w:val="single" w:color="auto"/>
          <w:color w:val="auto"/>
        </w:rPr>
        <w:t>NewSub</w:t>
      </w:r>
      <w:r>
        <w:rPr>
          <w:rFonts w:ascii="Arial" w:cs="Arial" w:eastAsia="Arial" w:hAnsi="Arial"/>
          <w:sz w:val="16"/>
          <w:szCs w:val="16"/>
          <w:color w:val="auto"/>
        </w:rPr>
        <w:t>”) that holds (i) the assets and liabilities associated with the business of WPLG, Miami, FL (the “</w:t>
      </w:r>
      <w:r>
        <w:rPr>
          <w:rFonts w:ascii="Arial" w:cs="Arial" w:eastAsia="Arial" w:hAnsi="Arial"/>
          <w:sz w:val="16"/>
          <w:szCs w:val="16"/>
          <w:u w:val="single" w:color="auto"/>
          <w:color w:val="auto"/>
        </w:rPr>
        <w:t>Miami Station</w:t>
      </w:r>
      <w:r>
        <w:rPr>
          <w:rFonts w:ascii="Arial" w:cs="Arial" w:eastAsia="Arial" w:hAnsi="Arial"/>
          <w:sz w:val="16"/>
          <w:szCs w:val="16"/>
          <w:color w:val="auto"/>
        </w:rPr>
        <w:t>”), including real estate, normal working capital and pension assets at least equal to any assumed pension liabilities (it being understood that it is intended that Graham will retain all pension-related liabilities for pre-closing service costs of Miami Station employees), but excluding all accrued taxes and intercompany items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closing, Graham will remove (A) all current assets of the Miami Station that are “investment assets” under Section 355(g) of the Code, (B) all current liabilities of the Miami Station to the extent the amount of such liabilities does not exceed the amount of the current assets described in clause (A), and (C) if the value of the current assets described in clause (A) exceeds the value of the current liabilities described in clause (B), then other liabilities of the Miami Station to the extent of such excess), (ii) the Contributed BH Shares (as defined below) and (iii) a specified amount of cash for (b) a specified number of shares (the “</w:t>
      </w:r>
      <w:r>
        <w:rPr>
          <w:rFonts w:ascii="Arial" w:cs="Arial" w:eastAsia="Arial" w:hAnsi="Arial"/>
          <w:sz w:val="16"/>
          <w:szCs w:val="16"/>
          <w:u w:val="single" w:color="auto"/>
          <w:color w:val="auto"/>
        </w:rPr>
        <w:t>Specified Number of G Shares</w:t>
      </w:r>
      <w:r>
        <w:rPr>
          <w:rFonts w:ascii="Arial" w:cs="Arial" w:eastAsia="Arial" w:hAnsi="Arial"/>
          <w:sz w:val="16"/>
          <w:szCs w:val="16"/>
          <w:color w:val="auto"/>
        </w:rPr>
        <w:t>”) of Graham Class B common stock held by BH or its subsidiaries (such entities, the “</w:t>
      </w:r>
      <w:r>
        <w:rPr>
          <w:rFonts w:ascii="Arial" w:cs="Arial" w:eastAsia="Arial" w:hAnsi="Arial"/>
          <w:sz w:val="16"/>
          <w:szCs w:val="16"/>
          <w:u w:val="single" w:color="auto"/>
          <w:color w:val="auto"/>
        </w:rPr>
        <w:t>Berkshire Parties</w:t>
      </w:r>
      <w:r>
        <w:rPr>
          <w:rFonts w:ascii="Arial" w:cs="Arial" w:eastAsia="Arial" w:hAnsi="Arial"/>
          <w:sz w:val="16"/>
          <w:szCs w:val="16"/>
          <w:color w:val="auto"/>
        </w:rPr>
        <w:t>”, and such shares, the “</w:t>
      </w:r>
      <w:r>
        <w:rPr>
          <w:rFonts w:ascii="Arial" w:cs="Arial" w:eastAsia="Arial" w:hAnsi="Arial"/>
          <w:sz w:val="16"/>
          <w:szCs w:val="16"/>
          <w:u w:val="single" w:color="auto"/>
          <w:color w:val="auto"/>
        </w:rPr>
        <w:t>G Shares</w:t>
      </w:r>
      <w:r>
        <w:rPr>
          <w:rFonts w:ascii="Arial" w:cs="Arial" w:eastAsia="Arial" w:hAnsi="Arial"/>
          <w:sz w:val="16"/>
          <w:szCs w:val="16"/>
          <w:color w:val="auto"/>
        </w:rPr>
        <w:t>”). This Term Sheet is a negotiation aid and is not binding on the parties. The parties will not be bound unless and until they enter into a definitive agreement (the “</w:t>
      </w:r>
      <w:r>
        <w:rPr>
          <w:rFonts w:ascii="Arial" w:cs="Arial" w:eastAsia="Arial" w:hAnsi="Arial"/>
          <w:sz w:val="16"/>
          <w:szCs w:val="16"/>
          <w:u w:val="single" w:color="auto"/>
          <w:color w:val="auto"/>
        </w:rPr>
        <w:t>Definitive Agreement</w:t>
      </w:r>
      <w:r>
        <w:rPr>
          <w:rFonts w:ascii="Arial" w:cs="Arial" w:eastAsia="Arial" w:hAnsi="Arial"/>
          <w:sz w:val="16"/>
          <w:szCs w:val="16"/>
          <w:color w:val="auto"/>
        </w:rPr>
        <w:t>”) regarding the subject matter of this Term Sheet.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5"/>
          </w:tcPr>
          <w:p>
            <w:pPr>
              <w:spacing w:after="0"/>
              <w:rPr>
                <w:sz w:val="20"/>
                <w:szCs w:val="20"/>
                <w:color w:val="auto"/>
              </w:rPr>
            </w:pPr>
            <w:r>
              <w:rPr>
                <w:rFonts w:ascii="Arial" w:cs="Arial" w:eastAsia="Arial" w:hAnsi="Arial"/>
                <w:sz w:val="18"/>
                <w:szCs w:val="18"/>
                <w:color w:val="auto"/>
              </w:rPr>
              <w:t>Tax Treatment of</w:t>
            </w: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4"/>
              </w:rPr>
              <w:t>The Exchange is intended to qualify for non-recognition of gain and loss to Graham and to BH under Sections 355(a), 355(c),</w:t>
            </w:r>
          </w:p>
        </w:tc>
      </w:tr>
      <w:tr>
        <w:trPr>
          <w:trHeight w:val="196"/>
        </w:trPr>
        <w:tc>
          <w:tcPr>
            <w:tcW w:w="12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Transaction:</w:t>
            </w:r>
          </w:p>
        </w:tc>
        <w:tc>
          <w:tcPr>
            <w:tcW w:w="500" w:type="dxa"/>
            <w:vAlign w:val="bottom"/>
            <w:gridSpan w:val="3"/>
          </w:tcPr>
          <w:p>
            <w:pPr>
              <w:spacing w:after="0"/>
              <w:rPr>
                <w:sz w:val="17"/>
                <w:szCs w:val="17"/>
                <w:color w:val="auto"/>
              </w:rPr>
            </w:pPr>
          </w:p>
        </w:tc>
        <w:tc>
          <w:tcPr>
            <w:tcW w:w="9680" w:type="dxa"/>
            <w:vAlign w:val="bottom"/>
            <w:gridSpan w:val="15"/>
          </w:tcPr>
          <w:p>
            <w:pPr>
              <w:ind w:left="220"/>
              <w:spacing w:after="0" w:line="196" w:lineRule="exact"/>
              <w:rPr>
                <w:sz w:val="20"/>
                <w:szCs w:val="20"/>
                <w:color w:val="auto"/>
              </w:rPr>
            </w:pPr>
            <w:r>
              <w:rPr>
                <w:rFonts w:ascii="Arial" w:cs="Arial" w:eastAsia="Arial" w:hAnsi="Arial"/>
                <w:sz w:val="18"/>
                <w:szCs w:val="18"/>
                <w:color w:val="auto"/>
                <w:w w:val="90"/>
              </w:rPr>
              <w:t>361(a) and 361(c) of the Code (the “Intended Tax Treatment”). The “Code” shall mean the United States Internal Revenue Code of</w:t>
            </w:r>
          </w:p>
        </w:tc>
      </w:tr>
      <w:tr>
        <w:trPr>
          <w:trHeight w:val="237"/>
        </w:trPr>
        <w:tc>
          <w:tcPr>
            <w:tcW w:w="8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1986, as amended.</w:t>
            </w:r>
          </w:p>
        </w:tc>
        <w:tc>
          <w:tcPr>
            <w:tcW w:w="172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100" w:type="dxa"/>
            <w:vAlign w:val="bottom"/>
            <w:gridSpan w:val="7"/>
          </w:tcPr>
          <w:p>
            <w:pPr>
              <w:spacing w:after="0"/>
              <w:rPr>
                <w:sz w:val="20"/>
                <w:szCs w:val="20"/>
                <w:color w:val="auto"/>
              </w:rPr>
            </w:pPr>
          </w:p>
        </w:tc>
      </w:tr>
      <w:tr>
        <w:trPr>
          <w:trHeight w:val="432"/>
        </w:trPr>
        <w:tc>
          <w:tcPr>
            <w:tcW w:w="1740" w:type="dxa"/>
            <w:vAlign w:val="bottom"/>
            <w:gridSpan w:val="5"/>
          </w:tcPr>
          <w:p>
            <w:pPr>
              <w:spacing w:after="0"/>
              <w:rPr>
                <w:sz w:val="20"/>
                <w:szCs w:val="20"/>
                <w:color w:val="auto"/>
              </w:rPr>
            </w:pPr>
            <w:r>
              <w:rPr>
                <w:rFonts w:ascii="Arial" w:cs="Arial" w:eastAsia="Arial" w:hAnsi="Arial"/>
                <w:sz w:val="18"/>
                <w:szCs w:val="18"/>
                <w:color w:val="auto"/>
              </w:rPr>
              <w:t>Consideration and</w:t>
            </w: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3"/>
              </w:rPr>
              <w:t>Graham will transfer all the outstanding shares of NewSub, which will hold (i) the Miami Station, (ii) the Specified Cash Amount,</w:t>
            </w:r>
          </w:p>
        </w:tc>
      </w:tr>
      <w:tr>
        <w:trPr>
          <w:trHeight w:val="20"/>
        </w:trPr>
        <w:tc>
          <w:tcPr>
            <w:tcW w:w="13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740" w:type="dxa"/>
            <w:vAlign w:val="bottom"/>
            <w:gridSpan w:val="5"/>
          </w:tcPr>
          <w:p>
            <w:pPr>
              <w:spacing w:after="0" w:line="196" w:lineRule="exact"/>
              <w:rPr>
                <w:sz w:val="20"/>
                <w:szCs w:val="20"/>
                <w:color w:val="auto"/>
              </w:rPr>
            </w:pPr>
            <w:r>
              <w:rPr>
                <w:rFonts w:ascii="Arial" w:cs="Arial" w:eastAsia="Arial" w:hAnsi="Arial"/>
                <w:sz w:val="18"/>
                <w:szCs w:val="18"/>
                <w:color w:val="auto"/>
              </w:rPr>
              <w:t>Form of Transaction:</w:t>
            </w:r>
          </w:p>
        </w:tc>
        <w:tc>
          <w:tcPr>
            <w:tcW w:w="9680" w:type="dxa"/>
            <w:vAlign w:val="bottom"/>
            <w:gridSpan w:val="15"/>
          </w:tcPr>
          <w:p>
            <w:pPr>
              <w:ind w:left="220"/>
              <w:spacing w:after="0" w:line="196" w:lineRule="exact"/>
              <w:rPr>
                <w:sz w:val="20"/>
                <w:szCs w:val="20"/>
                <w:color w:val="auto"/>
              </w:rPr>
            </w:pPr>
            <w:r>
              <w:rPr>
                <w:rFonts w:ascii="Arial" w:cs="Arial" w:eastAsia="Arial" w:hAnsi="Arial"/>
                <w:sz w:val="18"/>
                <w:szCs w:val="18"/>
                <w:color w:val="auto"/>
                <w:w w:val="92"/>
              </w:rPr>
              <w:t>(iii) cash equal to the Cash Make-up Amount, if any, and (iv) the Contributed BH Shares, as illustrated in the valuation examples</w:t>
            </w:r>
          </w:p>
        </w:tc>
      </w:tr>
      <w:tr>
        <w:trPr>
          <w:trHeight w:val="237"/>
        </w:trPr>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rPr>
              <w:t>set forth on Exhibit 1, which this Term Sheet is intended to describe.</w:t>
            </w:r>
          </w:p>
        </w:tc>
      </w:tr>
      <w:tr>
        <w:trPr>
          <w:trHeight w:val="419"/>
        </w:trPr>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5"/>
              </w:rPr>
              <w:t>The “Contributed BH Shares” shall be shares of BH Class A common stock (“BH Class A Shares”) and shares of BH Class B</w:t>
            </w: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80" w:type="dxa"/>
            <w:vAlign w:val="bottom"/>
            <w:gridSpan w:val="15"/>
          </w:tcPr>
          <w:p>
            <w:pPr>
              <w:ind w:left="220"/>
              <w:spacing w:after="0" w:line="196" w:lineRule="exact"/>
              <w:rPr>
                <w:sz w:val="20"/>
                <w:szCs w:val="20"/>
                <w:color w:val="auto"/>
              </w:rPr>
            </w:pPr>
            <w:r>
              <w:rPr>
                <w:rFonts w:ascii="Arial" w:cs="Arial" w:eastAsia="Arial" w:hAnsi="Arial"/>
                <w:sz w:val="18"/>
                <w:szCs w:val="18"/>
                <w:color w:val="auto"/>
                <w:w w:val="94"/>
              </w:rPr>
              <w:t>common stock (“BH Class B Shares”, and collectively with BH Class A Shares, the “BH Shares”) consisting of the lowest of (i)</w:t>
            </w: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0"/>
              </w:rPr>
              <w:t>2,214 BH Class A Shares and 424,250 BH Class B Shares, (ii) BH Shares having a value (based on the closing price on the closing</w:t>
            </w:r>
          </w:p>
        </w:tc>
      </w:tr>
      <w:tr>
        <w:trPr>
          <w:trHeight w:val="216"/>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3"/>
              </w:rPr>
              <w:t>date) of $400,282,183 and (iii) the maximum number of BH Shares that both of Graham and BH, in their respective reasonable</w:t>
            </w:r>
          </w:p>
        </w:tc>
      </w:tr>
      <w:tr>
        <w:trPr>
          <w:trHeight w:val="216"/>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4"/>
              </w:rPr>
              <w:t>good faith judgment after consultation with their respective counsel, determine that Graham can contribute to NewSub without</w:t>
            </w:r>
          </w:p>
        </w:tc>
      </w:tr>
      <w:tr>
        <w:trPr>
          <w:trHeight w:val="216"/>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0"/>
              </w:rPr>
              <w:t>creating a material risk that the exchange will not qualify for the Intended Tax Treatment on account of Section 355(g) of the Code.</w:t>
            </w:r>
          </w:p>
        </w:tc>
      </w:tr>
      <w:tr>
        <w:trPr>
          <w:trHeight w:val="216"/>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2"/>
              </w:rPr>
              <w:t>If the conditions of clause (ii) and/or clause (iii) would result in fewer BH Shares being contributed than provided for in clause (i),</w:t>
            </w:r>
          </w:p>
        </w:tc>
      </w:tr>
      <w:tr>
        <w:trPr>
          <w:trHeight w:val="216"/>
        </w:trPr>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80" w:type="dxa"/>
            <w:vAlign w:val="bottom"/>
            <w:gridSpan w:val="15"/>
          </w:tcPr>
          <w:p>
            <w:pPr>
              <w:ind w:left="220"/>
              <w:spacing w:after="0"/>
              <w:rPr>
                <w:sz w:val="20"/>
                <w:szCs w:val="20"/>
                <w:color w:val="auto"/>
              </w:rPr>
            </w:pPr>
            <w:r>
              <w:rPr>
                <w:rFonts w:ascii="Arial" w:cs="Arial" w:eastAsia="Arial" w:hAnsi="Arial"/>
                <w:sz w:val="18"/>
                <w:szCs w:val="18"/>
                <w:color w:val="auto"/>
                <w:w w:val="96"/>
              </w:rPr>
              <w:t>the reduction in contributed shares shall be made, to the extent possible, first from the BH Class B Shares. The value of the</w:t>
            </w:r>
          </w:p>
        </w:tc>
      </w:tr>
      <w:tr>
        <w:trPr>
          <w:trHeight w:val="190"/>
        </w:trPr>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80" w:type="dxa"/>
            <w:vAlign w:val="bottom"/>
            <w:gridSpan w:val="15"/>
          </w:tcPr>
          <w:p>
            <w:pPr>
              <w:ind w:left="220"/>
              <w:spacing w:after="0" w:line="190" w:lineRule="exact"/>
              <w:rPr>
                <w:sz w:val="20"/>
                <w:szCs w:val="20"/>
                <w:color w:val="auto"/>
              </w:rPr>
            </w:pPr>
            <w:r>
              <w:rPr>
                <w:rFonts w:ascii="Arial" w:cs="Arial" w:eastAsia="Arial" w:hAnsi="Arial"/>
                <w:sz w:val="18"/>
                <w:szCs w:val="18"/>
                <w:color w:val="auto"/>
                <w:w w:val="91"/>
              </w:rPr>
              <w:t>Contributed BH Shares (based on the closing price on the closing date) is referred to herein as the “Contributed BH Share Value”.</w:t>
            </w: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rPr>
              <w:t>The “Specified Cash Amount” shall be $327,717,817. The “Cash Make-Up Amount” shall be the excess, if any, of (x)</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line="196" w:lineRule="exact"/>
              <w:rPr>
                <w:sz w:val="20"/>
                <w:szCs w:val="20"/>
                <w:color w:val="auto"/>
              </w:rPr>
            </w:pPr>
            <w:r>
              <w:rPr>
                <w:rFonts w:ascii="Arial" w:cs="Arial" w:eastAsia="Arial" w:hAnsi="Arial"/>
                <w:sz w:val="18"/>
                <w:szCs w:val="18"/>
                <w:color w:val="auto"/>
                <w:w w:val="92"/>
              </w:rPr>
              <w:t>$400,282,183 over (y) the Contributed BH Share Value; provided that the Cash Make-Up Amount shall not exceed the amount of</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1"/>
              </w:rPr>
              <w:t>cash that both Graham and BH, in their respective reasonable good faith judgment after consultation with their respective counsel,</w:t>
            </w:r>
          </w:p>
        </w:tc>
      </w:t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7"/>
              </w:rPr>
              <w:t>determine that Graham can contribute to NewSub without creating a material risk that the exchange will not qualify for the</w:t>
            </w:r>
          </w:p>
        </w:tc>
      </w:tr>
      <w:tr>
        <w:trPr>
          <w:trHeight w:val="190"/>
        </w:trPr>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60" w:type="dxa"/>
            <w:vAlign w:val="bottom"/>
            <w:gridSpan w:val="16"/>
          </w:tcPr>
          <w:p>
            <w:pPr>
              <w:spacing w:after="0" w:line="190" w:lineRule="exact"/>
              <w:rPr>
                <w:sz w:val="20"/>
                <w:szCs w:val="20"/>
                <w:color w:val="auto"/>
              </w:rPr>
            </w:pPr>
            <w:r>
              <w:rPr>
                <w:rFonts w:ascii="Arial" w:cs="Arial" w:eastAsia="Arial" w:hAnsi="Arial"/>
                <w:sz w:val="18"/>
                <w:szCs w:val="18"/>
                <w:color w:val="auto"/>
                <w:w w:val="92"/>
              </w:rPr>
              <w:t>Intended Tax Treatment on account of Section 355(g) of the Code; provided further that the Cash Make-Up Amount shall not be</w:t>
            </w:r>
          </w:p>
        </w:tc>
      </w:tr>
      <w:tr>
        <w:trPr>
          <w:trHeight w:val="237"/>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20" w:type="dxa"/>
            <w:vAlign w:val="bottom"/>
            <w:gridSpan w:val="9"/>
          </w:tcPr>
          <w:p>
            <w:pPr>
              <w:spacing w:after="0"/>
              <w:rPr>
                <w:sz w:val="20"/>
                <w:szCs w:val="20"/>
                <w:color w:val="auto"/>
              </w:rPr>
            </w:pPr>
            <w:r>
              <w:rPr>
                <w:rFonts w:ascii="Arial" w:cs="Arial" w:eastAsia="Arial" w:hAnsi="Arial"/>
                <w:sz w:val="18"/>
                <w:szCs w:val="18"/>
                <w:color w:val="auto"/>
              </w:rPr>
              <w:t>increased in lieu of contributing BH Shares to NewSub.</w:t>
            </w:r>
          </w:p>
        </w:tc>
        <w:tc>
          <w:tcPr>
            <w:tcW w:w="640" w:type="dxa"/>
            <w:vAlign w:val="bottom"/>
            <w:tcBorders>
              <w:top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400" w:type="dxa"/>
            <w:vAlign w:val="bottom"/>
            <w:gridSpan w:val="3"/>
          </w:tcPr>
          <w:p>
            <w:pPr>
              <w:spacing w:after="0"/>
              <w:rPr>
                <w:sz w:val="20"/>
                <w:szCs w:val="20"/>
                <w:color w:val="auto"/>
              </w:rPr>
            </w:pPr>
          </w:p>
        </w:tc>
      </w:tr>
      <w:tr>
        <w:trPr>
          <w:trHeight w:val="419"/>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5"/>
              </w:rPr>
              <w:t>The NewSub stock will be transferred to BH in exchange for the Specified Number of G Shares. The “Specified Number of G</w:t>
            </w:r>
          </w:p>
        </w:tc>
      </w:tr>
      <w:tr>
        <w:trPr>
          <w:trHeight w:val="196"/>
        </w:trPr>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80" w:type="dxa"/>
            <w:vAlign w:val="bottom"/>
            <w:gridSpan w:val="14"/>
          </w:tcPr>
          <w:p>
            <w:pPr>
              <w:spacing w:after="0" w:line="196" w:lineRule="exact"/>
              <w:rPr>
                <w:sz w:val="20"/>
                <w:szCs w:val="20"/>
                <w:color w:val="auto"/>
              </w:rPr>
            </w:pPr>
            <w:r>
              <w:rPr>
                <w:rFonts w:ascii="Arial" w:cs="Arial" w:eastAsia="Arial" w:hAnsi="Arial"/>
                <w:sz w:val="18"/>
                <w:szCs w:val="18"/>
                <w:color w:val="auto"/>
                <w:w w:val="98"/>
              </w:rPr>
              <w:t>Shares” is 1,727,765 G Shares, reduced by a number of shares equal to the Retained Shares.</w:t>
            </w:r>
          </w:p>
        </w:tc>
        <w:tc>
          <w:tcPr>
            <w:tcW w:w="16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r>
      <w:tr>
        <w:trPr>
          <w:trHeight w:val="465"/>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1"/>
              </w:rPr>
              <w:t>The number of Retained Shares shall be the sum of (a) the quotient of (i) the Value Shortfall, divided by (ii) (A) the product of 0.65</w:t>
            </w:r>
          </w:p>
        </w:tc>
      </w:t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1"/>
              </w:rPr>
              <w:t>times the volume weighted average price (“VWAP”) of the G Shares on the closing date, plus (B) $2.15, plus (b) the quotient of (i)</w:t>
            </w:r>
          </w:p>
        </w:tc>
      </w:tr>
      <w:tr>
        <w:trPr>
          <w:trHeight w:val="230"/>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rPr>
              <w:t>$1,000,000, divided by (ii) the VWAP of the G Shares on the closing date.</w:t>
            </w:r>
          </w:p>
        </w:tc>
      </w:tr>
      <w:tr>
        <w:trPr>
          <w:trHeight w:val="419"/>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4"/>
              </w:rPr>
              <w:t>The “Value Shortfall” shall equal (i) the excess of (A) $774,234,304 over (B) the sum of the Specified Cash Amount, the Cash</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4"/>
              </w:rPr>
              <w:t>Make-Up Amount, if any, and the Contributed BH Share Value, plus (ii) the amount, if any, by which the minimum valuation of</w:t>
            </w:r>
          </w:p>
        </w:tc>
      </w:tr>
      <w:tr>
        <w:trPr>
          <w:trHeight w:val="216"/>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6"/>
              </w:rPr>
              <w:t>the Miami Station (as of the closing of the Exchange) taken into account by counsel to Graham in making the determination</w:t>
            </w:r>
          </w:p>
        </w:tc>
      </w:tr>
      <w:tr>
        <w:trPr>
          <w:trHeight w:val="230"/>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rPr>
              <w:t>whether the Exchange qualifies under Section 355(g) of the Code is less than $364 million.</w:t>
            </w:r>
          </w:p>
        </w:tc>
      </w:tr>
      <w:tr>
        <w:trPr>
          <w:trHeight w:val="445"/>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auto"/>
                <w:w w:val="91"/>
              </w:rPr>
              <w:t>The Graham Assets are currently held in Graham and in various direct and indirect subsidiaries of Graham. Prior to the Exchange,</w:t>
            </w:r>
          </w:p>
        </w:tc>
      </w:tr>
      <w:tr>
        <w:trPr>
          <w:trHeight w:val="190"/>
        </w:trPr>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60" w:type="dxa"/>
            <w:vAlign w:val="bottom"/>
            <w:gridSpan w:val="16"/>
          </w:tcPr>
          <w:p>
            <w:pPr>
              <w:spacing w:after="0" w:line="190" w:lineRule="exact"/>
              <w:rPr>
                <w:sz w:val="20"/>
                <w:szCs w:val="20"/>
                <w:color w:val="auto"/>
              </w:rPr>
            </w:pPr>
            <w:r>
              <w:rPr>
                <w:rFonts w:ascii="Arial" w:cs="Arial" w:eastAsia="Arial" w:hAnsi="Arial"/>
                <w:sz w:val="18"/>
                <w:szCs w:val="18"/>
                <w:color w:val="auto"/>
                <w:w w:val="98"/>
              </w:rPr>
              <w:t>Graham will effect an internal reorganization (the “Internal Reorganization”), pursuant to which the Graham Assets will be</w:t>
            </w:r>
          </w:p>
        </w:tc>
      </w:tr>
      <w:tr>
        <w:trPr>
          <w:trHeight w:val="237"/>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gridSpan w:val="5"/>
          </w:tcPr>
          <w:p>
            <w:pPr>
              <w:spacing w:after="0"/>
              <w:rPr>
                <w:sz w:val="20"/>
                <w:szCs w:val="20"/>
                <w:color w:val="auto"/>
              </w:rPr>
            </w:pPr>
            <w:r>
              <w:rPr>
                <w:rFonts w:ascii="Arial" w:cs="Arial" w:eastAsia="Arial" w:hAnsi="Arial"/>
                <w:sz w:val="18"/>
                <w:szCs w:val="18"/>
                <w:color w:val="auto"/>
              </w:rPr>
              <w:t>aggregated in NewSub.</w:t>
            </w:r>
          </w:p>
        </w:tc>
        <w:tc>
          <w:tcPr>
            <w:tcW w:w="1720" w:type="dxa"/>
            <w:vAlign w:val="bottom"/>
            <w:tcBorders>
              <w:top w:val="single" w:sz="8" w:color="auto"/>
            </w:tcBorders>
            <w:gridSpan w:val="5"/>
          </w:tcPr>
          <w:p>
            <w:pPr>
              <w:spacing w:after="0"/>
              <w:rPr>
                <w:sz w:val="20"/>
                <w:szCs w:val="20"/>
                <w:color w:val="auto"/>
              </w:rPr>
            </w:pPr>
          </w:p>
        </w:tc>
        <w:tc>
          <w:tcPr>
            <w:tcW w:w="4060" w:type="dxa"/>
            <w:vAlign w:val="bottom"/>
            <w:gridSpan w:val="6"/>
          </w:tcPr>
          <w:p>
            <w:pPr>
              <w:spacing w:after="0"/>
              <w:rPr>
                <w:sz w:val="20"/>
                <w:szCs w:val="20"/>
                <w:color w:val="auto"/>
              </w:rPr>
            </w:pPr>
          </w:p>
        </w:tc>
      </w:tr>
      <w:tr>
        <w:trPr>
          <w:trHeight w:val="432"/>
        </w:trPr>
        <w:tc>
          <w:tcPr>
            <w:tcW w:w="1960" w:type="dxa"/>
            <w:vAlign w:val="bottom"/>
            <w:gridSpan w:val="4"/>
          </w:tcPr>
          <w:p>
            <w:pPr>
              <w:spacing w:after="0"/>
              <w:rPr>
                <w:sz w:val="20"/>
                <w:szCs w:val="20"/>
                <w:color w:val="auto"/>
              </w:rPr>
            </w:pPr>
            <w:r>
              <w:rPr>
                <w:rFonts w:ascii="Arial" w:cs="Arial" w:eastAsia="Arial" w:hAnsi="Arial"/>
                <w:sz w:val="18"/>
                <w:szCs w:val="18"/>
                <w:color w:val="auto"/>
              </w:rPr>
              <w:t>Representations,</w:t>
            </w:r>
          </w:p>
        </w:tc>
        <w:tc>
          <w:tcPr>
            <w:tcW w:w="9460" w:type="dxa"/>
            <w:vAlign w:val="bottom"/>
            <w:gridSpan w:val="16"/>
          </w:tcPr>
          <w:p>
            <w:pPr>
              <w:spacing w:after="0"/>
              <w:rPr>
                <w:sz w:val="20"/>
                <w:szCs w:val="20"/>
                <w:color w:val="auto"/>
              </w:rPr>
            </w:pPr>
            <w:r>
              <w:rPr>
                <w:rFonts w:ascii="Arial" w:cs="Arial" w:eastAsia="Arial" w:hAnsi="Arial"/>
                <w:sz w:val="18"/>
                <w:szCs w:val="18"/>
                <w:color w:val="auto"/>
                <w:w w:val="97"/>
              </w:rPr>
              <w:t>The Definitive Agreement will provide for representations, warranties and covenants of Graham and the Berkshire Parties</w:t>
            </w:r>
          </w:p>
        </w:tc>
      </w:tr>
      <w:tr>
        <w:trPr>
          <w:trHeight w:val="196"/>
        </w:trPr>
        <w:tc>
          <w:tcPr>
            <w:tcW w:w="12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Warranties and</w:t>
            </w:r>
          </w:p>
        </w:tc>
        <w:tc>
          <w:tcPr>
            <w:tcW w:w="760" w:type="dxa"/>
            <w:vAlign w:val="bottom"/>
          </w:tcPr>
          <w:p>
            <w:pPr>
              <w:spacing w:after="0"/>
              <w:rPr>
                <w:sz w:val="17"/>
                <w:szCs w:val="17"/>
                <w:color w:val="auto"/>
              </w:rPr>
            </w:pPr>
          </w:p>
        </w:tc>
        <w:tc>
          <w:tcPr>
            <w:tcW w:w="9460" w:type="dxa"/>
            <w:vAlign w:val="bottom"/>
            <w:gridSpan w:val="16"/>
          </w:tcPr>
          <w:p>
            <w:pPr>
              <w:spacing w:after="0" w:line="196" w:lineRule="exact"/>
              <w:rPr>
                <w:sz w:val="20"/>
                <w:szCs w:val="20"/>
                <w:color w:val="auto"/>
              </w:rPr>
            </w:pPr>
            <w:r>
              <w:rPr>
                <w:rFonts w:ascii="Arial" w:cs="Arial" w:eastAsia="Arial" w:hAnsi="Arial"/>
                <w:sz w:val="18"/>
                <w:szCs w:val="18"/>
                <w:color w:val="auto"/>
              </w:rPr>
              <w:t>customary for transactions of this nature.</w:t>
            </w:r>
          </w:p>
        </w:tc>
      </w:tr>
      <w:tr>
        <w:trPr>
          <w:trHeight w:val="196"/>
        </w:trPr>
        <w:tc>
          <w:tcPr>
            <w:tcW w:w="10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Covenants:</w:t>
            </w:r>
          </w:p>
        </w:tc>
        <w:tc>
          <w:tcPr>
            <w:tcW w:w="8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85"/>
        </w:trPr>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gridSpan w:val="6"/>
          </w:tcPr>
          <w:p>
            <w:pPr>
              <w:ind w:left="37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960" w:type="dxa"/>
            <w:vAlign w:val="bottom"/>
            <w:gridSpan w:val="8"/>
          </w:tcPr>
          <w:p>
            <w:pPr>
              <w:spacing w:after="0"/>
              <w:rPr>
                <w:sz w:val="20"/>
                <w:szCs w:val="20"/>
                <w:color w:val="auto"/>
              </w:rPr>
            </w:pPr>
            <w:r>
              <w:rPr>
                <w:rFonts w:ascii="Arial" w:cs="Arial" w:eastAsia="Arial" w:hAnsi="Arial"/>
                <w:sz w:val="18"/>
                <w:szCs w:val="18"/>
                <w:color w:val="auto"/>
              </w:rPr>
              <w:t>Conditions:</w:t>
            </w:r>
          </w:p>
        </w:tc>
        <w:tc>
          <w:tcPr>
            <w:tcW w:w="9460" w:type="dxa"/>
            <w:vAlign w:val="bottom"/>
            <w:gridSpan w:val="8"/>
          </w:tcPr>
          <w:p>
            <w:pPr>
              <w:spacing w:after="0"/>
              <w:rPr>
                <w:sz w:val="20"/>
                <w:szCs w:val="20"/>
                <w:color w:val="auto"/>
              </w:rPr>
            </w:pPr>
            <w:r>
              <w:rPr>
                <w:rFonts w:ascii="Arial" w:cs="Arial" w:eastAsia="Arial" w:hAnsi="Arial"/>
                <w:sz w:val="18"/>
                <w:szCs w:val="18"/>
                <w:color w:val="auto"/>
                <w:w w:val="92"/>
              </w:rPr>
              <w:t>Graham shall have received, prior to closing, an opinion from Cravath, Swaine &amp; Moore LLP reasonably satisfactory to Graham,</w:t>
            </w:r>
          </w:p>
        </w:tc>
      </w:tr>
      <w:tr>
        <w:trPr>
          <w:trHeight w:val="222"/>
        </w:trPr>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2"/>
              </w:rPr>
              <w:t>to the effect that the Internal Reorganization should be tax-free to Graham, and the Exchange should qualify for the Intended Tax</w:t>
            </w:r>
          </w:p>
        </w:tc>
      </w:tr>
      <w:tr>
        <w:trPr>
          <w:trHeight w:val="190"/>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60" w:type="dxa"/>
            <w:vAlign w:val="bottom"/>
            <w:gridSpan w:val="8"/>
          </w:tcPr>
          <w:p>
            <w:pPr>
              <w:spacing w:after="0" w:line="190" w:lineRule="exact"/>
              <w:rPr>
                <w:sz w:val="20"/>
                <w:szCs w:val="20"/>
                <w:color w:val="auto"/>
              </w:rPr>
            </w:pPr>
            <w:r>
              <w:rPr>
                <w:rFonts w:ascii="Arial" w:cs="Arial" w:eastAsia="Arial" w:hAnsi="Arial"/>
                <w:sz w:val="18"/>
                <w:szCs w:val="18"/>
                <w:color w:val="auto"/>
                <w:w w:val="95"/>
              </w:rPr>
              <w:t>Treatment (the “Cravath Tax Opinion”). BH shall have received, prior to closing, an opinion from Munger, Tolles &amp; Olson LLP</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8"/>
          </w:tcPr>
          <w:p>
            <w:pPr>
              <w:spacing w:after="0" w:line="196" w:lineRule="exact"/>
              <w:rPr>
                <w:sz w:val="20"/>
                <w:szCs w:val="20"/>
                <w:color w:val="auto"/>
              </w:rPr>
            </w:pPr>
            <w:r>
              <w:rPr>
                <w:rFonts w:ascii="Arial" w:cs="Arial" w:eastAsia="Arial" w:hAnsi="Arial"/>
                <w:sz w:val="18"/>
                <w:szCs w:val="18"/>
                <w:color w:val="auto"/>
                <w:w w:val="94"/>
              </w:rPr>
              <w:t>reasonably satisfactory to BH, to the effect that the Exchange should qualify for the Intended Tax Treatment (the “Munger Tax</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gridSpan w:val="8"/>
          </w:tcPr>
          <w:p>
            <w:pPr>
              <w:spacing w:after="0" w:line="196" w:lineRule="exact"/>
              <w:rPr>
                <w:sz w:val="20"/>
                <w:szCs w:val="20"/>
                <w:color w:val="auto"/>
              </w:rPr>
            </w:pPr>
            <w:r>
              <w:rPr>
                <w:rFonts w:ascii="Arial" w:cs="Arial" w:eastAsia="Arial" w:hAnsi="Arial"/>
                <w:sz w:val="18"/>
                <w:szCs w:val="18"/>
                <w:color w:val="auto"/>
                <w:w w:val="93"/>
              </w:rPr>
              <w:t>Opinion” and, together with the Cravath Tax Opinion, the “Tax Opinions”). The parties understand that the Tax Opinions will be</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based on various representations and covenants that will be required from Graham and BH.</w:t>
            </w:r>
          </w:p>
        </w:tc>
      </w:tr>
      <w:tr>
        <w:trPr>
          <w:trHeight w:val="445"/>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0"/>
              </w:rPr>
              <w:t>Any necessary antitrust regulatory approvals shall have been received, and any necessary consents from the United States Federal</w:t>
            </w: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Communications Commission shall have been received.</w:t>
            </w:r>
          </w:p>
        </w:tc>
      </w:tr>
      <w:tr>
        <w:trPr>
          <w:trHeight w:val="459"/>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The Definitive Agreement will also provide for additional closing conditions customary for transactions of this nature.</w:t>
            </w:r>
          </w:p>
        </w:tc>
      </w:tr>
      <w:tr>
        <w:trPr>
          <w:trHeight w:val="432"/>
        </w:trPr>
        <w:tc>
          <w:tcPr>
            <w:tcW w:w="1960" w:type="dxa"/>
            <w:vAlign w:val="bottom"/>
            <w:gridSpan w:val="8"/>
          </w:tcPr>
          <w:p>
            <w:pPr>
              <w:spacing w:after="0"/>
              <w:rPr>
                <w:sz w:val="20"/>
                <w:szCs w:val="20"/>
                <w:color w:val="auto"/>
              </w:rPr>
            </w:pPr>
            <w:r>
              <w:rPr>
                <w:rFonts w:ascii="Arial" w:cs="Arial" w:eastAsia="Arial" w:hAnsi="Arial"/>
                <w:sz w:val="18"/>
                <w:szCs w:val="18"/>
                <w:color w:val="auto"/>
              </w:rPr>
              <w:t>Indemnification:</w:t>
            </w:r>
          </w:p>
        </w:tc>
        <w:tc>
          <w:tcPr>
            <w:tcW w:w="9460" w:type="dxa"/>
            <w:vAlign w:val="bottom"/>
            <w:gridSpan w:val="8"/>
          </w:tcPr>
          <w:p>
            <w:pPr>
              <w:spacing w:after="0"/>
              <w:rPr>
                <w:sz w:val="20"/>
                <w:szCs w:val="20"/>
                <w:color w:val="auto"/>
              </w:rPr>
            </w:pPr>
            <w:r>
              <w:rPr>
                <w:rFonts w:ascii="Arial" w:cs="Arial" w:eastAsia="Arial" w:hAnsi="Arial"/>
                <w:sz w:val="18"/>
                <w:szCs w:val="18"/>
                <w:color w:val="auto"/>
                <w:w w:val="94"/>
              </w:rPr>
              <w:t>The Definitive Agreement will provide for indemnification provisions customary for transactions of this nature, with baskets and</w:t>
            </w:r>
          </w:p>
        </w:tc>
      </w:tr>
      <w:tr>
        <w:trPr>
          <w:trHeight w:val="237"/>
        </w:trPr>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9"/>
              </w:rPr>
              <w:t>caps to be agreed; it being understood that such baskets and caps shall be derived from the value of the Miami Station.</w:t>
            </w:r>
          </w:p>
        </w:tc>
      </w:tr>
      <w:tr>
        <w:trPr>
          <w:trHeight w:val="392"/>
        </w:trPr>
        <w:tc>
          <w:tcPr>
            <w:tcW w:w="1960" w:type="dxa"/>
            <w:vAlign w:val="bottom"/>
            <w:gridSpan w:val="8"/>
          </w:tcPr>
          <w:p>
            <w:pPr>
              <w:spacing w:after="0"/>
              <w:rPr>
                <w:sz w:val="20"/>
                <w:szCs w:val="20"/>
                <w:color w:val="auto"/>
              </w:rPr>
            </w:pPr>
            <w:r>
              <w:rPr>
                <w:rFonts w:ascii="Arial" w:cs="Arial" w:eastAsia="Arial" w:hAnsi="Arial"/>
                <w:sz w:val="18"/>
                <w:szCs w:val="18"/>
                <w:color w:val="auto"/>
              </w:rPr>
              <w:t>Restrictions on Future</w:t>
            </w:r>
          </w:p>
        </w:tc>
        <w:tc>
          <w:tcPr>
            <w:tcW w:w="9460" w:type="dxa"/>
            <w:vAlign w:val="bottom"/>
            <w:gridSpan w:val="8"/>
          </w:tcPr>
          <w:p>
            <w:pPr>
              <w:spacing w:after="0"/>
              <w:rPr>
                <w:sz w:val="20"/>
                <w:szCs w:val="20"/>
                <w:color w:val="auto"/>
              </w:rPr>
            </w:pPr>
            <w:r>
              <w:rPr>
                <w:rFonts w:ascii="Arial" w:cs="Arial" w:eastAsia="Arial" w:hAnsi="Arial"/>
                <w:sz w:val="18"/>
                <w:szCs w:val="18"/>
                <w:color w:val="auto"/>
                <w:w w:val="91"/>
              </w:rPr>
              <w:t>The parties acknowledge that the Tax Opinions will require that Graham, BH and NewSub will be subject to certain restrictions on</w:t>
            </w:r>
          </w:p>
        </w:tc>
      </w:tr>
      <w:tr>
        <w:trPr>
          <w:trHeight w:val="196"/>
        </w:trPr>
        <w:tc>
          <w:tcPr>
            <w:tcW w:w="160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17"/>
                <w:szCs w:val="17"/>
                <w:color w:val="auto"/>
              </w:rPr>
            </w:pPr>
          </w:p>
        </w:tc>
        <w:tc>
          <w:tcPr>
            <w:tcW w:w="9460" w:type="dxa"/>
            <w:vAlign w:val="bottom"/>
            <w:gridSpan w:val="8"/>
          </w:tcPr>
          <w:p>
            <w:pPr>
              <w:spacing w:after="0" w:line="196" w:lineRule="exact"/>
              <w:rPr>
                <w:sz w:val="20"/>
                <w:szCs w:val="20"/>
                <w:color w:val="auto"/>
              </w:rPr>
            </w:pPr>
            <w:r>
              <w:rPr>
                <w:rFonts w:ascii="Arial" w:cs="Arial" w:eastAsia="Arial" w:hAnsi="Arial"/>
                <w:sz w:val="18"/>
                <w:szCs w:val="18"/>
                <w:color w:val="auto"/>
                <w:w w:val="92"/>
              </w:rPr>
              <w:t>mergers and acquisitions and certain other activities for a period of up to two years following the consummation of the Exchange</w:t>
            </w:r>
          </w:p>
        </w:tc>
      </w:tr>
      <w:tr>
        <w:trPr>
          <w:trHeight w:val="237"/>
        </w:trPr>
        <w:tc>
          <w:tcPr>
            <w:tcW w:w="7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in order to preserve the Intended Tax Treatment.</w:t>
            </w:r>
          </w:p>
        </w:tc>
      </w:tr>
      <w:tr>
        <w:trPr>
          <w:trHeight w:val="432"/>
        </w:trPr>
        <w:tc>
          <w:tcPr>
            <w:tcW w:w="1960" w:type="dxa"/>
            <w:vAlign w:val="bottom"/>
            <w:gridSpan w:val="8"/>
          </w:tcPr>
          <w:p>
            <w:pPr>
              <w:spacing w:after="0"/>
              <w:rPr>
                <w:sz w:val="20"/>
                <w:szCs w:val="20"/>
                <w:color w:val="auto"/>
              </w:rPr>
            </w:pPr>
            <w:r>
              <w:rPr>
                <w:rFonts w:ascii="Arial" w:cs="Arial" w:eastAsia="Arial" w:hAnsi="Arial"/>
                <w:sz w:val="18"/>
                <w:szCs w:val="18"/>
                <w:color w:val="auto"/>
              </w:rPr>
              <w:t>Termination:</w:t>
            </w:r>
          </w:p>
        </w:tc>
        <w:tc>
          <w:tcPr>
            <w:tcW w:w="9460" w:type="dxa"/>
            <w:vAlign w:val="bottom"/>
            <w:gridSpan w:val="8"/>
          </w:tcPr>
          <w:p>
            <w:pPr>
              <w:spacing w:after="0"/>
              <w:rPr>
                <w:sz w:val="20"/>
                <w:szCs w:val="20"/>
                <w:color w:val="auto"/>
              </w:rPr>
            </w:pPr>
            <w:r>
              <w:rPr>
                <w:rFonts w:ascii="Arial" w:cs="Arial" w:eastAsia="Arial" w:hAnsi="Arial"/>
                <w:sz w:val="18"/>
                <w:szCs w:val="18"/>
                <w:color w:val="auto"/>
                <w:w w:val="93"/>
              </w:rPr>
              <w:t>The Definitive Agreement will provide for a termination right for Graham or BH, as applicable, in the event that such party’s Tax</w:t>
            </w:r>
          </w:p>
        </w:tc>
      </w:tr>
      <w:tr>
        <w:trPr>
          <w:trHeight w:val="222"/>
        </w:trPr>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8"/>
              </w:rPr>
              <w:t>Opinion cannot be obtained, and for a termination right for each of Graham and BH in the event that (i) the closing of the</w:t>
            </w: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0"/>
              </w:rPr>
              <w:t>Exchange has not occurred by the date that is six months from the date of the Definitive Agreement, (ii) the closing price of a share</w:t>
            </w: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0"/>
              </w:rPr>
              <w:t>of BH Class A common stock on the closing date is less than $120,000, or the VWAP per share of Graham Class B common stock</w:t>
            </w: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2"/>
              </w:rPr>
              <w:t>on the closing date is less than $500, or (iii) the value of the Miami Station (as of the closing of the Exchange) taken into account</w:t>
            </w:r>
          </w:p>
        </w:tc>
      </w:tr>
      <w:tr>
        <w:trPr>
          <w:trHeight w:val="216"/>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2"/>
              </w:rPr>
              <w:t>by counsel to Graham in making the determination whether the Exchange qualifies under Section 355(g) of the Code is less than</w:t>
            </w: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$345.8 million.</w:t>
            </w:r>
          </w:p>
        </w:tc>
      </w:tr>
      <w:tr>
        <w:trPr>
          <w:trHeight w:val="459"/>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The Definitive Agreement will also provide for termination provisions customary for transactions of this nature.</w:t>
            </w:r>
          </w:p>
        </w:tc>
      </w:tr>
      <w:tr>
        <w:trPr>
          <w:trHeight w:val="432"/>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Additional</w:t>
            </w:r>
          </w:p>
        </w:tc>
        <w:tc>
          <w:tcPr>
            <w:tcW w:w="1180" w:type="dxa"/>
            <w:vAlign w:val="bottom"/>
            <w:gridSpan w:val="6"/>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1"/>
              </w:rPr>
              <w:t>A Tax Matters Agreement and other ancillary agreements with customary terms to be agreed between the parties shall be entered</w:t>
            </w:r>
          </w:p>
        </w:tc>
      </w:tr>
      <w:tr>
        <w:trPr>
          <w:trHeight w:val="196"/>
        </w:trPr>
        <w:tc>
          <w:tcPr>
            <w:tcW w:w="1960" w:type="dxa"/>
            <w:vAlign w:val="bottom"/>
            <w:gridSpan w:val="8"/>
          </w:tcPr>
          <w:p>
            <w:pPr>
              <w:spacing w:after="0" w:line="196" w:lineRule="exact"/>
              <w:rPr>
                <w:sz w:val="20"/>
                <w:szCs w:val="20"/>
                <w:color w:val="auto"/>
              </w:rPr>
            </w:pPr>
            <w:r>
              <w:rPr>
                <w:rFonts w:ascii="Arial" w:cs="Arial" w:eastAsia="Arial" w:hAnsi="Arial"/>
                <w:sz w:val="18"/>
                <w:szCs w:val="18"/>
                <w:color w:val="auto"/>
              </w:rPr>
              <w:t>Documentation:</w:t>
            </w:r>
          </w:p>
        </w:tc>
        <w:tc>
          <w:tcPr>
            <w:tcW w:w="9460" w:type="dxa"/>
            <w:vAlign w:val="bottom"/>
            <w:gridSpan w:val="8"/>
          </w:tcPr>
          <w:p>
            <w:pPr>
              <w:spacing w:after="0" w:line="196" w:lineRule="exact"/>
              <w:rPr>
                <w:sz w:val="20"/>
                <w:szCs w:val="20"/>
                <w:color w:val="auto"/>
              </w:rPr>
            </w:pPr>
            <w:r>
              <w:rPr>
                <w:rFonts w:ascii="Arial" w:cs="Arial" w:eastAsia="Arial" w:hAnsi="Arial"/>
                <w:sz w:val="18"/>
                <w:szCs w:val="18"/>
                <w:color w:val="auto"/>
              </w:rPr>
              <w:t>into concurrently with the Definitive Agreement.</w:t>
            </w:r>
          </w:p>
        </w:tc>
      </w:tr>
      <w:tr>
        <w:trPr>
          <w:trHeight w:val="385"/>
        </w:trPr>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80" w:type="dxa"/>
            <w:vAlign w:val="bottom"/>
            <w:gridSpan w:val="4"/>
          </w:tcPr>
          <w:p>
            <w:pPr>
              <w:ind w:left="3700"/>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Prices</w:t>
            </w:r>
          </w:p>
        </w:tc>
        <w:tc>
          <w:tcPr>
            <w:tcW w:w="2580" w:type="dxa"/>
            <w:vAlign w:val="bottom"/>
            <w:gridSpan w:val="2"/>
          </w:tcPr>
          <w:p>
            <w:pPr>
              <w:jc w:val="right"/>
              <w:ind w:right="571"/>
              <w:spacing w:after="0"/>
              <w:rPr>
                <w:sz w:val="20"/>
                <w:szCs w:val="20"/>
                <w:color w:val="auto"/>
              </w:rPr>
            </w:pPr>
            <w:r>
              <w:rPr>
                <w:rFonts w:ascii="Arial" w:cs="Arial" w:eastAsia="Arial" w:hAnsi="Arial"/>
                <w:sz w:val="14"/>
                <w:szCs w:val="14"/>
                <w:b w:val="1"/>
                <w:bCs w:val="1"/>
                <w:color w:val="auto"/>
              </w:rPr>
              <w:t>Illustrative Examples</w:t>
            </w: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2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BRK up 10%</w:t>
            </w:r>
          </w:p>
        </w:tc>
        <w:tc>
          <w:tcPr>
            <w:tcW w:w="13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BRK down 10%</w:t>
            </w:r>
          </w:p>
        </w:tc>
        <w:tc>
          <w:tcPr>
            <w:tcW w:w="12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GHC up 10%</w:t>
            </w:r>
          </w:p>
        </w:tc>
        <w:tc>
          <w:tcPr>
            <w:tcW w:w="12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GHC down 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tcPr>
          <w:p>
            <w:pPr>
              <w:jc w:val="right"/>
              <w:ind w:right="171"/>
              <w:spacing w:after="0"/>
              <w:rPr>
                <w:sz w:val="20"/>
                <w:szCs w:val="20"/>
                <w:color w:val="auto"/>
              </w:rPr>
            </w:pPr>
            <w:r>
              <w:rPr>
                <w:rFonts w:ascii="Arial" w:cs="Arial" w:eastAsia="Arial" w:hAnsi="Arial"/>
                <w:sz w:val="14"/>
                <w:szCs w:val="14"/>
                <w:b w:val="1"/>
                <w:bCs w:val="1"/>
                <w:color w:val="auto"/>
              </w:rPr>
              <w:t>As of 3/7/2014</w:t>
            </w: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GHC shares owned by Berkshire</w:t>
            </w:r>
          </w:p>
        </w:tc>
        <w:tc>
          <w:tcPr>
            <w:tcW w:w="2320" w:type="dxa"/>
            <w:vAlign w:val="bottom"/>
            <w:shd w:val="clear" w:color="auto" w:fill="CCEEFF"/>
          </w:tcPr>
          <w:p>
            <w:pPr>
              <w:jc w:val="right"/>
              <w:ind w:right="1351"/>
              <w:spacing w:after="0"/>
              <w:rPr>
                <w:sz w:val="20"/>
                <w:szCs w:val="20"/>
                <w:color w:val="auto"/>
              </w:rPr>
            </w:pPr>
            <w:r>
              <w:rPr>
                <w:rFonts w:ascii="Arial" w:cs="Arial" w:eastAsia="Arial" w:hAnsi="Arial"/>
                <w:sz w:val="18"/>
                <w:szCs w:val="18"/>
                <w:color w:val="auto"/>
              </w:rPr>
              <w:t>1,727,765</w:t>
            </w: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Per share closing price</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703.77</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703.77</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703.77</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774.15</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Market value</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1,215,949,174</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1,215,949,174</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1,215,949,174</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1,337,544,091</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1,094,354,257</w:t>
            </w:r>
          </w:p>
        </w:tc>
        <w:tc>
          <w:tcPr>
            <w:tcW w:w="0" w:type="dxa"/>
            <w:vAlign w:val="bottom"/>
          </w:tcPr>
          <w:p>
            <w:pPr>
              <w:spacing w:after="0"/>
              <w:rPr>
                <w:sz w:val="1"/>
                <w:szCs w:val="1"/>
                <w:color w:val="auto"/>
              </w:rPr>
            </w:pPr>
          </w:p>
        </w:tc>
      </w:tr>
      <w:tr>
        <w:trPr>
          <w:trHeight w:val="324"/>
        </w:trPr>
        <w:tc>
          <w:tcPr>
            <w:tcW w:w="3960" w:type="dxa"/>
            <w:vAlign w:val="bottom"/>
            <w:gridSpan w:val="5"/>
          </w:tcPr>
          <w:p>
            <w:pPr>
              <w:spacing w:after="0"/>
              <w:rPr>
                <w:sz w:val="20"/>
                <w:szCs w:val="20"/>
                <w:color w:val="auto"/>
              </w:rPr>
            </w:pPr>
            <w:r>
              <w:rPr>
                <w:rFonts w:ascii="Arial" w:cs="Arial" w:eastAsia="Arial" w:hAnsi="Arial"/>
                <w:sz w:val="18"/>
                <w:szCs w:val="18"/>
                <w:color w:val="auto"/>
              </w:rPr>
              <w:t>BRK/A shares owned by GHC</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2,214</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BRK/B shares owned by GHC</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424,250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424,250</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424,250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424,250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Per share BRK/A closing price</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183,722</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202,094</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165,350</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183,600</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 share BRK/B closing price</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122.67</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134.94</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110.40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122.34</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Value BRK/A shares</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406,760,508</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447,436,559</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366,084,457</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406,490,400</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406,490,400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Value BRK/B shares</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52,042,748</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57,247,022</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46,838,473</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51,902,745</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51,902,745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4"/>
          </w:tcPr>
          <w:p>
            <w:pPr>
              <w:spacing w:after="0"/>
              <w:rPr>
                <w:sz w:val="20"/>
                <w:szCs w:val="20"/>
                <w:color w:val="auto"/>
              </w:rPr>
            </w:pPr>
            <w:r>
              <w:rPr>
                <w:rFonts w:ascii="Arial" w:cs="Arial" w:eastAsia="Arial" w:hAnsi="Arial"/>
                <w:sz w:val="18"/>
                <w:szCs w:val="18"/>
                <w:i w:val="1"/>
                <w:iCs w:val="1"/>
                <w:color w:val="auto"/>
              </w:rPr>
              <w:t>Market value BRK</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458,803,256</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504,683,581</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412,922,930</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458,393,145</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458,393,145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Value of Television station</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364,000,000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364,000,000</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364,000,000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364,000,000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364,000,000</w:t>
            </w:r>
          </w:p>
        </w:tc>
        <w:tc>
          <w:tcPr>
            <w:tcW w:w="0" w:type="dxa"/>
            <w:vAlign w:val="bottom"/>
          </w:tcPr>
          <w:p>
            <w:pPr>
              <w:spacing w:after="0"/>
              <w:rPr>
                <w:sz w:val="1"/>
                <w:szCs w:val="1"/>
                <w:color w:val="auto"/>
              </w:rPr>
            </w:pPr>
          </w:p>
        </w:tc>
      </w:tr>
      <w:tr>
        <w:trPr>
          <w:trHeight w:val="284"/>
        </w:trPr>
        <w:tc>
          <w:tcPr>
            <w:tcW w:w="3960" w:type="dxa"/>
            <w:vAlign w:val="bottom"/>
            <w:gridSpan w:val="5"/>
          </w:tcPr>
          <w:p>
            <w:pPr>
              <w:spacing w:after="0"/>
              <w:rPr>
                <w:sz w:val="20"/>
                <w:szCs w:val="20"/>
                <w:color w:val="auto"/>
              </w:rPr>
            </w:pPr>
            <w:r>
              <w:rPr>
                <w:rFonts w:ascii="Arial" w:cs="Arial" w:eastAsia="Arial" w:hAnsi="Arial"/>
                <w:sz w:val="18"/>
                <w:szCs w:val="18"/>
                <w:color w:val="auto"/>
                <w:w w:val="95"/>
              </w:rPr>
              <w:t>Assumed total value of consideration exchanged by</w:t>
            </w:r>
          </w:p>
        </w:tc>
        <w:tc>
          <w:tcPr>
            <w:tcW w:w="2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auto"/>
            </w:tcBorders>
            <w:gridSpan w:val="3"/>
          </w:tcPr>
          <w:p>
            <w:pPr>
              <w:ind w:left="160"/>
              <w:spacing w:after="0" w:line="196" w:lineRule="exact"/>
              <w:rPr>
                <w:sz w:val="20"/>
                <w:szCs w:val="20"/>
                <w:color w:val="auto"/>
              </w:rPr>
            </w:pPr>
            <w:r>
              <w:rPr>
                <w:rFonts w:ascii="Arial" w:cs="Arial" w:eastAsia="Arial" w:hAnsi="Arial"/>
                <w:sz w:val="18"/>
                <w:szCs w:val="18"/>
                <w:color w:val="auto"/>
              </w:rPr>
              <w:t>GHC</w:t>
            </w:r>
          </w:p>
        </w:tc>
        <w:tc>
          <w:tcPr>
            <w:tcW w:w="240" w:type="dxa"/>
            <w:vAlign w:val="bottom"/>
          </w:tcPr>
          <w:p>
            <w:pPr>
              <w:spacing w:after="0"/>
              <w:rPr>
                <w:sz w:val="17"/>
                <w:szCs w:val="17"/>
                <w:color w:val="auto"/>
              </w:rPr>
            </w:pPr>
          </w:p>
        </w:tc>
        <w:tc>
          <w:tcPr>
            <w:tcW w:w="23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1,092,000,000</w:t>
            </w:r>
          </w:p>
        </w:tc>
        <w:tc>
          <w:tcPr>
            <w:tcW w:w="1280" w:type="dxa"/>
            <w:vAlign w:val="bottom"/>
          </w:tcPr>
          <w:p>
            <w:pPr>
              <w:jc w:val="right"/>
              <w:ind w:right="31"/>
              <w:spacing w:after="0" w:line="196" w:lineRule="exact"/>
              <w:rPr>
                <w:sz w:val="20"/>
                <w:szCs w:val="20"/>
                <w:color w:val="auto"/>
              </w:rPr>
            </w:pPr>
            <w:r>
              <w:rPr>
                <w:rFonts w:ascii="Arial" w:cs="Arial" w:eastAsia="Arial" w:hAnsi="Arial"/>
                <w:sz w:val="18"/>
                <w:szCs w:val="18"/>
                <w:color w:val="auto"/>
                <w:w w:val="99"/>
              </w:rPr>
              <w:t>1,092,000,000</w:t>
            </w:r>
          </w:p>
        </w:tc>
        <w:tc>
          <w:tcPr>
            <w:tcW w:w="13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1,092,000,000</w:t>
            </w:r>
          </w:p>
        </w:tc>
        <w:tc>
          <w:tcPr>
            <w:tcW w:w="1280" w:type="dxa"/>
            <w:vAlign w:val="bottom"/>
          </w:tcPr>
          <w:p>
            <w:pPr>
              <w:jc w:val="right"/>
              <w:ind w:right="31"/>
              <w:spacing w:after="0" w:line="196" w:lineRule="exact"/>
              <w:rPr>
                <w:sz w:val="20"/>
                <w:szCs w:val="20"/>
                <w:color w:val="auto"/>
              </w:rPr>
            </w:pPr>
            <w:r>
              <w:rPr>
                <w:rFonts w:ascii="Arial" w:cs="Arial" w:eastAsia="Arial" w:hAnsi="Arial"/>
                <w:sz w:val="18"/>
                <w:szCs w:val="18"/>
                <w:color w:val="auto"/>
                <w:w w:val="99"/>
              </w:rPr>
              <w:t>1,092,000,000</w:t>
            </w:r>
          </w:p>
        </w:tc>
        <w:tc>
          <w:tcPr>
            <w:tcW w:w="12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1,092,000,000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Television station</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364,000,000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364,000,000</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364,000,000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364,000,000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BRK/A and BRK/B shares</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400,282,183</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400,282,183</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400,282,183</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400,282,183</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400,282,183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327,717,817</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327,717,817</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327,717,817</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327,717,817</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327,717,817</w:t>
            </w:r>
          </w:p>
        </w:tc>
        <w:tc>
          <w:tcPr>
            <w:tcW w:w="0" w:type="dxa"/>
            <w:vAlign w:val="bottom"/>
          </w:tcPr>
          <w:p>
            <w:pPr>
              <w:spacing w:after="0"/>
              <w:rPr>
                <w:sz w:val="1"/>
                <w:szCs w:val="1"/>
                <w:color w:val="auto"/>
              </w:rPr>
            </w:pPr>
          </w:p>
        </w:tc>
      </w:tr>
      <w:tr>
        <w:trPr>
          <w:trHeight w:val="324"/>
        </w:trPr>
        <w:tc>
          <w:tcPr>
            <w:tcW w:w="3960" w:type="dxa"/>
            <w:vAlign w:val="bottom"/>
            <w:gridSpan w:val="5"/>
          </w:tcPr>
          <w:p>
            <w:pPr>
              <w:spacing w:after="0"/>
              <w:rPr>
                <w:sz w:val="20"/>
                <w:szCs w:val="20"/>
                <w:color w:val="auto"/>
              </w:rPr>
            </w:pPr>
            <w:r>
              <w:rPr>
                <w:rFonts w:ascii="Arial" w:cs="Arial" w:eastAsia="Arial" w:hAnsi="Arial"/>
                <w:sz w:val="18"/>
                <w:szCs w:val="18"/>
                <w:color w:val="auto"/>
              </w:rPr>
              <w:t>Total value exchanged by Graham to Berkshire</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1,092,000,000</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w w:val="99"/>
              </w:rPr>
              <w:t>1,092,000,000</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1,092,000,000</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w w:val="99"/>
              </w:rPr>
              <w:t>1,092,000,000</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1,092,000,000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GHC shares retained by Berkshire to cover value</w:t>
            </w:r>
          </w:p>
        </w:tc>
        <w:tc>
          <w:tcPr>
            <w:tcW w:w="2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shortfall</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100,597</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100,597</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100,597</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91,490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111,716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4"/>
          </w:tcPr>
          <w:p>
            <w:pPr>
              <w:spacing w:after="0" w:line="201" w:lineRule="exact"/>
              <w:rPr>
                <w:sz w:val="20"/>
                <w:szCs w:val="20"/>
                <w:color w:val="auto"/>
              </w:rPr>
            </w:pPr>
            <w:r>
              <w:rPr>
                <w:rFonts w:ascii="Arial" w:cs="Arial" w:eastAsia="Arial" w:hAnsi="Arial"/>
                <w:sz w:val="18"/>
                <w:szCs w:val="18"/>
                <w:color w:val="auto"/>
                <w:w w:val="98"/>
              </w:rPr>
              <w:t>After tax value of GHC shares retained at 35% tax</w:t>
            </w:r>
          </w:p>
        </w:tc>
        <w:tc>
          <w:tcPr>
            <w:tcW w:w="2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4"/>
          </w:tcPr>
          <w:p>
            <w:pPr>
              <w:ind w:left="160"/>
              <w:spacing w:after="0"/>
              <w:rPr>
                <w:sz w:val="20"/>
                <w:szCs w:val="20"/>
                <w:color w:val="auto"/>
              </w:rPr>
            </w:pPr>
            <w:r>
              <w:rPr>
                <w:rFonts w:ascii="Arial" w:cs="Arial" w:eastAsia="Arial" w:hAnsi="Arial"/>
                <w:sz w:val="18"/>
                <w:szCs w:val="18"/>
                <w:color w:val="auto"/>
              </w:rPr>
              <w:t>rate</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46,234,304</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46,234,304</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46,234,304</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46,234,304</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46,234,304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GHC shares witheld from Graham due to working</w:t>
            </w:r>
          </w:p>
        </w:tc>
        <w:tc>
          <w:tcPr>
            <w:tcW w:w="2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capital adjustment pre-tax</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1,421</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1,421</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1,421</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1,292</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4"/>
          </w:tcPr>
          <w:p>
            <w:pPr>
              <w:spacing w:after="0" w:line="201" w:lineRule="exact"/>
              <w:rPr>
                <w:sz w:val="20"/>
                <w:szCs w:val="20"/>
                <w:color w:val="auto"/>
              </w:rPr>
            </w:pPr>
            <w:r>
              <w:rPr>
                <w:rFonts w:ascii="Arial" w:cs="Arial" w:eastAsia="Arial" w:hAnsi="Arial"/>
                <w:sz w:val="18"/>
                <w:szCs w:val="18"/>
                <w:color w:val="auto"/>
                <w:w w:val="95"/>
              </w:rPr>
              <w:t>Pre tax value of GHC shares witheld due to working</w:t>
            </w:r>
          </w:p>
        </w:tc>
        <w:tc>
          <w:tcPr>
            <w:tcW w:w="2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4"/>
          </w:tcPr>
          <w:p>
            <w:pPr>
              <w:ind w:left="160"/>
              <w:spacing w:after="0"/>
              <w:rPr>
                <w:sz w:val="20"/>
                <w:szCs w:val="20"/>
                <w:color w:val="auto"/>
              </w:rPr>
            </w:pPr>
            <w:r>
              <w:rPr>
                <w:rFonts w:ascii="Arial" w:cs="Arial" w:eastAsia="Arial" w:hAnsi="Arial"/>
                <w:sz w:val="18"/>
                <w:szCs w:val="18"/>
                <w:color w:val="auto"/>
              </w:rPr>
              <w:t>capital adjustment</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1,000,000</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value retained by Berkshire</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1,139,234,304</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1,139,234,304</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1,139,234,304</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1,139,234,304</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1,139,234,304</w:t>
            </w:r>
          </w:p>
        </w:tc>
        <w:tc>
          <w:tcPr>
            <w:tcW w:w="0" w:type="dxa"/>
            <w:vAlign w:val="bottom"/>
          </w:tcPr>
          <w:p>
            <w:pPr>
              <w:spacing w:after="0"/>
              <w:rPr>
                <w:sz w:val="1"/>
                <w:szCs w:val="1"/>
                <w:color w:val="auto"/>
              </w:rPr>
            </w:pPr>
          </w:p>
        </w:tc>
      </w:tr>
      <w:tr>
        <w:trPr>
          <w:trHeight w:val="324"/>
        </w:trPr>
        <w:tc>
          <w:tcPr>
            <w:tcW w:w="3960" w:type="dxa"/>
            <w:vAlign w:val="bottom"/>
            <w:gridSpan w:val="5"/>
          </w:tcPr>
          <w:p>
            <w:pPr>
              <w:spacing w:after="0"/>
              <w:rPr>
                <w:sz w:val="20"/>
                <w:szCs w:val="20"/>
                <w:color w:val="auto"/>
              </w:rPr>
            </w:pPr>
            <w:r>
              <w:rPr>
                <w:rFonts w:ascii="Arial" w:cs="Arial" w:eastAsia="Arial" w:hAnsi="Arial"/>
                <w:sz w:val="18"/>
                <w:szCs w:val="18"/>
                <w:color w:val="auto"/>
              </w:rPr>
              <w:t>GHC shares returned to Graham</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1,625,747</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1,625,747</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1,625,747</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1,634,983</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1,614,470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returned to Berkshire-BRK/B</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309,754</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Shares returned to Berkshire-BRK/A</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2,179</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1,981</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2,180</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BRK/B shares retained by Graham</w:t>
            </w:r>
          </w:p>
        </w:tc>
        <w:tc>
          <w:tcPr>
            <w:tcW w:w="2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424,250</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424,250</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114,496</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424,250</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BRK/A shares retained by Graham</w:t>
            </w:r>
          </w:p>
        </w:tc>
        <w:tc>
          <w:tcPr>
            <w:tcW w:w="232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undersigned persons hereby agree that reports on Schedule 13D, and amendments thereto, with respect to the Class B Common Stock of Graham Holdings Company may be filed in a single statement on behalf of each such person, and further, each of such person designates Warren E. Buffett as its agent and Attorney-in-Fact for the purpose of executing any and all Schedule 13D filings required to be made by it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W</w:t>
      </w:r>
      <w:r>
        <w:rPr>
          <w:rFonts w:ascii="Arial" w:cs="Arial" w:eastAsia="Arial" w:hAnsi="Arial"/>
          <w:sz w:val="15"/>
          <w:szCs w:val="15"/>
          <w:color w:val="auto"/>
        </w:rPr>
        <w:t>ARREN</w:t>
      </w:r>
      <w:r>
        <w:rPr>
          <w:rFonts w:ascii="Arial" w:cs="Arial" w:eastAsia="Arial" w:hAnsi="Arial"/>
          <w:sz w:val="18"/>
          <w:szCs w:val="18"/>
          <w:color w:val="auto"/>
        </w:rPr>
        <w:t xml:space="preserve"> E. B</w:t>
      </w:r>
      <w:r>
        <w:rPr>
          <w:rFonts w:ascii="Arial" w:cs="Arial" w:eastAsia="Arial" w:hAnsi="Arial"/>
          <w:sz w:val="15"/>
          <w:szCs w:val="15"/>
          <w:color w:val="auto"/>
        </w:rPr>
        <w:t>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Warren E. Buffett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w:t>
      </w:r>
      <w:r>
        <w:rPr>
          <w:rFonts w:ascii="Arial" w:cs="Arial" w:eastAsia="Arial" w:hAnsi="Arial"/>
          <w:sz w:val="15"/>
          <w:szCs w:val="15"/>
          <w:color w:val="auto"/>
        </w:rPr>
        <w:t>ARC</w:t>
      </w:r>
      <w:r>
        <w:rPr>
          <w:rFonts w:ascii="Arial" w:cs="Arial" w:eastAsia="Arial" w:hAnsi="Arial"/>
          <w:sz w:val="18"/>
          <w:szCs w:val="18"/>
          <w:color w:val="auto"/>
        </w:rPr>
        <w:t xml:space="preserve"> D. H</w:t>
      </w:r>
      <w:r>
        <w:rPr>
          <w:rFonts w:ascii="Arial" w:cs="Arial" w:eastAsia="Arial" w:hAnsi="Arial"/>
          <w:sz w:val="15"/>
          <w:szCs w:val="15"/>
          <w:color w:val="auto"/>
        </w:rPr>
        <w:t>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Marc D. Hamburg</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Treasurer and Controller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Treasurer and Controller</w:t>
      </w:r>
    </w:p>
    <w:p>
      <w:pPr>
        <w:sectPr>
          <w:pgSz w:w="11900" w:h="16838" w:orient="portrait"/>
          <w:cols w:equalWidth="0" w:num="1">
            <w:col w:w="11420"/>
          </w:cols>
          <w:pgMar w:left="240" w:top="121" w:right="239" w:bottom="1440" w:gutter="0" w:footer="0" w:header="0"/>
        </w:sectPr>
      </w:pPr>
    </w:p>
    <w:bookmarkStart w:id="8" w:name="page9"/>
    <w:bookmarkEnd w:id="8"/>
    <w:p>
      <w:pPr>
        <w:ind w:left="5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INDEMNITY COMPANY OF MID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Treasurer and Controller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BERKSHIRE HATHAWAY HOMESTATE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w:t>
      </w:r>
      <w:r>
        <w:rPr>
          <w:rFonts w:ascii="Arial" w:cs="Arial" w:eastAsia="Arial" w:hAnsi="Arial"/>
          <w:sz w:val="15"/>
          <w:szCs w:val="15"/>
          <w:color w:val="auto"/>
        </w:rPr>
        <w:t>ONALD</w:t>
      </w:r>
      <w:r>
        <w:rPr>
          <w:rFonts w:ascii="Arial" w:cs="Arial" w:eastAsia="Arial" w:hAnsi="Arial"/>
          <w:sz w:val="18"/>
          <w:szCs w:val="18"/>
          <w:color w:val="auto"/>
        </w:rPr>
        <w:t xml:space="preserve"> F. W</w:t>
      </w:r>
      <w:r>
        <w:rPr>
          <w:rFonts w:ascii="Arial" w:cs="Arial" w:eastAsia="Arial" w:hAnsi="Arial"/>
          <w:sz w:val="15"/>
          <w:szCs w:val="15"/>
          <w:color w:val="auto"/>
        </w:rPr>
        <w:t>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Donald F. Wurster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NATIONAL LIABIILTY &amp; FIRE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Treasurer and Controller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2019-12-05T15:56:58Z</dcterms:created>
  <dcterms:modified xsi:type="dcterms:W3CDTF">2019-12-05T15:56:58Z</dcterms:modified>
</cp:coreProperties>
</file>