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(Initial Filing)*</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The Washington Post Company</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87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939640108</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300" w:type="dxa"/>
            <w:vAlign w:val="bottom"/>
          </w:tcPr>
          <w:p>
            <w:pPr>
              <w:ind w:left="200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72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78,505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2"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352,167 shares (Shared)</w:t>
      </w:r>
    </w:p>
    <w:p>
      <w:pPr>
        <w:ind w:left="4860"/>
        <w:spacing w:after="0" w:line="238" w:lineRule="auto"/>
        <w:rPr>
          <w:sz w:val="20"/>
          <w:szCs w:val="20"/>
          <w:color w:val="auto"/>
        </w:rPr>
      </w:pPr>
      <w:r>
        <w:rPr>
          <w:rFonts w:ascii="Courier New" w:cs="Courier New" w:eastAsia="Courier New" w:hAnsi="Courier New"/>
          <w:sz w:val="18"/>
          <w:szCs w:val="18"/>
          <w:color w:val="auto"/>
        </w:rPr>
        <w:t>5,286 shares (No Vote)</w:t>
      </w:r>
    </w:p>
    <w:p>
      <w:pPr>
        <w:spacing w:after="0" w:line="5"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ectPr>
          <w:pgSz w:w="11900" w:h="16838" w:orient="portrait"/>
          <w:cols w:equalWidth="0" w:num="1">
            <w:col w:w="10219"/>
          </w:cols>
          <w:pgMar w:left="240" w:top="244" w:right="1440" w:bottom="0"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740" w:hanging="1045"/>
        <w:spacing w:after="0"/>
        <w:tabs>
          <w:tab w:leader="none" w:pos="4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83,791 shares</w:t>
      </w:r>
    </w:p>
    <w:p>
      <w:pPr>
        <w:spacing w:after="0" w:line="3"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352,167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435,958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160" w:type="dxa"/>
            <w:vAlign w:val="bottom"/>
          </w:tcPr>
          <w:p>
            <w:pPr>
              <w:ind w:left="18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bl>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The Washington Post Company</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1150 15th Street, N.W.</w:t>
      </w:r>
    </w:p>
    <w:p>
      <w:pPr>
        <w:sectPr>
          <w:pgSz w:w="11900" w:h="16838" w:orient="portrait"/>
          <w:cols w:equalWidth="0" w:num="1">
            <w:col w:w="10219"/>
          </w:cols>
          <w:pgMar w:left="240" w:top="136" w:right="1440" w:bottom="0" w:gutter="0" w:footer="0" w:header="0"/>
        </w:sectPr>
      </w:pPr>
    </w:p>
    <w:bookmarkStart w:id="2" w:name="page3"/>
    <w:bookmarkEnd w:id="2"/>
    <w:p>
      <w:pPr>
        <w:ind w:left="1060"/>
        <w:spacing w:after="0"/>
        <w:tabs>
          <w:tab w:leader="none" w:pos="2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700" w:right="4839" w:hanging="1060"/>
        <w:spacing w:after="0" w:line="236" w:lineRule="auto"/>
        <w:tabs>
          <w:tab w:leader="none" w:pos="1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700" w:hanging="1060"/>
        <w:spacing w:after="0"/>
        <w:tabs>
          <w:tab w:leader="none" w:pos="1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700" w:right="4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060" w:right="325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939640108</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(e.)</w:t>
            </w:r>
          </w:p>
        </w:tc>
        <w:tc>
          <w:tcPr>
            <w:tcW w:w="6220" w:type="dxa"/>
            <w:vAlign w:val="bottom"/>
          </w:tcPr>
          <w:p>
            <w:pPr>
              <w:ind w:left="160"/>
              <w:spacing w:after="0"/>
              <w:rPr>
                <w:sz w:val="20"/>
                <w:szCs w:val="20"/>
                <w:color w:val="auto"/>
              </w:rPr>
            </w:pPr>
            <w:r>
              <w:rPr>
                <w:rFonts w:ascii="Courier New" w:cs="Courier New" w:eastAsia="Courier New" w:hAnsi="Courier New"/>
                <w:sz w:val="18"/>
                <w:szCs w:val="18"/>
                <w:color w:val="auto"/>
              </w:rPr>
              <w:t>Investment Adviser registered under Section 203 of the</w:t>
            </w:r>
          </w:p>
        </w:tc>
        <w:tc>
          <w:tcPr>
            <w:tcW w:w="1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Investment Advisers Act of 1940.  This statement is being</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by Southeastern Asset Management, Inc. as a registered investment</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adviser. All of the securities covered by this report are</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legally by Southeastern's investment advisory clients and</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are owned directly or indirectly by Southeastern.  As permitted</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by Rule 13d-4, the filing of this statement shall not be construed</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as an admission that Southeastern Asset Management, Inc. is the</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beneficial owner of any of the securities covered by this</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statement.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(g.)</w:t>
            </w:r>
          </w:p>
        </w:tc>
        <w:tc>
          <w:tcPr>
            <w:tcW w:w="7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Parent Holding Company.  This statement is also being filed by</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Mr. O. Mason Hawkins, Chairman of the Board and C.E.O. of</w:t>
            </w:r>
          </w:p>
        </w:tc>
        <w:tc>
          <w:tcPr>
            <w:tcW w:w="1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Southeastern Asset Management, Inc. in the event he could</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deemed to be a controlling person of that firm as the result of</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his official positions with or ownership of its voting securities.</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The existence of such control is expressly disclaimed.  Mr. Hawkins</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does not own directly or indirectly any securities covered by</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this statement for his own account.  As permitted by Rule</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13d-4,</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the filing of this statement shall not be construed as an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admission</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that Mr. Hawkins is the beneficial owner of any of the securities</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covered by this statement.</w:t>
            </w:r>
          </w:p>
        </w:tc>
        <w:tc>
          <w:tcPr>
            <w:tcW w:w="11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12/31/08)</w:t>
      </w:r>
    </w:p>
    <w:p>
      <w:pPr>
        <w:ind w:left="1060"/>
        <w:spacing w:after="0" w:line="238" w:lineRule="auto"/>
        <w:rPr>
          <w:sz w:val="20"/>
          <w:szCs w:val="20"/>
          <w:color w:val="auto"/>
        </w:rPr>
      </w:pPr>
      <w:r>
        <w:rPr>
          <w:rFonts w:ascii="Courier New" w:cs="Courier New" w:eastAsia="Courier New" w:hAnsi="Courier New"/>
          <w:sz w:val="18"/>
          <w:szCs w:val="18"/>
          <w:color w:val="auto"/>
        </w:rPr>
        <w:t>435,958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5.4 %</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Above percentage is based on 8,073,989 shares of Class B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78,505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- 352,167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ectPr>
          <w:pgSz w:w="11900" w:h="16838" w:orient="portrait"/>
          <w:cols w:equalWidth="0" w:num="1">
            <w:col w:w="10219"/>
          </w:cols>
          <w:pgMar w:left="240" w:top="136" w:right="1440" w:bottom="0" w:gutter="0" w:footer="0" w:header="0"/>
        </w:sectPr>
      </w:pPr>
    </w:p>
    <w:bookmarkStart w:id="3" w:name="page4"/>
    <w:bookmarkEnd w:id="3"/>
    <w:p>
      <w:pPr>
        <w:ind w:left="1800"/>
        <w:spacing w:after="0"/>
        <w:rPr>
          <w:sz w:val="20"/>
          <w:szCs w:val="20"/>
          <w:color w:val="auto"/>
        </w:rPr>
      </w:pPr>
      <w:r>
        <w:rPr>
          <w:rFonts w:ascii="Courier New" w:cs="Courier New" w:eastAsia="Courier New" w:hAnsi="Courier New"/>
          <w:sz w:val="18"/>
          <w:szCs w:val="18"/>
          <w:color w:val="auto"/>
        </w:rPr>
        <w:t>Longleaf Partners Small Cap Fund - 352,167</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- 5,286.</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83,791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- 352,167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- 352,167</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2009</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2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259"/>
        <w:spacing w:after="0" w:line="290" w:lineRule="auto"/>
        <w:rPr>
          <w:sz w:val="20"/>
          <w:szCs w:val="20"/>
          <w:color w:val="auto"/>
        </w:rPr>
      </w:pPr>
      <w:r>
        <w:rPr>
          <w:rFonts w:ascii="Courier New" w:cs="Courier New" w:eastAsia="Courier New" w:hAnsi="Courier New"/>
          <w:sz w:val="16"/>
          <w:szCs w:val="16"/>
          <w:color w:val="auto"/>
        </w:rPr>
        <w:t>In accordance with Rule 13d-1(k) under the Securities Exchange Act of 1934, the persons or entities named below agree to the joint</w:t>
      </w:r>
    </w:p>
    <w:p>
      <w:pPr>
        <w:sectPr>
          <w:pgSz w:w="11900" w:h="16838" w:orient="portrait"/>
          <w:cols w:equalWidth="0" w:num="1">
            <w:col w:w="10219"/>
          </w:cols>
          <w:pgMar w:left="240" w:top="136" w:right="1440" w:bottom="0" w:gutter="0" w:footer="0" w:header="0"/>
        </w:sectPr>
      </w:pPr>
    </w:p>
    <w:bookmarkStart w:id="4" w:name="page5"/>
    <w:bookmarkEnd w:id="4"/>
    <w:p>
      <w:pPr>
        <w:ind w:right="3159"/>
        <w:spacing w:after="0" w:line="237" w:lineRule="auto"/>
        <w:rPr>
          <w:sz w:val="20"/>
          <w:szCs w:val="20"/>
          <w:color w:val="auto"/>
        </w:rPr>
      </w:pPr>
      <w:r>
        <w:rPr>
          <w:rFonts w:ascii="Courier New" w:cs="Courier New" w:eastAsia="Courier New" w:hAnsi="Courier New"/>
          <w:sz w:val="18"/>
          <w:szCs w:val="18"/>
          <w:color w:val="auto"/>
        </w:rPr>
        <w:t>filing on behalf of each of them of this Schedule 13G with respect to the Securities of the Issuer and further agree that this joint filing agreement be included as an exhibit to this Schedule 13G. In evidence thereof, the undersigned hereby execute this Agreement as of February 6, 2009.</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WPO13G.doc</w:t>
      </w:r>
    </w:p>
    <w:p>
      <w:pPr>
        <w:spacing w:after="0"/>
        <w:rPr>
          <w:sz w:val="20"/>
          <w:szCs w:val="20"/>
          <w:color w:val="auto"/>
        </w:rPr>
      </w:pPr>
      <w:r>
        <w:rPr>
          <w:rFonts w:ascii="Courier New" w:cs="Courier New" w:eastAsia="Courier New" w:hAnsi="Courier New"/>
          <w:sz w:val="18"/>
          <w:szCs w:val="18"/>
          <w:color w:val="auto"/>
        </w:rPr>
        <w:t>SCHEDULE 13G - The Washington Post Company ("Issuer")</w:t>
      </w:r>
    </w:p>
    <w:p>
      <w:pPr>
        <w:spacing w:after="0" w:line="237" w:lineRule="auto"/>
        <w:rPr>
          <w:sz w:val="20"/>
          <w:szCs w:val="20"/>
          <w:color w:val="auto"/>
        </w:rPr>
      </w:pPr>
      <w:r>
        <w:rPr>
          <w:rFonts w:ascii="Courier New" w:cs="Courier New" w:eastAsia="Courier New" w:hAnsi="Courier New"/>
          <w:sz w:val="18"/>
          <w:szCs w:val="18"/>
          <w:color w:val="auto"/>
        </w:rPr>
        <w:t>Initial Filing</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WPO13G.doc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8"/>
    </w:lvl>
    <w:lvl w:ilvl="1">
      <w:lvlJc w:val="left"/>
      <w:lvlText w:val=":"/>
      <w:numFmt w:val="bullet"/>
      <w:start w:val="1"/>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2019-12-10T03:44:34Z</dcterms:created>
  <dcterms:modified xsi:type="dcterms:W3CDTF">2019-12-10T03:44:34Z</dcterms:modified>
</cp:coreProperties>
</file>