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37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2017</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6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40"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552"/>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31"/>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75" w:lineRule="exact"/>
        <w:rPr>
          <w:sz w:val="24"/>
          <w:szCs w:val="24"/>
          <w:color w:val="auto"/>
        </w:rPr>
      </w:pPr>
    </w:p>
    <w:p>
      <w:pPr>
        <w:ind w:right="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2" w:lineRule="exact"/>
        <w:rPr>
          <w:sz w:val="24"/>
          <w:szCs w:val="24"/>
          <w:color w:val="auto"/>
        </w:rPr>
      </w:pPr>
    </w:p>
    <w:p>
      <w:pPr>
        <w:ind w:right="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3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 reporting company” and “emerging growth company” in Rule 12b-2 of the Exchange Act.</w:t>
      </w:r>
    </w:p>
    <w:p>
      <w:pPr>
        <w:spacing w:after="0" w:line="151" w:lineRule="exact"/>
        <w:rPr>
          <w:sz w:val="24"/>
          <w:szCs w:val="24"/>
          <w:color w:val="auto"/>
        </w:rPr>
      </w:pPr>
    </w:p>
    <w:tbl>
      <w:tblPr>
        <w:tblLayout w:type="fixed"/>
        <w:tblInd w:w="280" w:type="dxa"/>
        <w:tblCellMar>
          <w:top w:w="0" w:type="dxa"/>
          <w:left w:w="0" w:type="dxa"/>
          <w:bottom w:w="0" w:type="dxa"/>
          <w:right w:w="0" w:type="dxa"/>
        </w:tblCellMar>
      </w:tblPr>
      <w:tr>
        <w:trPr>
          <w:trHeight w:val="189"/>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Large accelerated</w:t>
            </w:r>
          </w:p>
        </w:tc>
        <w:tc>
          <w:tcPr>
            <w:tcW w:w="7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2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7"/>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7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filer</w:t>
            </w:r>
          </w:p>
        </w:tc>
        <w:tc>
          <w:tcPr>
            <w:tcW w:w="6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60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14"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July 28, 2017:</w:t>
      </w:r>
    </w:p>
    <w:p>
      <w:pPr>
        <w:spacing w:after="0" w:line="158"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4,628,229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6"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and Six Months Ended June 30, 2017 and 2016</w:t>
            </w:r>
          </w:p>
        </w:tc>
        <w:tc>
          <w:tcPr>
            <w:tcW w:w="180" w:type="dxa"/>
            <w:vAlign w:val="bottom"/>
            <w:gridSpan w:val="2"/>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95"/>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and Six Months Ended June 30, 2017 and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840" w:type="dxa"/>
            <w:vAlign w:val="bottom"/>
          </w:tcPr>
          <w:p>
            <w:pPr>
              <w:spacing w:after="0"/>
              <w:rPr>
                <w:sz w:val="13"/>
                <w:szCs w:val="13"/>
                <w:color w:val="auto"/>
              </w:rPr>
            </w:pPr>
          </w:p>
        </w:tc>
        <w:tc>
          <w:tcPr>
            <w:tcW w:w="10340" w:type="dxa"/>
            <w:vAlign w:val="bottom"/>
          </w:tcPr>
          <w:p>
            <w:pPr>
              <w:ind w:left="80"/>
              <w:spacing w:after="0" w:line="160" w:lineRule="exact"/>
              <w:rPr>
                <w:sz w:val="20"/>
                <w:szCs w:val="20"/>
                <w:color w:val="auto"/>
              </w:rPr>
            </w:pPr>
            <w:r>
              <w:rPr>
                <w:rFonts w:ascii="Arial" w:cs="Arial" w:eastAsia="Arial" w:hAnsi="Arial"/>
                <w:sz w:val="16"/>
                <w:szCs w:val="16"/>
                <w:color w:val="auto"/>
              </w:rPr>
              <w:t>2016</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June 30, 2017 (Unaudited) and December 31, 2016</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Six Months Ended June 30, 2017 and 2016</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21</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30</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30</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31</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32</w:t>
              </w:r>
            </w:hyperlink>
          </w:p>
        </w:tc>
      </w:tr>
    </w:tbl>
    <w:p>
      <w:pPr>
        <w:sectPr>
          <w:pgSz w:w="11900" w:h="16838" w:orient="portrait"/>
          <w:cols w:equalWidth="0" w:num="1">
            <w:col w:w="11360"/>
          </w:cols>
          <w:pgMar w:left="280" w:top="7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386,698</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419,144</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759,673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820,150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73,532</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70,901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137,648</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139,059</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215,857</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138,888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361,483</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271,464</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676,087</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628,933</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1,258,804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1,230,673</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358,252</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296,033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658,918</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587,665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213,848</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236,437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445,357</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471,650</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15,871</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16,045</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30,523</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32,806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10,531</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6,278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17,367</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12,540</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9,224</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9,224</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607,726</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554,793</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1,161,389</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1,104,661</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68,361</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74,140</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97,415</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126,012</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1,331</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1,980</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1,173</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721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2,536</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(9,035)</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(7,971)</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(17,164)</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(15,919)</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4,069</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19,000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4,918</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34,096</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65,899</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84,999</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89,685</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145,614</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23,900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23,800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26,600</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46,200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41,999</w:t>
            </w:r>
          </w:p>
        </w:tc>
        <w:tc>
          <w:tcPr>
            <w:tcW w:w="44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61,199</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63,085</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99,414</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(433)</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18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41,996</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63,082</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60,766</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98,546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7.51</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11.29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5,539</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5,544</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5,537</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7.46</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11.21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5,577</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5,574</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5,573</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5,613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2220" w:type="dxa"/>
            <w:vAlign w:val="bottom"/>
            <w:gridSpan w:val="2"/>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June 30</w:t>
            </w: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2017</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14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2016</w:t>
            </w:r>
          </w:p>
        </w:tc>
      </w:tr>
    </w:tbl>
    <w:p>
      <w:pPr>
        <w:spacing w:after="0" w:line="36" w:lineRule="exact"/>
        <w:rPr>
          <w:sz w:val="20"/>
          <w:szCs w:val="20"/>
          <w:color w:val="auto"/>
        </w:rPr>
      </w:pPr>
    </w:p>
    <w:p>
      <w:pPr>
        <w:sectPr>
          <w:pgSz w:w="11900" w:h="16838" w:orient="portrait"/>
          <w:cols w:equalWidth="0" w:num="1">
            <w:col w:w="11420"/>
          </w:cols>
          <w:pgMar w:left="240" w:top="71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(losses) for the period, net</w:t>
      </w:r>
    </w:p>
    <w:p>
      <w:pPr>
        <w:spacing w:after="0" w:line="59" w:lineRule="exact"/>
        <w:rPr>
          <w:sz w:val="20"/>
          <w:szCs w:val="20"/>
          <w:color w:val="auto"/>
        </w:rPr>
      </w:pPr>
    </w:p>
    <w:p>
      <w:pPr>
        <w:ind w:left="440" w:hanging="161"/>
        <w:spacing w:after="0" w:line="260"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right="1660"/>
        <w:spacing w:after="0" w:line="366" w:lineRule="auto"/>
        <w:rPr>
          <w:sz w:val="20"/>
          <w:szCs w:val="20"/>
          <w:color w:val="auto"/>
        </w:rPr>
      </w:pPr>
      <w:r>
        <w:rPr>
          <w:rFonts w:ascii="Arial" w:cs="Arial" w:eastAsia="Arial" w:hAnsi="Arial"/>
          <w:sz w:val="16"/>
          <w:szCs w:val="16"/>
          <w:color w:val="auto"/>
        </w:rPr>
        <w:t>Amortization of net prior service cost included in net income Amortization of net actuarial (gain) loss included in net income</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41,999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61,199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63,085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99,414</w:t>
            </w:r>
          </w:p>
        </w:tc>
      </w:tr>
      <w:tr>
        <w:trPr>
          <w:trHeight w:val="810"/>
        </w:trPr>
        <w:tc>
          <w:tcPr>
            <w:tcW w:w="28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9,638</w:t>
            </w:r>
          </w:p>
        </w:tc>
        <w:tc>
          <w:tcPr>
            <w:tcW w:w="3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(5,121)</w:t>
            </w:r>
          </w:p>
        </w:tc>
        <w:tc>
          <w:tcPr>
            <w:tcW w:w="3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23,306</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(1,276)</w:t>
            </w:r>
          </w:p>
        </w:tc>
      </w:tr>
      <w:tr>
        <w:trPr>
          <w:trHeight w:val="540"/>
        </w:trPr>
        <w:tc>
          <w:tcPr>
            <w:tcW w:w="28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13,976</w:t>
            </w:r>
          </w:p>
        </w:tc>
        <w:tc>
          <w:tcPr>
            <w:tcW w:w="3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(5,307)</w:t>
            </w:r>
          </w:p>
        </w:tc>
        <w:tc>
          <w:tcPr>
            <w:tcW w:w="3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23,534</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(4,964)</w:t>
            </w:r>
          </w:p>
        </w:tc>
      </w:tr>
      <w:tr>
        <w:trPr>
          <w:trHeight w:val="445"/>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(4,502)</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w:t>
            </w:r>
          </w:p>
        </w:tc>
      </w:tr>
      <w:tr>
        <w:trPr>
          <w:trHeight w:val="251"/>
        </w:trPr>
        <w:tc>
          <w:tcPr>
            <w:tcW w:w="2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13,976</w:t>
            </w:r>
          </w:p>
        </w:tc>
        <w:tc>
          <w:tcPr>
            <w:tcW w:w="30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(9,809)</w:t>
            </w:r>
          </w:p>
        </w:tc>
        <w:tc>
          <w:tcPr>
            <w:tcW w:w="32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23,534</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(11,220)</w:t>
            </w:r>
          </w:p>
        </w:tc>
      </w:tr>
      <w:tr>
        <w:trPr>
          <w:trHeight w:val="540"/>
        </w:trPr>
        <w:tc>
          <w:tcPr>
            <w:tcW w:w="28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120</w:t>
            </w:r>
          </w:p>
        </w:tc>
        <w:tc>
          <w:tcPr>
            <w:tcW w:w="3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24"/>
                <w:szCs w:val="24"/>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240</w:t>
            </w:r>
          </w:p>
        </w:tc>
        <w:tc>
          <w:tcPr>
            <w:tcW w:w="3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(1,568)</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(3,391)</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579</w:t>
            </w:r>
          </w:p>
        </w:tc>
      </w:tr>
      <w:tr>
        <w:trPr>
          <w:trHeight w:val="251"/>
        </w:trPr>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(1,448)</w:t>
            </w:r>
          </w:p>
        </w:tc>
        <w:tc>
          <w:tcPr>
            <w:tcW w:w="3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394</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(3,151)</w:t>
            </w: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788</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22,147</w:t>
            </w:r>
          </w:p>
        </w:tc>
        <w:tc>
          <w:tcPr>
            <w:tcW w:w="30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(14,536)</w:t>
            </w:r>
          </w:p>
        </w:tc>
        <w:tc>
          <w:tcPr>
            <w:tcW w:w="32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43,546</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(11,708)</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(5,008)</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3,766</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(8,125)</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4,173</w:t>
            </w:r>
          </w:p>
        </w:tc>
      </w:tr>
      <w:tr>
        <w:trPr>
          <w:trHeight w:val="264"/>
        </w:trPr>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17,139</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(10,770)</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35,421</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(7,535)</w:t>
            </w:r>
          </w:p>
        </w:tc>
      </w:tr>
      <w:tr>
        <w:trPr>
          <w:trHeight w:val="251"/>
        </w:trPr>
        <w:tc>
          <w:tcPr>
            <w:tcW w:w="280" w:type="dxa"/>
            <w:vAlign w:val="bottom"/>
          </w:tcPr>
          <w:p>
            <w:pPr>
              <w:spacing w:after="0"/>
              <w:rPr>
                <w:sz w:val="21"/>
                <w:szCs w:val="21"/>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rPr>
              <w:t>59,138</w:t>
            </w:r>
          </w:p>
        </w:tc>
        <w:tc>
          <w:tcPr>
            <w:tcW w:w="30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50,429</w:t>
            </w:r>
          </w:p>
        </w:tc>
        <w:tc>
          <w:tcPr>
            <w:tcW w:w="320" w:type="dxa"/>
            <w:vAlign w:val="bottom"/>
          </w:tcPr>
          <w:p>
            <w:pPr>
              <w:spacing w:after="0"/>
              <w:rPr>
                <w:sz w:val="21"/>
                <w:szCs w:val="21"/>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b w:val="1"/>
                <w:bCs w:val="1"/>
                <w:color w:val="auto"/>
              </w:rPr>
              <w:t>98,506</w:t>
            </w:r>
          </w:p>
        </w:tc>
        <w:tc>
          <w:tcPr>
            <w:tcW w:w="32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91,879</w:t>
            </w:r>
          </w:p>
        </w:tc>
      </w:tr>
      <w:tr>
        <w:trPr>
          <w:trHeight w:val="283"/>
        </w:trPr>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(433)</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59,135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49,996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98,503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91,011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400" w:space="580"/>
            <w:col w:w="4440"/>
          </w:cols>
          <w:pgMar w:left="240" w:top="711"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432,147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648,885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22,999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21,931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469,993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448,241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509,380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615,101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36,131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41,635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58,760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34,818</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68,015</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60,735</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1,597,425</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1,871,346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263,100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233,664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67,812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58,806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1,279,894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1,122,954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110,060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66,026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248,337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107,939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850,262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881,593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15,817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17,246</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75,732</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73,096</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4,508,439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4,432,670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451,476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500,726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290,175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312,107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6,492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7,081</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755,224</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818,961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22,625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21,859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192,837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195,910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64,956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65,554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430,406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379,092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12,584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489,717</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485,719</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1,968,349</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1,979,679</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3,718</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365,942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364,363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5,630,743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5,588,942</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 net of tax</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(3,692)</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107,051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92,931</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168,939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170,830</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(3,752,220)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(3,756,850)</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2,536,372</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2,452,941</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4,508,439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4,432,670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697" w:right="259"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697" w:right="259" w:bottom="0" w:gutter="0" w:footer="0" w:header="0"/>
          <w:type w:val="continuous"/>
        </w:sectPr>
      </w:pPr>
    </w:p>
    <w:bookmarkStart w:id="5" w:name="page6"/>
    <w:bookmarkEnd w:id="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14605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r>
    </w:tbl>
    <w:p>
      <w:pPr>
        <w:spacing w:after="0" w:line="36" w:lineRule="exact"/>
        <w:rPr>
          <w:sz w:val="20"/>
          <w:szCs w:val="20"/>
          <w:color w:val="auto"/>
        </w:rPr>
      </w:pPr>
    </w:p>
    <w:p>
      <w:pPr>
        <w:sectPr>
          <w:pgSz w:w="11900" w:h="16838" w:orient="portrait"/>
          <w:cols w:equalWidth="0" w:num="1">
            <w:col w:w="11420"/>
          </w:cols>
          <w:pgMar w:left="240" w:top="71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amortization and goodwill and other long-lived asset impairment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pension benefit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Stock-based compensation expense, net</w:t>
      </w:r>
    </w:p>
    <w:p>
      <w:pPr>
        <w:spacing w:after="0" w:line="86" w:lineRule="exact"/>
        <w:rPr>
          <w:sz w:val="20"/>
          <w:szCs w:val="20"/>
          <w:color w:val="auto"/>
        </w:rPr>
      </w:pPr>
    </w:p>
    <w:p>
      <w:pPr>
        <w:ind w:left="280" w:right="440"/>
        <w:spacing w:after="0" w:line="352" w:lineRule="auto"/>
        <w:rPr>
          <w:sz w:val="20"/>
          <w:szCs w:val="20"/>
          <w:color w:val="auto"/>
        </w:rPr>
      </w:pPr>
      <w:r>
        <w:rPr>
          <w:rFonts w:ascii="Arial" w:cs="Arial" w:eastAsia="Arial" w:hAnsi="Arial"/>
          <w:sz w:val="16"/>
          <w:szCs w:val="16"/>
          <w:color w:val="auto"/>
        </w:rPr>
        <w:t>Loss (gain) on disposition of businesses, property, plant and equipment, investments and other assets, net Foreign exchange (gain) loss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 of distributions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Provision (benefit) for deferred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Change in operating assets and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Income taxes receivable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assets and other liabilities,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Provided by Operating Activities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Investments in certain businesses, net of cash acquired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Investments in equity affiliates and cost method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Return of investment in equity affiliate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proceeds from disposition of businesses, property, plant and equipment, investments and other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Proceeds from sales of marketable equity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Purchases of marketable equity securities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Investing Activities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Common shares repurchased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Purchase of noncontrolling interest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Financing Activities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Effect of Currency Exchange Rate Change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63,085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99,414</w:t>
            </w:r>
          </w:p>
        </w:tc>
      </w:tr>
      <w:tr>
        <w:trPr>
          <w:trHeight w:val="540"/>
        </w:trPr>
        <w:tc>
          <w:tcPr>
            <w:tcW w:w="28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57,113</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45,346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(29,517)</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(24,325)</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5,204</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7,152</w:t>
            </w:r>
          </w:p>
        </w:tc>
      </w:tr>
    </w:tbl>
    <w:p>
      <w:pPr>
        <w:spacing w:after="0" w:line="75" w:lineRule="exact"/>
        <w:rPr>
          <w:sz w:val="20"/>
          <w:szCs w:val="20"/>
          <w:color w:val="auto"/>
        </w:rPr>
      </w:pPr>
    </w:p>
    <w:p>
      <w:pPr>
        <w:ind w:left="1700" w:hanging="961"/>
        <w:spacing w:after="0"/>
        <w:tabs>
          <w:tab w:leader="none" w:pos="17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(62,273)</w:t>
      </w:r>
    </w:p>
    <w:p>
      <w:pPr>
        <w:spacing w:after="0" w:line="66"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(5,194)</w:t>
      </w:r>
      <w:r>
        <w:rPr>
          <w:rFonts w:ascii="Arial" w:cs="Arial" w:eastAsia="Arial" w:hAnsi="Arial"/>
          <w:sz w:val="16"/>
          <w:szCs w:val="16"/>
          <w:color w:val="auto"/>
        </w:rPr>
        <w:t>29,527</w:t>
      </w:r>
    </w:p>
    <w:p>
      <w:pPr>
        <w:spacing w:after="0" w:line="86"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(1,966)</w:t>
      </w:r>
      <w:r>
        <w:rPr>
          <w:rFonts w:ascii="Arial" w:cs="Arial" w:eastAsia="Arial" w:hAnsi="Arial"/>
          <w:sz w:val="16"/>
          <w:szCs w:val="16"/>
          <w:color w:val="auto"/>
        </w:rPr>
        <w:t>(113)</w:t>
      </w:r>
    </w:p>
    <w:p>
      <w:pPr>
        <w:spacing w:after="0" w:line="86"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14,370</w:t>
      </w:r>
      <w:r>
        <w:rPr>
          <w:rFonts w:ascii="Arial" w:cs="Arial" w:eastAsia="Arial" w:hAnsi="Arial"/>
          <w:sz w:val="15"/>
          <w:szCs w:val="15"/>
          <w:color w:val="auto"/>
        </w:rPr>
        <w:t>(6,806)</w:t>
      </w:r>
    </w:p>
    <w:p>
      <w:pPr>
        <w:spacing w:after="0" w:line="356" w:lineRule="exact"/>
        <w:rPr>
          <w:sz w:val="20"/>
          <w:szCs w:val="20"/>
          <w:color w:val="auto"/>
        </w:rPr>
      </w:pPr>
    </w:p>
    <w:p>
      <w:pPr>
        <w:ind w:left="420"/>
        <w:spacing w:after="0"/>
        <w:tabs>
          <w:tab w:leader="none" w:pos="1740" w:val="left"/>
        </w:tabs>
        <w:rPr>
          <w:sz w:val="20"/>
          <w:szCs w:val="20"/>
          <w:color w:val="auto"/>
        </w:rPr>
      </w:pPr>
      <w:r>
        <w:rPr>
          <w:rFonts w:ascii="Arial" w:cs="Arial" w:eastAsia="Arial" w:hAnsi="Arial"/>
          <w:sz w:val="16"/>
          <w:szCs w:val="16"/>
          <w:b w:val="1"/>
          <w:bCs w:val="1"/>
          <w:color w:val="auto"/>
        </w:rPr>
        <w:t>122,122</w:t>
      </w:r>
      <w:r>
        <w:rPr>
          <w:sz w:val="20"/>
          <w:szCs w:val="20"/>
          <w:color w:val="auto"/>
        </w:rPr>
        <w:tab/>
      </w:r>
      <w:r>
        <w:rPr>
          <w:rFonts w:ascii="Arial" w:cs="Arial" w:eastAsia="Arial" w:hAnsi="Arial"/>
          <w:sz w:val="16"/>
          <w:szCs w:val="16"/>
          <w:color w:val="auto"/>
        </w:rPr>
        <w:t>49,786</w:t>
      </w:r>
    </w:p>
    <w:p>
      <w:pPr>
        <w:spacing w:after="0" w:line="86"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6"/>
          <w:szCs w:val="16"/>
          <w:b w:val="1"/>
          <w:bCs w:val="1"/>
          <w:color w:val="auto"/>
        </w:rPr>
        <w:t>(63,654)</w:t>
      </w:r>
      <w:r>
        <w:rPr>
          <w:sz w:val="20"/>
          <w:szCs w:val="20"/>
          <w:color w:val="auto"/>
        </w:rPr>
        <w:tab/>
      </w:r>
      <w:r>
        <w:rPr>
          <w:rFonts w:ascii="Arial" w:cs="Arial" w:eastAsia="Arial" w:hAnsi="Arial"/>
          <w:sz w:val="16"/>
          <w:szCs w:val="16"/>
          <w:color w:val="auto"/>
        </w:rPr>
        <w:t>4,612</w:t>
      </w:r>
    </w:p>
    <w:p>
      <w:pPr>
        <w:spacing w:after="0" w:line="86"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(29,706)</w:t>
      </w:r>
      <w:r>
        <w:rPr>
          <w:sz w:val="20"/>
          <w:szCs w:val="20"/>
          <w:color w:val="auto"/>
        </w:rPr>
        <w:tab/>
      </w:r>
      <w:r>
        <w:rPr>
          <w:rFonts w:ascii="Arial" w:cs="Arial" w:eastAsia="Arial" w:hAnsi="Arial"/>
          <w:sz w:val="16"/>
          <w:szCs w:val="16"/>
          <w:color w:val="auto"/>
        </w:rPr>
        <w:t>(19,751)</w:t>
      </w:r>
    </w:p>
    <w:p>
      <w:pPr>
        <w:spacing w:after="0" w:line="86"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6"/>
          <w:szCs w:val="16"/>
          <w:b w:val="1"/>
          <w:bCs w:val="1"/>
          <w:color w:val="auto"/>
        </w:rPr>
        <w:t>6,374</w:t>
      </w:r>
      <w:r>
        <w:rPr>
          <w:sz w:val="20"/>
          <w:szCs w:val="20"/>
          <w:color w:val="auto"/>
        </w:rPr>
        <w:tab/>
      </w:r>
      <w:r>
        <w:rPr>
          <w:rFonts w:ascii="Arial" w:cs="Arial" w:eastAsia="Arial" w:hAnsi="Arial"/>
          <w:sz w:val="16"/>
          <w:szCs w:val="16"/>
          <w:color w:val="auto"/>
        </w:rPr>
        <w:t>38,989</w:t>
      </w:r>
    </w:p>
    <w:p>
      <w:pPr>
        <w:spacing w:after="0" w:line="86" w:lineRule="exact"/>
        <w:rPr>
          <w:sz w:val="20"/>
          <w:szCs w:val="20"/>
          <w:color w:val="auto"/>
        </w:rPr>
      </w:pPr>
    </w:p>
    <w:p>
      <w:pPr>
        <w:jc w:val="both"/>
        <w:ind w:left="560"/>
        <w:spacing w:after="0"/>
        <w:tabs>
          <w:tab w:leader="none" w:pos="1680" w:val="left"/>
        </w:tabs>
        <w:rPr>
          <w:sz w:val="20"/>
          <w:szCs w:val="20"/>
          <w:color w:val="auto"/>
        </w:rPr>
      </w:pPr>
      <w:r>
        <w:rPr>
          <w:rFonts w:ascii="Arial" w:cs="Arial" w:eastAsia="Arial" w:hAnsi="Arial"/>
          <w:sz w:val="16"/>
          <w:szCs w:val="16"/>
          <w:b w:val="1"/>
          <w:bCs w:val="1"/>
          <w:color w:val="auto"/>
        </w:rPr>
        <w:t>(7,425)</w:t>
      </w:r>
      <w:r>
        <w:rPr>
          <w:sz w:val="20"/>
          <w:szCs w:val="20"/>
          <w:color w:val="auto"/>
        </w:rPr>
        <w:tab/>
      </w:r>
      <w:r>
        <w:rPr>
          <w:rFonts w:ascii="Arial" w:cs="Arial" w:eastAsia="Arial" w:hAnsi="Arial"/>
          <w:sz w:val="16"/>
          <w:szCs w:val="16"/>
          <w:color w:val="auto"/>
        </w:rPr>
        <w:t>(15,459)</w:t>
      </w:r>
    </w:p>
    <w:p>
      <w:pPr>
        <w:spacing w:after="0" w:line="106" w:lineRule="exact"/>
        <w:rPr>
          <w:sz w:val="20"/>
          <w:szCs w:val="20"/>
          <w:color w:val="auto"/>
        </w:rPr>
      </w:pPr>
    </w:p>
    <w:p>
      <w:pPr>
        <w:ind w:left="1980" w:hanging="1241"/>
        <w:spacing w:after="0"/>
        <w:tabs>
          <w:tab w:leader="none" w:pos="19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502</w:t>
      </w:r>
    </w:p>
    <w:p>
      <w:pPr>
        <w:spacing w:after="0" w:line="79" w:lineRule="exact"/>
        <w:rPr>
          <w:rFonts w:ascii="Arial" w:cs="Arial" w:eastAsia="Arial" w:hAnsi="Arial"/>
          <w:sz w:val="16"/>
          <w:szCs w:val="16"/>
          <w:b w:val="1"/>
          <w:bCs w:val="1"/>
          <w:color w:val="auto"/>
        </w:rPr>
      </w:pPr>
    </w:p>
    <w:p>
      <w:pPr>
        <w:ind w:left="4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131,568</w:t>
      </w:r>
      <w:r>
        <w:rPr>
          <w:rFonts w:ascii="Arial" w:cs="Arial" w:eastAsia="Arial" w:hAnsi="Arial"/>
          <w:sz w:val="16"/>
          <w:szCs w:val="16"/>
          <w:color w:val="auto"/>
        </w:rPr>
        <w:t>146,601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-147320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(299,938)</w:t>
            </w:r>
          </w:p>
        </w:tc>
        <w:tc>
          <w:tcPr>
            <w:tcW w:w="960" w:type="dxa"/>
            <w:vAlign w:val="bottom"/>
          </w:tcPr>
          <w:p>
            <w:pPr>
              <w:jc w:val="right"/>
              <w:spacing w:after="0"/>
              <w:rPr>
                <w:sz w:val="20"/>
                <w:szCs w:val="20"/>
                <w:color w:val="auto"/>
              </w:rPr>
            </w:pPr>
            <w:r>
              <w:rPr>
                <w:rFonts w:ascii="Arial" w:cs="Arial" w:eastAsia="Arial" w:hAnsi="Arial"/>
                <w:sz w:val="16"/>
                <w:szCs w:val="16"/>
                <w:color w:val="auto"/>
              </w:rPr>
              <w:t>(200,336)</w:t>
            </w:r>
          </w:p>
        </w:tc>
      </w:tr>
      <w:tr>
        <w:trPr>
          <w:trHeight w:val="270"/>
        </w:trPr>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rPr>
              <w:t>(29,947)</w:t>
            </w:r>
          </w:p>
        </w:tc>
        <w:tc>
          <w:tcPr>
            <w:tcW w:w="960" w:type="dxa"/>
            <w:vAlign w:val="bottom"/>
          </w:tcPr>
          <w:p>
            <w:pPr>
              <w:jc w:val="right"/>
              <w:spacing w:after="0"/>
              <w:rPr>
                <w:sz w:val="20"/>
                <w:szCs w:val="20"/>
                <w:color w:val="auto"/>
              </w:rPr>
            </w:pPr>
            <w:r>
              <w:rPr>
                <w:rFonts w:ascii="Arial" w:cs="Arial" w:eastAsia="Arial" w:hAnsi="Arial"/>
                <w:sz w:val="16"/>
                <w:szCs w:val="16"/>
                <w:color w:val="auto"/>
              </w:rPr>
              <w:t>(22,202)</w:t>
            </w:r>
          </w:p>
        </w:tc>
      </w:tr>
      <w:tr>
        <w:trPr>
          <w:trHeight w:val="270"/>
        </w:trPr>
        <w:tc>
          <w:tcPr>
            <w:tcW w:w="980" w:type="dxa"/>
            <w:vAlign w:val="bottom"/>
          </w:tcPr>
          <w:p>
            <w:pPr>
              <w:jc w:val="right"/>
              <w:ind w:right="199"/>
              <w:spacing w:after="0"/>
              <w:rPr>
                <w:sz w:val="20"/>
                <w:szCs w:val="20"/>
                <w:color w:val="auto"/>
              </w:rPr>
            </w:pPr>
            <w:r>
              <w:rPr>
                <w:rFonts w:ascii="Arial" w:cs="Arial" w:eastAsia="Arial" w:hAnsi="Arial"/>
                <w:sz w:val="16"/>
                <w:szCs w:val="16"/>
                <w:b w:val="1"/>
                <w:bCs w:val="1"/>
                <w:color w:val="auto"/>
              </w:rPr>
              <w:t>(10,527)</w:t>
            </w:r>
          </w:p>
        </w:tc>
        <w:tc>
          <w:tcPr>
            <w:tcW w:w="960" w:type="dxa"/>
            <w:vAlign w:val="bottom"/>
          </w:tcPr>
          <w:p>
            <w:pPr>
              <w:jc w:val="right"/>
              <w:spacing w:after="0"/>
              <w:rPr>
                <w:sz w:val="20"/>
                <w:szCs w:val="20"/>
                <w:color w:val="auto"/>
              </w:rPr>
            </w:pPr>
            <w:r>
              <w:rPr>
                <w:rFonts w:ascii="Arial" w:cs="Arial" w:eastAsia="Arial" w:hAnsi="Arial"/>
                <w:sz w:val="16"/>
                <w:szCs w:val="16"/>
                <w:color w:val="auto"/>
              </w:rPr>
              <w:t>(2,387)</w:t>
            </w:r>
          </w:p>
        </w:tc>
      </w:tr>
      <w:tr>
        <w:trPr>
          <w:trHeight w:val="270"/>
        </w:trPr>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3,527</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1,760</w:t>
            </w:r>
          </w:p>
        </w:tc>
        <w:tc>
          <w:tcPr>
            <w:tcW w:w="960" w:type="dxa"/>
            <w:vAlign w:val="bottom"/>
          </w:tcPr>
          <w:p>
            <w:pPr>
              <w:jc w:val="right"/>
              <w:spacing w:after="0"/>
              <w:rPr>
                <w:sz w:val="20"/>
                <w:szCs w:val="20"/>
                <w:color w:val="auto"/>
              </w:rPr>
            </w:pPr>
            <w:r>
              <w:rPr>
                <w:rFonts w:ascii="Arial" w:cs="Arial" w:eastAsia="Arial" w:hAnsi="Arial"/>
                <w:sz w:val="16"/>
                <w:szCs w:val="16"/>
                <w:color w:val="auto"/>
              </w:rPr>
              <w:t>36,771</w:t>
            </w:r>
          </w:p>
        </w:tc>
      </w:tr>
    </w:tbl>
    <w:p>
      <w:pPr>
        <w:spacing w:after="0" w:line="5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22,837</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(18,274)</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(335,125)</w:t>
      </w:r>
      <w:r>
        <w:rPr>
          <w:rFonts w:ascii="Arial" w:cs="Arial" w:eastAsia="Arial" w:hAnsi="Arial"/>
          <w:sz w:val="15"/>
          <w:szCs w:val="15"/>
          <w:color w:val="auto"/>
        </w:rPr>
        <w:t>(183,591)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-147320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jc w:val="both"/>
        <w:ind w:left="460"/>
        <w:spacing w:after="0"/>
        <w:tabs>
          <w:tab w:leader="none" w:pos="1680" w:val="left"/>
        </w:tabs>
        <w:rPr>
          <w:sz w:val="20"/>
          <w:szCs w:val="20"/>
          <w:color w:val="auto"/>
        </w:rPr>
      </w:pPr>
      <w:r>
        <w:rPr>
          <w:rFonts w:ascii="Arial" w:cs="Arial" w:eastAsia="Arial" w:hAnsi="Arial"/>
          <w:sz w:val="16"/>
          <w:szCs w:val="16"/>
          <w:b w:val="1"/>
          <w:bCs w:val="1"/>
          <w:color w:val="auto"/>
        </w:rPr>
        <w:t>(14,201)</w:t>
      </w:r>
      <w:r>
        <w:rPr>
          <w:sz w:val="20"/>
          <w:szCs w:val="20"/>
          <w:color w:val="auto"/>
        </w:rPr>
        <w:tab/>
      </w:r>
      <w:r>
        <w:rPr>
          <w:rFonts w:ascii="Arial" w:cs="Arial" w:eastAsia="Arial" w:hAnsi="Arial"/>
          <w:sz w:val="16"/>
          <w:szCs w:val="16"/>
          <w:color w:val="auto"/>
        </w:rPr>
        <w:t>(13,736)</w:t>
      </w:r>
    </w:p>
    <w:p>
      <w:pPr>
        <w:spacing w:after="0" w:line="106" w:lineRule="exact"/>
        <w:rPr>
          <w:sz w:val="20"/>
          <w:szCs w:val="20"/>
          <w:color w:val="auto"/>
        </w:rPr>
      </w:pPr>
    </w:p>
    <w:p>
      <w:pPr>
        <w:ind w:left="1700" w:hanging="1015"/>
        <w:spacing w:after="0"/>
        <w:tabs>
          <w:tab w:leader="none" w:pos="170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(89,062)</w:t>
      </w:r>
    </w:p>
    <w:p>
      <w:pPr>
        <w:spacing w:after="0" w:line="66" w:lineRule="exact"/>
        <w:rPr>
          <w:rFonts w:ascii="Arial" w:cs="Arial" w:eastAsia="Arial" w:hAnsi="Arial"/>
          <w:sz w:val="16"/>
          <w:szCs w:val="16"/>
          <w:b w:val="1"/>
          <w:bCs w:val="1"/>
          <w:color w:val="auto"/>
        </w:rPr>
      </w:pPr>
    </w:p>
    <w:p>
      <w:pPr>
        <w:ind w:left="8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(21,000)</w:t>
      </w:r>
    </w:p>
    <w:p>
      <w:pPr>
        <w:spacing w:after="0" w:line="86"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6"/>
          <w:szCs w:val="16"/>
          <w:b w:val="1"/>
          <w:bCs w:val="1"/>
          <w:color w:val="auto"/>
        </w:rPr>
        <w:t>(4,543)</w:t>
      </w:r>
      <w:r>
        <w:rPr>
          <w:sz w:val="20"/>
          <w:szCs w:val="20"/>
          <w:color w:val="auto"/>
        </w:rPr>
        <w:tab/>
      </w:r>
      <w:r>
        <w:rPr>
          <w:rFonts w:ascii="Arial" w:cs="Arial" w:eastAsia="Arial" w:hAnsi="Arial"/>
          <w:sz w:val="16"/>
          <w:szCs w:val="16"/>
          <w:color w:val="auto"/>
        </w:rPr>
        <w:t>19,896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460"/>
        <w:spacing w:after="0"/>
        <w:tabs>
          <w:tab w:leader="none" w:pos="1600" w:val="left"/>
        </w:tabs>
        <w:rPr>
          <w:sz w:val="20"/>
          <w:szCs w:val="20"/>
          <w:color w:val="auto"/>
        </w:rPr>
      </w:pPr>
      <w:r>
        <w:rPr>
          <w:rFonts w:ascii="Arial" w:cs="Arial" w:eastAsia="Arial" w:hAnsi="Arial"/>
          <w:sz w:val="16"/>
          <w:szCs w:val="16"/>
          <w:b w:val="1"/>
          <w:bCs w:val="1"/>
          <w:color w:val="auto"/>
        </w:rPr>
        <w:t>(19,139)</w:t>
      </w:r>
      <w:r>
        <w:rPr>
          <w:sz w:val="20"/>
          <w:szCs w:val="20"/>
          <w:color w:val="auto"/>
        </w:rPr>
        <w:tab/>
      </w:r>
      <w:r>
        <w:rPr>
          <w:rFonts w:ascii="Arial" w:cs="Arial" w:eastAsia="Arial" w:hAnsi="Arial"/>
          <w:sz w:val="16"/>
          <w:szCs w:val="16"/>
          <w:color w:val="auto"/>
        </w:rPr>
        <w:t>(103,902)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600"/>
        <w:spacing w:after="0"/>
        <w:tabs>
          <w:tab w:leader="none" w:pos="1780" w:val="left"/>
        </w:tabs>
        <w:rPr>
          <w:sz w:val="20"/>
          <w:szCs w:val="20"/>
          <w:color w:val="auto"/>
        </w:rPr>
      </w:pPr>
      <w:r>
        <w:rPr>
          <w:rFonts w:ascii="Arial" w:cs="Arial" w:eastAsia="Arial" w:hAnsi="Arial"/>
          <w:sz w:val="16"/>
          <w:szCs w:val="16"/>
          <w:b w:val="1"/>
          <w:bCs w:val="1"/>
          <w:color w:val="auto"/>
        </w:rPr>
        <w:t>7,026</w:t>
      </w:r>
      <w:r>
        <w:rPr>
          <w:sz w:val="20"/>
          <w:szCs w:val="20"/>
          <w:color w:val="auto"/>
        </w:rPr>
        <w:tab/>
      </w:r>
      <w:r>
        <w:rPr>
          <w:rFonts w:ascii="Arial" w:cs="Arial" w:eastAsia="Arial" w:hAnsi="Arial"/>
          <w:sz w:val="16"/>
          <w:szCs w:val="16"/>
          <w:color w:val="auto"/>
        </w:rPr>
        <w:t>(1,842)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both"/>
        <w:ind w:left="360"/>
        <w:spacing w:after="0"/>
        <w:tabs>
          <w:tab w:leader="none" w:pos="1600" w:val="left"/>
        </w:tabs>
        <w:rPr>
          <w:sz w:val="20"/>
          <w:szCs w:val="20"/>
          <w:color w:val="auto"/>
        </w:rPr>
      </w:pPr>
      <w:r>
        <w:rPr>
          <w:rFonts w:ascii="Arial" w:cs="Arial" w:eastAsia="Arial" w:hAnsi="Arial"/>
          <w:sz w:val="16"/>
          <w:szCs w:val="16"/>
          <w:b w:val="1"/>
          <w:bCs w:val="1"/>
          <w:color w:val="auto"/>
        </w:rPr>
        <w:t>(215,670)</w:t>
      </w:r>
      <w:r>
        <w:rPr>
          <w:sz w:val="20"/>
          <w:szCs w:val="20"/>
          <w:color w:val="auto"/>
        </w:rPr>
        <w:tab/>
      </w:r>
      <w:r>
        <w:rPr>
          <w:rFonts w:ascii="Arial" w:cs="Arial" w:eastAsia="Arial" w:hAnsi="Arial"/>
          <w:sz w:val="16"/>
          <w:szCs w:val="16"/>
          <w:color w:val="auto"/>
        </w:rPr>
        <w:t>(142,734)</w:t>
      </w:r>
    </w:p>
    <w:p>
      <w:pPr>
        <w:spacing w:after="0" w:line="86" w:lineRule="exact"/>
        <w:rPr>
          <w:sz w:val="20"/>
          <w:szCs w:val="20"/>
          <w:color w:val="auto"/>
        </w:rPr>
      </w:pPr>
    </w:p>
    <w:p>
      <w:pPr>
        <w:ind w:left="420"/>
        <w:spacing w:after="0"/>
        <w:tabs>
          <w:tab w:leader="none" w:pos="1640" w:val="left"/>
        </w:tabs>
        <w:rPr>
          <w:sz w:val="20"/>
          <w:szCs w:val="20"/>
          <w:color w:val="auto"/>
        </w:rPr>
      </w:pPr>
      <w:r>
        <w:rPr>
          <w:rFonts w:ascii="Arial" w:cs="Arial" w:eastAsia="Arial" w:hAnsi="Arial"/>
          <w:sz w:val="16"/>
          <w:szCs w:val="16"/>
          <w:b w:val="1"/>
          <w:bCs w:val="1"/>
          <w:color w:val="auto"/>
        </w:rPr>
        <w:t>670,816</w:t>
      </w:r>
      <w:r>
        <w:rPr>
          <w:sz w:val="20"/>
          <w:szCs w:val="20"/>
          <w:color w:val="auto"/>
        </w:rPr>
        <w:tab/>
      </w:r>
      <w:r>
        <w:rPr>
          <w:rFonts w:ascii="Arial" w:cs="Arial" w:eastAsia="Arial" w:hAnsi="Arial"/>
          <w:sz w:val="16"/>
          <w:szCs w:val="16"/>
          <w:color w:val="auto"/>
        </w:rPr>
        <w:t>774,952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spacing w:after="0"/>
        <w:tabs>
          <w:tab w:leader="none" w:pos="400" w:val="left"/>
          <w:tab w:leader="none" w:pos="1240" w:val="left"/>
          <w:tab w:leader="none" w:pos="16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455,146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632,218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48895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2">
            <w:col w:w="8340" w:space="720"/>
            <w:col w:w="2360"/>
          </w:cols>
          <w:pgMar w:left="240" w:top="711" w:right="239" w:bottom="1440" w:gutter="0" w:footer="0" w:header="0"/>
          <w:type w:val="continuous"/>
        </w:sectPr>
      </w:pPr>
    </w:p>
    <w:bookmarkStart w:id="7" w:name="page8"/>
    <w:bookmarkEnd w:id="7"/>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and home health and hospice services.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2017 and 2016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2016.</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b w:val="1"/>
          <w:bCs w:val="1"/>
          <w:color w:val="auto"/>
        </w:rPr>
        <w:t xml:space="preserve">Out of Period Adjustment </w:t>
      </w:r>
      <w:r>
        <w:rPr>
          <w:rFonts w:ascii="Arial" w:cs="Arial" w:eastAsia="Arial" w:hAnsi="Arial"/>
          <w:sz w:val="18"/>
          <w:szCs w:val="18"/>
          <w:color w:val="auto"/>
        </w:rPr>
        <w:t>– In the second quarter of 2016, the Company benefited from a favorable $5.6 million out of period adjustment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 for deferred income taxes related to the $248.6 million goodwill impairment at the KHE reporting unit in the third quarter of</w:t>
      </w:r>
    </w:p>
    <w:p>
      <w:pPr>
        <w:spacing w:after="0" w:line="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2015. With respect to this error, the Company has concluded that it was not material to the Company’s financial position or results of operations for 2016 and the related interim periods, based on its consideration of quantitative and qualitative factors.</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full retrospective, requiring retrospective application of the new guidance with a restatement of prior years, or modified retrospective, requiring prospective application of the new guidance with disclosure of results under the old guidance in the first year of adoption. The Company anticipates adopting the standard using the modified retrospective approach. The Company is in the process of evaluating the impact of this new guidance on its Condensed Consolidated Financial Statements and believes such evaluation will extend over future periods because of the significance of the changes to the Company’s policies and business processes.</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7" w:right="239" w:bottom="1440" w:gutter="0" w:footer="0" w:header="0"/>
        </w:sectPr>
      </w:pPr>
    </w:p>
    <w:bookmarkStart w:id="8" w:name="page9"/>
    <w:bookmarkEnd w:id="8"/>
    <w:p>
      <w:pPr>
        <w:ind w:right="380"/>
        <w:spacing w:after="0" w:line="224" w:lineRule="auto"/>
        <w:rPr>
          <w:sz w:val="20"/>
          <w:szCs w:val="20"/>
          <w:color w:val="auto"/>
        </w:rPr>
      </w:pPr>
      <w:r>
        <w:rPr>
          <w:rFonts w:ascii="Arial" w:cs="Arial" w:eastAsia="Arial" w:hAnsi="Arial"/>
          <w:sz w:val="18"/>
          <w:szCs w:val="18"/>
          <w:color w:val="auto"/>
        </w:rPr>
        <w:t>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 Early adoption is not permitted. The Company is in the process of evaluating the impact of this new guidance on its Condensed Consolidated Financial Statements.</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Condensed Consolidated Financial Statements.</w:t>
      </w:r>
    </w:p>
    <w:p>
      <w:pPr>
        <w:spacing w:after="0" w:line="136"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In March 2016, the FASB issued new guidance that simplifies the accounting for stock-based compensation. The new guidance (i) requires all excess tax benefits and tax deficiencies to be recognized in the income statement with the tax effects of vested or exercised awards treated as discrete items. Additionally, excess tax benefits will be recognized regardless of whether the benefit reduces taxes payable in the current period, effectively eliminating the APIC pool, (ii) concludes excess tax benefits should be classified as an operating activity in the statement of cash flows, (iii) requires an entity to make an entity-wide accounting policy election to either estimate a forfeiture rate for awards or account for forfeitures as they occur, (iv) changes the threshold for equity classification for cash settlements of awards for withholding requirements to the maximum statutory tax rate in the applicable jurisdiction and (v) concludes cash paid by an employer when directly withholding shares for tax-withholding purposes should be classified as a financing activity in the statement of cash flows. The guidance is effective for interim and fiscal years beginning after December 15, 2016. The Company adopted the new guidance as of January 1, 2017. As a result of adoption, the Company recognized a $5.9 million excess tax benefit as a discrete item in its tax provision related to the vesting of restricted stock awards in the first quarter of 2017. This tax benefit is classified as an operating activity on the Condensed Consolidated Statement of Cash Flows. Additionally, the Company elected to account for forfeitures of stock awards as they occur and not estimate a forfeiture rate. The Company does not expect the forfeiture rate election to have a material impact on its financial statements.</w:t>
      </w:r>
    </w:p>
    <w:p>
      <w:pPr>
        <w:spacing w:after="0" w:line="14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November 2016, the FASB issued new guidance that clarifies how restricted cash and restricted cash equivalents should be presented in the statement of cash flows. The guidance requires the cash flow statement to show changes in the total of cash, cash equivalents, restricted cash and restricted cash equivalents, which eliminates the presentation of transfers between cash and cash equivalents and restricted cash and cash equivalents. The guidance is effective for interim and fiscal years beginning after December 15, 2017, with early adoption permitted. The Company adopted the new guidance retrospectively as of December 31, 2016. The prior period has been adjusted to reflect this adoption, as detailed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jc w:val="right"/>
              <w:ind w:right="622"/>
              <w:spacing w:after="0"/>
              <w:rPr>
                <w:sz w:val="20"/>
                <w:szCs w:val="20"/>
                <w:color w:val="auto"/>
              </w:rPr>
            </w:pPr>
            <w:r>
              <w:rPr>
                <w:rFonts w:ascii="Arial" w:cs="Arial" w:eastAsia="Arial" w:hAnsi="Arial"/>
                <w:sz w:val="14"/>
                <w:szCs w:val="14"/>
                <w:b w:val="1"/>
                <w:bCs w:val="1"/>
                <w:color w:val="auto"/>
              </w:rPr>
              <w:t>Six Months Ended June 30, 2016</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3"/>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123"/>
              <w:spacing w:after="0"/>
              <w:rPr>
                <w:sz w:val="20"/>
                <w:szCs w:val="20"/>
                <w:color w:val="auto"/>
              </w:rPr>
            </w:pPr>
            <w:r>
              <w:rPr>
                <w:rFonts w:ascii="Arial" w:cs="Arial" w:eastAsia="Arial" w:hAnsi="Arial"/>
                <w:sz w:val="14"/>
                <w:szCs w:val="14"/>
                <w:b w:val="1"/>
                <w:bCs w:val="1"/>
                <w:color w:val="auto"/>
              </w:rPr>
              <w:t>Previously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27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3"/>
                <w:szCs w:val="23"/>
                <w:color w:val="auto"/>
              </w:rPr>
            </w:pPr>
          </w:p>
        </w:tc>
        <w:tc>
          <w:tcPr>
            <w:tcW w:w="1040" w:type="dxa"/>
            <w:vAlign w:val="bottom"/>
          </w:tcPr>
          <w:p>
            <w:pPr>
              <w:jc w:val="center"/>
              <w:ind w:right="123"/>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4"/>
                <w:szCs w:val="14"/>
                <w:b w:val="1"/>
                <w:bCs w:val="1"/>
                <w:color w:val="auto"/>
              </w:rPr>
              <w:t>Adjustment</w:t>
            </w:r>
          </w:p>
        </w:tc>
        <w:tc>
          <w:tcPr>
            <w:tcW w:w="280" w:type="dxa"/>
            <w:vAlign w:val="bottom"/>
          </w:tcPr>
          <w:p>
            <w:pPr>
              <w:spacing w:after="0"/>
              <w:rPr>
                <w:sz w:val="23"/>
                <w:szCs w:val="23"/>
                <w:color w:val="auto"/>
              </w:rPr>
            </w:pPr>
          </w:p>
        </w:tc>
        <w:tc>
          <w:tcPr>
            <w:tcW w:w="940" w:type="dxa"/>
            <w:vAlign w:val="bottom"/>
          </w:tcPr>
          <w:p>
            <w:pPr>
              <w:jc w:val="right"/>
              <w:ind w:right="202"/>
              <w:spacing w:after="0"/>
              <w:rPr>
                <w:sz w:val="20"/>
                <w:szCs w:val="20"/>
                <w:color w:val="auto"/>
              </w:rPr>
            </w:pPr>
            <w:r>
              <w:rPr>
                <w:rFonts w:ascii="Arial" w:cs="Arial" w:eastAsia="Arial" w:hAnsi="Arial"/>
                <w:sz w:val="14"/>
                <w:szCs w:val="14"/>
                <w:b w:val="1"/>
                <w:bCs w:val="1"/>
                <w:color w:val="auto"/>
              </w:rPr>
              <w:t>Adopted</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(11,133)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11,133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135,468</w:t>
            </w:r>
          </w:p>
        </w:tc>
        <w:tc>
          <w:tcPr>
            <w:tcW w:w="20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11,133</w:t>
            </w:r>
          </w:p>
        </w:tc>
        <w:tc>
          <w:tcPr>
            <w:tcW w:w="28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146,601</w:t>
            </w:r>
          </w:p>
        </w:tc>
        <w:tc>
          <w:tcPr>
            <w:tcW w:w="0" w:type="dxa"/>
            <w:vAlign w:val="bottom"/>
          </w:tcPr>
          <w:p>
            <w:pPr>
              <w:spacing w:after="0"/>
              <w:rPr>
                <w:sz w:val="1"/>
                <w:szCs w:val="1"/>
                <w:color w:val="auto"/>
              </w:rPr>
            </w:pPr>
          </w:p>
        </w:tc>
      </w:tr>
      <w:tr>
        <w:trPr>
          <w:trHeight w:val="513"/>
        </w:trPr>
        <w:tc>
          <w:tcPr>
            <w:tcW w:w="778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 and Restricted Cash</w:t>
            </w:r>
          </w:p>
        </w:tc>
        <w:tc>
          <w:tcPr>
            <w:tcW w:w="16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(153,867)</w:t>
            </w:r>
          </w:p>
        </w:tc>
        <w:tc>
          <w:tcPr>
            <w:tcW w:w="200" w:type="dxa"/>
            <w:vAlign w:val="bottom"/>
          </w:tcPr>
          <w:p>
            <w:pPr>
              <w:spacing w:after="0"/>
              <w:rPr>
                <w:sz w:val="24"/>
                <w:szCs w:val="24"/>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11,133</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(142,734)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754,207</w:t>
            </w:r>
          </w:p>
        </w:tc>
        <w:tc>
          <w:tcPr>
            <w:tcW w:w="20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20,745</w:t>
            </w:r>
          </w:p>
        </w:tc>
        <w:tc>
          <w:tcPr>
            <w:tcW w:w="28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774,952</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at End of Period</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600,340</w:t>
            </w:r>
          </w:p>
        </w:tc>
        <w:tc>
          <w:tcPr>
            <w:tcW w:w="20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31,878</w:t>
            </w:r>
          </w:p>
        </w:tc>
        <w:tc>
          <w:tcPr>
            <w:tcW w:w="28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632,218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In January 2017, the FASB issued new guidance which simplifies the subsequent measurement of goodwill. The new guidance eliminates Step 2 from the goodwill impairment test, which required entities to determine the implied fair value of goodwill as of the test date to measure a goodwill impairment charge. Instead, an entity should continue to test goodwill for impairment by comparing the fair value of a reporting unit with its carrying amount (Step 1), and an impairment charge will be recognized for the amount by which the carrying amount exceeds the reporting unit’s fair value. The guidance is effective for interim and fiscal years beginning after December 15, 2019, with early adoption permitted. The Company early adopted this guidance in the second quarter of 2017.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19" w:right="239" w:bottom="1440" w:gutter="0" w:footer="0" w:header="0"/>
        </w:sectPr>
      </w:pPr>
    </w:p>
    <w:bookmarkStart w:id="9" w:name="page10"/>
    <w:bookmarkEnd w:id="9"/>
    <w:p>
      <w:pPr>
        <w:ind w:right="100"/>
        <w:spacing w:after="0" w:line="223" w:lineRule="auto"/>
        <w:rPr>
          <w:sz w:val="20"/>
          <w:szCs w:val="20"/>
          <w:color w:val="auto"/>
        </w:rPr>
      </w:pPr>
      <w:r>
        <w:rPr>
          <w:rFonts w:ascii="Arial" w:cs="Arial" w:eastAsia="Arial" w:hAnsi="Arial"/>
          <w:sz w:val="18"/>
          <w:szCs w:val="18"/>
          <w:color w:val="auto"/>
        </w:rPr>
        <w:t>In March 2017, the FASB issued new guidance that changes the presentation of net periodic pension 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guidance is effective for interim and fiscal years beginning after December 15, 2017. The guidance must be applied retrospectively; however, a practical expedient is available which permits an employer to use amounts previously disclosed in its pension and postretirement plans footnote for the prior comparative periods. The Company will adopt the new standard in the first quarter of 2018, and expects the following changes to its financial statements upon adoption, as detailed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rPr>
              <w:t>Non-operating</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180"/>
              <w:spacing w:after="0"/>
              <w:rPr>
                <w:sz w:val="20"/>
                <w:szCs w:val="20"/>
                <w:color w:val="auto"/>
              </w:rPr>
            </w:pPr>
            <w:r>
              <w:rPr>
                <w:rFonts w:ascii="Arial" w:cs="Arial" w:eastAsia="Arial" w:hAnsi="Arial"/>
                <w:sz w:val="14"/>
                <w:szCs w:val="14"/>
                <w:b w:val="1"/>
                <w:bCs w:val="1"/>
                <w:color w:val="auto"/>
              </w:rPr>
              <w:t>pension and</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jc w:val="right"/>
              <w:ind w:right="340"/>
              <w:spacing w:after="0"/>
              <w:rPr>
                <w:sz w:val="20"/>
                <w:szCs w:val="20"/>
                <w:color w:val="auto"/>
              </w:rPr>
            </w:pPr>
            <w:r>
              <w:rPr>
                <w:rFonts w:ascii="Arial" w:cs="Arial" w:eastAsia="Arial" w:hAnsi="Arial"/>
                <w:sz w:val="14"/>
                <w:szCs w:val="14"/>
                <w:b w:val="1"/>
                <w:bCs w:val="1"/>
                <w:color w:val="auto"/>
              </w:rPr>
              <w:t>Income from</w:t>
            </w: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postretirement benefit</w:t>
            </w:r>
          </w:p>
        </w:tc>
        <w:tc>
          <w:tcPr>
            <w:tcW w:w="280" w:type="dxa"/>
            <w:vAlign w:val="bottom"/>
          </w:tcPr>
          <w:p>
            <w:pPr>
              <w:spacing w:after="0"/>
              <w:rPr>
                <w:sz w:val="14"/>
                <w:szCs w:val="14"/>
                <w:color w:val="auto"/>
              </w:rPr>
            </w:pPr>
          </w:p>
        </w:tc>
        <w:tc>
          <w:tcPr>
            <w:tcW w:w="1380" w:type="dxa"/>
            <w:vAlign w:val="bottom"/>
          </w:tcPr>
          <w:p>
            <w:pPr>
              <w:jc w:val="right"/>
              <w:ind w:right="220"/>
              <w:spacing w:after="0"/>
              <w:rPr>
                <w:sz w:val="20"/>
                <w:szCs w:val="20"/>
                <w:color w:val="auto"/>
              </w:rPr>
            </w:pPr>
            <w:r>
              <w:rPr>
                <w:rFonts w:ascii="Arial" w:cs="Arial" w:eastAsia="Arial" w:hAnsi="Arial"/>
                <w:sz w:val="14"/>
                <w:szCs w:val="14"/>
                <w:b w:val="1"/>
                <w:bCs w:val="1"/>
                <w:color w:val="auto"/>
              </w:rPr>
              <w:t>Income Before</w:t>
            </w: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Operations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income</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Income Taxes</w:t>
            </w:r>
          </w:p>
        </w:tc>
      </w:tr>
      <w:tr>
        <w:trPr>
          <w:trHeight w:val="250"/>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1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68,361</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65,899</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(18,620)</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18,620</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49,741</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18,620</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65,899</w:t>
            </w:r>
          </w:p>
        </w:tc>
      </w:tr>
      <w:tr>
        <w:trPr>
          <w:trHeight w:val="486"/>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2016</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74,140</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84,999</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(15,584)</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15,584</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58,556</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15,584</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84,999</w:t>
            </w:r>
          </w:p>
        </w:tc>
      </w:tr>
      <w:tr>
        <w:trPr>
          <w:trHeight w:val="486"/>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84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97,415</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89,685</w:t>
            </w:r>
          </w:p>
        </w:tc>
      </w:tr>
      <w:tr>
        <w:trPr>
          <w:trHeight w:val="270"/>
        </w:trPr>
        <w:tc>
          <w:tcPr>
            <w:tcW w:w="4840" w:type="dxa"/>
            <w:vAlign w:val="bottom"/>
          </w:tcPr>
          <w:p>
            <w:pPr>
              <w:ind w:left="4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(37,421)</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37,421</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4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59,994</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37,421</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89,685</w:t>
            </w:r>
          </w:p>
        </w:tc>
      </w:tr>
      <w:tr>
        <w:trPr>
          <w:trHeight w:val="513"/>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2016</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84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126,012</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145,614</w:t>
            </w:r>
          </w:p>
        </w:tc>
      </w:tr>
      <w:tr>
        <w:trPr>
          <w:trHeight w:val="270"/>
        </w:trPr>
        <w:tc>
          <w:tcPr>
            <w:tcW w:w="4840" w:type="dxa"/>
            <w:vAlign w:val="bottom"/>
          </w:tcPr>
          <w:p>
            <w:pPr>
              <w:ind w:left="4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(31,261)</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31,261</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4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94,751</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31,261</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145,614</w:t>
            </w:r>
          </w:p>
        </w:tc>
      </w:tr>
      <w:tr>
        <w:trPr>
          <w:trHeight w:val="513"/>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Twelve Months Ended December 31, 2016</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303,534</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250,658</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(80,665)</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80,665</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222,869</w:t>
            </w:r>
          </w:p>
        </w:tc>
        <w:tc>
          <w:tcPr>
            <w:tcW w:w="280" w:type="dxa"/>
            <w:vAlign w:val="bottom"/>
          </w:tcPr>
          <w:p>
            <w:pPr>
              <w:spacing w:after="0"/>
              <w:rPr>
                <w:sz w:val="23"/>
                <w:szCs w:val="23"/>
                <w:color w:val="auto"/>
              </w:rPr>
            </w:pPr>
          </w:p>
        </w:tc>
        <w:tc>
          <w:tcPr>
            <w:tcW w:w="1420" w:type="dxa"/>
            <w:vAlign w:val="bottom"/>
          </w:tcPr>
          <w:p>
            <w:pPr>
              <w:jc w:val="right"/>
              <w:ind w:right="60"/>
              <w:spacing w:after="0"/>
              <w:rPr>
                <w:sz w:val="20"/>
                <w:szCs w:val="20"/>
                <w:color w:val="auto"/>
              </w:rPr>
            </w:pPr>
            <w:r>
              <w:rPr>
                <w:rFonts w:ascii="Arial" w:cs="Arial" w:eastAsia="Arial" w:hAnsi="Arial"/>
                <w:sz w:val="16"/>
                <w:szCs w:val="16"/>
                <w:color w:val="auto"/>
              </w:rPr>
              <w:t>80,665</w:t>
            </w:r>
          </w:p>
        </w:tc>
        <w:tc>
          <w:tcPr>
            <w:tcW w:w="28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250,658</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66" w:lineRule="exact"/>
        <w:rPr>
          <w:sz w:val="20"/>
          <w:szCs w:val="20"/>
          <w:color w:val="auto"/>
        </w:rPr>
      </w:pPr>
    </w:p>
    <w:p>
      <w:pPr>
        <w:jc w:val="both"/>
        <w:ind w:right="560"/>
        <w:spacing w:after="0" w:line="229" w:lineRule="auto"/>
        <w:rPr>
          <w:sz w:val="20"/>
          <w:szCs w:val="20"/>
          <w:color w:val="auto"/>
        </w:rPr>
      </w:pPr>
      <w:r>
        <w:rPr>
          <w:rFonts w:ascii="Arial" w:cs="Arial" w:eastAsia="Arial" w:hAnsi="Arial"/>
          <w:sz w:val="18"/>
          <w:szCs w:val="18"/>
          <w:color w:val="auto"/>
        </w:rPr>
        <w:t>As of June 30, 2017 and December 31, 2016, the Company had commercial paper and money market investments of $262.8 million and $485.1 million, respectively, that are classified as cash, cash equivalents and restricted cash in the Company’s Condensed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2016</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269,343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269,343</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178,420</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154,886</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447,763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424,229</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There were no purchases of marketable equity securities during the first six months of 2017. The Company settled on $18.3 million of marketable equity securities purchases during the first six months of 2016, of which $17.9 million were purchased in the first six months.</w:t>
      </w:r>
    </w:p>
    <w:p>
      <w:pPr>
        <w:spacing w:after="0" w:line="13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There were no sales of marketable equity securities for the first six months of 2017. The total proceeds from the sales of marketable equity securities for the first six months of 2016 were $22.8 million, with realized gains of $6.3 million.</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As of June 30, 2017, the Company held interests in several affiliates; Residential Healthcare (Residential) held a 40% interest in Residential Home Health Illinois, a 42.5% interest in Residential Hospice Illinois and a 40% interest in the joint venture formed between Residential and a Michigan hospital; and Celtic Healthcare (Celtic) held a 40% interest in the joint venture formed between Celtic Healthcare and Allegheny Health Network (AHN). For the three</w:t>
      </w:r>
    </w:p>
    <w:p>
      <w:pPr>
        <w:sectPr>
          <w:pgSz w:w="11900" w:h="16838" w:orient="portrait"/>
          <w:cols w:equalWidth="0" w:num="1">
            <w:col w:w="11420"/>
          </w:cols>
          <w:pgMar w:left="240" w:top="719" w:right="239" w:bottom="1057"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19" w:right="239" w:bottom="1057" w:gutter="0" w:footer="0" w:header="0"/>
          <w:type w:val="continuous"/>
        </w:sectPr>
      </w:pPr>
    </w:p>
    <w:bookmarkStart w:id="10" w:name="page11"/>
    <w:bookmarkEnd w:id="10"/>
    <w:p>
      <w:pPr>
        <w:ind w:right="60"/>
        <w:spacing w:after="0" w:line="235" w:lineRule="auto"/>
        <w:rPr>
          <w:sz w:val="20"/>
          <w:szCs w:val="20"/>
          <w:color w:val="auto"/>
        </w:rPr>
      </w:pPr>
      <w:r>
        <w:rPr>
          <w:rFonts w:ascii="Arial" w:cs="Arial" w:eastAsia="Arial" w:hAnsi="Arial"/>
          <w:sz w:val="18"/>
          <w:szCs w:val="18"/>
          <w:color w:val="auto"/>
        </w:rPr>
        <w:t>and six months ended June 30, 2017, the Company recorded $5.0 million and $9.6 million, respectively, in revenue for services provided to the affiliates of Celtic and Residential.</w:t>
      </w:r>
    </w:p>
    <w:p>
      <w:pPr>
        <w:spacing w:after="0" w:line="135"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£11.0 million was advanced in 2016. The loan will be repayable over 25 years at an interest rate of 7% and the loan is guaranteed by the University of York.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DISPOSITIONS OF BUSINESSES</w:t>
      </w:r>
    </w:p>
    <w:p>
      <w:pPr>
        <w:spacing w:after="0" w:line="14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the first six months of 2017, the Company acquired six businesses, two in its education division, two in its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broadcasting division and two in other businesses for $318.7 million in cash and contingent consideration, and the assumption of $59.1 million in certain pension and postretirement obligations.</w:t>
      </w:r>
    </w:p>
    <w:p>
      <w:pPr>
        <w:spacing w:after="0" w:line="136"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other businesses.</w:t>
      </w:r>
    </w:p>
    <w:p>
      <w:pPr>
        <w:spacing w:after="0" w:line="137"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This acquisition is consistent with the Company’s ongoing strategy of investing in companies with a history of profitability and strong management. Hoover is included in other businesses.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rationale for these acquisitions was based on several strategic benefits expected to be realized in the future. Both of these acquisitions are included in Kaplan International.</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Dekko is included in other businesses.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9" w:right="239" w:bottom="1440" w:gutter="0" w:footer="0" w:header="0"/>
        </w:sectPr>
      </w:pPr>
    </w:p>
    <w:bookmarkStart w:id="11" w:name="page12"/>
    <w:bookmarkEnd w:id="11"/>
    <w:p>
      <w:pPr>
        <w:ind w:right="360"/>
        <w:spacing w:after="0" w:line="235" w:lineRule="auto"/>
        <w:rPr>
          <w:sz w:val="20"/>
          <w:szCs w:val="20"/>
          <w:color w:val="auto"/>
        </w:rPr>
      </w:pPr>
      <w:r>
        <w:rPr>
          <w:rFonts w:ascii="Arial" w:cs="Arial" w:eastAsia="Arial" w:hAnsi="Arial"/>
          <w:sz w:val="18"/>
          <w:szCs w:val="18"/>
          <w:color w:val="auto"/>
        </w:rPr>
        <w:t>Acquisition-related costs of $3.5 million related to these 2017 acquisitions were expensed as incurred. The aggregate purchase price of the 2017 and 2016 acquisitions was allocated as follows (2017 on a preliminary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Purchase Price Allocation</w:t>
            </w:r>
          </w:p>
        </w:tc>
      </w:tr>
      <w:tr>
        <w:trPr>
          <w:trHeight w:val="250"/>
        </w:trPr>
        <w:tc>
          <w:tcPr>
            <w:tcW w:w="8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21"/>
                <w:szCs w:val="21"/>
                <w:color w:val="auto"/>
              </w:rPr>
            </w:pPr>
          </w:p>
        </w:tc>
      </w:tr>
      <w:tr>
        <w:trPr>
          <w:trHeight w:val="197"/>
        </w:trPr>
        <w:tc>
          <w:tcPr>
            <w:tcW w:w="8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0"/>
        </w:trPr>
        <w:tc>
          <w:tcPr>
            <w:tcW w:w="84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20"/>
              <w:spacing w:after="0"/>
              <w:rPr>
                <w:sz w:val="20"/>
                <w:szCs w:val="20"/>
                <w:color w:val="auto"/>
              </w:rPr>
            </w:pPr>
            <w:r>
              <w:rPr>
                <w:rFonts w:ascii="Arial" w:cs="Arial" w:eastAsia="Arial" w:hAnsi="Arial"/>
                <w:sz w:val="16"/>
                <w:szCs w:val="16"/>
                <w:b w:val="1"/>
                <w:bCs w:val="1"/>
                <w:color w:val="auto"/>
              </w:rPr>
              <w:t>13,074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8,538</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b w:val="1"/>
                <w:bCs w:val="1"/>
                <w:color w:val="auto"/>
              </w:rPr>
              <w:t>25,754</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878</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b w:val="1"/>
                <w:bCs w:val="1"/>
                <w:color w:val="auto"/>
              </w:rPr>
              <w:t>593</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1,420</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b w:val="1"/>
                <w:bCs w:val="1"/>
                <w:color w:val="auto"/>
              </w:rPr>
              <w:t>30,961</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3,940</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b w:val="1"/>
                <w:bCs w:val="1"/>
                <w:color w:val="auto"/>
              </w:rPr>
              <w:t>138,000</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184,118</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b w:val="1"/>
                <w:bCs w:val="1"/>
                <w:color w:val="auto"/>
              </w:rPr>
              <w:t>41,600</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53,110</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160" w:type="dxa"/>
            <w:vAlign w:val="bottom"/>
          </w:tcPr>
          <w:p>
            <w:pPr>
              <w:spacing w:after="0"/>
              <w:rPr>
                <w:sz w:val="23"/>
                <w:szCs w:val="23"/>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b w:val="1"/>
                <w:bCs w:val="1"/>
                <w:color w:val="auto"/>
              </w:rPr>
              <w:t>159,107</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28,267</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(59,116)</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(10,614)</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(21,892)</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(30,923)</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(11,009)</w:t>
            </w:r>
          </w:p>
        </w:tc>
      </w:tr>
      <w:tr>
        <w:trPr>
          <w:trHeight w:val="283"/>
        </w:trPr>
        <w:tc>
          <w:tcPr>
            <w:tcW w:w="846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(3,666)</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46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304,770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247,370</w:t>
            </w: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2017 fair values recorded were based upon preliminary valuations and the estimates and assumptions used in such valuations are subject to change, which could be significant, within the measurement period (up to one year from the acquisition date). The recording of deferred tax assets or liabilities, working capital and the final amount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$10.0 million and $22.2 million of goodwill for income tax purposes for the acquisitions completed in 2017 and 2016, respectively.</w:t>
      </w:r>
    </w:p>
    <w:p>
      <w:pPr>
        <w:spacing w:after="0" w:line="13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include aggregate revenues for the companies acquired in 2017 of $63.4 million and a nominal operating loss for the second quarter of 2017, and aggregate revenues and an operating loss of $68.9 million and $0.2 million, respectively, for the first six months of 2017. The following unaudited pro forma financial information presents the Company’s results as if the 2017 acquisitions had occurred at the beginning of 2016. The unaudited pro forma information also includes the 2016 acquisitions as if they occurred at the beginning of 2015: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520" w:type="dxa"/>
            <w:vAlign w:val="bottom"/>
            <w:gridSpan w:val="3"/>
          </w:tcPr>
          <w:p>
            <w:pPr>
              <w:jc w:val="right"/>
              <w:ind w:right="72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2016</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680,759</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695,357</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1,322,559</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1,361,804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23"/>
                <w:szCs w:val="23"/>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46,718</w:t>
            </w:r>
          </w:p>
        </w:tc>
        <w:tc>
          <w:tcPr>
            <w:tcW w:w="46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62,638</w:t>
            </w:r>
          </w:p>
        </w:tc>
        <w:tc>
          <w:tcPr>
            <w:tcW w:w="420" w:type="dxa"/>
            <w:vAlign w:val="bottom"/>
          </w:tcPr>
          <w:p>
            <w:pPr>
              <w:spacing w:after="0"/>
              <w:rPr>
                <w:sz w:val="23"/>
                <w:szCs w:val="23"/>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71,330</w:t>
            </w:r>
          </w:p>
        </w:tc>
        <w:tc>
          <w:tcPr>
            <w:tcW w:w="4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101,717</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2017, GHG completed the sale of Celtic Healthcare of Maryland.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122"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9" w:right="239" w:bottom="1440" w:gutter="0" w:footer="0" w:header="0"/>
        </w:sectPr>
      </w:pPr>
    </w:p>
    <w:bookmarkStart w:id="12" w:name="page13"/>
    <w:bookmarkEnd w:id="12"/>
    <w:p>
      <w:pPr>
        <w:ind w:right="6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June 30, 2017.</w:t>
      </w:r>
    </w:p>
    <w:p>
      <w:pPr>
        <w:spacing w:after="0" w:line="11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Kaplan subsidiaries entered into a Contribution and Transfer Agreement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contribute Kaplan University (KU), its institutional assets and operations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the Indiana Commission for Higher Education and HLC, which is the regional accreditor of both Purdue and KU, and certain other state educational agencies and accreditors of programs. Kaplan is unable to predict with certainty when and if such approvals will be obtained; however, all approvals may not be received until the first quarter of 2018. If the transaction is not consummated by April 30, 2018, either party may terminate the Transfer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the second quarter of 2017, as a result of a challenging operating environment, the Forney reporting unit recorded a goodwill and other long-lived asset impairment charge of $9.2 million. The Company performed an interim review of the goodwill and other long-lived assets of the reporting unit by utilizing a discounted cash flow model to estimate the fair value. The carrying value of the reporting unit exceeded the estimated fair value, resulting in a goodwill impairment charge for the amount by which the carrying value exceeded the reporting unit’s estimated fair value.</w:t>
      </w:r>
    </w:p>
    <w:p>
      <w:pPr>
        <w:spacing w:after="0" w:line="137" w:lineRule="exact"/>
        <w:rPr>
          <w:sz w:val="20"/>
          <w:szCs w:val="20"/>
          <w:color w:val="auto"/>
        </w:rPr>
      </w:pPr>
    </w:p>
    <w:p>
      <w:pPr>
        <w:ind w:right="420"/>
        <w:spacing w:after="0" w:line="227" w:lineRule="auto"/>
        <w:rPr>
          <w:sz w:val="20"/>
          <w:szCs w:val="20"/>
          <w:color w:val="auto"/>
        </w:rPr>
      </w:pPr>
      <w:r>
        <w:rPr>
          <w:rFonts w:ascii="Arial" w:cs="Arial" w:eastAsia="Arial" w:hAnsi="Arial"/>
          <w:sz w:val="18"/>
          <w:szCs w:val="18"/>
          <w:color w:val="auto"/>
        </w:rPr>
        <w:t>Amortization of intangible assets for the three months ended June 30, 2017 and 2016 was $10.5 million and $6.3 million, respectively. Amortization of intangible assets for the six months ended June 30, 2017 and 2016 was $17.4 million and $12.5 million, respectively. Amortization of intangible assets is estimated to be approximately $22 million for the remainder of 2017, $37 million in 2018, $36 million in 2019, $33 million in 2020, $27 million in 2021 and $93 million thereafter.</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719"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60"/>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200" w:type="dxa"/>
            <w:vAlign w:val="bottom"/>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1,111,003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202,141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1,481,489</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(358,535)</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760,153</w:t>
            </w:r>
          </w:p>
        </w:tc>
        <w:tc>
          <w:tcPr>
            <w:tcW w:w="24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194,456</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1,122,954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18,986</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24,256</w:t>
            </w:r>
          </w:p>
        </w:tc>
        <w:tc>
          <w:tcPr>
            <w:tcW w:w="3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94,758</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138,000</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Impairment</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(412)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(412)</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26,968</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26,968</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2017</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1,156,957</w:t>
            </w:r>
          </w:p>
        </w:tc>
        <w:tc>
          <w:tcPr>
            <w:tcW w:w="24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192,601</w:t>
            </w:r>
          </w:p>
        </w:tc>
        <w:tc>
          <w:tcPr>
            <w:tcW w:w="30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296,487</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1,646,045</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(366,151)</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806,107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192,601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281,186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1,279,894</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240" w:type="dxa"/>
            <w:vAlign w:val="bottom"/>
          </w:tcPr>
          <w:p>
            <w:pPr>
              <w:spacing w:after="0"/>
              <w:rPr>
                <w:sz w:val="14"/>
                <w:szCs w:val="14"/>
                <w:color w:val="auto"/>
              </w:rPr>
            </w:pPr>
          </w:p>
        </w:tc>
        <w:tc>
          <w:tcPr>
            <w:tcW w:w="120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International</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389,720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166,098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555,185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1,111,003</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141,129</w:t>
            </w:r>
          </w:p>
        </w:tc>
        <w:tc>
          <w:tcPr>
            <w:tcW w:w="280" w:type="dxa"/>
            <w:vAlign w:val="bottom"/>
          </w:tcPr>
          <w:p>
            <w:pPr>
              <w:spacing w:after="0"/>
              <w:rPr>
                <w:sz w:val="21"/>
                <w:szCs w:val="21"/>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63,839</w:t>
            </w:r>
          </w:p>
        </w:tc>
        <w:tc>
          <w:tcPr>
            <w:tcW w:w="24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555,185</w:t>
            </w:r>
          </w:p>
        </w:tc>
        <w:tc>
          <w:tcPr>
            <w:tcW w:w="4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760,153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18,986</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18,986</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70</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26,898</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26,968</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2017</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389,790</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166,098</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601,069</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1,156,957</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141,199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63,839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601,069</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806,107</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2017</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2016</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520" w:type="dxa"/>
            <w:vAlign w:val="bottom"/>
          </w:tcPr>
          <w:p>
            <w:pPr>
              <w:jc w:val="center"/>
              <w:ind w:right="141"/>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00" w:type="dxa"/>
            <w:vAlign w:val="bottom"/>
          </w:tcPr>
          <w:p>
            <w:pPr>
              <w:jc w:val="center"/>
              <w:ind w:right="141"/>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1–10 years (1)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224,280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66,780</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157,500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129,616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55,863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73,753</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56,995</w:t>
            </w: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31,920</w:t>
            </w:r>
          </w:p>
        </w:tc>
        <w:tc>
          <w:tcPr>
            <w:tcW w:w="20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25,075</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55,240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29,670</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25,570</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42,600</w:t>
            </w: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1,302</w:t>
            </w:r>
          </w:p>
        </w:tc>
        <w:tc>
          <w:tcPr>
            <w:tcW w:w="20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41,298</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3–6 years (1)</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19,505</w:t>
            </w: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3,321</w:t>
            </w:r>
          </w:p>
        </w:tc>
        <w:tc>
          <w:tcPr>
            <w:tcW w:w="20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16,184</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5,601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4,368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2,180</w:t>
            </w:r>
          </w:p>
        </w:tc>
        <w:tc>
          <w:tcPr>
            <w:tcW w:w="240" w:type="dxa"/>
            <w:vAlign w:val="bottom"/>
          </w:tcPr>
          <w:p>
            <w:pPr>
              <w:spacing w:after="0"/>
              <w:rPr>
                <w:sz w:val="23"/>
                <w:szCs w:val="23"/>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b w:val="1"/>
                <w:bCs w:val="1"/>
                <w:color w:val="auto"/>
              </w:rPr>
              <w:t>1,480</w:t>
            </w:r>
          </w:p>
        </w:tc>
        <w:tc>
          <w:tcPr>
            <w:tcW w:w="20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700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1,730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1,404</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83"/>
        </w:trPr>
        <w:tc>
          <w:tcPr>
            <w:tcW w:w="2840" w:type="dxa"/>
            <w:vAlign w:val="bottom"/>
          </w:tcPr>
          <w:p>
            <w:pPr>
              <w:ind w:left="180"/>
              <w:spacing w:after="0"/>
              <w:rPr>
                <w:sz w:val="20"/>
                <w:szCs w:val="20"/>
                <w:color w:val="auto"/>
              </w:rPr>
            </w:pPr>
            <w:r>
              <w:rPr>
                <w:rFonts w:ascii="Arial" w:cs="Arial" w:eastAsia="Arial" w:hAnsi="Arial"/>
                <w:sz w:val="16"/>
                <w:szCs w:val="16"/>
                <w:color w:val="auto"/>
              </w:rPr>
              <w:t>Other</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13,730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6,150</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7,580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12,030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4,973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359,290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110,953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248,337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204,217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96,278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107,939</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84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82,810</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65,192</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26,600</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84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650</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110,060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66,026</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12700</wp:posOffset>
            </wp:positionV>
            <wp:extent cx="651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29845</wp:posOffset>
            </wp:positionV>
            <wp:extent cx="651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12700</wp:posOffset>
            </wp:positionV>
            <wp:extent cx="668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29845</wp:posOffset>
            </wp:positionV>
            <wp:extent cx="668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63"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December 31, 2016, the student and customer relationships’ minimum useful life was 2 years and the databases and technology’s maximum useful life was 5 years.</w:t>
      </w:r>
    </w:p>
    <w:p>
      <w:pPr>
        <w:sectPr>
          <w:pgSz w:w="11900" w:h="16838" w:orient="portrait"/>
          <w:cols w:equalWidth="0" w:num="1">
            <w:col w:w="11420"/>
          </w:cols>
          <w:pgMar w:left="240" w:top="719" w:right="2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719"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82"/>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30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7.25% unsecured notes due February 1, 2019 </w:t>
            </w:r>
            <w:r>
              <w:rPr>
                <w:rFonts w:ascii="Arial" w:cs="Arial" w:eastAsia="Arial" w:hAnsi="Arial"/>
                <w:sz w:val="21"/>
                <w:szCs w:val="21"/>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399,279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399,052</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96,815</w:t>
            </w:r>
          </w:p>
        </w:tc>
        <w:tc>
          <w:tcPr>
            <w:tcW w:w="2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91,316</w:t>
            </w:r>
          </w:p>
        </w:tc>
        <w:tc>
          <w:tcPr>
            <w:tcW w:w="0" w:type="dxa"/>
            <w:vAlign w:val="bottom"/>
          </w:tcPr>
          <w:p>
            <w:pPr>
              <w:spacing w:after="0"/>
              <w:rPr>
                <w:sz w:val="1"/>
                <w:szCs w:val="1"/>
                <w:color w:val="auto"/>
              </w:rPr>
            </w:pPr>
          </w:p>
        </w:tc>
      </w:tr>
      <w:tr>
        <w:trPr>
          <w:trHeight w:val="228"/>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115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496,209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491,847</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(6,492)</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489,717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485,719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June 30, 2017 and December 31, 2016, respectively.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$0.5 million of unamortized debt issuance costs as of June 30, 2017 and December 31, 2016,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June 30, 2017 is at an interest rate of 2% and matures in 2025.</w:t>
      </w:r>
    </w:p>
    <w:p>
      <w:pPr>
        <w:spacing w:after="0" w:line="144"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 As of June 30, 2017, the Company is in compliance with all financial covenants.</w:t>
      </w:r>
    </w:p>
    <w:p>
      <w:pPr>
        <w:spacing w:after="0" w:line="138"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4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three months ended June 30, 2017 and 2016, the Company had average borrowings outstanding of approximately $495.6 million and $400.0 million, respectively, at average annual interest rates of approximately 6.2% and 7.2%, respectively. During the three months ended June 30, 2017 and 2016, the Company incurred net interest expense of $7.9 million and $7.3 million, respectively.</w:t>
      </w:r>
    </w:p>
    <w:p>
      <w:pPr>
        <w:spacing w:after="0" w:line="137"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During the six months ended June 30, 2017 and 2016, the Company had average borrowings outstanding of approximately $494.5 million and $399.9 million, respectively, at average annual interest rates of approximately 6.2% and 7.2%, respectively. During the six months ended June 30, 2017 and 2016, the Company incurred net interest expense of $14.6 million.</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At June 30, 2017, the fair value of the Company’s 7.25% unsecured notes, based on quoted market prices (Level 2 fair value assessment), totaled $431.0 million, compared with the carrying amount of $399.3 million. At December 31, 2016, the fair value of the Company’s 7.25% unsecured notes, based on quoted market prices (Level 2 fair value assessment), totaled $438.7 million, compared with the carrying amount of $399.1 million. The carrying value of the Company’s other unsecured debt at June 30, 2017 approximates fair value.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June 30, 2017</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262,797</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262,797</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447,763</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447,763</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6,207</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16,023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22,230</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453,970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278,820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732,790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44,840</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44,840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515</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515</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12,584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12,584</w:t>
            </w:r>
          </w:p>
        </w:tc>
        <w:tc>
          <w:tcPr>
            <w:tcW w:w="0" w:type="dxa"/>
            <w:vAlign w:val="bottom"/>
          </w:tcPr>
          <w:p>
            <w:pPr>
              <w:spacing w:after="0"/>
              <w:rPr>
                <w:sz w:val="1"/>
                <w:szCs w:val="1"/>
                <w:color w:val="auto"/>
              </w:rPr>
            </w:pPr>
          </w:p>
        </w:tc>
      </w:tr>
      <w:tr>
        <w:trPr>
          <w:trHeight w:val="261"/>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45,355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12,584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57,939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435,258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435,258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Commercial paper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49,882</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49,882</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424,229</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424,229</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6,957</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17,055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24,012</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481,068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452,313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933,381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46,300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46,300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365</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46,665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59,249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 and the value considers the liquidity of the counterparty.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three months or less are included in cash and cash equivalents.</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41" w:lineRule="exact"/>
        <w:rPr>
          <w:rFonts w:ascii="Arial" w:cs="Arial" w:eastAsia="Arial" w:hAnsi="Arial"/>
          <w:sz w:val="14"/>
          <w:szCs w:val="14"/>
          <w:color w:val="auto"/>
        </w:rPr>
      </w:pPr>
    </w:p>
    <w:p>
      <w:pPr>
        <w:ind w:left="420" w:right="420" w:hanging="412"/>
        <w:spacing w:after="0" w:line="239"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30" w:lineRule="exact"/>
        <w:rPr>
          <w:rFonts w:ascii="Arial" w:cs="Arial" w:eastAsia="Arial" w:hAnsi="Arial"/>
          <w:sz w:val="14"/>
          <w:szCs w:val="14"/>
          <w:color w:val="auto"/>
        </w:rPr>
      </w:pPr>
    </w:p>
    <w:p>
      <w:pPr>
        <w:ind w:left="420" w:right="4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right="160" w:hanging="412"/>
        <w:spacing w:after="0" w:line="239"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180" w:hanging="412"/>
        <w:spacing w:after="0" w:line="239"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an EBITDA multiple, adjusted for working capital and other items, which approximates fair value.</w:t>
      </w:r>
    </w:p>
    <w:p>
      <w:pPr>
        <w:spacing w:after="0" w:line="187" w:lineRule="exact"/>
        <w:rPr>
          <w:sz w:val="20"/>
          <w:szCs w:val="20"/>
          <w:color w:val="auto"/>
        </w:rPr>
      </w:pPr>
    </w:p>
    <w:p>
      <w:pPr>
        <w:ind w:right="580"/>
        <w:spacing w:after="0" w:line="225" w:lineRule="auto"/>
        <w:rPr>
          <w:sz w:val="20"/>
          <w:szCs w:val="20"/>
          <w:color w:val="auto"/>
        </w:rPr>
      </w:pPr>
      <w:r>
        <w:rPr>
          <w:rFonts w:ascii="Arial" w:cs="Arial" w:eastAsia="Arial" w:hAnsi="Arial"/>
          <w:sz w:val="18"/>
          <w:szCs w:val="18"/>
          <w:color w:val="auto"/>
        </w:rPr>
        <w:t>In the second quarter of 2017, the Company recorded a goodwill and other long-lived asset impairment charge of $9.2 million.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and made estimates and assumptions regarding future cash flows, discount rates and long-term growth rates.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ectPr>
          <w:pgSz w:w="11900" w:h="16838" w:orient="portrait"/>
          <w:cols w:equalWidth="0" w:num="1">
            <w:col w:w="11420"/>
          </w:cols>
          <w:pgMar w:left="240" w:top="697"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697" w:right="239" w:bottom="1440" w:gutter="0" w:footer="0" w:header="0"/>
          <w:type w:val="continuous"/>
        </w:sectPr>
      </w:pPr>
    </w:p>
    <w:bookmarkStart w:id="16" w:name="page17"/>
    <w:bookmarkEnd w:id="16"/>
    <w:p>
      <w:pPr>
        <w:ind w:right="12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63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41,996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60,766</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63,082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98,546</w:t>
            </w:r>
          </w:p>
        </w:tc>
        <w:tc>
          <w:tcPr>
            <w:tcW w:w="0" w:type="dxa"/>
            <w:vAlign w:val="bottom"/>
          </w:tcPr>
          <w:p>
            <w:pPr>
              <w:spacing w:after="0"/>
              <w:rPr>
                <w:sz w:val="1"/>
                <w:szCs w:val="1"/>
                <w:color w:val="auto"/>
              </w:rPr>
            </w:pPr>
          </w:p>
        </w:tc>
      </w:tr>
      <w:tr>
        <w:trPr>
          <w:trHeight w:val="283"/>
        </w:trPr>
        <w:tc>
          <w:tcPr>
            <w:tcW w:w="632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(7,080)</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(6,775)</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(21,282)</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(20,533)</w:t>
            </w:r>
          </w:p>
        </w:tc>
        <w:tc>
          <w:tcPr>
            <w:tcW w:w="0" w:type="dxa"/>
            <w:vAlign w:val="bottom"/>
          </w:tcPr>
          <w:p>
            <w:pPr>
              <w:spacing w:after="0"/>
              <w:rPr>
                <w:sz w:val="1"/>
                <w:szCs w:val="1"/>
                <w:color w:val="auto"/>
              </w:rPr>
            </w:pPr>
          </w:p>
        </w:tc>
      </w:tr>
      <w:tr>
        <w:trPr>
          <w:trHeight w:val="251"/>
        </w:trPr>
        <w:tc>
          <w:tcPr>
            <w:tcW w:w="632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34,916</w:t>
            </w:r>
          </w:p>
        </w:tc>
        <w:tc>
          <w:tcPr>
            <w:tcW w:w="40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53,991</w:t>
            </w:r>
          </w:p>
        </w:tc>
        <w:tc>
          <w:tcPr>
            <w:tcW w:w="340" w:type="dxa"/>
            <w:vAlign w:val="bottom"/>
          </w:tcPr>
          <w:p>
            <w:pPr>
              <w:spacing w:after="0"/>
              <w:rPr>
                <w:sz w:val="21"/>
                <w:szCs w:val="21"/>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41,800</w:t>
            </w:r>
          </w:p>
        </w:tc>
        <w:tc>
          <w:tcPr>
            <w:tcW w:w="400" w:type="dxa"/>
            <w:vAlign w:val="bottom"/>
          </w:tcPr>
          <w:p>
            <w:pPr>
              <w:spacing w:after="0"/>
              <w:rPr>
                <w:sz w:val="21"/>
                <w:szCs w:val="21"/>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78,013</w:t>
            </w:r>
          </w:p>
        </w:tc>
        <w:tc>
          <w:tcPr>
            <w:tcW w:w="0" w:type="dxa"/>
            <w:vAlign w:val="bottom"/>
          </w:tcPr>
          <w:p>
            <w:pPr>
              <w:spacing w:after="0"/>
              <w:rPr>
                <w:sz w:val="1"/>
                <w:szCs w:val="1"/>
                <w:color w:val="auto"/>
              </w:rPr>
            </w:pPr>
          </w:p>
        </w:tc>
      </w:tr>
      <w:tr>
        <w:trPr>
          <w:trHeight w:val="283"/>
        </w:trPr>
        <w:tc>
          <w:tcPr>
            <w:tcW w:w="632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99.06%</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98.68%</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99.06%</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98.68%</w:t>
            </w:r>
          </w:p>
        </w:tc>
        <w:tc>
          <w:tcPr>
            <w:tcW w:w="0" w:type="dxa"/>
            <w:vAlign w:val="bottom"/>
          </w:tcPr>
          <w:p>
            <w:pPr>
              <w:spacing w:after="0"/>
              <w:rPr>
                <w:sz w:val="1"/>
                <w:szCs w:val="1"/>
                <w:color w:val="auto"/>
              </w:rPr>
            </w:pPr>
          </w:p>
        </w:tc>
      </w:tr>
      <w:tr>
        <w:trPr>
          <w:trHeight w:val="251"/>
        </w:trPr>
        <w:tc>
          <w:tcPr>
            <w:tcW w:w="6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34,588</w:t>
            </w:r>
          </w:p>
        </w:tc>
        <w:tc>
          <w:tcPr>
            <w:tcW w:w="400" w:type="dxa"/>
            <w:vAlign w:val="bottom"/>
          </w:tcPr>
          <w:p>
            <w:pPr>
              <w:spacing w:after="0"/>
              <w:rPr>
                <w:sz w:val="21"/>
                <w:szCs w:val="21"/>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53,277</w:t>
            </w:r>
          </w:p>
        </w:tc>
        <w:tc>
          <w:tcPr>
            <w:tcW w:w="340" w:type="dxa"/>
            <w:vAlign w:val="bottom"/>
          </w:tcPr>
          <w:p>
            <w:pPr>
              <w:spacing w:after="0"/>
              <w:rPr>
                <w:sz w:val="21"/>
                <w:szCs w:val="21"/>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41,407</w:t>
            </w:r>
          </w:p>
        </w:tc>
        <w:tc>
          <w:tcPr>
            <w:tcW w:w="400" w:type="dxa"/>
            <w:vAlign w:val="bottom"/>
          </w:tcPr>
          <w:p>
            <w:pPr>
              <w:spacing w:after="0"/>
              <w:rPr>
                <w:sz w:val="21"/>
                <w:szCs w:val="21"/>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76,981</w:t>
            </w:r>
          </w:p>
        </w:tc>
        <w:tc>
          <w:tcPr>
            <w:tcW w:w="0" w:type="dxa"/>
            <w:vAlign w:val="bottom"/>
          </w:tcPr>
          <w:p>
            <w:pPr>
              <w:spacing w:after="0"/>
              <w:rPr>
                <w:sz w:val="1"/>
                <w:szCs w:val="1"/>
                <w:color w:val="auto"/>
              </w:rPr>
            </w:pPr>
          </w:p>
        </w:tc>
      </w:tr>
      <w:tr>
        <w:trPr>
          <w:trHeight w:val="283"/>
        </w:trPr>
        <w:tc>
          <w:tcPr>
            <w:tcW w:w="632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7,013</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6,685</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21,082</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20,264</w:t>
            </w:r>
          </w:p>
        </w:tc>
        <w:tc>
          <w:tcPr>
            <w:tcW w:w="0" w:type="dxa"/>
            <w:vAlign w:val="bottom"/>
          </w:tcPr>
          <w:p>
            <w:pPr>
              <w:spacing w:after="0"/>
              <w:rPr>
                <w:sz w:val="1"/>
                <w:szCs w:val="1"/>
                <w:color w:val="auto"/>
              </w:rPr>
            </w:pPr>
          </w:p>
        </w:tc>
      </w:tr>
      <w:tr>
        <w:trPr>
          <w:trHeight w:val="267"/>
        </w:trPr>
        <w:tc>
          <w:tcPr>
            <w:tcW w:w="6320" w:type="dxa"/>
            <w:vAlign w:val="bottom"/>
          </w:tcPr>
          <w:p>
            <w:pPr>
              <w:ind w:left="2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41,601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59,962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62,489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97,245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2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64"/>
        </w:trPr>
        <w:tc>
          <w:tcPr>
            <w:tcW w:w="6320" w:type="dxa"/>
            <w:vAlign w:val="bottom"/>
          </w:tcPr>
          <w:p>
            <w:pPr>
              <w:ind w:left="18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41,604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59,966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62,492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97,250</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3"/>
                <w:szCs w:val="23"/>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5,539</w:t>
            </w:r>
          </w:p>
        </w:tc>
        <w:tc>
          <w:tcPr>
            <w:tcW w:w="400" w:type="dxa"/>
            <w:vAlign w:val="bottom"/>
          </w:tcPr>
          <w:p>
            <w:pPr>
              <w:spacing w:after="0"/>
              <w:rPr>
                <w:sz w:val="23"/>
                <w:szCs w:val="23"/>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5,544</w:t>
            </w:r>
          </w:p>
        </w:tc>
        <w:tc>
          <w:tcPr>
            <w:tcW w:w="340" w:type="dxa"/>
            <w:vAlign w:val="bottom"/>
          </w:tcPr>
          <w:p>
            <w:pPr>
              <w:spacing w:after="0"/>
              <w:rPr>
                <w:sz w:val="23"/>
                <w:szCs w:val="23"/>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b w:val="1"/>
                <w:bCs w:val="1"/>
                <w:color w:val="auto"/>
              </w:rPr>
              <w:t>5,537</w:t>
            </w:r>
          </w:p>
        </w:tc>
        <w:tc>
          <w:tcPr>
            <w:tcW w:w="400" w:type="dxa"/>
            <w:vAlign w:val="bottom"/>
          </w:tcPr>
          <w:p>
            <w:pPr>
              <w:spacing w:after="0"/>
              <w:rPr>
                <w:sz w:val="23"/>
                <w:szCs w:val="23"/>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5,584</w:t>
            </w:r>
          </w:p>
        </w:tc>
        <w:tc>
          <w:tcPr>
            <w:tcW w:w="0" w:type="dxa"/>
            <w:vAlign w:val="bottom"/>
          </w:tcPr>
          <w:p>
            <w:pPr>
              <w:spacing w:after="0"/>
              <w:rPr>
                <w:sz w:val="1"/>
                <w:szCs w:val="1"/>
                <w:color w:val="auto"/>
              </w:rPr>
            </w:pPr>
          </w:p>
        </w:tc>
      </w:tr>
      <w:tr>
        <w:trPr>
          <w:trHeight w:val="283"/>
        </w:trPr>
        <w:tc>
          <w:tcPr>
            <w:tcW w:w="632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38</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36</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4"/>
        </w:trPr>
        <w:tc>
          <w:tcPr>
            <w:tcW w:w="6320" w:type="dxa"/>
            <w:vAlign w:val="bottom"/>
          </w:tcPr>
          <w:p>
            <w:pPr>
              <w:ind w:left="18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5,577</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5,574</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5,573</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5,613</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32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7.51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11.29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32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7.46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11.21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240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2"/>
          </w:tcPr>
          <w:p>
            <w:pPr>
              <w:jc w:val="right"/>
              <w:ind w:right="44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860" w:type="dxa"/>
            <w:vAlign w:val="bottom"/>
          </w:tcPr>
          <w:p>
            <w:pPr>
              <w:spacing w:after="0"/>
              <w:rPr>
                <w:sz w:val="17"/>
                <w:szCs w:val="17"/>
                <w:color w:val="auto"/>
              </w:rPr>
            </w:pPr>
          </w:p>
        </w:tc>
        <w:tc>
          <w:tcPr>
            <w:tcW w:w="1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2016</w:t>
            </w:r>
          </w:p>
        </w:tc>
        <w:tc>
          <w:tcPr>
            <w:tcW w:w="1420" w:type="dxa"/>
            <w:vAlign w:val="bottom"/>
            <w:tcBorders>
              <w:bottom w:val="single" w:sz="8" w:color="auto"/>
            </w:tcBorders>
          </w:tcPr>
          <w:p>
            <w:pPr>
              <w:jc w:val="right"/>
              <w:ind w:right="706"/>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2016</w:t>
            </w:r>
          </w:p>
        </w:tc>
      </w:tr>
      <w:tr>
        <w:trPr>
          <w:trHeight w:val="250"/>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460" w:type="dxa"/>
            <w:vAlign w:val="bottom"/>
          </w:tcPr>
          <w:p>
            <w:pPr>
              <w:jc w:val="right"/>
              <w:ind w:right="466"/>
              <w:spacing w:after="0"/>
              <w:rPr>
                <w:sz w:val="20"/>
                <w:szCs w:val="20"/>
                <w:color w:val="auto"/>
              </w:rPr>
            </w:pPr>
            <w:r>
              <w:rPr>
                <w:rFonts w:ascii="Arial" w:cs="Arial" w:eastAsia="Arial" w:hAnsi="Arial"/>
                <w:sz w:val="16"/>
                <w:szCs w:val="16"/>
                <w:b w:val="1"/>
                <w:bCs w:val="1"/>
                <w:color w:val="auto"/>
              </w:rPr>
              <w:t>29</w:t>
            </w:r>
          </w:p>
        </w:tc>
        <w:tc>
          <w:tcPr>
            <w:tcW w:w="940" w:type="dxa"/>
            <w:vAlign w:val="bottom"/>
          </w:tcPr>
          <w:p>
            <w:pPr>
              <w:jc w:val="right"/>
              <w:ind w:right="243"/>
              <w:spacing w:after="0"/>
              <w:rPr>
                <w:sz w:val="20"/>
                <w:szCs w:val="20"/>
                <w:color w:val="auto"/>
              </w:rPr>
            </w:pPr>
            <w:r>
              <w:rPr>
                <w:rFonts w:ascii="Arial" w:cs="Arial" w:eastAsia="Arial" w:hAnsi="Arial"/>
                <w:sz w:val="16"/>
                <w:szCs w:val="16"/>
                <w:color w:val="auto"/>
              </w:rPr>
              <w:t>41</w:t>
            </w:r>
          </w:p>
        </w:tc>
        <w:tc>
          <w:tcPr>
            <w:tcW w:w="1420" w:type="dxa"/>
            <w:vAlign w:val="bottom"/>
          </w:tcPr>
          <w:p>
            <w:pPr>
              <w:jc w:val="right"/>
              <w:ind w:right="406"/>
              <w:spacing w:after="0"/>
              <w:rPr>
                <w:sz w:val="20"/>
                <w:szCs w:val="20"/>
                <w:color w:val="auto"/>
              </w:rPr>
            </w:pPr>
            <w:r>
              <w:rPr>
                <w:rFonts w:ascii="Arial" w:cs="Arial" w:eastAsia="Arial" w:hAnsi="Arial"/>
                <w:sz w:val="16"/>
                <w:szCs w:val="16"/>
                <w:b w:val="1"/>
                <w:bCs w:val="1"/>
                <w:color w:val="auto"/>
              </w:rPr>
              <w:t>28</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39</w:t>
            </w:r>
          </w:p>
        </w:tc>
      </w:tr>
    </w:tbl>
    <w:p>
      <w:pPr>
        <w:spacing w:after="0" w:line="16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The diluted earnings per share amounts for the three and six months ended June 30, 2017 and June 30, 2016 exclude the effects of 104,000 and 102,000 stock options outstanding, as their inclusion would have been antidilutive due to a market condition. The diluted earnings per share amounts for the three and six months ended June 30, 2017 and June 30, 2016 exclude the effects of 5,250 and 6,100 restricted stock awards, respectively, as their inclusion would have been antidilutive due to a performance condition.</w:t>
      </w:r>
    </w:p>
    <w:p>
      <w:pPr>
        <w:spacing w:after="0" w:line="13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the three and six months ended June 30, 2017, the Company declared regular dividends totaling $1.27 and $3.81, respectively. In the three and six months ended June 30, 2016, the Company declared regular dividends totaling $1.21, and $3.63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AND POSTRETIREMENT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4,591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5,040</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9,505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10,382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11,979</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12,845</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23,965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25,918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8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(30,403)</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(30,226)</w:t>
            </w:r>
          </w:p>
        </w:tc>
        <w:tc>
          <w:tcPr>
            <w:tcW w:w="38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(60,740)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(60,774)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43</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75</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86</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149</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(1,039)</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(2,333)</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(14,829)</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(12,266)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(29,517)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(24,325)</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719"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215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246</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429</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492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1,058</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1,096</w:t>
            </w:r>
          </w:p>
        </w:tc>
        <w:tc>
          <w:tcPr>
            <w:tcW w:w="4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2,116</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2,192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23"/>
                <w:szCs w:val="23"/>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b w:val="1"/>
                <w:bCs w:val="1"/>
                <w:color w:val="auto"/>
              </w:rPr>
              <w:t>114</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4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b w:val="1"/>
                <w:bCs w:val="1"/>
                <w:color w:val="auto"/>
              </w:rPr>
              <w:t>228</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228</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443</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665</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887</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1,330</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1,830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2,121</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3,660</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4,242</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662"/>
              <w:spacing w:after="0"/>
              <w:rPr>
                <w:sz w:val="20"/>
                <w:szCs w:val="20"/>
                <w:color w:val="auto"/>
              </w:rPr>
            </w:pPr>
            <w:r>
              <w:rPr>
                <w:rFonts w:ascii="Arial" w:cs="Arial" w:eastAsia="Arial" w:hAnsi="Arial"/>
                <w:sz w:val="14"/>
                <w:szCs w:val="14"/>
                <w:b w:val="1"/>
                <w:bCs w:val="1"/>
                <w:color w:val="auto"/>
              </w:rPr>
              <w:t>June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2017</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2016</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52%</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31%</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10%</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Company manages approximately 45% of the pension assets internally, of which the majority is invested in a U.S. stock index fund with the remaining investments in Berkshire Hathaway stock and short-term fixed income securities. The remaining 55% of plan assets are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from the Plan administrator. As of June 30, 2017, the investment managers can invest no more than 23% of the assets they manage in specified international exchanges, at the time the investment is made, and no less than 10% of the assets could be invested in fixed-income securities.</w:t>
      </w:r>
    </w:p>
    <w:p>
      <w:pPr>
        <w:spacing w:after="0" w:line="141"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2017. Types of concentrations that were evaluated include, but are not limited to, investment concentrations in a single entity, type of industry, foreign country and individual fund. At June 30, 2017 and December 31, 2016, the pension plan held investments in one common stock and one U.S. stock index fund that exceeded 10% of total plan assets. These investments were valued at $1,008.9 million and $978.8 million at June 30, 2017 and December 31, 2016, respectively, or approximately 47% and 48%, respectively, of total plan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257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347</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514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693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b w:val="1"/>
                <w:bCs w:val="1"/>
                <w:color w:val="auto"/>
              </w:rPr>
              <w:t>194</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307</w:t>
            </w:r>
          </w:p>
        </w:tc>
        <w:tc>
          <w:tcPr>
            <w:tcW w:w="380" w:type="dxa"/>
            <w:vAlign w:val="bottom"/>
          </w:tcPr>
          <w:p>
            <w:pPr>
              <w:spacing w:after="0"/>
              <w:rPr>
                <w:sz w:val="23"/>
                <w:szCs w:val="23"/>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b w:val="1"/>
                <w:bCs w:val="1"/>
                <w:color w:val="auto"/>
              </w:rPr>
              <w:t>389</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615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23"/>
                <w:szCs w:val="23"/>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b w:val="1"/>
                <w:bCs w:val="1"/>
                <w:color w:val="auto"/>
              </w:rPr>
              <w:t>(37)</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380" w:type="dxa"/>
            <w:vAlign w:val="bottom"/>
          </w:tcPr>
          <w:p>
            <w:pPr>
              <w:spacing w:after="0"/>
              <w:rPr>
                <w:sz w:val="23"/>
                <w:szCs w:val="23"/>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(74)</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(972)</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(376)</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(1,945)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(558)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(1,116)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389</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1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2016</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3,466</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(24,084)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5,194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(29,527)</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(Loss) gain on sales of businesses</w:t>
            </w:r>
          </w:p>
        </w:tc>
        <w:tc>
          <w:tcPr>
            <w:tcW w:w="30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(342)</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18,931</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 of land</w:t>
            </w:r>
          </w:p>
        </w:tc>
        <w:tc>
          <w:tcPr>
            <w:tcW w:w="30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34,072</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34,072</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sales of marketable equity securities (see Note 2)</w:t>
            </w:r>
          </w:p>
        </w:tc>
        <w:tc>
          <w:tcPr>
            <w:tcW w:w="30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4,502</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6,256</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Gain on the formation of a joint venture</w:t>
            </w:r>
          </w:p>
        </w:tc>
        <w:tc>
          <w:tcPr>
            <w:tcW w:w="30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3,232</w:t>
            </w:r>
          </w:p>
        </w:tc>
        <w:tc>
          <w:tcPr>
            <w:tcW w:w="32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3,232</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603</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66</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1,132</w:t>
            </w:r>
          </w:p>
        </w:tc>
      </w:tr>
      <w:tr>
        <w:trPr>
          <w:trHeight w:val="26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4,069</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4,918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34,096</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In the second quarter of 2016, the Company sold the remaining portion of the Robinson Terminal real estate retained from the sale of the Publishing Subsidiaries, for a gain of $34.1 million.</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June 2016, Residential contributed assets to a joint venture entered into with a Michigan hospital in exchange for a 40% equity interest and other assets, resulting in a $3.2 million gain (see Note 3).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00" w:type="dxa"/>
            <w:vAlign w:val="bottom"/>
            <w:gridSpan w:val="2"/>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2016</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After-Tax</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w w:val="98"/>
              </w:rPr>
              <w:t>Before-Tax</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900" w:type="dxa"/>
            <w:vAlign w:val="bottom"/>
          </w:tcPr>
          <w:p>
            <w:pPr>
              <w:jc w:val="center"/>
              <w:ind w:right="4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697"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for the period, net</w:t>
      </w:r>
    </w:p>
    <w:p>
      <w:pPr>
        <w:spacing w:after="0" w:line="59" w:lineRule="exact"/>
        <w:rPr>
          <w:sz w:val="20"/>
          <w:szCs w:val="20"/>
          <w:color w:val="auto"/>
        </w:rPr>
      </w:pPr>
    </w:p>
    <w:p>
      <w:pPr>
        <w:ind w:left="340" w:right="160" w:hanging="161"/>
        <w:spacing w:after="0" w:line="260"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line="366" w:lineRule="auto"/>
        <w:rPr>
          <w:sz w:val="20"/>
          <w:szCs w:val="20"/>
          <w:color w:val="auto"/>
        </w:rPr>
      </w:pPr>
      <w:r>
        <w:rPr>
          <w:rFonts w:ascii="Arial" w:cs="Arial" w:eastAsia="Arial" w:hAnsi="Arial"/>
          <w:sz w:val="16"/>
          <w:szCs w:val="16"/>
          <w:color w:val="auto"/>
        </w:rPr>
        <w:t>Amortization of net prior service cost included in net income Amortization of net actuarial (gain) loss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9,638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9,638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(5,121)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(5,121)</w:t>
            </w:r>
          </w:p>
        </w:tc>
      </w:tr>
      <w:tr>
        <w:trPr>
          <w:trHeight w:val="540"/>
        </w:trPr>
        <w:tc>
          <w:tcPr>
            <w:tcW w:w="28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13,976</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(5,591)</w:t>
            </w:r>
          </w:p>
        </w:tc>
        <w:tc>
          <w:tcPr>
            <w:tcW w:w="28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8,385</w:t>
            </w:r>
          </w:p>
        </w:tc>
        <w:tc>
          <w:tcPr>
            <w:tcW w:w="3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(5,307)</w:t>
            </w:r>
          </w:p>
        </w:tc>
        <w:tc>
          <w:tcPr>
            <w:tcW w:w="32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2,123</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(3,184)</w:t>
            </w:r>
          </w:p>
        </w:tc>
      </w:tr>
      <w:tr>
        <w:trPr>
          <w:trHeight w:val="445"/>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(4,502)</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1,801</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w:t>
            </w:r>
          </w:p>
        </w:tc>
      </w:tr>
      <w:tr>
        <w:trPr>
          <w:trHeight w:val="264"/>
        </w:trPr>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13,976</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(5,591)</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8,385</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(9,809)</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3,924</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(5,885)</w:t>
            </w:r>
          </w:p>
        </w:tc>
      </w:tr>
      <w:tr>
        <w:trPr>
          <w:trHeight w:val="521"/>
        </w:trPr>
        <w:tc>
          <w:tcPr>
            <w:tcW w:w="28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120</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28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72</w:t>
            </w:r>
          </w:p>
        </w:tc>
        <w:tc>
          <w:tcPr>
            <w:tcW w:w="3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283"/>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(1,568)</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627</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r>
      <w:tr>
        <w:trPr>
          <w:trHeight w:val="264"/>
        </w:trPr>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(1,448)</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579</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(869)</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394</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w:t>
            </w:r>
          </w:p>
        </w:tc>
      </w:tr>
      <w:tr>
        <w:trPr>
          <w:trHeight w:val="534"/>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22,147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17,139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(14,536)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3,766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20" w:space="540"/>
            <w:col w:w="6260"/>
          </w:cols>
          <w:pgMar w:left="240" w:top="697" w:right="2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697"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After-Tax</w:t>
            </w:r>
          </w:p>
        </w:tc>
        <w:tc>
          <w:tcPr>
            <w:tcW w:w="1200" w:type="dxa"/>
            <w:vAlign w:val="bottom"/>
          </w:tcPr>
          <w:p>
            <w:pPr>
              <w:jc w:val="center"/>
              <w:ind w:right="8"/>
              <w:spacing w:after="0"/>
              <w:rPr>
                <w:sz w:val="20"/>
                <w:szCs w:val="20"/>
                <w:color w:val="auto"/>
              </w:rPr>
            </w:pPr>
            <w:r>
              <w:rPr>
                <w:rFonts w:ascii="Arial" w:cs="Arial" w:eastAsia="Arial" w:hAnsi="Arial"/>
                <w:sz w:val="14"/>
                <w:szCs w:val="14"/>
                <w:color w:val="auto"/>
                <w:w w:val="98"/>
              </w:rPr>
              <w:t>Before-Tax</w:t>
            </w:r>
          </w:p>
        </w:tc>
        <w:tc>
          <w:tcPr>
            <w:tcW w:w="940" w:type="dxa"/>
            <w:vAlign w:val="bottom"/>
          </w:tcPr>
          <w:p>
            <w:pPr>
              <w:jc w:val="center"/>
              <w:ind w:right="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020" w:type="dxa"/>
            <w:vAlign w:val="bottom"/>
          </w:tcPr>
          <w:p>
            <w:pPr>
              <w:ind w:left="240"/>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center"/>
              <w:ind w:right="8"/>
              <w:spacing w:after="0"/>
              <w:rPr>
                <w:sz w:val="20"/>
                <w:szCs w:val="20"/>
                <w:color w:val="auto"/>
              </w:rPr>
            </w:pPr>
            <w:r>
              <w:rPr>
                <w:rFonts w:ascii="Arial" w:cs="Arial" w:eastAsia="Arial" w:hAnsi="Arial"/>
                <w:sz w:val="14"/>
                <w:szCs w:val="14"/>
                <w:color w:val="auto"/>
                <w:w w:val="99"/>
              </w:rPr>
              <w:t>Amount</w:t>
            </w:r>
          </w:p>
        </w:tc>
        <w:tc>
          <w:tcPr>
            <w:tcW w:w="940" w:type="dxa"/>
            <w:vAlign w:val="bottom"/>
          </w:tcPr>
          <w:p>
            <w:pPr>
              <w:jc w:val="center"/>
              <w:ind w:right="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883" w:right="239" w:bottom="854"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for the period, net</w:t>
      </w:r>
    </w:p>
    <w:p>
      <w:pPr>
        <w:spacing w:after="0" w:line="59" w:lineRule="exact"/>
        <w:rPr>
          <w:sz w:val="20"/>
          <w:szCs w:val="20"/>
          <w:color w:val="auto"/>
        </w:rPr>
      </w:pPr>
    </w:p>
    <w:p>
      <w:pPr>
        <w:ind w:left="340" w:right="160" w:hanging="161"/>
        <w:spacing w:after="0" w:line="260"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line="366" w:lineRule="auto"/>
        <w:rPr>
          <w:sz w:val="20"/>
          <w:szCs w:val="20"/>
          <w:color w:val="auto"/>
        </w:rPr>
      </w:pPr>
      <w:r>
        <w:rPr>
          <w:rFonts w:ascii="Arial" w:cs="Arial" w:eastAsia="Arial" w:hAnsi="Arial"/>
          <w:sz w:val="16"/>
          <w:szCs w:val="16"/>
          <w:color w:val="auto"/>
        </w:rPr>
        <w:t>Amortization of net prior service cost included in net income Amortization of net actuarial (gain) loss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23,306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23,306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(1,276)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(1,276)</w:t>
            </w:r>
          </w:p>
        </w:tc>
      </w:tr>
      <w:tr>
        <w:trPr>
          <w:trHeight w:val="540"/>
        </w:trPr>
        <w:tc>
          <w:tcPr>
            <w:tcW w:w="28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23,534</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(9,414)</w:t>
            </w:r>
          </w:p>
        </w:tc>
        <w:tc>
          <w:tcPr>
            <w:tcW w:w="28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14,120</w:t>
            </w:r>
          </w:p>
        </w:tc>
        <w:tc>
          <w:tcPr>
            <w:tcW w:w="3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(4,964)</w:t>
            </w:r>
          </w:p>
        </w:tc>
        <w:tc>
          <w:tcPr>
            <w:tcW w:w="320" w:type="dxa"/>
            <w:vAlign w:val="bottom"/>
          </w:tcPr>
          <w:p>
            <w:pPr>
              <w:spacing w:after="0"/>
              <w:rPr>
                <w:sz w:val="24"/>
                <w:szCs w:val="24"/>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1,986</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(2,978)</w:t>
            </w:r>
          </w:p>
        </w:tc>
      </w:tr>
      <w:tr>
        <w:trPr>
          <w:trHeight w:val="445"/>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(6,256)</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2,502</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w:t>
            </w:r>
          </w:p>
        </w:tc>
      </w:tr>
      <w:tr>
        <w:trPr>
          <w:trHeight w:val="264"/>
        </w:trPr>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23,534</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(9,414)</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14,120</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(11,220)</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4,488</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(6,732)</w:t>
            </w:r>
          </w:p>
        </w:tc>
      </w:tr>
      <w:tr>
        <w:trPr>
          <w:trHeight w:val="521"/>
        </w:trPr>
        <w:tc>
          <w:tcPr>
            <w:tcW w:w="28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240</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28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144</w:t>
            </w:r>
          </w:p>
        </w:tc>
        <w:tc>
          <w:tcPr>
            <w:tcW w:w="30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209</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283"/>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(3,391)</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1,356</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(2,035)</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579</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348</w:t>
            </w:r>
          </w:p>
        </w:tc>
      </w:tr>
      <w:tr>
        <w:trPr>
          <w:trHeight w:val="264"/>
        </w:trPr>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(3,151)</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1,260</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(1,891)</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788</w:t>
            </w: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w:t>
            </w:r>
          </w:p>
        </w:tc>
      </w:tr>
      <w:tr>
        <w:trPr>
          <w:trHeight w:val="534"/>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29</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43,546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35,421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(11,708)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4,173</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4620" w:space="540"/>
            <w:col w:w="6260"/>
          </w:cols>
          <w:pgMar w:left="240" w:top="883" w:right="239" w:bottom="854"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40" w:type="dxa"/>
            <w:vAlign w:val="bottom"/>
          </w:tcPr>
          <w:p>
            <w:pPr>
              <w:jc w:val="center"/>
              <w:ind w:right="82"/>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60" w:type="dxa"/>
            <w:vAlign w:val="bottom"/>
          </w:tcPr>
          <w:p>
            <w:pPr>
              <w:jc w:val="center"/>
              <w:ind w:right="83"/>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40" w:type="dxa"/>
            <w:vAlign w:val="bottom"/>
          </w:tcPr>
          <w:p>
            <w:pPr>
              <w:jc w:val="center"/>
              <w:ind w:right="82"/>
              <w:spacing w:after="0"/>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50"/>
        </w:trPr>
        <w:tc>
          <w:tcPr>
            <w:tcW w:w="4360" w:type="dxa"/>
            <w:vAlign w:val="bottom"/>
          </w:tcPr>
          <w:p>
            <w:pPr>
              <w:ind w:left="40"/>
              <w:spacing w:after="0"/>
              <w:rPr>
                <w:sz w:val="20"/>
                <w:szCs w:val="20"/>
                <w:color w:val="auto"/>
              </w:rPr>
            </w:pPr>
            <w:r>
              <w:rPr>
                <w:rFonts w:ascii="Arial" w:cs="Arial" w:eastAsia="Arial" w:hAnsi="Arial"/>
                <w:sz w:val="16"/>
                <w:szCs w:val="16"/>
                <w:color w:val="auto"/>
              </w:rPr>
              <w:t>Balance as of December 31, 2016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(26,998)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92,931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3"/>
              <w:spacing w:after="0"/>
              <w:rPr>
                <w:sz w:val="20"/>
                <w:szCs w:val="20"/>
                <w:color w:val="auto"/>
              </w:rPr>
            </w:pPr>
            <w:r>
              <w:rPr>
                <w:rFonts w:ascii="Arial" w:cs="Arial" w:eastAsia="Arial" w:hAnsi="Arial"/>
                <w:sz w:val="16"/>
                <w:szCs w:val="16"/>
                <w:color w:val="auto"/>
              </w:rPr>
              <w:t>170,830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236,486</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36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b w:val="1"/>
                <w:bCs w:val="1"/>
                <w:color w:val="auto"/>
              </w:rPr>
              <w:t>23,306</w:t>
            </w:r>
          </w:p>
        </w:tc>
        <w:tc>
          <w:tcPr>
            <w:tcW w:w="220" w:type="dxa"/>
            <w:vAlign w:val="bottom"/>
          </w:tcPr>
          <w:p>
            <w:pPr>
              <w:spacing w:after="0"/>
              <w:rPr>
                <w:sz w:val="18"/>
                <w:szCs w:val="18"/>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14,120</w:t>
            </w:r>
          </w:p>
        </w:tc>
        <w:tc>
          <w:tcPr>
            <w:tcW w:w="240" w:type="dxa"/>
            <w:vAlign w:val="bottom"/>
          </w:tcPr>
          <w:p>
            <w:pPr>
              <w:spacing w:after="0"/>
              <w:rPr>
                <w:sz w:val="18"/>
                <w:szCs w:val="18"/>
                <w:color w:val="auto"/>
              </w:rPr>
            </w:pPr>
          </w:p>
        </w:tc>
        <w:tc>
          <w:tcPr>
            <w:tcW w:w="136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(172)</w:t>
            </w:r>
          </w:p>
        </w:tc>
        <w:tc>
          <w:tcPr>
            <w:tcW w:w="220" w:type="dxa"/>
            <w:vAlign w:val="bottom"/>
          </w:tcPr>
          <w:p>
            <w:pPr>
              <w:spacing w:after="0"/>
              <w:rPr>
                <w:sz w:val="18"/>
                <w:szCs w:val="18"/>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b w:val="1"/>
                <w:bCs w:val="1"/>
                <w:color w:val="auto"/>
              </w:rPr>
              <w:t>37,254</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36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 (loss)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(1,891)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(1,833)</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net of tax</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23,306</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14,120</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(1,891)</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(114)</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35,421</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(3,692)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107,051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168,939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271,907</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Six Months Ended</w:t>
            </w:r>
          </w:p>
        </w:tc>
        <w:tc>
          <w:tcPr>
            <w:tcW w:w="25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jc w:val="right"/>
              <w:ind w:right="668"/>
              <w:spacing w:after="0" w:line="149"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2"/>
                <w:szCs w:val="12"/>
                <w:color w:val="auto"/>
              </w:rPr>
            </w:pPr>
          </w:p>
        </w:tc>
        <w:tc>
          <w:tcPr>
            <w:tcW w:w="1240" w:type="dxa"/>
            <w:vAlign w:val="bottom"/>
          </w:tcPr>
          <w:p>
            <w:pPr>
              <w:jc w:val="right"/>
              <w:ind w:right="588"/>
              <w:spacing w:after="0" w:line="149" w:lineRule="exact"/>
              <w:rPr>
                <w:sz w:val="20"/>
                <w:szCs w:val="20"/>
                <w:color w:val="auto"/>
              </w:rPr>
            </w:pPr>
            <w:r>
              <w:rPr>
                <w:rFonts w:ascii="Arial" w:cs="Arial" w:eastAsia="Arial" w:hAnsi="Arial"/>
                <w:sz w:val="14"/>
                <w:szCs w:val="14"/>
                <w:b w:val="1"/>
                <w:bCs w:val="1"/>
                <w:color w:val="auto"/>
              </w:rPr>
              <w:t>June 30</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500" w:type="dxa"/>
            <w:vAlign w:val="bottom"/>
            <w:vMerge w:val="restart"/>
          </w:tcPr>
          <w:p>
            <w:pPr>
              <w:jc w:val="center"/>
              <w:ind w:left="48"/>
              <w:spacing w:after="0" w:line="13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61"/>
        </w:trPr>
        <w:tc>
          <w:tcPr>
            <w:tcW w:w="4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2016</w:t>
            </w:r>
          </w:p>
        </w:tc>
        <w:tc>
          <w:tcPr>
            <w:tcW w:w="2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p>
      <w:pPr>
        <w:sectPr>
          <w:pgSz w:w="11900" w:h="16838" w:orient="portrait"/>
          <w:cols w:equalWidth="0" w:num="1">
            <w:col w:w="11420"/>
          </w:cols>
          <w:pgMar w:left="240" w:top="883" w:right="239" w:bottom="854" w:gutter="0" w:footer="0" w:header="0"/>
          <w:type w:val="continuous"/>
        </w:sectPr>
      </w:pPr>
    </w:p>
    <w:p>
      <w:pPr>
        <w:spacing w:after="0" w:line="86"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4740" w:type="dxa"/>
            <w:vAlign w:val="bottom"/>
          </w:tcPr>
          <w:p>
            <w:pPr>
              <w:spacing w:after="0"/>
              <w:rPr>
                <w:sz w:val="20"/>
                <w:szCs w:val="20"/>
                <w:color w:val="auto"/>
              </w:rPr>
            </w:pPr>
            <w:r>
              <w:rPr>
                <w:rFonts w:ascii="Arial" w:cs="Arial" w:eastAsia="Arial" w:hAnsi="Arial"/>
                <w:sz w:val="16"/>
                <w:szCs w:val="16"/>
                <w:color w:val="auto"/>
              </w:rPr>
              <w:t>Realized gain for the period</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   (4,502)</w:t>
            </w:r>
          </w:p>
        </w:tc>
        <w:tc>
          <w:tcPr>
            <w:tcW w:w="44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   (6,256)</w:t>
            </w:r>
          </w:p>
        </w:tc>
      </w:tr>
      <w:tr>
        <w:trPr>
          <w:trHeight w:val="283"/>
        </w:trPr>
        <w:tc>
          <w:tcPr>
            <w:tcW w:w="4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1,801</w:t>
            </w: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2,502</w:t>
            </w:r>
          </w:p>
        </w:tc>
      </w:tr>
      <w:tr>
        <w:trPr>
          <w:trHeight w:val="264"/>
        </w:trPr>
        <w:tc>
          <w:tcPr>
            <w:tcW w:w="47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(2,701)</w:t>
            </w:r>
          </w:p>
        </w:tc>
        <w:tc>
          <w:tcPr>
            <w:tcW w:w="4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Pension and Other Postretirement Plans: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640"/>
        <w:spacing w:after="0" w:line="421" w:lineRule="auto"/>
        <w:rPr>
          <w:sz w:val="20"/>
          <w:szCs w:val="20"/>
          <w:color w:val="auto"/>
        </w:rPr>
      </w:pPr>
      <w:r>
        <w:rPr>
          <w:rFonts w:ascii="Arial" w:cs="Arial" w:eastAsia="Arial" w:hAnsi="Arial"/>
          <w:sz w:val="14"/>
          <w:szCs w:val="14"/>
          <w:color w:val="auto"/>
        </w:rPr>
        <w:t>Other income, net Provision for Income Taxes Net of Tax</w:t>
      </w:r>
    </w:p>
    <w:p>
      <w:pPr>
        <w:spacing w:after="0" w:line="206" w:lineRule="exact"/>
        <w:rPr>
          <w:sz w:val="20"/>
          <w:szCs w:val="20"/>
          <w:color w:val="auto"/>
        </w:rPr>
      </w:pPr>
    </w:p>
    <w:p>
      <w:pPr>
        <w:sectPr>
          <w:pgSz w:w="11900" w:h="16838" w:orient="portrait"/>
          <w:cols w:equalWidth="0" w:num="2">
            <w:col w:w="8920" w:space="140"/>
            <w:col w:w="2360"/>
          </w:cols>
          <w:pgMar w:left="240" w:top="883" w:right="239" w:bottom="854"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prior service cost</w:t>
            </w:r>
          </w:p>
        </w:tc>
        <w:tc>
          <w:tcPr>
            <w:tcW w:w="24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120</w:t>
            </w:r>
          </w:p>
        </w:tc>
        <w:tc>
          <w:tcPr>
            <w:tcW w:w="32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240</w:t>
            </w:r>
          </w:p>
        </w:tc>
        <w:tc>
          <w:tcPr>
            <w:tcW w:w="30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w:t>
            </w: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(1,568)</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(3,391)</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579</w:t>
            </w:r>
          </w:p>
        </w:tc>
        <w:tc>
          <w:tcPr>
            <w:tcW w:w="186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(1,448)</w:t>
            </w:r>
          </w:p>
        </w:tc>
        <w:tc>
          <w:tcPr>
            <w:tcW w:w="32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394</w:t>
            </w:r>
          </w:p>
        </w:tc>
        <w:tc>
          <w:tcPr>
            <w:tcW w:w="3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(3,151)</w:t>
            </w:r>
          </w:p>
        </w:tc>
        <w:tc>
          <w:tcPr>
            <w:tcW w:w="30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186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579</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1,260</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(869)</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236</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(1,891)</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auto"/>
              </w:rPr>
              <w:t>41</w:t>
            </w:r>
          </w:p>
        </w:tc>
        <w:tc>
          <w:tcPr>
            <w:tcW w:w="320" w:type="dxa"/>
            <w:vAlign w:val="bottom"/>
          </w:tcPr>
          <w:p>
            <w:pPr>
              <w:spacing w:after="0"/>
              <w:rPr>
                <w:sz w:val="24"/>
                <w:szCs w:val="24"/>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72</w:t>
            </w:r>
          </w:p>
        </w:tc>
        <w:tc>
          <w:tcPr>
            <w:tcW w:w="30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58</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(836)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8).</w:t>
      </w:r>
    </w:p>
    <w:p>
      <w:pPr>
        <w:sectPr>
          <w:pgSz w:w="11900" w:h="16838" w:orient="portrait"/>
          <w:cols w:equalWidth="0" w:num="1">
            <w:col w:w="11420"/>
          </w:cols>
          <w:pgMar w:left="240" w:top="883" w:right="239" w:bottom="854"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883" w:right="239" w:bottom="854"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CONTINGENCIES</w:t>
      </w:r>
    </w:p>
    <w:p>
      <w:pPr>
        <w:spacing w:after="0" w:line="144"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Litigation, Legal and Other Matters. </w:t>
      </w:r>
      <w:r>
        <w:rPr>
          <w:rFonts w:ascii="Arial" w:cs="Arial" w:eastAsia="Arial" w:hAnsi="Arial"/>
          <w:sz w:val="18"/>
          <w:szCs w:val="18"/>
          <w:color w:val="auto"/>
        </w:rPr>
        <w:t>The Company and its subsidiaries are involved in various legal, regulatory and other proceedings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arise in the ordinary course of its business. Although the outcomes of these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legal, regulatory and other proceedings in excess of the amounts accrued could reach approximately $20 million.</w:t>
      </w:r>
    </w:p>
    <w:p>
      <w:pPr>
        <w:spacing w:after="0" w:line="139"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 xml:space="preserve">Kaplan subsidiaries were subject to two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Carlos Urquilla-Diaz </w:t>
      </w:r>
      <w:r>
        <w:rPr>
          <w:rFonts w:ascii="Arial" w:cs="Arial" w:eastAsia="Arial" w:hAnsi="Arial"/>
          <w:sz w:val="18"/>
          <w:szCs w:val="18"/>
          <w:color w:val="auto"/>
        </w:rPr>
        <w:t>et al. v.</w:t>
      </w:r>
      <w:r>
        <w:rPr>
          <w:rFonts w:ascii="Arial" w:cs="Arial" w:eastAsia="Arial" w:hAnsi="Arial"/>
          <w:sz w:val="18"/>
          <w:szCs w:val="18"/>
          <w:i w:val="1"/>
          <w:iCs w:val="1"/>
          <w:color w:val="auto"/>
        </w:rPr>
        <w:t xml:space="preserve"> Kaplan University </w:t>
      </w:r>
      <w:r>
        <w:rPr>
          <w:rFonts w:ascii="Arial" w:cs="Arial" w:eastAsia="Arial" w:hAnsi="Arial"/>
          <w:sz w:val="18"/>
          <w:szCs w:val="18"/>
          <w:color w:val="auto"/>
        </w:rPr>
        <w:t>et al. (“Diaz”, unsealed March 25, 2008) and</w:t>
      </w:r>
      <w:r>
        <w:rPr>
          <w:rFonts w:ascii="Arial" w:cs="Arial" w:eastAsia="Arial" w:hAnsi="Arial"/>
          <w:sz w:val="18"/>
          <w:szCs w:val="18"/>
          <w:i w:val="1"/>
          <w:iCs w:val="1"/>
          <w:color w:val="auto"/>
        </w:rPr>
        <w:t xml:space="preserve"> United States of America </w:t>
      </w:r>
      <w:r>
        <w:rPr>
          <w:rFonts w:ascii="Arial" w:cs="Arial" w:eastAsia="Arial" w:hAnsi="Arial"/>
          <w:sz w:val="18"/>
          <w:szCs w:val="18"/>
          <w:color w:val="auto"/>
        </w:rPr>
        <w:t xml:space="preserve">ex rel. </w:t>
      </w:r>
      <w:r>
        <w:rPr>
          <w:rFonts w:ascii="Arial" w:cs="Arial" w:eastAsia="Arial" w:hAnsi="Arial"/>
          <w:sz w:val="18"/>
          <w:szCs w:val="18"/>
          <w:i w:val="1"/>
          <w:iCs w:val="1"/>
          <w:color w:val="auto"/>
        </w:rPr>
        <w:t>Charles Jajdelski</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Higher Education Corp</w:t>
      </w:r>
      <w:r>
        <w:rPr>
          <w:rFonts w:ascii="Arial" w:cs="Arial" w:eastAsia="Arial" w:hAnsi="Arial"/>
          <w:sz w:val="18"/>
          <w:szCs w:val="18"/>
          <w:color w:val="auto"/>
        </w:rPr>
        <w:t>. et al. (“Jajdelski”, unsealed January 6, 2009).</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actually included three separate complainants: Diaz, Wilcox and Gillespie. The court dismissed the Wilcox complaint in its entirety; dismissed all False Claims Act allegations in the Diaz complaint, leaving only an individual employment claim; and dismissed in part the Gillespie complaint limiting the scope and time frame of its False Claims Act allegations regarding compliance with the U.S. Federal Rehabilitation Act. On July 16, 2013, the court entered summary judgment in favor of the Company on all remaining claims in the Gillespie complaint and on March 11, 2015, the U.S. Court of Appeals for the Eleventh Judicial Circuit affirmed that dismissal ending the Gillespie claims in Kaplan’s favor. On October 31, 2012, the court entered summary judgment in favor of the Company as to the sole remaining employment claim in the Diaz complaint. And, on March 11, 2015, the appellate court affirmed the summary judgment on all issues in the Diaz case except the court reversed and remanded Diaz’s claim that incentive compensation for admissions representatives was improperly based solely on enrollments in violation of the Title IV regulations. On July 13, 2017, the District Court again granted summary judgment on this final issue in the Diaz case in Kaplan’s favor, ending the case at the U.S. District Court level. The plaintiff has 60 days to appeal.</w:t>
      </w:r>
    </w:p>
    <w:p>
      <w:pPr>
        <w:spacing w:after="0" w:line="136"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The surviving claim was remanded to the District Court, where Kaplan was again granted summary judgment on March 9, 2015. Plaintiff has appealed this judgment and briefing is complete. In March 2017, the Appellate Court denied the appeal and ruled fully in Kaplan’s favor and Jajdelski filed a motion to re-hear the matter. On May 12, 2017, the Court of Appeals issued its Mandate ending the case and relinquishing jurisdiction.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Despite the sale of the nationally accredited Kaplan Higher Education Campuses business, Kaplan retains liability for these claims.</w:t>
      </w:r>
    </w:p>
    <w:p>
      <w:pPr>
        <w:spacing w:after="0" w:line="122"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Department of Education (ED) Program Reviews. </w:t>
      </w:r>
      <w:r>
        <w:rPr>
          <w:rFonts w:ascii="Arial" w:cs="Arial" w:eastAsia="Arial" w:hAnsi="Arial"/>
          <w:sz w:val="18"/>
          <w:szCs w:val="18"/>
          <w:color w:val="auto"/>
        </w:rPr>
        <w:t>ED has undertaken program reviews at various KHE locations. Currently, there are five</w:t>
      </w:r>
      <w:r>
        <w:rPr>
          <w:rFonts w:ascii="Arial" w:cs="Arial" w:eastAsia="Arial" w:hAnsi="Arial"/>
          <w:sz w:val="18"/>
          <w:szCs w:val="18"/>
          <w:b w:val="1"/>
          <w:bCs w:val="1"/>
          <w:color w:val="auto"/>
        </w:rPr>
        <w:t xml:space="preserve"> </w:t>
      </w:r>
      <w:r>
        <w:rPr>
          <w:rFonts w:ascii="Arial" w:cs="Arial" w:eastAsia="Arial" w:hAnsi="Arial"/>
          <w:sz w:val="18"/>
          <w:szCs w:val="18"/>
          <w:color w:val="auto"/>
        </w:rPr>
        <w:t>open program reviews, four of which are at campuses that were formerly a part of the KHE Campuses business, including the ED’s final reports on the program reviews at former KHE Hammond, IN, San Antonio, TX, Broomall, PA, and Pittsburgh, PA, locations. Kaplan retains responsibility for any financial obligation resulting from the ED program reviews at the KHE Campuses business that were open at the time of sale.</w:t>
      </w:r>
    </w:p>
    <w:p>
      <w:pPr>
        <w:spacing w:after="0" w:line="13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HEA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5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97"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BUSINESS SEGMENTS</w:t>
      </w:r>
    </w:p>
    <w:p>
      <w:pPr>
        <w:spacing w:after="0" w:line="166"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The Company has four reportable segments: Kaplan Higher Education, Kaplan Test Preparation, Kaplan International and television broadcasting.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386,499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419,213</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759,396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820,289</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106,102</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96,520</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197,598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188,538</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183,486</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113,269</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301,810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221,985</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676,087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628,933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1,258,804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1,230,673</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32,925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32,892</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41,956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47,380</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39,264</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44,215</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65,233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85,435</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(8,918)</w:t>
            </w:r>
          </w:p>
        </w:tc>
        <w:tc>
          <w:tcPr>
            <w:tcW w:w="3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(5,062)</w:t>
            </w: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(19,482)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(10,792)</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5,090</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2,095</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9,708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68,361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74,140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97,415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126,012</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Equity in Earnings (Losses) of Affiliates, Net</w:t>
            </w:r>
          </w:p>
        </w:tc>
        <w:tc>
          <w:tcPr>
            <w:tcW w:w="220" w:type="dxa"/>
            <w:vAlign w:val="bottom"/>
          </w:tcPr>
          <w:p>
            <w:pPr>
              <w:spacing w:after="0"/>
              <w:rPr>
                <w:sz w:val="21"/>
                <w:szCs w:val="21"/>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1,331</w:t>
            </w:r>
          </w:p>
        </w:tc>
        <w:tc>
          <w:tcPr>
            <w:tcW w:w="3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(891)</w:t>
            </w:r>
          </w:p>
        </w:tc>
        <w:tc>
          <w:tcPr>
            <w:tcW w:w="360" w:type="dxa"/>
            <w:vAlign w:val="bottom"/>
          </w:tcPr>
          <w:p>
            <w:pPr>
              <w:spacing w:after="0"/>
              <w:rPr>
                <w:sz w:val="21"/>
                <w:szCs w:val="21"/>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1,980</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b w:val="1"/>
                <w:bCs w:val="1"/>
                <w:color w:val="auto"/>
              </w:rPr>
              <w:t>(7,862)</w:t>
            </w:r>
          </w:p>
        </w:tc>
        <w:tc>
          <w:tcPr>
            <w:tcW w:w="3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(7,250)</w:t>
            </w:r>
          </w:p>
        </w:tc>
        <w:tc>
          <w:tcPr>
            <w:tcW w:w="36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b w:val="1"/>
                <w:bCs w:val="1"/>
                <w:color w:val="auto"/>
              </w:rPr>
              <w:t>(14,628)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(14,607)</w:t>
            </w:r>
          </w:p>
        </w:tc>
        <w:tc>
          <w:tcPr>
            <w:tcW w:w="0" w:type="dxa"/>
            <w:vAlign w:val="bottom"/>
          </w:tcPr>
          <w:p>
            <w:pPr>
              <w:spacing w:after="0"/>
              <w:rPr>
                <w:sz w:val="1"/>
                <w:szCs w:val="1"/>
                <w:color w:val="auto"/>
              </w:rPr>
            </w:pPr>
          </w:p>
        </w:tc>
      </w:tr>
      <w:tr>
        <w:trPr>
          <w:trHeight w:val="28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4,069</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19,000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4,918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34,096</w:t>
            </w: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65,899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84,999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89,685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145,614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8,325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10,242</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16,909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21,345</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2,991</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2,450</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5,585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4,264</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3,073</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7,448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6,100</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291</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15,871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16,045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30,523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32,806</w:t>
            </w:r>
          </w:p>
        </w:tc>
        <w:tc>
          <w:tcPr>
            <w:tcW w:w="0" w:type="dxa"/>
            <w:vAlign w:val="bottom"/>
          </w:tcPr>
          <w:p>
            <w:pPr>
              <w:spacing w:after="0"/>
              <w:rPr>
                <w:sz w:val="1"/>
                <w:szCs w:val="1"/>
                <w:color w:val="auto"/>
              </w:rPr>
            </w:pPr>
          </w:p>
        </w:tc>
      </w:tr>
      <w:tr>
        <w:trPr>
          <w:trHeight w:val="184"/>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60" w:type="dxa"/>
            <w:vAlign w:val="bottom"/>
          </w:tcPr>
          <w:p>
            <w:pPr>
              <w:ind w:left="200"/>
              <w:spacing w:after="0"/>
              <w:rPr>
                <w:sz w:val="20"/>
                <w:szCs w:val="20"/>
                <w:color w:val="auto"/>
              </w:rPr>
            </w:pPr>
            <w:r>
              <w:rPr>
                <w:rFonts w:ascii="Arial" w:cs="Arial" w:eastAsia="Arial" w:hAnsi="Arial"/>
                <w:sz w:val="16"/>
                <w:szCs w:val="16"/>
                <w:b w:val="1"/>
                <w:bCs w:val="1"/>
                <w:color w:val="auto"/>
              </w:rPr>
              <w:t>Long-Lived Assets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1,323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1,704</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2,443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3,385</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970</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1,872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17,462</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4,511</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22,276</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9,029</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19,755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6,278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26,591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12,540</w:t>
            </w:r>
          </w:p>
        </w:tc>
        <w:tc>
          <w:tcPr>
            <w:tcW w:w="0" w:type="dxa"/>
            <w:vAlign w:val="bottom"/>
          </w:tcPr>
          <w:p>
            <w:pPr>
              <w:spacing w:after="0"/>
              <w:rPr>
                <w:sz w:val="1"/>
                <w:szCs w:val="1"/>
                <w:color w:val="auto"/>
              </w:rPr>
            </w:pPr>
          </w:p>
        </w:tc>
      </w:tr>
      <w:tr>
        <w:trPr>
          <w:trHeight w:val="251"/>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2,153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3,018</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4,859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6,127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479</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418</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972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70"/>
        </w:trPr>
        <w:tc>
          <w:tcPr>
            <w:tcW w:w="596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b w:val="1"/>
                <w:bCs w:val="1"/>
                <w:color w:val="auto"/>
              </w:rPr>
              <w:t>415</w:t>
            </w:r>
          </w:p>
        </w:tc>
        <w:tc>
          <w:tcPr>
            <w:tcW w:w="36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306</w:t>
            </w:r>
          </w:p>
        </w:tc>
        <w:tc>
          <w:tcPr>
            <w:tcW w:w="36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b w:val="1"/>
                <w:bCs w:val="1"/>
                <w:color w:val="auto"/>
              </w:rPr>
              <w:t>898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83"/>
        </w:trPr>
        <w:tc>
          <w:tcPr>
            <w:tcW w:w="596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(17,876)</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(16,008)</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(36,246)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(31,869)</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(14,829)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(12,266)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(29,517)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(24,325)</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421"/>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2016</w:t>
            </w:r>
          </w:p>
        </w:tc>
      </w:tr>
      <w:tr>
        <w:trPr>
          <w:trHeight w:val="22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1,494,736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1,479,267</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451,296</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336,631</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946,499</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796,935</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250,071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455,209</w:t>
            </w:r>
          </w:p>
        </w:tc>
      </w:tr>
      <w:tr>
        <w:trPr>
          <w:trHeight w:val="264"/>
        </w:trPr>
        <w:tc>
          <w:tcPr>
            <w:tcW w:w="834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3,142,602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3,068,042</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8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447,763</w:t>
            </w:r>
          </w:p>
        </w:tc>
        <w:tc>
          <w:tcPr>
            <w:tcW w:w="2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424,229</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67,812</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58,806</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850,262</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881,593</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4,508,439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4,432,670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97" w:right="239" w:bottom="0" w:gutter="0" w:footer="0" w:header="0"/>
        </w:sectPr>
      </w:pPr>
    </w:p>
    <w:bookmarkStart w:id="22" w:name="page23"/>
    <w:bookmarkEnd w:id="22"/>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019"/>
          </w:cols>
          <w:pgMar w:left="1440" w:top="557"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1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139,204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157,980</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283,514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323,529</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75,730</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79,349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140,298</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145,811</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171,747</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182,325</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336,309</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351,612</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57</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71</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(239)</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(796)</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386,499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419,213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759,396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820,289</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17,711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17,237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30,315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38,543</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5,741</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7,036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2,877</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4,726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15,954</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16,479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23,661</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21,376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(6,451)</w:t>
            </w:r>
          </w:p>
        </w:tc>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(7,811)</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(14,920)</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(17,216)</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32,925</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32,892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41,956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47,380</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3,249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3,993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6,680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8,168</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1,332</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1,615</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2,673</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3,396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3,609</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4,319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7,291</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9,379</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135</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265</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8,325</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10,242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16,909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21,345</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1,323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1,704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2,443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3,385</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2,044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1,905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4,088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3,810</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911</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768</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1,822</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1,536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87</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174</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(889)</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(1,225)</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2,153</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3,018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4,859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6,127</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3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42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196"/>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2016</w:t>
            </w:r>
          </w:p>
        </w:tc>
      </w:tr>
      <w:tr>
        <w:trPr>
          <w:trHeight w:val="250"/>
        </w:trPr>
        <w:tc>
          <w:tcPr>
            <w:tcW w:w="398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4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4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339,304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373,127</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4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133,482</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133,709</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4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1,000,943</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950,922</w:t>
            </w:r>
          </w:p>
        </w:tc>
      </w:tr>
      <w:tr>
        <w:trPr>
          <w:trHeight w:val="283"/>
        </w:trPr>
        <w:tc>
          <w:tcPr>
            <w:tcW w:w="398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4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21,007</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21,509</w:t>
            </w:r>
          </w:p>
        </w:tc>
      </w:tr>
      <w:tr>
        <w:trPr>
          <w:trHeight w:val="264"/>
        </w:trPr>
        <w:tc>
          <w:tcPr>
            <w:tcW w:w="3980" w:type="dxa"/>
            <w:vAlign w:val="bottom"/>
          </w:tcPr>
          <w:p>
            <w:pPr>
              <w:spacing w:after="0"/>
              <w:rPr>
                <w:sz w:val="22"/>
                <w:szCs w:val="22"/>
                <w:color w:val="auto"/>
              </w:rPr>
            </w:pPr>
          </w:p>
        </w:tc>
        <w:tc>
          <w:tcPr>
            <w:tcW w:w="4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1,494,736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1,479,267</w:t>
            </w:r>
          </w:p>
        </w:tc>
      </w:tr>
      <w:tr>
        <w:trPr>
          <w:trHeight w:val="608"/>
        </w:trPr>
        <w:tc>
          <w:tcPr>
            <w:tcW w:w="3980" w:type="dxa"/>
            <w:vAlign w:val="bottom"/>
          </w:tcPr>
          <w:p>
            <w:pPr>
              <w:spacing w:after="0"/>
              <w:rPr>
                <w:sz w:val="24"/>
                <w:szCs w:val="24"/>
                <w:color w:val="auto"/>
              </w:rPr>
            </w:pPr>
          </w:p>
        </w:tc>
        <w:tc>
          <w:tcPr>
            <w:tcW w:w="4360" w:type="dxa"/>
            <w:vAlign w:val="bottom"/>
          </w:tcPr>
          <w:p>
            <w:pPr>
              <w:jc w:val="right"/>
              <w:ind w:right="2436"/>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reported income attributable to common shares of $42.0 million ($7.46 per share) for the second quarter of 2017, compared to $60.8 million ($10.76 per share) for the second quarter of 2016.</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2017:</w:t>
      </w:r>
    </w:p>
    <w:p>
      <w:pPr>
        <w:spacing w:after="0" w:line="144" w:lineRule="exact"/>
        <w:rPr>
          <w:sz w:val="20"/>
          <w:szCs w:val="20"/>
          <w:color w:val="auto"/>
        </w:rPr>
      </w:pPr>
    </w:p>
    <w:p>
      <w:pPr>
        <w:ind w:left="180" w:right="20" w:hanging="172"/>
        <w:spacing w:after="0" w:line="235"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$3.5 million in non-operating foreign currency gains (after-tax impact of $2.2 million, or $0.39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2016:</w:t>
      </w:r>
    </w:p>
    <w:p>
      <w:pPr>
        <w:spacing w:after="0" w:line="144" w:lineRule="exact"/>
        <w:rPr>
          <w:sz w:val="20"/>
          <w:szCs w:val="20"/>
          <w:color w:val="auto"/>
        </w:rPr>
      </w:pPr>
    </w:p>
    <w:p>
      <w:pPr>
        <w:ind w:left="180" w:right="48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$38.6 million non-operating gain from the sales of land and marketable equity securities (after-tax impact of $23.9 million or $4.23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$3.2 million non-operating gain arising from the formation of a joint venture (after-tax impact of $1.7 million, or $0.29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$24.1 million in non-operating foreign currency losses (after-tax impact of $15.4 million, or $2.73 per share); and</w:t>
      </w:r>
    </w:p>
    <w:p>
      <w:pPr>
        <w:spacing w:after="0" w:line="144" w:lineRule="exact"/>
        <w:rPr>
          <w:rFonts w:ascii="Arial" w:cs="Arial" w:eastAsia="Arial" w:hAnsi="Arial"/>
          <w:sz w:val="18"/>
          <w:szCs w:val="18"/>
          <w:color w:val="auto"/>
        </w:rPr>
      </w:pPr>
    </w:p>
    <w:p>
      <w:pPr>
        <w:ind w:left="180" w:right="120" w:hanging="172"/>
        <w:spacing w:after="0" w:line="235"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Kaplan Higher Education (KHE) goodwill impairment recorded in the third quarter of 2015 ($1.00 per share).</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second quarter of 2017 was $676.1 million, up 7% from $628.9 million in the second quarter of 2016. Revenues increased at the television broadcasting division and in other businesses, offset by a decline at the education division. The Company reported operating income of $ 68.4 million for the second quarter of 2017, compared to $ 74.1 million for the second quarter of 2016. The operating income decline is driven by lower earnings at the television broadcasting division and in other businesses.</w:t>
      </w:r>
    </w:p>
    <w:p>
      <w:pPr>
        <w:spacing w:after="0" w:line="135"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Kaplan University (KU), its institutional assets and operations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9"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the Indiana Commission for Higher Education and HLC, which is the regional accreditor of both Purdue and KU, and certain other state educational agencies and accreditors of programs. Kaplan is unable to predict with certainty when and if such approvals will be obtained; however, all approvals may not be received until the first quarter of 2018. If the transaction is not consummated by April 30, 2018, either party may terminate the Transfer Agreement.</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For the first six months of 2017, the company reported income attributable to common shares of $63.1 million ($11.21 per share), compared to $98.5 million ($17.33 per share) for the first six months of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six months of 2017:</w:t>
      </w:r>
    </w:p>
    <w:p>
      <w:pPr>
        <w:spacing w:after="0" w:line="144"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$5.2 million in non-operating foreign currency gains (after-tax impact of $3.3 million, or $0.58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97"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Items included in the Company’s net income for the first six months of 2016:</w:t>
      </w:r>
    </w:p>
    <w:p>
      <w:pPr>
        <w:spacing w:after="0" w:line="144" w:lineRule="exact"/>
        <w:rPr>
          <w:sz w:val="20"/>
          <w:szCs w:val="20"/>
          <w:color w:val="auto"/>
        </w:rPr>
      </w:pPr>
    </w:p>
    <w:p>
      <w:pPr>
        <w:ind w:left="180" w:right="460" w:hanging="172"/>
        <w:spacing w:after="0" w:line="235"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$40.3 million non-operating gain from the sales of land and marketable equity securities (after-tax impact of $25.0 million, or $4.42 per share);</w:t>
      </w:r>
    </w:p>
    <w:p>
      <w:pPr>
        <w:spacing w:after="0" w:line="134" w:lineRule="exact"/>
        <w:rPr>
          <w:rFonts w:ascii="Arial" w:cs="Arial" w:eastAsia="Arial" w:hAnsi="Arial"/>
          <w:sz w:val="18"/>
          <w:szCs w:val="18"/>
          <w:color w:val="auto"/>
        </w:rPr>
      </w:pPr>
    </w:p>
    <w:p>
      <w:pPr>
        <w:ind w:left="180" w:right="60" w:hanging="172"/>
        <w:spacing w:after="0" w:line="235"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$29.5 million in non-operating foreign currency losses (after-tax impact of $18.9 million, or $3.33 per share); and</w:t>
      </w:r>
    </w:p>
    <w:p>
      <w:pPr>
        <w:spacing w:after="0" w:line="144" w:lineRule="exact"/>
        <w:rPr>
          <w:rFonts w:ascii="Arial" w:cs="Arial" w:eastAsia="Arial" w:hAnsi="Arial"/>
          <w:sz w:val="18"/>
          <w:szCs w:val="18"/>
          <w:color w:val="auto"/>
        </w:rPr>
      </w:pPr>
    </w:p>
    <w:p>
      <w:pPr>
        <w:ind w:left="180" w:right="320" w:hanging="172"/>
        <w:spacing w:after="0" w:line="235"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Revenue for the first six months of 2017 was $1,258.8 million, up 2% from $1,230.7 million in the first six months of 2016. Revenues increased at the television broadcasting division and in other businesses, offset by a decline at the education division. The Company reported operating income of $97.4 million for the first six months of 2017, compared to $126.0 million for first six months of 2016. Operating results declined at the education and television broadcasting divisions and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Education division revenue totaled $386.5 million for the second quarter of 2017, down 8% from revenue of $419.2 million for the same period of 2016. Kaplan reported operating income of $32.9 million for each of the second quarters of 2017 and 2016.</w:t>
      </w:r>
    </w:p>
    <w:p>
      <w:pPr>
        <w:spacing w:after="0" w:line="135"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For the first six months of 2017, education division revenue totaled $759.4 million, down 7% from revenue of $ 820.3 million for the same period of 2016. Kaplan reported operating income of $42.0 million for the first six months of 2017, compared to $47.4 million for the first six months of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2016</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2016</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139,204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157,980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283,514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323,529</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75,730</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79,349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140,298</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145,811</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171,747</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182,325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336,309</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351,612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57</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71</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83"/>
        </w:trPr>
        <w:tc>
          <w:tcPr>
            <w:tcW w:w="3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(239)</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(796)</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386,499</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419,213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759,396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820,289</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17,711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17,237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3</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30,315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38,543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5,741</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7,036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2,877</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4,726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15,954</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16,479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23,661</w:t>
            </w:r>
          </w:p>
        </w:tc>
        <w:tc>
          <w:tcPr>
            <w:tcW w:w="42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21,376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(5,128)</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(6,107)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23"/>
                <w:szCs w:val="23"/>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(12,477)</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(13,831)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32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(1,323)</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23"/>
                <w:szCs w:val="23"/>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(2,443)</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(3,385)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3"/>
        </w:trPr>
        <w:tc>
          <w:tcPr>
            <w:tcW w:w="32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23</w:t>
            </w: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28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32,925</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32,892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41,956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47,380</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In the second quarter and first six months of 2017, KHE revenue was down 12%, due to declines in average enrollments at Kaplan University, offset by increased revenues at the domestic professional and other continuing education businesses. KHE operating results declined in the first half of 2017 due primarily to lower enrollment at Kaplan University.</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New higher education student enrollments at Kaplan University declined 5% in the second quarter of 2017 and 1% for the first six months of 2017; total students at Kaplan University were 29,193 at June 30, 2017, down 13% from June 30, 2016.</w:t>
      </w:r>
    </w:p>
    <w:p>
      <w:pPr>
        <w:sectPr>
          <w:pgSz w:w="11900" w:h="16838" w:orient="portrait"/>
          <w:cols w:equalWidth="0" w:num="1">
            <w:col w:w="11420"/>
          </w:cols>
          <w:pgMar w:left="240" w:top="719"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719"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Kaplan University enrollments at June 30, 2017 and 2016, by degree and certificate programs,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w:t>
            </w:r>
          </w:p>
        </w:tc>
        <w:tc>
          <w:tcPr>
            <w:tcW w:w="760" w:type="dxa"/>
            <w:vAlign w:val="bottom"/>
            <w:tcBorders>
              <w:bottom w:val="single" w:sz="8" w:color="auto"/>
            </w:tcBorders>
          </w:tcPr>
          <w:p>
            <w:pPr>
              <w:spacing w:after="0"/>
              <w:rPr>
                <w:sz w:val="17"/>
                <w:szCs w:val="17"/>
                <w:color w:val="auto"/>
              </w:rPr>
            </w:pPr>
          </w:p>
        </w:tc>
      </w:tr>
      <w:tr>
        <w:trPr>
          <w:trHeight w:val="264"/>
        </w:trPr>
        <w:tc>
          <w:tcPr>
            <w:tcW w:w="89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w w:val="96"/>
              </w:rPr>
              <w:t>2016</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760" w:type="dxa"/>
            <w:vAlign w:val="bottom"/>
          </w:tcPr>
          <w:p>
            <w:pPr>
              <w:jc w:val="right"/>
              <w:ind w:right="502"/>
              <w:spacing w:after="0"/>
              <w:rPr>
                <w:sz w:val="20"/>
                <w:szCs w:val="20"/>
                <w:color w:val="auto"/>
              </w:rPr>
            </w:pPr>
            <w:r>
              <w:rPr>
                <w:rFonts w:ascii="Arial" w:cs="Arial" w:eastAsia="Arial" w:hAnsi="Arial"/>
                <w:sz w:val="16"/>
                <w:szCs w:val="16"/>
                <w:b w:val="1"/>
                <w:bCs w:val="1"/>
                <w:color w:val="auto"/>
              </w:rPr>
              <w:t>9.4%</w:t>
            </w:r>
          </w:p>
        </w:tc>
        <w:tc>
          <w:tcPr>
            <w:tcW w:w="7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760" w:type="dxa"/>
            <w:vAlign w:val="bottom"/>
          </w:tcPr>
          <w:p>
            <w:pPr>
              <w:jc w:val="right"/>
              <w:ind w:right="502"/>
              <w:spacing w:after="0"/>
              <w:rPr>
                <w:sz w:val="20"/>
                <w:szCs w:val="20"/>
                <w:color w:val="auto"/>
              </w:rPr>
            </w:pPr>
            <w:r>
              <w:rPr>
                <w:rFonts w:ascii="Arial" w:cs="Arial" w:eastAsia="Arial" w:hAnsi="Arial"/>
                <w:sz w:val="16"/>
                <w:szCs w:val="16"/>
                <w:b w:val="1"/>
                <w:bCs w:val="1"/>
                <w:color w:val="auto"/>
              </w:rPr>
              <w:t>16.9%</w:t>
            </w:r>
          </w:p>
        </w:tc>
        <w:tc>
          <w:tcPr>
            <w:tcW w:w="76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760" w:type="dxa"/>
            <w:vAlign w:val="bottom"/>
          </w:tcPr>
          <w:p>
            <w:pPr>
              <w:jc w:val="right"/>
              <w:ind w:right="502"/>
              <w:spacing w:after="0"/>
              <w:rPr>
                <w:sz w:val="20"/>
                <w:szCs w:val="20"/>
                <w:color w:val="auto"/>
              </w:rPr>
            </w:pPr>
            <w:r>
              <w:rPr>
                <w:rFonts w:ascii="Arial" w:cs="Arial" w:eastAsia="Arial" w:hAnsi="Arial"/>
                <w:sz w:val="16"/>
                <w:szCs w:val="16"/>
                <w:b w:val="1"/>
                <w:bCs w:val="1"/>
                <w:color w:val="auto"/>
              </w:rPr>
              <w:t>50.3%</w:t>
            </w:r>
          </w:p>
        </w:tc>
        <w:tc>
          <w:tcPr>
            <w:tcW w:w="76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283"/>
        </w:trPr>
        <w:tc>
          <w:tcPr>
            <w:tcW w:w="8900" w:type="dxa"/>
            <w:vAlign w:val="bottom"/>
          </w:tcPr>
          <w:p>
            <w:pPr>
              <w:ind w:left="40"/>
              <w:spacing w:after="0"/>
              <w:rPr>
                <w:sz w:val="20"/>
                <w:szCs w:val="20"/>
                <w:color w:val="auto"/>
              </w:rPr>
            </w:pPr>
            <w:r>
              <w:rPr>
                <w:rFonts w:ascii="Arial" w:cs="Arial" w:eastAsia="Arial" w:hAnsi="Arial"/>
                <w:sz w:val="16"/>
                <w:szCs w:val="16"/>
                <w:color w:val="auto"/>
              </w:rPr>
              <w:t>Master’s</w:t>
            </w: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23.4%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64"/>
        </w:trPr>
        <w:tc>
          <w:tcPr>
            <w:tcW w:w="8900" w:type="dxa"/>
            <w:vAlign w:val="bottom"/>
          </w:tcPr>
          <w:p>
            <w:pPr>
              <w:spacing w:after="0"/>
              <w:rPr>
                <w:sz w:val="22"/>
                <w:szCs w:val="22"/>
                <w:color w:val="auto"/>
              </w:rPr>
            </w:pP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100.0%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5% and 4% for the second quarter and first six months of 2017, respectively. Enrollments, excluding the new economy skills training offerings, were up 3% in the second quarter and were flat for the first six months of 2017; however, unit prices were generally lower. In comparison to 2016, KTP operating results were down 18% and 39% in the second quarter and first six months of 2017, respectively, due to lower revenues. Operating losses for the</w:t>
      </w:r>
      <w:r>
        <w:rPr>
          <w:sz w:val="1"/>
          <w:szCs w:val="1"/>
          <w:color w:val="auto"/>
        </w:rPr>
        <w:drawing>
          <wp:inline distT="0" distB="0" distL="0" distR="0">
            <wp:extent cx="34290" cy="1047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r>
        <w:rPr>
          <w:rFonts w:ascii="Arial" w:cs="Arial" w:eastAsia="Arial" w:hAnsi="Arial"/>
          <w:sz w:val="18"/>
          <w:szCs w:val="18"/>
          <w:color w:val="auto"/>
        </w:rPr>
        <w:t>new economy skills training programs were $7.2 million and $6.9 million for the first six months of 2017 and 2016, respectively. In July 2017, Kaplan announced that Dev Bootcamp, which makes up the majority of KTP’s new economy skills training programs, will be closing operations by the end of 2017.</w:t>
      </w:r>
    </w:p>
    <w:p>
      <w:pPr>
        <w:spacing w:after="0" w:line="13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6% and 4% for the second quarter and first six months of 2017, respectively. On a constant currency basis, revenue was flat for the second quarter and increased 2% for the first six months of 2017, respectively, primarily due to growth in Pathways enrollments. Operating income increased 11% in the first six months of 2017, due largely to the improved Pathways and English-language results, partially offset by a decline in Singapore. Operating income declined 3% in the second quarter of 2017, due largely to a decline in Singapore.</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Revenue at the television broadcasting division increased 10% to $106.1 million in the second quarter of 2017, from $96.5 million in the same period of 2016. Excluding revenue from the two newly acquired stations, revenue increased 3% due to $5.8 million in higher retransmission revenues, offset by a $1.3 million decrease in political advertising revenue and lower network revenue. As previously disclosed, the Company’s NBC affiliates in Houston and Detroit are operating under a new contract with NBC effective January 1, 2017 that has resulted in a significant increase in network fees in 2017, compared to 2016. Operating income for the second quarter of 2017 decreased 11% to $39.3 million, from $44.2 million in the same period of 2016 due primarily to the significantly higher network fees. The Company’s television broadcasting division stations are operating under a new retransmission contract with Comcast effective April 1, 2017.</w:t>
      </w:r>
    </w:p>
    <w:p>
      <w:pPr>
        <w:spacing w:after="0" w:line="139"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Revenue at the television broadcasting division increased 5% to $197.6 million in the first six months of 2017, from $188.5 million in the same period of 2016. Excluding revenue from the two newly acquired stations, revenue declined 1% due to a $ 5.3 million decrease in political advertising revenue and lower network revenue, offset by $8.8 million in higher retransmission revenues. Operating income for the first six months of 2017 decreased 24% to $65.2 million from $85.4 million in the same period of 2016, due primarily to significantly higher network fees.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Businesses’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120" w:type="dxa"/>
            <w:vAlign w:val="bottom"/>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120,672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58,026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182,570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114,701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38,220</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36,498</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75,119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72,378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14,855</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13,126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27,429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23,781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9,739</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5,619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16,692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183,486</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113,269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62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301,810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221,985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124,847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55,177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183,080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110,715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65</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37,836</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37,544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75,661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70,905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12,251</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14,581</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29,333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28,206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17,470</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11,029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33,218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22,951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192,404</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118,331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63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321,292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232,777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(4,175)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2,849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3,986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384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(542)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1,473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2,604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(1,904)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(7,731)</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(16,526)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(11,826)</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(8,918)</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(5,062)</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(76)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(19,482)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(10,792)</w:t>
            </w: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2,404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1,906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3,912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3,779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1,194</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2,263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61</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251</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497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415</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4,264</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7,448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6,100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184"/>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8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15,734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2,816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18,811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1,644</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1,674</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3,298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3,355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84</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17,462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22,276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166</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332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142</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85</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w:t>
            </w:r>
          </w:p>
        </w:tc>
      </w:tr>
    </w:tbl>
    <w:p>
      <w:pPr>
        <w:spacing w:after="0" w:line="14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Dayton, OH-based manufacturer of screw jacks and other linear motion systems; Forney, a global supplier of products and systems that control and monitor combustion processes in electric utility and industrial applications; and Hoover Treated Wood Products, Inc., a Thomson, GA-based supplier of pressure impregnated kiln-dried lumber and plywood products for fire retardant and preservative applications that the Company acquired in April 2017. In September 2016, Dekko acquired Electri-Cable Assemblies (ECA), a Shelton, CT-based manufacturer of power, data and electrical solutions for the office furniture industry.</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second quarter of 2017, the Company recorded a $9.2 million goodwill and other long-lived asset impairment charge at Forney, due to lower than expected revenues resulting from sluggish overall demand for its energy products. Excluding this impairment charge, manufacturing revenues and operating income increased in the first six months of 2017 due to the Hoover acquisition and growth and improved results at Dekko, including the ECA acquisition.</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Graham Healthcare Group (GHG) provides home health and hospice services in three states. In June 2016, the Company acquired the outstanding 20% redeemable noncontrolling interest in Residential Healthcare (Residential). Also in June 2016, Celtic Healthcare (Celtic) and Residential combined their business operations and the Company now owns 90% of the combined entity, known as GHG. Healthcare revenues increased 4% in the first six months of 2017, while operating results were down, due largely to increased bad debt expense and higher</w:t>
      </w:r>
    </w:p>
    <w:p>
      <w:pPr>
        <w:sectPr>
          <w:pgSz w:w="11900" w:h="16838" w:orient="portrait"/>
          <w:cols w:equalWidth="0" w:num="1">
            <w:col w:w="11420"/>
          </w:cols>
          <w:pgMar w:left="240" w:top="697" w:right="239" w:bottom="273"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697" w:right="239" w:bottom="273" w:gutter="0" w:footer="0" w:header="0"/>
          <w:type w:val="continuous"/>
        </w:sectPr>
      </w:pPr>
    </w:p>
    <w:bookmarkStart w:id="28" w:name="page29"/>
    <w:bookmarkEnd w:id="28"/>
    <w:p>
      <w:pPr>
        <w:spacing w:after="0" w:line="229" w:lineRule="auto"/>
        <w:rPr>
          <w:sz w:val="20"/>
          <w:szCs w:val="20"/>
          <w:color w:val="auto"/>
        </w:rPr>
      </w:pPr>
      <w:r>
        <w:rPr>
          <w:rFonts w:ascii="Arial" w:cs="Arial" w:eastAsia="Arial" w:hAnsi="Arial"/>
          <w:sz w:val="18"/>
          <w:szCs w:val="18"/>
          <w:color w:val="auto"/>
        </w:rPr>
        <w:t>information systems and other integration costs. In the second quarter of 2016, GHG incurred approximately $2.0 million in expenses in conjunction with the June 2016 transactions discussed above. At the end of June 2017, GHG acquired Hometown Home Health and Hospice, a Lapeer, MI-based healthcare services provider.</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June 2016 transaction, the Company recorded a pre-tax gain of $3.2 million in the second quarter of 2016 that is included in other non-operating income.</w:t>
      </w:r>
    </w:p>
    <w:p>
      <w:pPr>
        <w:spacing w:after="0" w:line="135"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13% and 15% in the second quarter and for the first six months of 2017, due to growth in digital advertising service revenues. SocialCode reported operating income of $ 2.6 million and an operating loss of $1.9 million for the second quarter and first six months of 2017, compared to operating losses of $1.5 million and $4.4 million in the second quarter and first six months of 2016. The improved results include a $4.7 million and $3.9 million credit related to SocialCode’s phantom equity plans in the second quarter and first six months of 2017, respectively. As of June 30, 2017, the accrual balance related to these plans is $18.1 million.</w:t>
      </w:r>
    </w:p>
    <w:p>
      <w:pPr>
        <w:spacing w:after="0" w:line="137"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the first six months of 2017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$36.4 million and $32.1 million in the first six months of 2017 and 2016,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Without the pension credit, corporate office expenses declined slightly in the first six months of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At June 30, 2017, the Company held interests in a number of home health and hospice joint ventures, and interests in several other affiliates. The Company recorded equity in earnings of affiliates of $ 1.3 million for the second quarter of 2017, compared to losses of $ 0.9 million for the second quarter of 2016. The Company recorded equity in earnings of affiliates of $2.0 million for the first six months of 2017, compared to $0.1 million for the first six months of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recorded total other non-operating income, net, of $4.1 million for the second quarter of 2017, compared to $19.0 million for the second quarter of 2016. The 2017 amounts included $3.5 million in foreign currency gains and other items. The 2016 amounts included a $34.1 million gain on the sale of land; a $4.5 million gain on the sale of marketable equity securities; a $3.2 million gain on the Residential joint venture transaction and other items, offset by $24.1 million in foreign currency losses and other items.</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 recorded total other non-operating income, net, of $4.9 million for the first six months of 2017, compared to $34.1 million for the first six months of 2016. The 2017 amounts included $ 5.2 million in foreign currency gains, offset by other items. The 2016 amounts included a $34.1 million gain on the sale of land; an $18.9 million gain on the sale of a business; a $6.3 million gain on the sale of marketable equity securities; a $3.2 million gain on the Residential joint venture transaction and other items, offset by $29.5 million in foreign currency losses.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Company incurred net interest expense of $7.9 million and $14.6 million for the second quarter and first six months of 2017, compared to $7.3 million and $14.6 million for the second quarter and first six months of 2016. At June 30, 2017, the Company had $496.2 million in borrowings outstanding at an average interest rate of 6.2% and cash, marketable equity securities and other investments of $925.1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Company’s effective tax rate for the first six months of 2017 was 29.7%, compared to 31.7% for the first six months of 2016. The low effective tax rate in the first six months of 2017 is due to a $5.9 million income tax benefit related to the vesting of restricted stock awards. In the first quarter of 2017, the Company adopted a new accounting standard that requires all excess income tax benefits and deficiencies from stock compensation to be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9" w:right="239" w:bottom="1440" w:gutter="0" w:footer="0" w:header="0"/>
        </w:sectPr>
      </w:pPr>
    </w:p>
    <w:bookmarkStart w:id="29" w:name="page30"/>
    <w:bookmarkEnd w:id="29"/>
    <w:p>
      <w:pPr>
        <w:ind w:right="580"/>
        <w:spacing w:after="0" w:line="235" w:lineRule="auto"/>
        <w:rPr>
          <w:sz w:val="20"/>
          <w:szCs w:val="20"/>
          <w:color w:val="auto"/>
        </w:rPr>
      </w:pPr>
      <w:r>
        <w:rPr>
          <w:rFonts w:ascii="Arial" w:cs="Arial" w:eastAsia="Arial" w:hAnsi="Arial"/>
          <w:sz w:val="18"/>
          <w:szCs w:val="18"/>
          <w:color w:val="auto"/>
        </w:rPr>
        <w:t>recorded as discrete items in the provision for income taxes. Excluding this $5.9 million benefit, the overall income tax rate in the first six months of 2017 was 36.3%.</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the second quarter of 2016, the Company benefited from a favorable $5.6 million out of period deferred tax adjustment related to the KHE goodwill impairment recorded in the third quarter of 2015. Excluding this adjustment, the Company’s effective tax rate for the first six months of 2016 was 35.6%.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calculation of diluted earnings per share for the second quarter and first six months of 2017 was based on 5,577,275 and 5,573,167 weighted average shares outstanding, compared to 5,574,336 and 5,612,959 for the second quarter and first six months of 2016. At June 30, 2017, there were 5,593,030 shares outstanding. On May 14, 2015, the Board of Directors authorized the Company to acquire up to 500,000 shares of its Class B common stock; the Company has remaining authorization for 223,526 shares as of June 30,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University Transaction</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Kaplan University (KU), its institutional assets and operations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Subject to the terms and conditions of the Transfer Agreement, KU, which specializes in online education and is accredited by the Higher Learning Commission of the North Central Association of Colleges and Schools (HLC), will transfer certain assets of its Title IV-authorized and accredited academic institution to New University. New University will operate as a new Indiana public university, as authorized by the Indiana legislature, affiliated with Purdue University and focused on expanding access to education for non-traditional adult learners.</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New University will initially consist of the seven schools and colleges that now comprise KU (excluding the Kaplan University School of Professional and Continuing Education (KU-PACE)), which together offer more than 100 diploma, certificate, associate, bachelor, masters and doctoral degree programs, as well as 15 campus and learning center locations. Current online and campus KU students, approximately 29,000, will transfer to New University. Current full-time and adjunct faculty and staff at KU, approximately 3,000 employees, will also transfer to New University. New University will be governed by its own board of trustees that will fully control all of the functions of New University, the members of which will be appointed by Purdue. Upon approval by its accreditor, New University will have its own institutional accreditation and maintain its own faculty and administrative operations.</w:t>
      </w:r>
    </w:p>
    <w:p>
      <w:pPr>
        <w:spacing w:after="0" w:line="139"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 addition, as part of the transfer of KU’s academic institution, students, academic personnel, faculty and operations, and property leases for KU’s campuses and learning centers, KU also will transfer Kaplan-owned academic curriculum and content related to KU courses (collectively and including such specific assets as described in the Transfer Agreement, the “Institutional Assets”). The transfer does not include any of the assets of KU-PACE, which provides professional training and exam preparation for professional certifications and licensures, nor does it include the transfer of other Kaplan businesses such as Kaplan Test Preparation and Kaplan International.</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Kaplan will receive nominal cash consideration upon transfer of KU’s Institutional Assets. In exchange for KU’s Institutional Assets, upon closing of the transactions contemplated by the Transfer Agreement, the parties will enter into the TOSA. Under the TOSA, Kaplan will provide operations support activities to New University including, but not limited to, technology support, help-desk functions, human resources support for transferred faculty and employees, admissions support, financial aid administration, marketing and advertising, back-office business functions, international student recruiting and certain test preparation services.</w:t>
      </w:r>
    </w:p>
    <w:p>
      <w:pPr>
        <w:spacing w:after="0" w:line="137"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New University has first covered all of its operating costs. In addition, during each of New University’s first five years, prior to any payment to Kaplan, New University is entitled to a priority payment of $10 million per year beyond costs, which will be paid out of New University’s revenue. To the extent New University’s revenue is insufficient to pay the $10 million per year priority payment, Kaplan is required to advance an amount to New University to cover such insufficiency. In addition, if New University achieves cost savings in its budgeted operating costs, then New University may be entitled to a payment equal to 20 percent of such savings (the “Efficiency Payment”). To the extent that there are sufficient revenues to pay the Efficiency Payment, pay the priority payment and to reimburse New University for its direct expenses, Kaplan will receive reimbursement for Kaplan’s costs of providing the support activities in addition to a fee equal to 12.5 percent of New University’s revenue.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19" w:right="259" w:bottom="1440" w:gutter="0" w:footer="0" w:header="0"/>
        </w:sectPr>
      </w:pPr>
    </w:p>
    <w:bookmarkStart w:id="30" w:name="page31"/>
    <w:bookmarkEnd w:id="30"/>
    <w:p>
      <w:pPr>
        <w:ind w:right="40"/>
        <w:spacing w:after="0" w:line="223"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New University has the right to terminate the agreement upon payment of a termination fee equal to 1.25 times New University’s revenue for the preceding 12-month period (the “Buy-out Fee”), which payment would be made pursuant to a 10-year note, and at New University’s election, it may receive for no additional consideration certain assets used by Kaplan to provide the support activities pursuant to the TOSA. At the end of the 30-year term, if New University does not renew the TOSA, New University would be obligated to make a final payment of six times the fees paid or payable during the preceding 12-month period, which payment would be made pursuant to a 10-year note, and at New University’s election, it may receive for no additional consideration certain assets used by Kaplan to provide the support activities pursuant to the TOSA.</w:t>
      </w:r>
    </w:p>
    <w:p>
      <w:pPr>
        <w:spacing w:after="0" w:line="13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Either party may terminate the TOSA at any time if New University generates (i) $ 25 million in cash operating losses for three consecutive years or (ii) aggregate cash operating losses greater than $75 million at any point during the initial term. Operating loss is defined as the amount of revenue New University generates minus the sum of (1) New University’s and Kaplan’s respective costs in performing academic and support functions and (2) the $10 million priority payment to New University in each of the first five years. Upon termination for any reason, New University would retain the assets that Kaplan contributed pursuant to the Transfer Agreement. Each party also has certain termination rights in connection with a material default or material breach of the TOSA by the other party.</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Kaplan, on the one hand, and Purdue, on the other hand, will indemnify each other for damages arising from the indemnifying party’s breaches of its representations and warranties and covenants under the Transfer Agreement as well as for damages arising from certain specified liabilities, subject to certain limitations set forth in the Transfer Agreement.</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the Indiana Commission for Higher Education and HLC, which is the regional accreditor of both Purdue and Kaplan University, and certain other state educational agencies and accreditors of programs. Kaplan is unable to predict with certainty when and if such approvals will be obtained; however, all approvals may not be received until the first quarter of 2018. If the transaction is not consummated by April 30, 2018, either party may terminate the Transfer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44"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color w:val="auto"/>
        </w:rPr>
        <w:t xml:space="preserve">Gainful Employment. </w:t>
      </w:r>
      <w:r>
        <w:rPr>
          <w:rFonts w:ascii="Arial" w:cs="Arial" w:eastAsia="Arial" w:hAnsi="Arial"/>
          <w:sz w:val="18"/>
          <w:szCs w:val="18"/>
          <w:color w:val="auto"/>
        </w:rPr>
        <w:t>On June 15, 2017, the Department of Education (ED) announced its intention to negotiate issues related to gainful</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On July 5, 2017, the ED released in the Federal Register an announcement that the Department will allow additional time, until July 1, 2018, for institutions to comply with certain disclosure requirements in the GE regulations. The Department also extended the deadline for all programs to file supporting documents for their alternate earnings appeals, to a date not yet determined. The ED further indicated that it will issue a Federal Register notice specifically establishing new deadlines.</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Borrower Defense to Repayment Regulations. </w:t>
      </w:r>
      <w:r>
        <w:rPr>
          <w:rFonts w:ascii="Arial" w:cs="Arial" w:eastAsia="Arial" w:hAnsi="Arial"/>
          <w:sz w:val="18"/>
          <w:szCs w:val="18"/>
          <w:color w:val="auto"/>
        </w:rPr>
        <w:t>The final rule was scheduled to be effective July 1, 2017. However, prior to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June 14, 2017, the ED delayed implementation of a large portion of the rule.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six months of 2017, the Company acquired six businesses, two in its education division, two in its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broadcasting division and two in other businesses for $318.7 million in cash and contingent consideration, and the assumption of $59.1 million in certain pension and postretirement obligations.</w:t>
      </w:r>
    </w:p>
    <w:p>
      <w:pPr>
        <w:spacing w:after="0" w:line="136"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At the end of June 2017, Graham Healthcare Group (GHG) acquired a 100% interest in Hometown Home Health and Hospice, a Lapeer, MI-based healthcare services provider by purchasing all of its issued and outstanding shares. This acquisition expands GHG’s service area in Michigan. GHG is included in other businesses.</w:t>
      </w:r>
    </w:p>
    <w:p>
      <w:pPr>
        <w:spacing w:after="0" w:line="137"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This acquisition is consistent with the Company’s ongoing strategy of investing in companies with a history of profitability and strong management. Hoover is included in other businesses.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19" w:right="239" w:bottom="1440" w:gutter="0" w:footer="0" w:header="0"/>
        </w:sectPr>
      </w:pPr>
    </w:p>
    <w:bookmarkStart w:id="31" w:name="page32"/>
    <w:bookmarkEnd w:id="31"/>
    <w:p>
      <w:pPr>
        <w:ind w:right="40"/>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rationale for these acquisitions was based on several strategic benefits expected to be realized in the future. Both of these acquisitions are included in Kaplan International.</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Dekko is included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2017, GHG completed the sale of Celtic Healthcare of Maryland.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122"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June 30, 2017.</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During the first six months of 2017, the Company’s capital expenditures totaled $27.9 million. This amount includes assets acquired during the year, whereas the amounts reflected in the Company’s Condensed Statements of Cash Flows are based on cash payments made during the relevant periods. The Company estimates that its capital expenditures will be in the range of $75 million to $85 million in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$496.2 million and $491.8 million, at June 30, 2017 and December 31, 2016, respectively.</w:t>
      </w:r>
    </w:p>
    <w:p>
      <w:pPr>
        <w:spacing w:after="0" w:line="144"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At June 30, 2017, the Company had cash and cash equivalents, restricted cash and investments in marketable securities and other investments totaling $ 925.1 million, compared with $1,119.1 million at December 31, 2016. The Company’s net cash provided by operating activities, as reported in the Company’s Condensed Consolidated Statements of Cash Flows, was $ 131.6 million for the first six months of 2017, compared to $146.6 million for the first six months of 2016. The decrease is due to increased current year payments to vendors, and a large reduction in the income tax receivable in the prior year, offset by significant cash receipts from customers received in the first half of 2017 compared to 2016.</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19" w:right="239" w:bottom="1440" w:gutter="0" w:footer="0" w:header="0"/>
        </w:sectPr>
      </w:pPr>
    </w:p>
    <w:bookmarkStart w:id="32" w:name="page33"/>
    <w:bookmarkEnd w:id="32"/>
    <w:p>
      <w:pPr>
        <w:ind w:right="180"/>
        <w:spacing w:after="0" w:line="227"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w:t>
      </w:r>
    </w:p>
    <w:p>
      <w:pPr>
        <w:spacing w:after="0" w:line="14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On May 24, 2017, Moody’s affirmed the Company’s credit ratings, but revised the outlook from Stable to Negative.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9440" w:type="dxa"/>
            <w:vAlign w:val="bottom"/>
            <w:tcBorders>
              <w:bottom w:val="single" w:sz="8" w:color="auto"/>
            </w:tcBorders>
          </w:tcPr>
          <w:p>
            <w:pPr>
              <w:ind w:left="8800"/>
              <w:spacing w:after="0"/>
              <w:rPr>
                <w:sz w:val="20"/>
                <w:szCs w:val="20"/>
                <w:color w:val="auto"/>
              </w:rPr>
            </w:pPr>
            <w:r>
              <w:rPr>
                <w:rFonts w:ascii="Arial" w:cs="Arial" w:eastAsia="Arial" w:hAnsi="Arial"/>
                <w:sz w:val="14"/>
                <w:szCs w:val="14"/>
                <w:b w:val="1"/>
                <w:bCs w:val="1"/>
                <w:color w:val="auto"/>
              </w:rPr>
              <w:t>Moody’s</w:t>
            </w:r>
          </w:p>
        </w:tc>
        <w:tc>
          <w:tcPr>
            <w:tcW w:w="6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9440" w:type="dxa"/>
            <w:vAlign w:val="bottom"/>
          </w:tcPr>
          <w:p>
            <w:pPr>
              <w:ind w:left="40"/>
              <w:spacing w:after="0"/>
              <w:rPr>
                <w:sz w:val="20"/>
                <w:szCs w:val="20"/>
                <w:color w:val="auto"/>
              </w:rPr>
            </w:pPr>
            <w:r>
              <w:rPr>
                <w:rFonts w:ascii="Arial" w:cs="Arial" w:eastAsia="Arial" w:hAnsi="Arial"/>
                <w:sz w:val="16"/>
                <w:szCs w:val="16"/>
                <w:color w:val="auto"/>
              </w:rPr>
              <w:t>Long-term</w:t>
            </w:r>
          </w:p>
        </w:tc>
        <w:tc>
          <w:tcPr>
            <w:tcW w:w="640" w:type="dxa"/>
            <w:vAlign w:val="bottom"/>
          </w:tcPr>
          <w:p>
            <w:pPr>
              <w:ind w:left="80"/>
              <w:spacing w:after="0"/>
              <w:rPr>
                <w:sz w:val="20"/>
                <w:szCs w:val="20"/>
                <w:color w:val="auto"/>
              </w:rPr>
            </w:pPr>
            <w:r>
              <w:rPr>
                <w:rFonts w:ascii="Arial" w:cs="Arial" w:eastAsia="Arial" w:hAnsi="Arial"/>
                <w:sz w:val="16"/>
                <w:szCs w:val="16"/>
                <w:color w:val="auto"/>
              </w:rPr>
              <w:t>Ba1</w:t>
            </w:r>
          </w:p>
        </w:tc>
        <w:tc>
          <w:tcPr>
            <w:tcW w:w="1340" w:type="dxa"/>
            <w:vAlign w:val="bottom"/>
          </w:tcPr>
          <w:p>
            <w:pPr>
              <w:ind w:left="100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At June 30, 2017 and December 31, 2016, the Company had working capital of $842.2 million and $1,052.4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within the next 12 months.</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the LLP approximately £25 million over the 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Kaplan is terminated. In the second half of 2016, KIHL advanced approximately £11.0 million to York International College. In the first six months of 2017, there was no additional advance made.</w:t>
      </w:r>
    </w:p>
    <w:p>
      <w:pPr>
        <w:spacing w:after="0" w:line="13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2016.</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1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2016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June 30, 2017.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66"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June 30, 2017 that has materially affected, or is reasonably likely to materially affect, the Company’s internal control over financial reporting.</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697"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1050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351"/>
        </w:trPr>
        <w:tc>
          <w:tcPr>
            <w:tcW w:w="114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97"/>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1"/>
        </w:trPr>
        <w:tc>
          <w:tcPr>
            <w:tcW w:w="920" w:type="dxa"/>
            <w:vAlign w:val="bottom"/>
          </w:tcPr>
          <w:p>
            <w:pPr>
              <w:ind w:left="180"/>
              <w:spacing w:after="0"/>
              <w:rPr>
                <w:sz w:val="20"/>
                <w:szCs w:val="20"/>
                <w:color w:val="auto"/>
              </w:rPr>
            </w:pPr>
            <w:r>
              <w:rPr>
                <w:rFonts w:ascii="Arial" w:cs="Arial" w:eastAsia="Arial" w:hAnsi="Arial"/>
                <w:sz w:val="16"/>
                <w:szCs w:val="16"/>
                <w:color w:val="auto"/>
              </w:rPr>
              <w:t>2.1</w:t>
            </w:r>
          </w:p>
        </w:tc>
        <w:tc>
          <w:tcPr>
            <w:tcW w:w="10500" w:type="dxa"/>
            <w:vAlign w:val="bottom"/>
          </w:tcPr>
          <w:p>
            <w:pPr>
              <w:ind w:left="160"/>
              <w:spacing w:after="0"/>
              <w:rPr>
                <w:sz w:val="20"/>
                <w:szCs w:val="20"/>
                <w:color w:val="auto"/>
              </w:rPr>
            </w:pPr>
            <w:r>
              <w:rPr>
                <w:rFonts w:ascii="Arial" w:cs="Arial" w:eastAsia="Arial" w:hAnsi="Arial"/>
                <w:sz w:val="16"/>
                <w:szCs w:val="16"/>
                <w:color w:val="auto"/>
              </w:rPr>
              <w:t>Contribution and Transfer Agreement, dated April 27, 2017, by and among Kaplan Higher Education, LLC, Iowa College Acquisition, LLC,</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Purdue University, and Purdue New U, Inc. (incorporated by reference to the Company’s Current Report on Form 8-K filed April 27, 2017). *</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Five Year Credit Agreement, dated as of June 29, 2015, among the Company, and certain of its domestic subsidiaries as guarantors, the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several lenders from time to time party thereto, Wells Fargo Bank, National Association, as Administrative Agent and JPMorgan Chase Bank,</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 as Syndication Agent. (incorporated by reference to Exhibit 10.1 to the Company’s Current Report on Form 8-K dated June 29, 2015).</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right="220" w:hanging="910"/>
        <w:spacing w:after="0" w:line="248"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June 30, 2017, formatted in Extensible Business Reporting Language (XBRL): (i) Condensed Consolidated Statements of Operations for the Three and Six Months Ended June 30, 2107 and 2016, (ii) Condensed Consolidated Statements of Comprehensive Income for the Three and Six Months Ended June 30, 2017 and 2016, (iii) Condensed Consolidated Balance Sheets as of June 30, 2017 and December 31, 2016, (iv) Condensed Consolidated Statements of Cash Flows for the Six Months Ended June 30, 2017 and 2016,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8" w:lineRule="exact"/>
        <w:rPr>
          <w:rFonts w:ascii="Arial" w:cs="Arial" w:eastAsia="Arial" w:hAnsi="Arial"/>
          <w:sz w:val="16"/>
          <w:szCs w:val="16"/>
          <w:color w:val="auto"/>
        </w:rPr>
      </w:pPr>
    </w:p>
    <w:p>
      <w:pPr>
        <w:ind w:left="180" w:right="260" w:hanging="162"/>
        <w:spacing w:after="0" w:line="231" w:lineRule="auto"/>
        <w:rPr>
          <w:rFonts w:ascii="Arial" w:cs="Arial" w:eastAsia="Arial" w:hAnsi="Arial"/>
          <w:sz w:val="16"/>
          <w:szCs w:val="16"/>
          <w:color w:val="auto"/>
        </w:rPr>
      </w:pPr>
      <w:r>
        <w:rPr>
          <w:rFonts w:ascii="Arial" w:cs="Arial" w:eastAsia="Arial" w:hAnsi="Arial"/>
          <w:sz w:val="14"/>
          <w:szCs w:val="14"/>
          <w:color w:val="auto"/>
        </w:rPr>
        <w:t>* Graham Holdings Company hereby undertakes to furnish supplementally a copy of any omitted exhibit or schedule to such agreement to the U.S. Securities and Exchange Commission upon request.</w:t>
      </w:r>
    </w:p>
    <w:p>
      <w:pPr>
        <w:spacing w:after="0" w:line="41" w:lineRule="exact"/>
        <w:rPr>
          <w:rFonts w:ascii="Arial" w:cs="Arial" w:eastAsia="Arial" w:hAnsi="Arial"/>
          <w:sz w:val="16"/>
          <w:szCs w:val="16"/>
          <w:color w:val="auto"/>
        </w:rPr>
      </w:pPr>
    </w:p>
    <w:p>
      <w:pPr>
        <w:ind w:left="180" w:hanging="172"/>
        <w:spacing w:after="0"/>
        <w:tabs>
          <w:tab w:leader="none" w:pos="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1"/>
        </w:trPr>
        <w:tc>
          <w:tcPr>
            <w:tcW w:w="3640" w:type="dxa"/>
            <w:vAlign w:val="bottom"/>
          </w:tcPr>
          <w:p>
            <w:pPr>
              <w:spacing w:after="0"/>
              <w:rPr>
                <w:sz w:val="20"/>
                <w:szCs w:val="20"/>
                <w:color w:val="auto"/>
              </w:rPr>
            </w:pPr>
            <w:r>
              <w:rPr>
                <w:rFonts w:ascii="Arial" w:cs="Arial" w:eastAsia="Arial" w:hAnsi="Arial"/>
                <w:sz w:val="18"/>
                <w:szCs w:val="18"/>
                <w:color w:val="auto"/>
              </w:rPr>
              <w:t>Date: August 2, 2017</w:t>
            </w:r>
          </w:p>
        </w:tc>
        <w:tc>
          <w:tcPr>
            <w:tcW w:w="364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6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6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640" w:type="dxa"/>
            <w:vAlign w:val="bottom"/>
          </w:tcPr>
          <w:p>
            <w:pPr>
              <w:spacing w:after="0"/>
              <w:rPr>
                <w:sz w:val="20"/>
                <w:szCs w:val="20"/>
                <w:color w:val="auto"/>
              </w:rPr>
            </w:pPr>
            <w:r>
              <w:rPr>
                <w:rFonts w:ascii="Arial" w:cs="Arial" w:eastAsia="Arial" w:hAnsi="Arial"/>
                <w:sz w:val="18"/>
                <w:szCs w:val="18"/>
                <w:color w:val="auto"/>
              </w:rPr>
              <w:t>Date: August 2, 2017</w:t>
            </w:r>
          </w:p>
        </w:tc>
        <w:tc>
          <w:tcPr>
            <w:tcW w:w="364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76"/>
        </w:trPr>
        <w:tc>
          <w:tcPr>
            <w:tcW w:w="36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Senior Vice President-Finance</w:t>
            </w:r>
          </w:p>
        </w:tc>
      </w:tr>
      <w:tr>
        <w:trPr>
          <w:trHeight w:val="190"/>
        </w:trPr>
        <w:tc>
          <w:tcPr>
            <w:tcW w:w="36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0"/>
        </w:trPr>
        <w:tc>
          <w:tcPr>
            <w:tcW w:w="3640" w:type="dxa"/>
            <w:vAlign w:val="bottom"/>
          </w:tcPr>
          <w:p>
            <w:pPr>
              <w:spacing w:after="0"/>
              <w:rPr>
                <w:sz w:val="24"/>
                <w:szCs w:val="24"/>
                <w:color w:val="auto"/>
              </w:rPr>
            </w:pPr>
          </w:p>
        </w:tc>
        <w:tc>
          <w:tcPr>
            <w:tcW w:w="3640" w:type="dxa"/>
            <w:vAlign w:val="bottom"/>
          </w:tcPr>
          <w:p>
            <w:pPr>
              <w:jc w:val="right"/>
              <w:ind w:right="1410"/>
              <w:spacing w:after="0"/>
              <w:rPr>
                <w:sz w:val="20"/>
                <w:szCs w:val="20"/>
                <w:color w:val="auto"/>
              </w:rPr>
            </w:pPr>
            <w:r>
              <w:rPr>
                <w:rFonts w:ascii="Arial" w:cs="Arial" w:eastAsia="Arial" w:hAnsi="Arial"/>
                <w:sz w:val="18"/>
                <w:szCs w:val="18"/>
                <w:color w:val="auto"/>
              </w:rPr>
              <w:t>32</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63"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2017</w:t>
      </w:r>
    </w:p>
    <w:p>
      <w:pPr>
        <w:sectPr>
          <w:pgSz w:w="11900" w:h="16838" w:orient="portrait"/>
          <w:cols w:equalWidth="0" w:num="1">
            <w:col w:w="11420"/>
          </w:cols>
          <w:pgMar w:left="240" w:top="382"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Senior Vice President-Finance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2017</w:t>
      </w:r>
    </w:p>
    <w:p>
      <w:pPr>
        <w:sectPr>
          <w:pgSz w:w="11900" w:h="16838" w:orient="portrait"/>
          <w:cols w:equalWidth="0" w:num="1">
            <w:col w:w="11420"/>
          </w:cols>
          <w:pgMar w:left="240" w:top="38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June 30, 2017 (the “Report”), Timothy J. O'Shaughnessy, Chief Executive Officer of the Company and Wallace R. Cooney, Senior Vice President-Finance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2017</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 2017</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402"/>
    </w:lvl>
  </w:abstractNum>
  <w:abstractNum w:abstractNumId="3">
    <w:nsid w:val="66EF438D"/>
    <w:multiLevelType w:val="hybridMultilevel"/>
    <w:lvl w:ilvl="0">
      <w:lvlJc w:val="left"/>
      <w:lvlText w:val="%1"/>
      <w:numFmt w:val="decimal"/>
      <w:start w:val="360"/>
    </w:lvl>
  </w:abstractNum>
  <w:abstractNum w:abstractNumId="4">
    <w:nsid w:val="140E0F76"/>
    <w:multiLevelType w:val="hybridMultilevel"/>
    <w:lvl w:ilvl="0">
      <w:lvlJc w:val="left"/>
      <w:lvlText w:val="\emdash "/>
      <w:numFmt w:val="bullet"/>
      <w:start w:val="1"/>
    </w:lvl>
  </w:abstractNum>
  <w:abstractNum w:abstractNumId="5">
    <w:nsid w:val="3352255A"/>
    <w:multiLevelType w:val="hybridMultilevel"/>
    <w:lvl w:ilvl="0">
      <w:lvlJc w:val="left"/>
      <w:lvlText w:val="(%1)"/>
      <w:numFmt w:val="decimal"/>
      <w:start w:val="395"/>
    </w:lvl>
  </w:abstractNum>
  <w:abstractNum w:abstractNumId="6">
    <w:nsid w:val="109CF92E"/>
    <w:multiLevelType w:val="hybridMultilevel"/>
    <w:lvl w:ilvl="0">
      <w:lvlJc w:val="left"/>
      <w:lvlText w:val="(%1)"/>
      <w:numFmt w:val="lowerRoman"/>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2"/>
      <w:numFmt w:val="decimal"/>
      <w:start w:val="101"/>
    </w:lvl>
  </w:abstractNum>
  <w:abstractNum w:abstractNumId="16">
    <w:nsid w:val="3F2DBA31"/>
    <w:multiLevelType w:val="hybridMultilevel"/>
    <w:lvl w:ilvl="0">
      <w:lvlJc w:val="left"/>
      <w:lvlText w:val="**"/>
      <w:numFmt w:val="bullet"/>
      <w:start w:val="1"/>
    </w:lvl>
    <w:lvl w:ilvl="1">
      <w:lvlJc w:val="left"/>
      <w:lvlText w:val="%2"/>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2019-12-29T05:22:36Z</dcterms:created>
  <dcterms:modified xsi:type="dcterms:W3CDTF">2019-12-29T05:22:36Z</dcterms:modified>
</cp:coreProperties>
</file>