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939640108</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Washington Post Co.</w:t>
      </w:r>
    </w:p>
    <w:p>
      <w:pPr>
        <w:ind w:left="26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Common Stock -</w:t>
      </w:r>
      <w:r>
        <w:rPr>
          <w:sz w:val="20"/>
          <w:szCs w:val="20"/>
          <w:color w:val="auto"/>
        </w:rPr>
        <w:tab/>
      </w:r>
      <w:r>
        <w:rPr>
          <w:rFonts w:ascii="Courier New" w:cs="Courier New" w:eastAsia="Courier New" w:hAnsi="Courier New"/>
          <w:sz w:val="16"/>
          <w:szCs w:val="16"/>
          <w:color w:val="auto"/>
        </w:rPr>
        <w:t>Class B, par value $1</w:t>
      </w:r>
    </w:p>
    <w:p>
      <w:pPr>
        <w:ind w:left="190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939640108</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Franklin Mutual Advisers, LLC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380" w:right="6839" w:hanging="740"/>
        <w:spacing w:after="0" w:line="536" w:lineRule="auto"/>
        <w:tabs>
          <w:tab w:leader="none" w:pos="127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539,772(See Item 4)</w:t>
      </w:r>
    </w:p>
    <w:p>
      <w:pPr>
        <w:ind w:left="1280" w:hanging="640"/>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center"/>
        <w:ind w:left="1380" w:right="6639" w:hanging="740"/>
        <w:spacing w:after="0" w:line="536" w:lineRule="auto"/>
        <w:tabs>
          <w:tab w:leader="none" w:pos="127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539,772 (See Item 4)</w:t>
      </w:r>
    </w:p>
    <w:p>
      <w:pPr>
        <w:ind w:left="1280" w:hanging="640"/>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539,772</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ectPr>
          <w:pgSz w:w="11900" w:h="16853" w:orient="portrait"/>
          <w:cols w:equalWidth="0" w:num="1">
            <w:col w:w="10219"/>
          </w:cols>
          <w:pgMar w:left="240" w:top="244" w:right="1440" w:bottom="0" w:gutter="0" w:footer="0" w:header="0"/>
        </w:sectPr>
      </w:pPr>
    </w:p>
    <w:bookmarkStart w:id="1" w:name="page2"/>
    <w:bookmarkEnd w:id="1"/>
    <w:p>
      <w:pPr>
        <w:ind w:left="740" w:right="4619" w:hanging="732"/>
        <w:spacing w:after="0" w:line="470"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7.0%</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Washington Post Co.</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1150 15th Street NW Washington, DC 20071</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Mutual Advisers, LLC</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1280" w:right="6199" w:hanging="73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51 John F. Kennedy Parkway Short Hills, NJ 07078</w:t>
      </w:r>
    </w:p>
    <w:p>
      <w:pPr>
        <w:spacing w:after="0" w:line="208" w:lineRule="exact"/>
        <w:rPr>
          <w:rFonts w:ascii="Courier New" w:cs="Courier New" w:eastAsia="Courier New" w:hAnsi="Courier New"/>
          <w:sz w:val="18"/>
          <w:szCs w:val="18"/>
          <w:color w:val="auto"/>
        </w:rPr>
      </w:pPr>
    </w:p>
    <w:p>
      <w:pPr>
        <w:ind w:left="540" w:right="577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 (i): Delaware</w:t>
      </w:r>
    </w:p>
    <w:p>
      <w:pPr>
        <w:spacing w:after="0" w:line="6" w:lineRule="exact"/>
        <w:rPr>
          <w:rFonts w:ascii="Courier New" w:cs="Courier New" w:eastAsia="Courier New" w:hAnsi="Courier New"/>
          <w:sz w:val="18"/>
          <w:szCs w:val="18"/>
          <w:color w:val="auto"/>
        </w:rPr>
      </w:pPr>
    </w:p>
    <w:p>
      <w:pPr>
        <w:ind w:left="640" w:hanging="527"/>
        <w:spacing w:after="0"/>
        <w:tabs>
          <w:tab w:leader="none" w:pos="6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Common Stock -</w:t>
      </w:r>
      <w:r>
        <w:rPr>
          <w:sz w:val="20"/>
          <w:szCs w:val="20"/>
          <w:color w:val="auto"/>
        </w:rPr>
        <w:tab/>
      </w:r>
      <w:r>
        <w:rPr>
          <w:rFonts w:ascii="Courier New" w:cs="Courier New" w:eastAsia="Courier New" w:hAnsi="Courier New"/>
          <w:sz w:val="16"/>
          <w:szCs w:val="16"/>
          <w:color w:val="auto"/>
        </w:rPr>
        <w:t>Class B, par value $1</w:t>
      </w:r>
    </w:p>
    <w:p>
      <w:pPr>
        <w:spacing w:after="0" w:line="207" w:lineRule="exact"/>
        <w:rPr>
          <w:sz w:val="20"/>
          <w:szCs w:val="20"/>
          <w:color w:val="auto"/>
        </w:rPr>
      </w:pPr>
    </w:p>
    <w:p>
      <w:pPr>
        <w:ind w:left="540" w:right="8319" w:hanging="532"/>
        <w:spacing w:after="0" w:line="55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939640108</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Franklin Mutual Advisers, LLC</w:t>
      </w:r>
    </w:p>
    <w:p>
      <w:pPr>
        <w:ind w:left="2000" w:hanging="517"/>
        <w:spacing w:after="0" w:line="238" w:lineRule="auto"/>
        <w:tabs>
          <w:tab w:leader="none" w:pos="20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open-end investment companies or other managed accounts which, pursuant to advisory contracts, are advised by Franklin Mutual Advisers, LLC ("FMA"), formerly Franklin Mutual Advisers, Inc., an indirect wholly owned subsidiary of Franklin Resources, Inc. ("FRI"). Such advisory contracts grant to FMA all investment and voting power over the securities owned by such advisory clients. Therefore, FMA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FMA are exercised independently from FRI, its parent holding company,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each report the securities over which they hold investment and voting power separately from each other.</w:t>
      </w:r>
    </w:p>
    <w:p>
      <w:pPr>
        <w:sectPr>
          <w:pgSz w:w="11900" w:h="16838" w:orient="portrait"/>
          <w:cols w:equalWidth="0" w:num="1">
            <w:col w:w="10219"/>
          </w:cols>
          <w:pgMar w:left="240" w:top="547" w:right="1440" w:bottom="0" w:gutter="0" w:footer="0" w:header="0"/>
        </w:sectPr>
      </w:pPr>
    </w:p>
    <w:bookmarkStart w:id="2" w:name="page3"/>
    <w:bookmarkEnd w:id="2"/>
    <w:p>
      <w:pPr>
        <w:ind w:right="3159"/>
        <w:spacing w:after="0" w:line="271" w:lineRule="auto"/>
        <w:rPr>
          <w:sz w:val="20"/>
          <w:szCs w:val="20"/>
          <w:color w:val="auto"/>
        </w:rPr>
      </w:pPr>
      <w:r>
        <w:rPr>
          <w:rFonts w:ascii="Courier New" w:cs="Courier New" w:eastAsia="Courier New" w:hAnsi="Courier New"/>
          <w:sz w:val="16"/>
          <w:szCs w:val="16"/>
          <w:color w:val="auto"/>
        </w:rPr>
        <w:t>Charles B. Johnson and Rupert H. Johnson, Jr. (the "Principal Shareholders") each own in excess of 10% of the outstanding Common Stock of FRI and are the principal shareholders of FRI. However, because FMA exercises voting and investment powers on behalf of its advisory clients independently of FRI, the Principal Shareholders, and their respective affiliates, beneficial ownership of the securities being reported by FMA is being attributed only to FMA. FMA disclaims any economic interest or beneficial ownership in any of the securities covered by this statement.</w:t>
      </w:r>
    </w:p>
    <w:p>
      <w:pPr>
        <w:spacing w:after="0" w:line="388"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Furthermore, FMA is of the view that it is not acting as a "group" with FRI, the Principal Shareholders, or their respective affiliates for purposes of Section 13(d) under the 1934 Act and that none of them are otherwise required to attribute to each other the "beneficial ownership" of securities held by any of them or by any persons or entities advised by FRI subsidiaries.</w:t>
      </w:r>
    </w:p>
    <w:p>
      <w:pPr>
        <w:spacing w:after="0" w:line="210" w:lineRule="exact"/>
        <w:rPr>
          <w:sz w:val="20"/>
          <w:szCs w:val="20"/>
          <w:color w:val="auto"/>
        </w:rPr>
      </w:pPr>
    </w:p>
    <w:p>
      <w:pPr>
        <w:ind w:left="960" w:right="6739" w:hanging="636"/>
        <w:spacing w:after="0" w:line="470" w:lineRule="auto"/>
        <w:tabs>
          <w:tab w:leader="none" w:pos="74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539,772</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hanging="416"/>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780" w:type="dxa"/>
            <w:vAlign w:val="bottom"/>
          </w:tcPr>
          <w:p>
            <w:pPr>
              <w:spacing w:after="0"/>
              <w:rPr>
                <w:sz w:val="20"/>
                <w:szCs w:val="20"/>
                <w:color w:val="auto"/>
              </w:rPr>
            </w:pPr>
            <w:r>
              <w:rPr>
                <w:rFonts w:ascii="Courier New" w:cs="Courier New" w:eastAsia="Courier New" w:hAnsi="Courier New"/>
                <w:sz w:val="18"/>
                <w:szCs w:val="18"/>
                <w:color w:val="auto"/>
              </w:rPr>
              <w:t>Franklin Mutual Advisers,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539,772</w:t>
            </w:r>
          </w:p>
        </w:tc>
      </w:tr>
    </w:tbl>
    <w:p>
      <w:pPr>
        <w:spacing w:after="0" w:line="200" w:lineRule="exact"/>
        <w:rPr>
          <w:sz w:val="20"/>
          <w:szCs w:val="20"/>
          <w:color w:val="auto"/>
        </w:rPr>
      </w:pPr>
    </w:p>
    <w:p>
      <w:pPr>
        <w:spacing w:after="0" w:line="204" w:lineRule="exact"/>
        <w:rPr>
          <w:sz w:val="20"/>
          <w:szCs w:val="20"/>
          <w:color w:val="auto"/>
        </w:rPr>
      </w:pPr>
    </w:p>
    <w:p>
      <w:pPr>
        <w:ind w:left="960" w:hanging="531"/>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780" w:type="dxa"/>
            <w:vAlign w:val="bottom"/>
          </w:tcPr>
          <w:p>
            <w:pPr>
              <w:spacing w:after="0"/>
              <w:rPr>
                <w:sz w:val="20"/>
                <w:szCs w:val="20"/>
                <w:color w:val="auto"/>
              </w:rPr>
            </w:pPr>
            <w:r>
              <w:rPr>
                <w:rFonts w:ascii="Courier New" w:cs="Courier New" w:eastAsia="Courier New" w:hAnsi="Courier New"/>
                <w:sz w:val="18"/>
                <w:szCs w:val="18"/>
                <w:color w:val="auto"/>
              </w:rPr>
              <w:t>Franklin Mutual Advisers,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539,772</w:t>
            </w:r>
          </w:p>
        </w:tc>
      </w:tr>
    </w:tbl>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4" w:lineRule="exact"/>
        <w:rPr>
          <w:sz w:val="20"/>
          <w:szCs w:val="20"/>
          <w:color w:val="auto"/>
        </w:rPr>
      </w:pPr>
    </w:p>
    <w:p>
      <w:pPr>
        <w:ind w:left="740"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579"/>
        <w:spacing w:after="0" w:line="237" w:lineRule="auto"/>
        <w:rPr>
          <w:sz w:val="20"/>
          <w:szCs w:val="20"/>
          <w:color w:val="auto"/>
        </w:rPr>
      </w:pPr>
      <w:r>
        <w:rPr>
          <w:rFonts w:ascii="Courier New" w:cs="Courier New" w:eastAsia="Courier New" w:hAnsi="Courier New"/>
          <w:sz w:val="18"/>
          <w:szCs w:val="18"/>
          <w:color w:val="auto"/>
        </w:rPr>
        <w:t>The clients of Franklin Mutual Advisers, LLC, including investment companies registered under the Investment Company Act of 1940 and other managed accounts, have the right to receive dividends from as well as the proceeds from the sale of such securities reported on in this statement.</w:t>
      </w:r>
    </w:p>
    <w:p>
      <w:pPr>
        <w:spacing w:after="0" w:line="200" w:lineRule="exact"/>
        <w:rPr>
          <w:sz w:val="20"/>
          <w:szCs w:val="20"/>
          <w:color w:val="auto"/>
        </w:rPr>
      </w:pPr>
    </w:p>
    <w:p>
      <w:pPr>
        <w:spacing w:after="0" w:line="212" w:lineRule="exact"/>
        <w:rPr>
          <w:sz w:val="20"/>
          <w:szCs w:val="20"/>
          <w:color w:val="auto"/>
        </w:rPr>
      </w:pPr>
    </w:p>
    <w:p>
      <w:pPr>
        <w:ind w:left="740" w:right="325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ectPr>
          <w:pgSz w:w="11900" w:h="16838" w:orient="portrait"/>
          <w:cols w:equalWidth="0" w:num="1">
            <w:col w:w="10219"/>
          </w:cols>
          <w:pgMar w:left="240" w:top="344"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19,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Mutual Advisers,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38" w:lineRule="auto"/>
        <w:rPr>
          <w:sz w:val="20"/>
          <w:szCs w:val="20"/>
          <w:color w:val="auto"/>
        </w:rPr>
      </w:pPr>
      <w:r>
        <w:rPr>
          <w:rFonts w:ascii="Courier New" w:cs="Courier New" w:eastAsia="Courier New" w:hAnsi="Courier New"/>
          <w:sz w:val="18"/>
          <w:szCs w:val="18"/>
          <w:color w:val="auto"/>
        </w:rPr>
        <w:t>LESLIE M. KRATTER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1"/>
    </w:lvl>
    <w:lvl w:ilvl="1">
      <w:lvlJc w:val="left"/>
      <w:lvlText w:val="(%2)"/>
      <w:numFmt w:val="lowerLetter"/>
      <w:start w:val="2"/>
    </w:lvl>
  </w:abstractNum>
  <w:abstractNum w:abstractNumId="3">
    <w:nsid w:val="5BD062C2"/>
    <w:multiLevelType w:val="hybridMultilevel"/>
    <w:lvl w:ilvl="0">
      <w:lvlJc w:val="left"/>
      <w:lvlText w:val="%1."/>
      <w:numFmt w:val="decimal"/>
      <w:start w:val="3"/>
    </w:lvl>
    <w:lvl w:ilvl="1">
      <w:lvlJc w:val="left"/>
      <w:lvlText w:val="%2"/>
      <w:numFmt w:val="lowerLetter"/>
      <w:start w:val="1"/>
    </w:lvl>
  </w:abstractNum>
  <w:abstractNum w:abstractNumId="4">
    <w:nsid w:val="12200854"/>
    <w:multiLevelType w:val="hybridMultilevel"/>
    <w:lvl w:ilvl="0">
      <w:lvlJc w:val="left"/>
      <w:lvlText w:val="%1"/>
      <w:numFmt w:val="decimal"/>
      <w:start w:val="1"/>
    </w:lvl>
    <w:lvl w:ilvl="1">
      <w:lvlJc w:val="left"/>
      <w:lvlText w:val="%2."/>
      <w:numFmt w:val="decimal"/>
      <w:start w:val="5"/>
    </w:lvl>
  </w:abstractNum>
  <w:abstractNum w:abstractNumId="5">
    <w:nsid w:val="4DB127F8"/>
    <w:multiLevelType w:val="hybridMultilevel"/>
    <w:lvl w:ilvl="0">
      <w:lvlJc w:val="left"/>
      <w:lvlText w:val="%1."/>
      <w:numFmt w:val="decimal"/>
      <w:start w:val="9"/>
    </w:lvl>
    <w:lvl w:ilvl="1">
      <w:lvlJc w:val="left"/>
      <w:lvlText w:val="%2"/>
      <w:numFmt w:val="decimal"/>
      <w:start w:val="1"/>
    </w:lvl>
  </w:abstractNum>
  <w:abstractNum w:abstractNumId="6">
    <w:nsid w:val="216231B"/>
    <w:multiLevelType w:val="hybridMultilevel"/>
    <w:lvl w:ilvl="0">
      <w:lvlJc w:val="left"/>
      <w:lvlText w:val="%1."/>
      <w:numFmt w:val="decimal"/>
      <w:start w:val="1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lvl w:ilvl="1">
      <w:lvlJc w:val="left"/>
      <w:lvlText w:val="(%2)"/>
      <w:numFmt w:val="lowerLetter"/>
      <w:start w:val="4"/>
    </w:lvl>
  </w:abstractNum>
  <w:abstractNum w:abstractNumId="9">
    <w:nsid w:val="66EF438D"/>
    <w:multiLevelType w:val="hybridMultilevel"/>
    <w:lvl w:ilvl="0">
      <w:lvlJc w:val="left"/>
      <w:lvlText w:val="(%1)"/>
      <w:numFmt w:val="lowerLetter"/>
      <w:start w:val="5"/>
    </w:lvl>
  </w:abstractNum>
  <w:abstractNum w:abstractNumId="10">
    <w:nsid w:val="140E0F76"/>
    <w:multiLevelType w:val="hybridMultilevel"/>
    <w:lvl w:ilvl="0">
      <w:lvlJc w:val="left"/>
      <w:lvlText w:val="(%1)"/>
      <w:numFmt w:val="lowerLetter"/>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3"/>
    </w:lvl>
    <w:lvl w:ilvl="1">
      <w:lvlJc w:val="left"/>
      <w:lvlText w:val="(%2)"/>
      <w:numFmt w:val="lowerLetter"/>
      <w:start w:val="9"/>
    </w:lvl>
  </w:abstractNum>
  <w:abstractNum w:abstractNumId="13">
    <w:nsid w:val="DED726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2019-12-11T18:59:45Z</dcterms:created>
  <dcterms:modified xsi:type="dcterms:W3CDTF">2019-12-11T18:59:45Z</dcterms:modified>
</cp:coreProperties>
</file>