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036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363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Cooney Wallace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100"/>
        <w:spacing w:after="0" w:line="317" w:lineRule="auto"/>
        <w:rPr>
          <w:sz w:val="20"/>
          <w:szCs w:val="20"/>
          <w:color w:val="auto"/>
        </w:rPr>
      </w:pPr>
      <w:r>
        <w:rPr>
          <w:rFonts w:ascii="Arial" w:cs="Arial" w:eastAsia="Arial" w:hAnsi="Arial"/>
          <w:sz w:val="17"/>
          <w:szCs w:val="17"/>
          <w:color w:val="0000FF"/>
        </w:rPr>
        <w:t>1300 NORTH 17TH STREET SUITE 1700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Graham Holdings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GHC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3"/>
        <w:spacing w:after="0"/>
        <w:rPr>
          <w:sz w:val="20"/>
          <w:szCs w:val="20"/>
          <w:color w:val="auto"/>
        </w:rPr>
      </w:pPr>
      <w:r>
        <w:rPr>
          <w:rFonts w:ascii="Arial" w:cs="Arial" w:eastAsia="Arial" w:hAnsi="Arial"/>
          <w:sz w:val="17"/>
          <w:szCs w:val="17"/>
          <w:color w:val="0000FF"/>
        </w:rPr>
        <w:t>VP-Finance and CAO</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780" w:type="dxa"/>
            <w:vAlign w:val="bottom"/>
            <w:gridSpan w:val="8"/>
          </w:tcPr>
          <w:p>
            <w:pPr>
              <w:jc w:val="center"/>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840" w:type="dxa"/>
            <w:vAlign w:val="bottom"/>
            <w:gridSpan w:val="11"/>
          </w:tcPr>
          <w:p>
            <w:pPr>
              <w:ind w:left="36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40" w:type="dxa"/>
            <w:vAlign w:val="bottom"/>
            <w:gridSpan w:val="11"/>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spacing w:after="0"/>
              <w:rPr>
                <w:sz w:val="20"/>
                <w:szCs w:val="20"/>
                <w:color w:val="auto"/>
              </w:rPr>
            </w:pPr>
            <w:r>
              <w:rPr>
                <w:rFonts w:ascii="Arial" w:cs="Arial" w:eastAsia="Arial" w:hAnsi="Arial"/>
                <w:sz w:val="17"/>
                <w:szCs w:val="17"/>
                <w:color w:val="0000FF"/>
              </w:rPr>
              <w:t>ARLINGTON   VA</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22209</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00" w:type="dxa"/>
            <w:vAlign w:val="bottom"/>
            <w:tcBorders>
              <w:bottom w:val="single" w:sz="8" w:color="2C2C2C"/>
            </w:tcBorders>
            <w:gridSpan w:val="5"/>
          </w:tcPr>
          <w:p>
            <w:pPr>
              <w:spacing w:after="0"/>
              <w:rPr>
                <w:sz w:val="11"/>
                <w:szCs w:val="11"/>
                <w:color w:val="auto"/>
              </w:rPr>
            </w:pPr>
          </w:p>
        </w:tc>
        <w:tc>
          <w:tcPr>
            <w:tcW w:w="28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6"/>
          </w:tcPr>
          <w:p>
            <w:pPr>
              <w:jc w:val="center"/>
              <w:ind w:left="67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0" w:type="dxa"/>
            <w:vAlign w:val="bottom"/>
            <w:gridSpan w:val="3"/>
          </w:tcPr>
          <w:p>
            <w:pPr>
              <w:jc w:val="center"/>
              <w:ind w:left="50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4"/>
          </w:tcPr>
          <w:p>
            <w:pPr>
              <w:ind w:left="60"/>
              <w:spacing w:after="0"/>
              <w:rPr>
                <w:sz w:val="20"/>
                <w:szCs w:val="20"/>
                <w:color w:val="auto"/>
              </w:rPr>
            </w:pPr>
            <w:r>
              <w:rPr>
                <w:rFonts w:ascii="Arial" w:cs="Arial" w:eastAsia="Arial" w:hAnsi="Arial"/>
                <w:sz w:val="17"/>
                <w:szCs w:val="17"/>
                <w:color w:val="0000FF"/>
              </w:rPr>
              <w:t>Class B Common Stock</w:t>
            </w:r>
          </w:p>
        </w:tc>
        <w:tc>
          <w:tcPr>
            <w:tcW w:w="1800" w:type="dxa"/>
            <w:vAlign w:val="bottom"/>
            <w:gridSpan w:val="3"/>
          </w:tcPr>
          <w:p>
            <w:pPr>
              <w:jc w:val="center"/>
              <w:ind w:left="486"/>
              <w:spacing w:after="0"/>
              <w:rPr>
                <w:sz w:val="20"/>
                <w:szCs w:val="20"/>
                <w:color w:val="auto"/>
              </w:rPr>
            </w:pPr>
            <w:r>
              <w:rPr>
                <w:rFonts w:ascii="Arial" w:cs="Arial" w:eastAsia="Arial" w:hAnsi="Arial"/>
                <w:sz w:val="17"/>
                <w:szCs w:val="17"/>
                <w:color w:val="0000FF"/>
                <w:w w:val="93"/>
              </w:rPr>
              <w:t>12/09/2014</w:t>
            </w: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58"/>
              <w:spacing w:after="0"/>
              <w:rPr>
                <w:sz w:val="20"/>
                <w:szCs w:val="20"/>
                <w:color w:val="auto"/>
              </w:rPr>
            </w:pPr>
            <w:r>
              <w:rPr>
                <w:rFonts w:ascii="Arial" w:cs="Arial" w:eastAsia="Arial" w:hAnsi="Arial"/>
                <w:sz w:val="13"/>
                <w:szCs w:val="13"/>
                <w:color w:val="0000FF"/>
              </w:rPr>
              <w:t>M</w:t>
            </w:r>
          </w:p>
        </w:tc>
        <w:tc>
          <w:tcPr>
            <w:tcW w:w="680" w:type="dxa"/>
            <w:vAlign w:val="bottom"/>
          </w:tcPr>
          <w:p>
            <w:pPr>
              <w:jc w:val="center"/>
              <w:spacing w:after="0"/>
              <w:rPr>
                <w:sz w:val="20"/>
                <w:szCs w:val="20"/>
                <w:color w:val="auto"/>
              </w:rPr>
            </w:pPr>
            <w:r>
              <w:rPr>
                <w:rFonts w:ascii="Arial" w:cs="Arial" w:eastAsia="Arial" w:hAnsi="Arial"/>
                <w:sz w:val="17"/>
                <w:szCs w:val="17"/>
                <w:color w:val="0000FF"/>
                <w:w w:val="93"/>
              </w:rPr>
              <w:t>1,000</w:t>
            </w:r>
          </w:p>
        </w:tc>
        <w:tc>
          <w:tcPr>
            <w:tcW w:w="64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368.56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gridSpan w:val="2"/>
          </w:tcPr>
          <w:p>
            <w:pPr>
              <w:jc w:val="center"/>
              <w:ind w:right="339"/>
              <w:spacing w:after="0"/>
              <w:rPr>
                <w:sz w:val="20"/>
                <w:szCs w:val="20"/>
                <w:color w:val="auto"/>
              </w:rPr>
            </w:pPr>
            <w:r>
              <w:rPr>
                <w:rFonts w:ascii="Arial" w:cs="Arial" w:eastAsia="Arial" w:hAnsi="Arial"/>
                <w:sz w:val="17"/>
                <w:szCs w:val="17"/>
                <w:color w:val="0000FF"/>
                <w:w w:val="93"/>
              </w:rPr>
              <w:t>1,950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B Common Stock</w:t>
            </w:r>
          </w:p>
        </w:tc>
        <w:tc>
          <w:tcPr>
            <w:tcW w:w="180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93"/>
              </w:rPr>
              <w:t>12/09/2014</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38"/>
              <w:spacing w:after="0"/>
              <w:rPr>
                <w:sz w:val="20"/>
                <w:szCs w:val="20"/>
                <w:color w:val="auto"/>
              </w:rPr>
            </w:pPr>
            <w:r>
              <w:rPr>
                <w:rFonts w:ascii="Arial" w:cs="Arial" w:eastAsia="Arial" w:hAnsi="Arial"/>
                <w:sz w:val="12"/>
                <w:szCs w:val="12"/>
                <w:color w:val="0000FF"/>
                <w:w w:val="74"/>
              </w:rPr>
              <w:t>S</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934.11</w:t>
            </w:r>
            <w:r>
              <w:rPr>
                <w:rFonts w:ascii="Arial" w:cs="Arial" w:eastAsia="Arial" w:hAnsi="Arial"/>
                <w:sz w:val="22"/>
                <w:szCs w:val="22"/>
                <w:color w:val="008000"/>
                <w:w w:val="88"/>
                <w:vertAlign w:val="superscript"/>
              </w:rPr>
              <w:t>(1)</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339"/>
              <w:spacing w:after="0"/>
              <w:rPr>
                <w:sz w:val="20"/>
                <w:szCs w:val="20"/>
                <w:color w:val="auto"/>
              </w:rPr>
            </w:pPr>
            <w:r>
              <w:rPr>
                <w:rFonts w:ascii="Arial" w:cs="Arial" w:eastAsia="Arial" w:hAnsi="Arial"/>
                <w:sz w:val="17"/>
                <w:szCs w:val="17"/>
                <w:color w:val="0000FF"/>
                <w:w w:val="93"/>
              </w:rPr>
              <w:t>1,650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B Common Stock</w:t>
            </w:r>
          </w:p>
        </w:tc>
        <w:tc>
          <w:tcPr>
            <w:tcW w:w="180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93"/>
              </w:rPr>
              <w:t>12/09/2014</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38"/>
              <w:spacing w:after="0"/>
              <w:rPr>
                <w:sz w:val="20"/>
                <w:szCs w:val="20"/>
                <w:color w:val="auto"/>
              </w:rPr>
            </w:pPr>
            <w:r>
              <w:rPr>
                <w:rFonts w:ascii="Arial" w:cs="Arial" w:eastAsia="Arial" w:hAnsi="Arial"/>
                <w:sz w:val="12"/>
                <w:szCs w:val="12"/>
                <w:color w:val="0000FF"/>
                <w:w w:val="74"/>
              </w:rPr>
              <w:t>S</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935.51</w:t>
            </w:r>
            <w:r>
              <w:rPr>
                <w:rFonts w:ascii="Arial" w:cs="Arial" w:eastAsia="Arial" w:hAnsi="Arial"/>
                <w:sz w:val="22"/>
                <w:szCs w:val="22"/>
                <w:color w:val="008000"/>
                <w:w w:val="88"/>
                <w:vertAlign w:val="superscript"/>
              </w:rPr>
              <w:t>(2)</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339"/>
              <w:spacing w:after="0"/>
              <w:rPr>
                <w:sz w:val="20"/>
                <w:szCs w:val="20"/>
                <w:color w:val="auto"/>
              </w:rPr>
            </w:pPr>
            <w:r>
              <w:rPr>
                <w:rFonts w:ascii="Arial" w:cs="Arial" w:eastAsia="Arial" w:hAnsi="Arial"/>
                <w:sz w:val="17"/>
                <w:szCs w:val="17"/>
                <w:color w:val="0000FF"/>
                <w:w w:val="93"/>
              </w:rPr>
              <w:t>1,250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B Common Stock</w:t>
            </w:r>
          </w:p>
        </w:tc>
        <w:tc>
          <w:tcPr>
            <w:tcW w:w="180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93"/>
              </w:rPr>
              <w:t>12/09/2014</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38"/>
              <w:spacing w:after="0"/>
              <w:rPr>
                <w:sz w:val="20"/>
                <w:szCs w:val="20"/>
                <w:color w:val="auto"/>
              </w:rPr>
            </w:pPr>
            <w:r>
              <w:rPr>
                <w:rFonts w:ascii="Arial" w:cs="Arial" w:eastAsia="Arial" w:hAnsi="Arial"/>
                <w:sz w:val="12"/>
                <w:szCs w:val="12"/>
                <w:color w:val="0000FF"/>
                <w:w w:val="74"/>
              </w:rPr>
              <w:t>S</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936.84</w:t>
            </w:r>
            <w:r>
              <w:rPr>
                <w:rFonts w:ascii="Arial" w:cs="Arial" w:eastAsia="Arial" w:hAnsi="Arial"/>
                <w:sz w:val="22"/>
                <w:szCs w:val="22"/>
                <w:color w:val="008000"/>
                <w:w w:val="88"/>
                <w:vertAlign w:val="superscript"/>
              </w:rPr>
              <w:t>(3)</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359"/>
              <w:spacing w:after="0"/>
              <w:rPr>
                <w:sz w:val="20"/>
                <w:szCs w:val="20"/>
                <w:color w:val="auto"/>
              </w:rPr>
            </w:pPr>
            <w:r>
              <w:rPr>
                <w:rFonts w:ascii="Arial" w:cs="Arial" w:eastAsia="Arial" w:hAnsi="Arial"/>
                <w:sz w:val="17"/>
                <w:szCs w:val="17"/>
                <w:color w:val="0000FF"/>
                <w:w w:val="91"/>
              </w:rPr>
              <w:t>950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4"/>
          </w:tcPr>
          <w:p>
            <w:pPr>
              <w:ind w:left="60"/>
              <w:spacing w:after="0"/>
              <w:rPr>
                <w:sz w:val="20"/>
                <w:szCs w:val="20"/>
                <w:color w:val="auto"/>
              </w:rPr>
            </w:pPr>
            <w:r>
              <w:rPr>
                <w:rFonts w:ascii="Arial" w:cs="Arial" w:eastAsia="Arial" w:hAnsi="Arial"/>
                <w:sz w:val="17"/>
                <w:szCs w:val="17"/>
                <w:color w:val="0000FF"/>
              </w:rPr>
              <w:t>Class B Common Stock</w:t>
            </w:r>
          </w:p>
        </w:tc>
        <w:tc>
          <w:tcPr>
            <w:tcW w:w="1800" w:type="dxa"/>
            <w:vAlign w:val="bottom"/>
            <w:gridSpan w:val="3"/>
          </w:tcPr>
          <w:p>
            <w:pPr>
              <w:jc w:val="center"/>
              <w:ind w:left="486"/>
              <w:spacing w:after="0"/>
              <w:rPr>
                <w:sz w:val="20"/>
                <w:szCs w:val="20"/>
                <w:color w:val="auto"/>
              </w:rPr>
            </w:pPr>
            <w:r>
              <w:rPr>
                <w:rFonts w:ascii="Arial" w:cs="Arial" w:eastAsia="Arial" w:hAnsi="Arial"/>
                <w:sz w:val="17"/>
                <w:szCs w:val="17"/>
                <w:color w:val="0000FF"/>
                <w:w w:val="93"/>
              </w:rPr>
              <w:t>12/10/2014</w:t>
            </w: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38"/>
              <w:spacing w:after="0"/>
              <w:rPr>
                <w:sz w:val="20"/>
                <w:szCs w:val="20"/>
                <w:color w:val="auto"/>
              </w:rPr>
            </w:pPr>
            <w:r>
              <w:rPr>
                <w:rFonts w:ascii="Arial" w:cs="Arial" w:eastAsia="Arial" w:hAnsi="Arial"/>
                <w:sz w:val="12"/>
                <w:szCs w:val="12"/>
                <w:color w:val="0000FF"/>
                <w:w w:val="74"/>
              </w:rPr>
              <w:t>S</w:t>
            </w:r>
          </w:p>
        </w:tc>
        <w:tc>
          <w:tcPr>
            <w:tcW w:w="680" w:type="dxa"/>
            <w:vAlign w:val="bottom"/>
          </w:tcPr>
          <w:p>
            <w:pPr>
              <w:jc w:val="center"/>
              <w:spacing w:after="0"/>
              <w:rPr>
                <w:sz w:val="20"/>
                <w:szCs w:val="20"/>
                <w:color w:val="auto"/>
              </w:rPr>
            </w:pPr>
            <w:r>
              <w:rPr>
                <w:rFonts w:ascii="Arial" w:cs="Arial" w:eastAsia="Arial" w:hAnsi="Arial"/>
                <w:sz w:val="17"/>
                <w:szCs w:val="17"/>
                <w:color w:val="0000FF"/>
                <w:w w:val="91"/>
              </w:rPr>
              <w:t>150</w:t>
            </w:r>
          </w:p>
        </w:tc>
        <w:tc>
          <w:tcPr>
            <w:tcW w:w="640" w:type="dxa"/>
            <w:vAlign w:val="bottom"/>
          </w:tcPr>
          <w:p>
            <w:pPr>
              <w:jc w:val="center"/>
              <w:spacing w:after="0"/>
              <w:rPr>
                <w:sz w:val="20"/>
                <w:szCs w:val="20"/>
                <w:color w:val="auto"/>
              </w:rPr>
            </w:pPr>
            <w:r>
              <w:rPr>
                <w:rFonts w:ascii="Arial" w:cs="Arial" w:eastAsia="Arial" w:hAnsi="Arial"/>
                <w:sz w:val="17"/>
                <w:szCs w:val="17"/>
                <w:color w:val="0000FF"/>
              </w:rPr>
              <w:t>D</w:t>
            </w:r>
          </w:p>
        </w:tc>
        <w:tc>
          <w:tcPr>
            <w:tcW w:w="660" w:type="dxa"/>
            <w:vAlign w:val="bottom"/>
            <w:gridSpan w:val="2"/>
          </w:tcPr>
          <w:p>
            <w:pPr>
              <w:jc w:val="center"/>
              <w:ind w:left="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937.08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gridSpan w:val="2"/>
          </w:tcPr>
          <w:p>
            <w:pPr>
              <w:jc w:val="center"/>
              <w:ind w:right="359"/>
              <w:spacing w:after="0"/>
              <w:rPr>
                <w:sz w:val="20"/>
                <w:szCs w:val="20"/>
                <w:color w:val="auto"/>
              </w:rPr>
            </w:pPr>
            <w:r>
              <w:rPr>
                <w:rFonts w:ascii="Arial" w:cs="Arial" w:eastAsia="Arial" w:hAnsi="Arial"/>
                <w:sz w:val="17"/>
                <w:szCs w:val="17"/>
                <w:color w:val="0000FF"/>
                <w:w w:val="91"/>
              </w:rPr>
              <w:t>800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0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7"/>
              </w:rPr>
              <w:t>Security</w:t>
            </w:r>
          </w:p>
        </w:tc>
        <w:tc>
          <w:tcPr>
            <w:tcW w:w="2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7"/>
              </w:rPr>
              <w:t>(Instr. 5)</w:t>
            </w:r>
          </w:p>
        </w:tc>
        <w:tc>
          <w:tcPr>
            <w:tcW w:w="2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3"/>
                <w:szCs w:val="13"/>
                <w:color w:val="0000FF"/>
              </w:rPr>
              <w:t>12/15/2009</w:t>
            </w:r>
            <w:r>
              <w:rPr>
                <w:rFonts w:ascii="Arial" w:cs="Arial" w:eastAsia="Arial" w:hAnsi="Arial"/>
                <w:sz w:val="22"/>
                <w:szCs w:val="22"/>
                <w:color w:val="008000"/>
                <w:vertAlign w:val="superscript"/>
              </w:rPr>
              <w:t>(4)</w:t>
            </w:r>
          </w:p>
        </w:tc>
        <w:tc>
          <w:tcPr>
            <w:tcW w:w="6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620" w:type="dxa"/>
            <w:vAlign w:val="bottom"/>
            <w:vMerge w:val="restart"/>
          </w:tcPr>
          <w:p>
            <w:pPr>
              <w:ind w:left="120"/>
              <w:spacing w:after="0"/>
              <w:rPr>
                <w:sz w:val="20"/>
                <w:szCs w:val="20"/>
                <w:color w:val="auto"/>
              </w:rPr>
            </w:pPr>
            <w:r>
              <w:rPr>
                <w:rFonts w:ascii="Arial" w:cs="Arial" w:eastAsia="Arial" w:hAnsi="Arial"/>
                <w:sz w:val="17"/>
                <w:szCs w:val="17"/>
                <w:color w:val="0000FF"/>
              </w:rPr>
              <w:t>1,000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8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368.56</w:t>
            </w:r>
          </w:p>
        </w:tc>
        <w:tc>
          <w:tcPr>
            <w:tcW w:w="100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12/09/2014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60"/>
              <w:spacing w:after="0" w:line="148"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500" w:type="dxa"/>
            <w:vAlign w:val="bottom"/>
          </w:tcPr>
          <w:p>
            <w:pPr>
              <w:ind w:left="80"/>
              <w:spacing w:after="0" w:line="148" w:lineRule="exact"/>
              <w:rPr>
                <w:sz w:val="20"/>
                <w:szCs w:val="20"/>
                <w:color w:val="auto"/>
              </w:rPr>
            </w:pPr>
            <w:r>
              <w:rPr>
                <w:rFonts w:ascii="Arial" w:cs="Arial" w:eastAsia="Arial" w:hAnsi="Arial"/>
                <w:sz w:val="13"/>
                <w:szCs w:val="13"/>
                <w:color w:val="0000FF"/>
              </w:rPr>
              <w:t>1,000</w:t>
            </w:r>
          </w:p>
        </w:tc>
        <w:tc>
          <w:tcPr>
            <w:tcW w:w="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80" w:type="dxa"/>
            <w:vAlign w:val="bottom"/>
          </w:tcPr>
          <w:p>
            <w:pPr>
              <w:spacing w:after="0" w:line="148" w:lineRule="exact"/>
              <w:rPr>
                <w:sz w:val="20"/>
                <w:szCs w:val="20"/>
                <w:color w:val="auto"/>
              </w:rPr>
            </w:pPr>
            <w:r>
              <w:rPr>
                <w:rFonts w:ascii="Arial" w:cs="Arial" w:eastAsia="Arial" w:hAnsi="Arial"/>
                <w:sz w:val="13"/>
                <w:szCs w:val="13"/>
                <w:color w:val="0000FF"/>
              </w:rPr>
              <w:t>12/15/2018</w:t>
            </w:r>
          </w:p>
        </w:tc>
        <w:tc>
          <w:tcPr>
            <w:tcW w:w="640" w:type="dxa"/>
            <w:vAlign w:val="bottom"/>
          </w:tcPr>
          <w:p>
            <w:pPr>
              <w:jc w:val="center"/>
              <w:spacing w:after="0" w:line="148" w:lineRule="exact"/>
              <w:rPr>
                <w:sz w:val="20"/>
                <w:szCs w:val="20"/>
                <w:color w:val="auto"/>
              </w:rPr>
            </w:pPr>
            <w:r>
              <w:rPr>
                <w:rFonts w:ascii="Arial" w:cs="Arial" w:eastAsia="Arial" w:hAnsi="Arial"/>
                <w:sz w:val="13"/>
                <w:szCs w:val="13"/>
                <w:color w:val="0000FF"/>
                <w:w w:val="94"/>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40" w:type="dxa"/>
            <w:vAlign w:val="bottom"/>
          </w:tcPr>
          <w:p>
            <w:pPr>
              <w:spacing w:after="0"/>
              <w:rPr>
                <w:sz w:val="12"/>
                <w:szCs w:val="12"/>
                <w:color w:val="auto"/>
              </w:rPr>
            </w:pPr>
          </w:p>
        </w:tc>
        <w:tc>
          <w:tcPr>
            <w:tcW w:w="600" w:type="dxa"/>
            <w:vAlign w:val="bottom"/>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$934.04 to $934.25, inclusive. The reporting person undertakes to provide to Graham Holdings Company, any security holder of Graham Holdings Company, or the staff of the Securities and Exchange Commission, upon request, full information regarding the shares sold.</w:t>
      </w:r>
    </w:p>
    <w:p>
      <w:pPr>
        <w:ind w:left="40" w:right="1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$935.10 to $936.01, inclusive. The reporting person undertakes to provide to Graham Holdings Company, any security holder of Graham Holdings Company, or the staff of the Securities and Exchange Commission, upon request, full information regarding the shares sold.</w:t>
      </w:r>
    </w:p>
    <w:p>
      <w:pPr>
        <w:ind w:left="40" w:right="1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$936.50 to $937.01, inclusive. The reporting person undertakes to provide to Graham Holdings Company, any security holder of Graham Holdings Company, or the staff of the Securities and Exchange Commission, upon request, full information regarding the shares sold.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Employee Stock Option was granted on 12/15/2008, and vested annually over 4 years, 250 shares per year.</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Wallace R. Cooney</w:t>
            </w:r>
          </w:p>
        </w:tc>
        <w:tc>
          <w:tcPr>
            <w:tcW w:w="9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12/11/2014</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3594"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2019-12-16T03:05:38Z</dcterms:created>
  <dcterms:modified xsi:type="dcterms:W3CDTF">2019-12-16T03:05:38Z</dcterms:modified>
</cp:coreProperties>
</file>