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9"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001-06714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1"/>
        </w:trPr>
        <w:tc>
          <w:tcPr>
            <w:tcW w:w="4920" w:type="dxa"/>
            <w:vAlign w:val="bottom"/>
            <w:gridSpan w:val="2"/>
          </w:tcPr>
          <w:p>
            <w:pPr>
              <w:jc w:val="center"/>
              <w:ind w:left="120"/>
              <w:spacing w:after="0"/>
              <w:rPr>
                <w:sz w:val="20"/>
                <w:szCs w:val="20"/>
                <w:color w:val="auto"/>
              </w:rPr>
            </w:pPr>
            <w:r>
              <w:rPr>
                <w:rFonts w:ascii="Arial" w:cs="Arial" w:eastAsia="Arial" w:hAnsi="Arial"/>
                <w:sz w:val="14"/>
                <w:szCs w:val="14"/>
                <w:color w:val="auto"/>
              </w:rPr>
              <w:t>(State or other jurisdiction of</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jc w:val="center"/>
              <w:ind w:right="580"/>
              <w:spacing w:after="0"/>
              <w:rPr>
                <w:sz w:val="20"/>
                <w:szCs w:val="20"/>
                <w:color w:val="auto"/>
              </w:rPr>
            </w:pPr>
            <w:r>
              <w:rPr>
                <w:rFonts w:ascii="Arial" w:cs="Arial" w:eastAsia="Arial" w:hAnsi="Arial"/>
                <w:sz w:val="14"/>
                <w:szCs w:val="14"/>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Identification No.)</w:t>
            </w:r>
          </w:p>
        </w:tc>
      </w:tr>
      <w:tr>
        <w:trPr>
          <w:trHeight w:val="304"/>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rPr>
              <w:t>1300 North 17th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9"/>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(Address of principal executive offices)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(Zip Code)</w:t>
            </w:r>
          </w:p>
        </w:tc>
      </w:tr>
      <w:tr>
        <w:trPr>
          <w:trHeight w:val="465"/>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3"/>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9"/>
                <w:szCs w:val="19"/>
                <w:color w:val="auto"/>
              </w:rPr>
            </w:pPr>
          </w:p>
        </w:tc>
      </w:tr>
      <w:tr>
        <w:trPr>
          <w:trHeight w:val="363"/>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20" w:type="dxa"/>
            <w:vAlign w:val="bottom"/>
            <w:gridSpan w:val="3"/>
          </w:tcPr>
          <w:p>
            <w:pPr>
              <w:jc w:val="center"/>
              <w:ind w:right="560"/>
              <w:spacing w:after="0"/>
              <w:rPr>
                <w:sz w:val="20"/>
                <w:szCs w:val="20"/>
                <w:color w:val="auto"/>
              </w:rPr>
            </w:pPr>
            <w:r>
              <w:rPr>
                <w:rFonts w:ascii="Arial" w:cs="Arial" w:eastAsia="Arial" w:hAnsi="Arial"/>
                <w:sz w:val="16"/>
                <w:szCs w:val="16"/>
                <w:color w:val="auto"/>
              </w:rPr>
              <w:t>Trading Symbol(s)</w:t>
            </w:r>
          </w:p>
        </w:tc>
        <w:tc>
          <w:tcPr>
            <w:tcW w:w="3760" w:type="dxa"/>
            <w:vAlign w:val="bottom"/>
          </w:tcPr>
          <w:p>
            <w:pPr>
              <w:jc w:val="center"/>
              <w:ind w:right="240"/>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jc w:val="center"/>
              <w:ind w:right="24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40"/>
        <w:spacing w:after="0" w:line="217"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7" w:lineRule="exact"/>
        <w:rPr>
          <w:sz w:val="24"/>
          <w:szCs w:val="24"/>
          <w:color w:val="auto"/>
        </w:rPr>
      </w:pPr>
    </w:p>
    <w:p>
      <w:pPr>
        <w:ind w:right="420"/>
        <w:spacing w:after="0" w:line="217"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line="24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4"/>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1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25, 2024:</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3,369,588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u w:val="single" w:color="auto"/>
          <w:color w:val="0000FF"/>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Operations</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Comprehensive Income (Loss)</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Balance Sheets</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Cash Flows</w:t>
      </w:r>
    </w:p>
    <w:p>
      <w:pPr>
        <w:spacing w:after="0" w:line="200" w:lineRule="exact"/>
        <w:rPr>
          <w:sz w:val="20"/>
          <w:szCs w:val="20"/>
          <w:color w:val="auto"/>
        </w:rPr>
      </w:pPr>
    </w:p>
    <w:p>
      <w:pPr>
        <w:spacing w:after="0" w:line="224"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Changes in Common Stockholders' Equity</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Accounts Receivable, Accounts Payable, Vehicle Floor Plan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Inventories and Contracts in Progress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Earnings (Loss)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Other Non-Operating (Expense)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Unregistered Sales of Equity Securities and Use of Proceeds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6"/>
          <w:szCs w:val="16"/>
          <w:u w:val="single" w:color="auto"/>
          <w:color w:val="0000FF"/>
        </w:rPr>
        <w:t>Other Information</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u w:val="single" w:color="auto"/>
          <w:color w:val="0000FF"/>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23</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40</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40</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42</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6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Sales of services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700,009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633,535</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2,003,543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1,845,617</w:t>
            </w:r>
          </w:p>
        </w:tc>
        <w:tc>
          <w:tcPr>
            <w:tcW w:w="0" w:type="dxa"/>
            <w:vAlign w:val="bottom"/>
          </w:tcPr>
          <w:p>
            <w:pPr>
              <w:spacing w:after="0"/>
              <w:rPr>
                <w:sz w:val="1"/>
                <w:szCs w:val="1"/>
                <w:color w:val="auto"/>
              </w:rPr>
            </w:pP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Sales of goods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507,153</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477,984</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1,541,561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1,402,447</w:t>
            </w:r>
          </w:p>
        </w:tc>
        <w:tc>
          <w:tcPr>
            <w:tcW w:w="0" w:type="dxa"/>
            <w:vAlign w:val="bottom"/>
          </w:tcPr>
          <w:p>
            <w:pPr>
              <w:spacing w:after="0"/>
              <w:rPr>
                <w:sz w:val="1"/>
                <w:szCs w:val="1"/>
                <w:color w:val="auto"/>
              </w:rPr>
            </w:pPr>
          </w:p>
        </w:tc>
      </w:tr>
      <w:tr>
        <w:trPr>
          <w:trHeight w:val="220"/>
        </w:trPr>
        <w:tc>
          <w:tcPr>
            <w:tcW w:w="6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1,207,162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1,111,519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3,545,104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3,248,064</w:t>
            </w:r>
          </w:p>
        </w:tc>
        <w:tc>
          <w:tcPr>
            <w:tcW w:w="0" w:type="dxa"/>
            <w:vAlign w:val="bottom"/>
          </w:tcPr>
          <w:p>
            <w:pPr>
              <w:spacing w:after="0"/>
              <w:rPr>
                <w:sz w:val="1"/>
                <w:szCs w:val="1"/>
                <w:color w:val="auto"/>
              </w:rPr>
            </w:pPr>
          </w:p>
        </w:tc>
      </w:tr>
      <w:tr>
        <w:trPr>
          <w:trHeight w:val="222"/>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Cost of services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399,667</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373,784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1,171,703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1,093,756</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Cost of goods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427,114</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407,803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1,306,905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1,182,899</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269,016</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254,757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801,982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741,402</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21,332</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22,207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66,032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63,335</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8,385</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11,759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29,194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39,007</w:t>
            </w:r>
          </w:p>
        </w:tc>
        <w:tc>
          <w:tcPr>
            <w:tcW w:w="0" w:type="dxa"/>
            <w:vAlign w:val="bottom"/>
          </w:tcPr>
          <w:p>
            <w:pPr>
              <w:spacing w:after="0"/>
              <w:rPr>
                <w:sz w:val="1"/>
                <w:szCs w:val="1"/>
                <w:color w:val="auto"/>
              </w:rPr>
            </w:pP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98,321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26,287</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99,066</w:t>
            </w:r>
          </w:p>
        </w:tc>
        <w:tc>
          <w:tcPr>
            <w:tcW w:w="0" w:type="dxa"/>
            <w:vAlign w:val="bottom"/>
          </w:tcPr>
          <w:p>
            <w:pPr>
              <w:spacing w:after="0"/>
              <w:rPr>
                <w:sz w:val="1"/>
                <w:szCs w:val="1"/>
                <w:color w:val="auto"/>
              </w:rPr>
            </w:pPr>
          </w:p>
        </w:tc>
      </w:tr>
      <w:tr>
        <w:trPr>
          <w:trHeight w:val="220"/>
        </w:trPr>
        <w:tc>
          <w:tcPr>
            <w:tcW w:w="6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1,125,514</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1,168,631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3,402,103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3,219,465</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81,648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(57,112)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143,001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28,599</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Equity in losses of affiliates,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(13,361)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(8,470)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(2,245)</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2,277</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1,986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6,566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4,738</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(25,896)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(11,810)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(136,607)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(37,878)</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38,307</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35,653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105,379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97,313</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30,496</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16,759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154,276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113,429</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3,581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2,973</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22,458</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113,006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(11,734)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267,118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226,414</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38,500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9,400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86,100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70,400</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74,506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(21,134)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181,018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156,014</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(5,175)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(3,985)</w:t>
            </w:r>
          </w:p>
        </w:tc>
        <w:tc>
          <w:tcPr>
            <w:tcW w:w="0" w:type="dxa"/>
            <w:vAlign w:val="bottom"/>
          </w:tcPr>
          <w:p>
            <w:pPr>
              <w:spacing w:after="0"/>
              <w:rPr>
                <w:sz w:val="1"/>
                <w:szCs w:val="1"/>
                <w:color w:val="auto"/>
              </w:rPr>
            </w:pPr>
          </w:p>
        </w:tc>
      </w:tr>
      <w:tr>
        <w:trPr>
          <w:trHeight w:val="161"/>
        </w:trPr>
        <w:tc>
          <w:tcPr>
            <w:tcW w:w="602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Net Income (Loss) Attributable to Graham Holdings Company Common</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72,503</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(23,031)</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175,843</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152,029</w:t>
            </w:r>
          </w:p>
        </w:tc>
        <w:tc>
          <w:tcPr>
            <w:tcW w:w="0" w:type="dxa"/>
            <w:vAlign w:val="bottom"/>
          </w:tcPr>
          <w:p>
            <w:pPr>
              <w:spacing w:after="0"/>
              <w:rPr>
                <w:sz w:val="1"/>
                <w:szCs w:val="1"/>
                <w:color w:val="auto"/>
              </w:rPr>
            </w:pPr>
          </w:p>
        </w:tc>
      </w:tr>
      <w:tr>
        <w:trPr>
          <w:trHeight w:val="208"/>
        </w:trPr>
        <w:tc>
          <w:tcPr>
            <w:tcW w:w="602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Basic net income (loss)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16.54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(5.02)</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39.74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32.23</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4,352</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4,602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4,395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4,686</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Diluted net income (loss)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16.42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(5.02)</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39.49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32.14</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4,384</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4,602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4,423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4,700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2"/>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6960" w:type="dxa"/>
            <w:vAlign w:val="bottom"/>
          </w:tcPr>
          <w:p>
            <w:pPr>
              <w:spacing w:after="0"/>
              <w:rPr>
                <w:sz w:val="17"/>
                <w:szCs w:val="17"/>
                <w:color w:val="auto"/>
              </w:rPr>
            </w:pPr>
          </w:p>
        </w:tc>
        <w:tc>
          <w:tcPr>
            <w:tcW w:w="212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21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September 30</w:t>
            </w:r>
          </w:p>
        </w:tc>
      </w:tr>
      <w:tr>
        <w:trPr>
          <w:trHeight w:val="200"/>
        </w:trPr>
        <w:tc>
          <w:tcPr>
            <w:tcW w:w="6960" w:type="dxa"/>
            <w:vAlign w:val="bottom"/>
          </w:tcPr>
          <w:p>
            <w:pPr>
              <w:spacing w:after="0"/>
              <w:rPr>
                <w:sz w:val="20"/>
                <w:szCs w:val="20"/>
                <w:color w:val="auto"/>
              </w:rPr>
            </w:pPr>
            <w:r>
              <w:rPr>
                <w:rFonts w:ascii="Arial" w:cs="Arial" w:eastAsia="Arial" w:hAnsi="Arial"/>
                <w:sz w:val="14"/>
                <w:szCs w:val="14"/>
                <w:color w:val="auto"/>
              </w:rPr>
              <w:t>(in thousands)</w:t>
            </w: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2023</w:t>
            </w:r>
          </w:p>
        </w:tc>
        <w:tc>
          <w:tcPr>
            <w:tcW w:w="1100" w:type="dxa"/>
            <w:vAlign w:val="bottom"/>
          </w:tcPr>
          <w:p>
            <w:pPr>
              <w:ind w:left="400"/>
              <w:spacing w:after="0"/>
              <w:rPr>
                <w:sz w:val="20"/>
                <w:szCs w:val="20"/>
                <w:color w:val="auto"/>
              </w:rPr>
            </w:pPr>
            <w:r>
              <w:rPr>
                <w:rFonts w:ascii="Arial" w:cs="Arial" w:eastAsia="Arial" w:hAnsi="Arial"/>
                <w:sz w:val="14"/>
                <w:szCs w:val="14"/>
                <w:b w:val="1"/>
                <w:bCs w:val="1"/>
                <w:color w:val="auto"/>
              </w:rPr>
              <w:t>2024</w:t>
            </w:r>
          </w:p>
        </w:tc>
        <w:tc>
          <w:tcPr>
            <w:tcW w:w="1040" w:type="dxa"/>
            <w:vAlign w:val="bottom"/>
          </w:tcPr>
          <w:p>
            <w:pPr>
              <w:jc w:val="right"/>
              <w:ind w:right="26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 (Loss)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right="1980"/>
        <w:spacing w:after="0" w:line="339" w:lineRule="auto"/>
        <w:rPr>
          <w:sz w:val="20"/>
          <w:szCs w:val="20"/>
          <w:color w:val="auto"/>
        </w:rPr>
      </w:pPr>
      <w:r>
        <w:rPr>
          <w:rFonts w:ascii="Arial" w:cs="Arial" w:eastAsia="Arial" w:hAnsi="Arial"/>
          <w:sz w:val="16"/>
          <w:szCs w:val="16"/>
          <w:color w:val="auto"/>
        </w:rPr>
        <w:t>Translation adjustments arising during the period Adjustment for sale of a business with foreign operations</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right="1200"/>
        <w:spacing w:after="0" w:line="339" w:lineRule="auto"/>
        <w:rPr>
          <w:sz w:val="20"/>
          <w:szCs w:val="20"/>
          <w:color w:val="auto"/>
        </w:rPr>
      </w:pPr>
      <w:r>
        <w:rPr>
          <w:rFonts w:ascii="Arial" w:cs="Arial" w:eastAsia="Arial" w:hAnsi="Arial"/>
          <w:sz w:val="16"/>
          <w:szCs w:val="16"/>
          <w:color w:val="auto"/>
        </w:rPr>
        <w:t>Amortization of net prior service (credit) cost included in net income Amortization of net actuarial gain included in net income</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hedges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benefit related to items of other comprehensive income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 (Loss)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Income (Loss) Attributable to Graham Holdings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420" w:hanging="408"/>
        <w:spacing w:after="0"/>
        <w:tabs>
          <w:tab w:leader="none" w:pos="4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74,506  </w:t>
      </w:r>
      <w:r>
        <w:rPr>
          <w:rFonts w:ascii="Arial" w:cs="Arial" w:eastAsia="Arial" w:hAnsi="Arial"/>
          <w:sz w:val="16"/>
          <w:szCs w:val="16"/>
          <w:color w:val="auto"/>
        </w:rPr>
        <w:t>$   (21,134)</w:t>
      </w:r>
      <w:r>
        <w:rPr>
          <w:rFonts w:ascii="Arial" w:cs="Arial" w:eastAsia="Arial" w:hAnsi="Arial"/>
          <w:sz w:val="16"/>
          <w:szCs w:val="16"/>
          <w:b w:val="1"/>
          <w:bCs w:val="1"/>
          <w:color w:val="auto"/>
        </w:rPr>
        <w:t xml:space="preserve">  $   181,018  </w:t>
      </w:r>
      <w:r>
        <w:rPr>
          <w:rFonts w:ascii="Arial" w:cs="Arial" w:eastAsia="Arial" w:hAnsi="Arial"/>
          <w:sz w:val="16"/>
          <w:szCs w:val="16"/>
          <w:color w:val="auto"/>
        </w:rPr>
        <w:t>$   156,014</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31,469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(19,474)</w:t>
            </w:r>
          </w:p>
        </w:tc>
        <w:tc>
          <w:tcPr>
            <w:tcW w:w="2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21,702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(8,096)</w:t>
            </w:r>
          </w:p>
        </w:tc>
      </w:tr>
      <w:tr>
        <w:trPr>
          <w:trHeight w:val="233"/>
        </w:trPr>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30,704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(19,474)</w:t>
            </w:r>
          </w:p>
        </w:tc>
        <w:tc>
          <w:tcPr>
            <w:tcW w:w="2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20,937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(8,096)</w:t>
            </w:r>
          </w:p>
        </w:tc>
      </w:tr>
      <w:tr>
        <w:trPr>
          <w:trHeight w:val="458"/>
        </w:trPr>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30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(1,463)</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1,230</w:t>
            </w:r>
          </w:p>
        </w:tc>
      </w:tr>
      <w:tr>
        <w:trPr>
          <w:trHeight w:val="233"/>
        </w:trPr>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(12,360)</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(37,080)</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(31,673)</w:t>
            </w:r>
          </w:p>
        </w:tc>
      </w:tr>
      <w:tr>
        <w:trPr>
          <w:trHeight w:val="220"/>
        </w:trPr>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(12,847)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(10,063)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(38,543)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(30,443)</w:t>
            </w:r>
          </w:p>
        </w:tc>
      </w:tr>
      <w:tr>
        <w:trPr>
          <w:trHeight w:val="233"/>
        </w:trPr>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(1,975)</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(518)</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w:t>
            </w:r>
          </w:p>
        </w:tc>
      </w:tr>
      <w:tr>
        <w:trPr>
          <w:trHeight w:val="220"/>
        </w:trPr>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15,882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(33,361)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(18,124)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(42,105)</w:t>
            </w:r>
          </w:p>
        </w:tc>
      </w:tr>
      <w:tr>
        <w:trPr>
          <w:trHeight w:val="233"/>
        </w:trPr>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3,803</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3,468</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10,002</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8,651</w:t>
            </w:r>
          </w:p>
        </w:tc>
      </w:tr>
      <w:tr>
        <w:trPr>
          <w:trHeight w:val="223"/>
        </w:trPr>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19,685</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(29,893)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(8,122)</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(33,454)</w:t>
            </w:r>
          </w:p>
        </w:tc>
      </w:tr>
      <w:tr>
        <w:trPr>
          <w:trHeight w:val="220"/>
        </w:trPr>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94,191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(51,027)</w:t>
            </w:r>
          </w:p>
        </w:tc>
        <w:tc>
          <w:tcPr>
            <w:tcW w:w="2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172,896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122,560</w:t>
            </w:r>
          </w:p>
        </w:tc>
      </w:tr>
      <w:tr>
        <w:trPr>
          <w:trHeight w:val="233"/>
        </w:trPr>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(2,003)</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(5,175)</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(3,985)</w:t>
            </w:r>
          </w:p>
        </w:tc>
      </w:tr>
      <w:tr>
        <w:trPr>
          <w:trHeight w:val="223"/>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92,188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(52,924)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167,721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118,575</w:t>
            </w:r>
          </w:p>
        </w:tc>
      </w:tr>
      <w:tr>
        <w:trPr>
          <w:trHeight w:val="24"/>
        </w:trPr>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944"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320" w:type="dxa"/>
            <w:vAlign w:val="bottom"/>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244,361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169,897</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37,863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31,994</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831,760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697,028</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518,251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525,087</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306,501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297,211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140,001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119,933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1,334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6,848</w:t>
            </w:r>
          </w:p>
        </w:tc>
        <w:tc>
          <w:tcPr>
            <w:tcW w:w="0" w:type="dxa"/>
            <w:vAlign w:val="bottom"/>
          </w:tcPr>
          <w:p>
            <w:pPr>
              <w:spacing w:after="0"/>
              <w:rPr>
                <w:sz w:val="1"/>
                <w:szCs w:val="1"/>
                <w:color w:val="auto"/>
              </w:rPr>
            </w:pPr>
          </w:p>
        </w:tc>
      </w:tr>
      <w:tr>
        <w:trPr>
          <w:trHeight w:val="231"/>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4,563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2,084,634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1,849,296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556,157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560,314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415,007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409,183</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168,161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186,480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1,534,508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1,525,194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190,020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187,862</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64,740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112,194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2,141,036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2,113,638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12,002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10,578</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254,551</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232,991</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7,420,816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7,187,730</w:t>
            </w:r>
          </w:p>
        </w:tc>
        <w:tc>
          <w:tcPr>
            <w:tcW w:w="0" w:type="dxa"/>
            <w:vAlign w:val="bottom"/>
          </w:tcPr>
          <w:p>
            <w:pPr>
              <w:spacing w:after="0"/>
              <w:rPr>
                <w:sz w:val="1"/>
                <w:szCs w:val="1"/>
                <w:color w:val="auto"/>
              </w:rPr>
            </w:pPr>
          </w:p>
        </w:tc>
      </w:tr>
      <w:tr>
        <w:trPr>
          <w:trHeight w:val="21"/>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vehicle floor plan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754,037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694,521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438,502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396,754</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36,185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7,406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61,558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64,247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34,137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66,751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7,444</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1,331,863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1,229,679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137,066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137,275</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30,456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32,076</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607,545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600,124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125,476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386,254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376,677</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731,054</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745,082</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3,349,714</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3,161,677</w:t>
            </w:r>
          </w:p>
        </w:tc>
        <w:tc>
          <w:tcPr>
            <w:tcW w:w="0" w:type="dxa"/>
            <w:vAlign w:val="bottom"/>
          </w:tcPr>
          <w:p>
            <w:pPr>
              <w:spacing w:after="0"/>
              <w:rPr>
                <w:sz w:val="1"/>
                <w:szCs w:val="1"/>
                <w:color w:val="auto"/>
              </w:rPr>
            </w:pPr>
          </w:p>
        </w:tc>
      </w:tr>
      <w:tr>
        <w:trPr>
          <w:trHeight w:val="20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 14)</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38,672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24,185</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363,224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372,040</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7,482,936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7,337,463</w:t>
            </w:r>
          </w:p>
        </w:tc>
        <w:tc>
          <w:tcPr>
            <w:tcW w:w="0" w:type="dxa"/>
            <w:vAlign w:val="bottom"/>
          </w:tcPr>
          <w:p>
            <w:pPr>
              <w:spacing w:after="0"/>
              <w:rPr>
                <w:sz w:val="1"/>
                <w:szCs w:val="1"/>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(11,774)</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(32,711)</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620,509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649,185</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(2,520)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(4,468,073)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(4,368,103)</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4,004,302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3,975,737</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28,128</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26,131</w:t>
            </w:r>
          </w:p>
        </w:tc>
        <w:tc>
          <w:tcPr>
            <w:tcW w:w="0" w:type="dxa"/>
            <w:vAlign w:val="bottom"/>
          </w:tcPr>
          <w:p>
            <w:pPr>
              <w:spacing w:after="0"/>
              <w:rPr>
                <w:sz w:val="1"/>
                <w:szCs w:val="1"/>
                <w:color w:val="auto"/>
              </w:rPr>
            </w:pPr>
          </w:p>
        </w:tc>
      </w:tr>
      <w:tr>
        <w:trPr>
          <w:trHeight w:val="226"/>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4,032,430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4,001,868</w:t>
            </w:r>
          </w:p>
        </w:tc>
        <w:tc>
          <w:tcPr>
            <w:tcW w:w="0" w:type="dxa"/>
            <w:vAlign w:val="bottom"/>
          </w:tcPr>
          <w:p>
            <w:pPr>
              <w:spacing w:after="0"/>
              <w:rPr>
                <w:sz w:val="1"/>
                <w:szCs w:val="1"/>
                <w:color w:val="auto"/>
              </w:rPr>
            </w:pPr>
          </w:p>
        </w:tc>
      </w:tr>
      <w:tr>
        <w:trPr>
          <w:trHeight w:val="226"/>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7,420,816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7,187,730</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189"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89"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0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181,018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156,014</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121,513</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201,408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47,746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50,181</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early retirement program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(64,532)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(73,852)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(153,723)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(116,533)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Gain on disposition of a business,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(7,813)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(11,785)</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Credit loss expense and provision for other receivables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2,672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4,312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 of forfeitures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4,718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5,026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loss (gain)</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5,642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(1,820)</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losses of affiliates, net of distributions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19,396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15,516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15,504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25,696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Accretion expense and change in fair value of contingent consideration liabilities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(4,301)</w:t>
            </w:r>
          </w:p>
        </w:tc>
      </w:tr>
      <w:tr>
        <w:trPr>
          <w:trHeight w:val="221"/>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11,322</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12,381</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(8,105)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(47,164)</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33,619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(6,878)</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30,977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48,070</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34,710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16,367</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(47,156)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(53,924)</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63,124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(13,638)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290,676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202,526</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(57,680)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(61,156)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23,524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61,979</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a business,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8,342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3,712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(5,000)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(6,162)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(4,022)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(77,004)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and cost method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(2,188)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(12,839)</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Loan to related party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(2,000)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31"/>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3,344</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2,039</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(35,680)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(119,431)</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(98,170)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(132,248)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under revolving credit facilities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(34,216)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(140,000)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(22,926)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(23,534)</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(16,053)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(117,792)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vehicle floor plan 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8,443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52,623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Deferred payments of acquisitions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(5,390)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(3,786)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bank overdrafts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2,378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3,824</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293,387</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(10,381)</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(176,315)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(69,705)</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1,652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(3,184)</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80,333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10,206</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201,891</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190,432</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282,224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200,638</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20" w:type="dxa"/>
            <w:vAlign w:val="bottom"/>
          </w:tcPr>
          <w:p>
            <w:pPr>
              <w:ind w:left="40"/>
              <w:spacing w:after="0"/>
              <w:rPr>
                <w:sz w:val="20"/>
                <w:szCs w:val="20"/>
                <w:color w:val="auto"/>
              </w:rPr>
            </w:pPr>
            <w:r>
              <w:rPr>
                <w:rFonts w:ascii="Arial" w:cs="Arial" w:eastAsia="Arial" w:hAnsi="Arial"/>
                <w:sz w:val="11"/>
                <w:szCs w:val="11"/>
                <w:color w:val="auto"/>
              </w:rPr>
              <w:t>Capital in</w:t>
            </w:r>
          </w:p>
        </w:tc>
        <w:tc>
          <w:tcPr>
            <w:tcW w:w="160" w:type="dxa"/>
            <w:vAlign w:val="bottom"/>
          </w:tcPr>
          <w:p>
            <w:pPr>
              <w:spacing w:after="0"/>
              <w:rPr>
                <w:sz w:val="10"/>
                <w:szCs w:val="10"/>
                <w:color w:val="auto"/>
              </w:rPr>
            </w:pPr>
          </w:p>
        </w:tc>
        <w:tc>
          <w:tcPr>
            <w:tcW w:w="780" w:type="dxa"/>
            <w:vAlign w:val="bottom"/>
            <w:vMerge w:val="restart"/>
          </w:tcPr>
          <w:p>
            <w:pPr>
              <w:jc w:val="right"/>
              <w:ind w:right="19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5"/>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60" w:type="dxa"/>
            <w:vAlign w:val="bottom"/>
          </w:tcPr>
          <w:p>
            <w:pPr>
              <w:spacing w:after="0"/>
              <w:rPr>
                <w:sz w:val="13"/>
                <w:szCs w:val="13"/>
                <w:color w:val="auto"/>
              </w:rPr>
            </w:pPr>
          </w:p>
        </w:tc>
        <w:tc>
          <w:tcPr>
            <w:tcW w:w="780" w:type="dxa"/>
            <w:vAlign w:val="bottom"/>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40" w:type="dxa"/>
            <w:vAlign w:val="bottom"/>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Pr>
          <w:p>
            <w:pPr>
              <w:spacing w:after="0"/>
              <w:rPr>
                <w:sz w:val="13"/>
                <w:szCs w:val="13"/>
                <w:color w:val="auto"/>
              </w:rPr>
            </w:pPr>
          </w:p>
        </w:tc>
        <w:tc>
          <w:tcPr>
            <w:tcW w:w="860" w:type="dxa"/>
            <w:vAlign w:val="bottom"/>
          </w:tcPr>
          <w:p>
            <w:pPr>
              <w:jc w:val="right"/>
              <w:ind w:right="315"/>
              <w:spacing w:after="0"/>
              <w:rPr>
                <w:sz w:val="20"/>
                <w:szCs w:val="20"/>
                <w:color w:val="auto"/>
              </w:rPr>
            </w:pPr>
            <w:r>
              <w:rPr>
                <w:rFonts w:ascii="Arial" w:cs="Arial" w:eastAsia="Arial" w:hAnsi="Arial"/>
                <w:sz w:val="11"/>
                <w:szCs w:val="11"/>
                <w:color w:val="auto"/>
              </w:rPr>
              <w:t>Stock</w:t>
            </w:r>
          </w:p>
        </w:tc>
        <w:tc>
          <w:tcPr>
            <w:tcW w:w="100" w:type="dxa"/>
            <w:vAlign w:val="bottom"/>
          </w:tcPr>
          <w:p>
            <w:pPr>
              <w:spacing w:after="0"/>
              <w:rPr>
                <w:sz w:val="13"/>
                <w:szCs w:val="13"/>
                <w:color w:val="auto"/>
              </w:rPr>
            </w:pPr>
          </w:p>
        </w:tc>
        <w:tc>
          <w:tcPr>
            <w:tcW w:w="880" w:type="dxa"/>
            <w:vAlign w:val="bottom"/>
          </w:tcPr>
          <w:p>
            <w:pPr>
              <w:jc w:val="right"/>
              <w:ind w:right="254"/>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33"/>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60" w:type="dxa"/>
            <w:vAlign w:val="bottom"/>
          </w:tcPr>
          <w:p>
            <w:pPr>
              <w:spacing w:after="0"/>
              <w:rPr>
                <w:sz w:val="20"/>
                <w:szCs w:val="20"/>
                <w:color w:val="auto"/>
              </w:rPr>
            </w:pPr>
            <w:r>
              <w:rPr>
                <w:rFonts w:ascii="Arial" w:cs="Arial" w:eastAsia="Arial" w:hAnsi="Arial"/>
                <w:sz w:val="13"/>
                <w:szCs w:val="13"/>
                <w:color w:val="auto"/>
              </w:rPr>
              <w:t>As of December 31, 2023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372,040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7,337,463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614,337</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(4,368,103)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26,131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4,001,868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24,185</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125,339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125,339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633</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(326)</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284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(256)</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(256)</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(15,352)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(15,352)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(20,227)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(20,227)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(344)</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(227)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1,671</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1,671</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(22,492)</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(22,492)</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20"/>
                <w:szCs w:val="20"/>
                <w:color w:val="auto"/>
              </w:rPr>
            </w:pPr>
            <w:r>
              <w:rPr>
                <w:rFonts w:ascii="Arial" w:cs="Arial" w:eastAsia="Arial" w:hAnsi="Arial"/>
                <w:sz w:val="13"/>
                <w:szCs w:val="13"/>
                <w:color w:val="auto"/>
              </w:rPr>
              <w:t>As of March 31, 2024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373,367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7,446,491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591,845</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(4,388,213)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26,992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4,070,482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24,225</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loss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(18,827)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(18,827)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(1,219)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(994)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994</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(13,342)</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331</w:t>
            </w: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(13,011)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13,350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(1,109)</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(1,109)</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(7,574)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(7,574)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(29,780)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(29,780)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1,648</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1,648</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(5,315)</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(5,315)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20"/>
                <w:szCs w:val="20"/>
                <w:color w:val="auto"/>
              </w:rPr>
            </w:pPr>
            <w:r>
              <w:rPr>
                <w:rFonts w:ascii="Arial" w:cs="Arial" w:eastAsia="Arial" w:hAnsi="Arial"/>
                <w:sz w:val="13"/>
                <w:szCs w:val="13"/>
                <w:color w:val="auto"/>
              </w:rPr>
              <w:t>As of June 30, 2024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361,637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7,417,877</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586,530</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(4,417,957)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27,433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3,995,520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38,006</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for the period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74,506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74,506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(1,166)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1,166</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(837)</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(837)</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837</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220</w:t>
            </w: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220</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200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(891)</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(891)</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(180)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(7,444)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(7,444)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(49,131)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(49,131)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(40)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Shares withheld related to net share settlement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(1,025)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(1,025)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1,627</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1,627</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3"/>
                <w:szCs w:val="13"/>
                <w:b w:val="1"/>
                <w:bCs w:val="1"/>
                <w:color w:val="auto"/>
              </w:rPr>
              <w:t>Other comprehensive income, net of income taxes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19,685</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19,685</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September 30, 2024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363,224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7,482,936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606,215</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(4,468,073)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28,128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4,032,430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38,672</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40" w:type="dxa"/>
            <w:vAlign w:val="bottom"/>
            <w:vMerge w:val="restart"/>
          </w:tcPr>
          <w:p>
            <w:pPr>
              <w:jc w:val="right"/>
              <w:ind w:right="255"/>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5"/>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6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color w:val="auto"/>
              </w:rPr>
              <w:t>Stock</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5"/>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December 31, 2022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390,438</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7,163,128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336,151</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(4,178,334)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21,278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3,752,661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21,827</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52,977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52,977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(55)</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520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 to redeemable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(15,812)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(15,812)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(23,439)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(23,439)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(4,067)</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4,494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1,802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1,802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585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March 31, 2023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388,173</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7,199,588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336,736</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(4,197,279)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22,512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3,769,730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21,882</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124,171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124,171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(574)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(4,550)</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(4,499)</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4,604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(324)</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(324)</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(7,722)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(7,722)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(45,643)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(45,643)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(183)</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1,715</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1,715</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(4,146)</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(4,146)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June 30, 2023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385,399</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7,314,654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332,590</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(4,243,166)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23,048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3,832,525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26,999</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(21,134)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(21,134)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(1,034)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1,034</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(863)</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(863)</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863</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3,000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3,000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(1,486)</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(1,486)</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(7,458)</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(7,458)</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(63,166)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(63,166)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880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1,692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1,692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(29,893)</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(29,893)</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Arial" w:cs="Arial" w:eastAsia="Arial" w:hAnsi="Arial"/>
                <w:sz w:val="13"/>
                <w:szCs w:val="13"/>
                <w:color w:val="auto"/>
              </w:rPr>
              <w:t>As of September 30,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387,039</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7,284,165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302,697</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(4,305,400)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3,714,141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27,882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520"/>
        <w:spacing w:after="0" w:line="229"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manufacturing, healthcare, automotive dealerships and other businesses.</w:t>
      </w:r>
    </w:p>
    <w:p>
      <w:pPr>
        <w:spacing w:after="0" w:line="235" w:lineRule="auto"/>
        <w:rPr>
          <w:sz w:val="20"/>
          <w:szCs w:val="20"/>
          <w:color w:val="auto"/>
        </w:rPr>
      </w:pPr>
      <w:r>
        <w:rPr>
          <w:rFonts w:ascii="Arial" w:cs="Arial" w:eastAsia="Arial" w:hAnsi="Arial"/>
          <w:sz w:val="18"/>
          <w:szCs w:val="18"/>
          <w:color w:val="auto"/>
        </w:rPr>
        <w:t>Through Kaplan, Inc. (Kaplan), the Company provides a wide variety of educational services to students, schools, colleges, universities and</w:t>
      </w:r>
    </w:p>
    <w:p>
      <w:pPr>
        <w:spacing w:after="0" w:line="1"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businesses, both domestically and outside the United States (U.S.), including academic preparation programs for international students, English-language programs, operations support services for pre-college, certificate, undergraduate and graduate programs, exam</w:t>
      </w:r>
    </w:p>
    <w:p>
      <w:pPr>
        <w:spacing w:after="0" w:line="2"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preparation for high school and graduate students and for professional certifications and licensures, career and academic advisement services to businesses, and operates a United Kingdom (U.K.) sixth-form college that prepares students for A-level examinations.</w:t>
      </w:r>
    </w:p>
    <w:p>
      <w:pPr>
        <w:spacing w:after="0" w:line="10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Company’s television broadcasting segment owns and operates seven television broadcasting stations and provides social media management tools designed to connect newsrooms with their users.</w:t>
      </w:r>
    </w:p>
    <w:p>
      <w:pPr>
        <w:spacing w:after="0" w:line="10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The Company’s manufacturing companies comprise the ownership of a supplier of pressure treated wood, a manufacturer of electrical solutions, a manufacturer of lifting solutions, and a supplier of parts used in electric utilities and industrial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segment provides home health, hospice and palliative services, in-home specialty pharmacy infusion therapies,</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applied behavior analysis therapy, physician services for allergy, asthma and immunology patients, in-home aesthetics, and healthcare software-as-a-service technology.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automotive business comprises eight dealerships and valet repair services.</w:t>
      </w:r>
    </w:p>
    <w:p>
      <w:pPr>
        <w:spacing w:after="0" w:line="15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Company’s other businesses include an online art gallery and in-person art fair business; an online commerce platform featuring original art and designs on an array of consumer products; an owner and operator of websites; restaurants; a custom framing company; a marketing</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 xml:space="preserve">solutions provider; a customer data and analytics software company;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and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magazines; and a daily local news podcast and newsletter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14" w:lineRule="exact"/>
        <w:rPr>
          <w:sz w:val="20"/>
          <w:szCs w:val="20"/>
          <w:color w:val="auto"/>
        </w:rPr>
      </w:pPr>
    </w:p>
    <w:p>
      <w:pPr>
        <w:ind w:right="40" w:firstLine="8"/>
        <w:spacing w:after="0" w:line="232"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2024 and 2023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2023.</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0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color w:val="auto"/>
        </w:rPr>
        <w:t xml:space="preserve">Revision of Prior Period Amounts. </w:t>
      </w:r>
      <w:r>
        <w:rPr>
          <w:rFonts w:ascii="Arial" w:cs="Arial" w:eastAsia="Arial" w:hAnsi="Arial"/>
          <w:sz w:val="17"/>
          <w:szCs w:val="17"/>
          <w:color w:val="auto"/>
        </w:rPr>
        <w:t>In the fourth quarter of 2023, the Company identified misstatements in its previously issued Condensed</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Balance Sheets which had a related impact to the changes in assets and liabilities within operating cash flows. The Company</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determined that these adjustments were not material to the previously issued financial statements, but has revised its previously issued Condensed Consolidated Statement of Cash Flows for the period ended September 30, 2023 as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5"/>
          </w:tcPr>
          <w:p>
            <w:pPr>
              <w:jc w:val="right"/>
              <w:ind w:right="661"/>
              <w:spacing w:after="0"/>
              <w:rPr>
                <w:sz w:val="20"/>
                <w:szCs w:val="20"/>
                <w:color w:val="auto"/>
              </w:rPr>
            </w:pPr>
            <w:r>
              <w:rPr>
                <w:rFonts w:ascii="Arial" w:cs="Arial" w:eastAsia="Arial" w:hAnsi="Arial"/>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166"/>
        </w:trPr>
        <w:tc>
          <w:tcPr>
            <w:tcW w:w="70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20" w:type="dxa"/>
            <w:vAlign w:val="bottom"/>
          </w:tcPr>
          <w:p>
            <w:pPr>
              <w:jc w:val="right"/>
              <w:ind w:right="144"/>
              <w:spacing w:after="0"/>
              <w:rPr>
                <w:sz w:val="20"/>
                <w:szCs w:val="20"/>
                <w:color w:val="auto"/>
              </w:rPr>
            </w:pPr>
            <w:r>
              <w:rPr>
                <w:rFonts w:ascii="Arial" w:cs="Arial" w:eastAsia="Arial" w:hAnsi="Arial"/>
                <w:sz w:val="14"/>
                <w:szCs w:val="14"/>
                <w:b w:val="1"/>
                <w:bCs w:val="1"/>
                <w:color w:val="auto"/>
              </w:rPr>
              <w:t>As Previously</w:t>
            </w:r>
          </w:p>
        </w:tc>
        <w:tc>
          <w:tcPr>
            <w:tcW w:w="240" w:type="dxa"/>
            <w:vAlign w:val="bottom"/>
          </w:tcPr>
          <w:p>
            <w:pPr>
              <w:spacing w:after="0"/>
              <w:rPr>
                <w:sz w:val="14"/>
                <w:szCs w:val="14"/>
                <w:color w:val="auto"/>
              </w:rPr>
            </w:pPr>
          </w:p>
        </w:tc>
        <w:tc>
          <w:tcPr>
            <w:tcW w:w="12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4"/>
                <w:szCs w:val="14"/>
                <w:color w:val="auto"/>
              </w:rPr>
            </w:pPr>
          </w:p>
        </w:tc>
        <w:tc>
          <w:tcPr>
            <w:tcW w:w="11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7"/>
        </w:trPr>
        <w:tc>
          <w:tcPr>
            <w:tcW w:w="70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Reported</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15,629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(3,248)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12,381</w:t>
            </w:r>
          </w:p>
        </w:tc>
        <w:tc>
          <w:tcPr>
            <w:tcW w:w="0" w:type="dxa"/>
            <w:vAlign w:val="bottom"/>
          </w:tcPr>
          <w:p>
            <w:pPr>
              <w:spacing w:after="0"/>
              <w:rPr>
                <w:sz w:val="1"/>
                <w:szCs w:val="1"/>
                <w:color w:val="auto"/>
              </w:rPr>
            </w:pPr>
          </w:p>
        </w:tc>
      </w:tr>
      <w:tr>
        <w:trPr>
          <w:trHeight w:val="238"/>
        </w:trPr>
        <w:tc>
          <w:tcPr>
            <w:tcW w:w="7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44,822</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3,248</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48,070</w:t>
            </w:r>
          </w:p>
        </w:tc>
        <w:tc>
          <w:tcPr>
            <w:tcW w:w="0" w:type="dxa"/>
            <w:vAlign w:val="bottom"/>
          </w:tcPr>
          <w:p>
            <w:pPr>
              <w:spacing w:after="0"/>
              <w:rPr>
                <w:sz w:val="1"/>
                <w:szCs w:val="1"/>
                <w:color w:val="auto"/>
              </w:rPr>
            </w:pPr>
          </w:p>
        </w:tc>
      </w:tr>
      <w:tr>
        <w:trPr>
          <w:trHeight w:val="223"/>
        </w:trPr>
        <w:tc>
          <w:tcPr>
            <w:tcW w:w="702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202,526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202,526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w:t>
      </w:r>
    </w:p>
    <w:p>
      <w:pPr>
        <w:spacing w:after="0" w:line="2"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be reasonable under the circumstances. Due to the inherent uncertainty involved in making estimates, actual results reported in future periods may be affected by changes in those estimates.</w:t>
      </w:r>
    </w:p>
    <w:p>
      <w:pPr>
        <w:spacing w:after="0" w:line="10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November 2023, the Financial Accounting Standards Board (FASB)</w:t>
      </w:r>
      <w:r>
        <w:rPr>
          <w:rFonts w:ascii="Arial" w:cs="Arial" w:eastAsia="Arial" w:hAnsi="Arial"/>
          <w:sz w:val="18"/>
          <w:szCs w:val="18"/>
          <w:b w:val="1"/>
          <w:bCs w:val="1"/>
          <w:color w:val="auto"/>
        </w:rPr>
        <w:t xml:space="preserve"> </w:t>
      </w:r>
      <w:r>
        <w:rPr>
          <w:rFonts w:ascii="Arial" w:cs="Arial" w:eastAsia="Arial" w:hAnsi="Arial"/>
          <w:sz w:val="18"/>
          <w:szCs w:val="18"/>
          <w:color w:val="auto"/>
        </w:rPr>
        <w:t>issued new guidance that requires enhanced disclosures related to reportable segments that includes, among other disclosures, identifying</w:t>
      </w:r>
    </w:p>
    <w:p>
      <w:pPr>
        <w:ind w:right="140"/>
        <w:spacing w:after="0"/>
        <w:rPr>
          <w:sz w:val="20"/>
          <w:szCs w:val="20"/>
          <w:color w:val="auto"/>
        </w:rPr>
      </w:pPr>
      <w:r>
        <w:rPr>
          <w:rFonts w:ascii="Arial" w:cs="Arial" w:eastAsia="Arial" w:hAnsi="Arial"/>
          <w:sz w:val="17"/>
          <w:szCs w:val="17"/>
          <w:color w:val="auto"/>
        </w:rPr>
        <w:t>significant segment expenses on an annual and interim basis. The guidance is effective for fiscal years beginning after December 15, 2023, and interim periods within fiscal years beginning after December 15, 2024. Early adoption is permitted and the guidance must be applied</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retrospectively to all prior periods presented in the financial statements. The Company is in the process of evaluating the impact of this new guidance on the disclosures within its Condensed Consolidated Financial Statements.</w:t>
      </w:r>
    </w:p>
    <w:p>
      <w:pPr>
        <w:spacing w:after="0" w:line="10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In December 2023, the FASB issued new guidance that requires enhanced income tax disclosures related to the rate reconciliation, information on income taxes paid and other items. The guidance is effective for annual periods beginning after December 15, 2024. Early</w:t>
      </w:r>
    </w:p>
    <w:p>
      <w:pPr>
        <w:ind w:right="80"/>
        <w:spacing w:after="0" w:line="237" w:lineRule="auto"/>
        <w:rPr>
          <w:sz w:val="20"/>
          <w:szCs w:val="20"/>
          <w:color w:val="auto"/>
        </w:rPr>
      </w:pPr>
      <w:r>
        <w:rPr>
          <w:rFonts w:ascii="Arial" w:cs="Arial" w:eastAsia="Arial" w:hAnsi="Arial"/>
          <w:sz w:val="18"/>
          <w:szCs w:val="18"/>
          <w:color w:val="auto"/>
        </w:rPr>
        <w:t>adoption is permitted. The standard permits both prospective and retrospective application. The Company is in the process of evaluating the impact of this new guidance on the disclosures within its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May 2024, Kaplan acquired one small business which is included in its international division.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January 2024, the Company acquired one small business which is included in other businesses.</w:t>
      </w:r>
    </w:p>
    <w:p>
      <w:pPr>
        <w:spacing w:after="0" w:line="15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During 2023, the Company acquired five businesses: three in healthcare, one in automotive, and one in other businesses for $83.3 million in cash and contingent consideration and the assumption of floor plan payables. The assets and liabilities of the companies acquired were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recorded at their estimated fair values at the date of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January 2023, Graham Healthcare Group (GHG) acquired two small businesses which are included in healthcare.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July 2023, the Company acquired one small business which is included in other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2023, the Company’s automotive subsidiary acquired a Toyota automotive dealership, including the real property for the</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dealership operations. In addition to a cash payment and the assumption of $2.2 million in floor plan payables, the automotive subsidiary borrowed $37.0 million to finance the acquisition. The dealership is operated and managed by an entity affiliated with Christopher J.</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Ourisman, a member of the Ourisman Automotive Group family of dealerships. This acquisition expands the Company’s automotive business operations and is included in automotive.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2023, GHG acquired one small business which is included in healthcare.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Acquisition-related costs for acquisitions that closed during the first nine months of 2023 were $1.2 million and were expensed as incurred.</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aggregate purchase price of the 2023 acquisitions was allocated as follows, based on acquisition date fair values to the following assets and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Purchase Price Allocation</w:t>
            </w:r>
          </w:p>
        </w:tc>
      </w:tr>
      <w:tr>
        <w:trPr>
          <w:trHeight w:val="201"/>
        </w:trPr>
        <w:tc>
          <w:tcPr>
            <w:tcW w:w="8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jc w:val="center"/>
              <w:ind w:right="121"/>
              <w:spacing w:after="0"/>
              <w:rPr>
                <w:sz w:val="20"/>
                <w:szCs w:val="20"/>
                <w:color w:val="auto"/>
              </w:rPr>
            </w:pPr>
            <w:r>
              <w:rPr>
                <w:rFonts w:ascii="Arial" w:cs="Arial" w:eastAsia="Arial" w:hAnsi="Arial"/>
                <w:sz w:val="14"/>
                <w:szCs w:val="14"/>
                <w:b w:val="1"/>
                <w:bCs w:val="1"/>
                <w:color w:val="auto"/>
              </w:rPr>
              <w:t>Year Ended</w:t>
            </w:r>
          </w:p>
        </w:tc>
      </w:tr>
      <w:tr>
        <w:trPr>
          <w:trHeight w:val="22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December 31, 2023</w:t>
            </w: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68</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5,224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29,859</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45,968</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6,300</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235</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(2,215)</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(935)</w:t>
            </w:r>
          </w:p>
        </w:tc>
      </w:tr>
      <w:tr>
        <w:trPr>
          <w:trHeight w:val="239"/>
        </w:trPr>
        <w:tc>
          <w:tcPr>
            <w:tcW w:w="886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83,324</w:t>
            </w:r>
          </w:p>
        </w:tc>
      </w:tr>
      <w:tr>
        <w:trPr>
          <w:trHeight w:val="21"/>
        </w:trPr>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The goodwill</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recorded due to these acquisitions is attributable to the assembled workforces of the acquired companies and expected synergies. The Company expects to deduct $45.0 million of goodwill for income tax purposes for the acquisitions completed in 2023.</w:t>
      </w:r>
    </w:p>
    <w:p>
      <w:pPr>
        <w:spacing w:after="0" w:line="10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following unaudited pro forma financial information includes the 2023 acquisitions as if they occurred at the beginning of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jc w:val="right"/>
              <w:ind w:right="36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760" w:type="dxa"/>
            <w:vAlign w:val="bottom"/>
          </w:tcPr>
          <w:p>
            <w:pPr>
              <w:jc w:val="right"/>
              <w:ind w:right="284"/>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7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0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900" w:type="dxa"/>
            <w:vAlign w:val="bottom"/>
          </w:tcPr>
          <w:p>
            <w:pPr>
              <w:jc w:val="right"/>
              <w:ind w:right="844"/>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16"/>
                <w:szCs w:val="16"/>
                <w:color w:val="auto"/>
              </w:rPr>
            </w:pPr>
          </w:p>
        </w:tc>
        <w:tc>
          <w:tcPr>
            <w:tcW w:w="1760" w:type="dxa"/>
            <w:vAlign w:val="bottom"/>
          </w:tcPr>
          <w:p>
            <w:pPr>
              <w:jc w:val="right"/>
              <w:ind w:right="724"/>
              <w:spacing w:after="0"/>
              <w:rPr>
                <w:sz w:val="20"/>
                <w:szCs w:val="20"/>
                <w:color w:val="auto"/>
              </w:rPr>
            </w:pPr>
            <w:r>
              <w:rPr>
                <w:rFonts w:ascii="Arial" w:cs="Arial" w:eastAsia="Arial" w:hAnsi="Arial"/>
                <w:sz w:val="14"/>
                <w:szCs w:val="14"/>
                <w:color w:val="auto"/>
              </w:rPr>
              <w:t>2023</w:t>
            </w:r>
          </w:p>
        </w:tc>
      </w:tr>
      <w:tr>
        <w:trPr>
          <w:trHeight w:val="22"/>
        </w:trPr>
        <w:tc>
          <w:tcPr>
            <w:tcW w:w="7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8"/>
        </w:trPr>
        <w:tc>
          <w:tcPr>
            <w:tcW w:w="70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04"/>
              <w:spacing w:after="0"/>
              <w:rPr>
                <w:sz w:val="20"/>
                <w:szCs w:val="20"/>
                <w:color w:val="auto"/>
              </w:rPr>
            </w:pPr>
            <w:r>
              <w:rPr>
                <w:rFonts w:ascii="Arial" w:cs="Arial" w:eastAsia="Arial" w:hAnsi="Arial"/>
                <w:sz w:val="16"/>
                <w:szCs w:val="16"/>
                <w:color w:val="auto"/>
              </w:rPr>
              <w:t>1,150,953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3,363,004</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40" w:type="dxa"/>
            <w:vAlign w:val="bottom"/>
          </w:tcPr>
          <w:p>
            <w:pPr>
              <w:spacing w:after="0"/>
              <w:rPr>
                <w:sz w:val="19"/>
                <w:szCs w:val="19"/>
                <w:color w:val="auto"/>
              </w:rPr>
            </w:pPr>
          </w:p>
        </w:tc>
        <w:tc>
          <w:tcPr>
            <w:tcW w:w="1900" w:type="dxa"/>
            <w:vAlign w:val="bottom"/>
          </w:tcPr>
          <w:p>
            <w:pPr>
              <w:jc w:val="right"/>
              <w:ind w:right="64"/>
              <w:spacing w:after="0"/>
              <w:rPr>
                <w:sz w:val="20"/>
                <w:szCs w:val="20"/>
                <w:color w:val="auto"/>
              </w:rPr>
            </w:pPr>
            <w:r>
              <w:rPr>
                <w:rFonts w:ascii="Arial" w:cs="Arial" w:eastAsia="Arial" w:hAnsi="Arial"/>
                <w:sz w:val="16"/>
                <w:szCs w:val="16"/>
                <w:color w:val="auto"/>
              </w:rPr>
              <w:t>(18,473)</w:t>
            </w:r>
          </w:p>
        </w:tc>
        <w:tc>
          <w:tcPr>
            <w:tcW w:w="280" w:type="dxa"/>
            <w:vAlign w:val="bottom"/>
          </w:tcPr>
          <w:p>
            <w:pPr>
              <w:spacing w:after="0"/>
              <w:rPr>
                <w:sz w:val="19"/>
                <w:szCs w:val="19"/>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162,319</w:t>
            </w:r>
          </w:p>
        </w:tc>
      </w:tr>
    </w:tbl>
    <w:p>
      <w:pPr>
        <w:spacing w:after="0" w:line="22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w:t>
      </w:r>
    </w:p>
    <w:p>
      <w:pPr>
        <w:spacing w:after="0" w:line="1" w:lineRule="exact"/>
        <w:rPr>
          <w:sz w:val="20"/>
          <w:szCs w:val="20"/>
          <w:color w:val="auto"/>
        </w:rPr>
      </w:pPr>
    </w:p>
    <w:p>
      <w:pPr>
        <w:jc w:val="both"/>
        <w:ind w:right="260"/>
        <w:spacing w:after="0" w:line="226" w:lineRule="auto"/>
        <w:rPr>
          <w:sz w:val="20"/>
          <w:szCs w:val="20"/>
          <w:color w:val="auto"/>
        </w:rPr>
      </w:pPr>
      <w:r>
        <w:rPr>
          <w:rFonts w:ascii="Arial" w:cs="Arial" w:eastAsia="Arial" w:hAnsi="Arial"/>
          <w:sz w:val="18"/>
          <w:szCs w:val="18"/>
          <w:color w:val="auto"/>
        </w:rPr>
        <w:t>acquisition transaction related expenses incurred by the Company and the acquired entities. The pro forma information does not include efficiencies, cost reductions and synergies expected to result from the acquisitions. They are not the results that would have been realized</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had these entities been part of the Company during the periods presented and are not necessarily indicative of the Company’s consolidated results of operations in future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In June and September 2024, World of Good Brands (WGB) completed the sales of small businesses which</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were included in other businesses. In July 2024, Kaplan completed the sale of a small business, Red Marker, which was included in Kaplan International (see Note 12).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June 2023, the Company entered into an agreement to merge the Pinna business with Realm of Possibility, Inc. (Realm) in return for an</w:t>
      </w:r>
    </w:p>
    <w:p>
      <w:pPr>
        <w:spacing w:after="0" w:line="14" w:lineRule="exact"/>
        <w:rPr>
          <w:sz w:val="20"/>
          <w:szCs w:val="20"/>
          <w:color w:val="auto"/>
        </w:rPr>
      </w:pPr>
    </w:p>
    <w:p>
      <w:pPr>
        <w:jc w:val="both"/>
        <w:ind w:right="240"/>
        <w:spacing w:after="0" w:line="237" w:lineRule="auto"/>
        <w:rPr>
          <w:sz w:val="20"/>
          <w:szCs w:val="20"/>
          <w:color w:val="auto"/>
        </w:rPr>
      </w:pPr>
      <w:r>
        <w:rPr>
          <w:rFonts w:ascii="Arial" w:cs="Arial" w:eastAsia="Arial" w:hAnsi="Arial"/>
          <w:sz w:val="18"/>
          <w:szCs w:val="18"/>
          <w:color w:val="auto"/>
        </w:rPr>
        <w:t>additional noncontrolling financial interest in Realm (the Pinna transaction). The Company deconsolidated the Pinna subsidiary, which was included in other businesses, and continues to account for its interest in Realm under the equity method of accounting (see Note 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December 2023, the Company acquired some of the minority-owned shares of CSI Pharmacy Holding Company,</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LLC (CSI) for a total amount of $20.0 million. The Company paid cash of $5.0 million and entered into a promissory note with the minority owners for the remaining $15.0 million at an interest rate of 8% per annum. The note is included in other indebtedness (see Note 7)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payable in quarterly installments with the final payment due by January 1, 2027. Following the redemption, the Company owns 86.7% of CSI.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4"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September 30, 2024 and December 31, 2023, the Company had money market investments of $95.5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$5.6 million, respectively, that are classified as cash and cash equivalents in the Company’s Condensed Consolidated Balance Sheets.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3"/>
                <w:szCs w:val="13"/>
                <w:color w:val="auto"/>
              </w:rPr>
            </w:pPr>
          </w:p>
        </w:tc>
        <w:tc>
          <w:tcPr>
            <w:tcW w:w="1280" w:type="dxa"/>
            <w:vAlign w:val="bottom"/>
          </w:tcPr>
          <w:p>
            <w:pPr>
              <w:jc w:val="right"/>
              <w:ind w:right="163"/>
              <w:spacing w:after="0" w:line="15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00" w:type="dxa"/>
            <w:vAlign w:val="bottom"/>
          </w:tcPr>
          <w:p>
            <w:pPr>
              <w:jc w:val="right"/>
              <w:ind w:right="162"/>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227,153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225,971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600,322</w:t>
            </w: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464,182</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(2,059)</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825,416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690,153</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At September 30, 2024 and December 31, 2023, the Company owned 55,430 shares in Markel Group Inc. (Markel) valued at $86.9 million and $78.7 million, respectively. The Chief Executive Officer of Markel, Mr. Thomas S. Gayner, is a member of the Company’s Board of</w:t>
      </w:r>
    </w:p>
    <w:p>
      <w:pPr>
        <w:ind w:right="20"/>
        <w:spacing w:after="0" w:line="237" w:lineRule="auto"/>
        <w:rPr>
          <w:sz w:val="20"/>
          <w:szCs w:val="20"/>
          <w:color w:val="auto"/>
        </w:rPr>
      </w:pPr>
      <w:r>
        <w:rPr>
          <w:rFonts w:ascii="Arial" w:cs="Arial" w:eastAsia="Arial" w:hAnsi="Arial"/>
          <w:sz w:val="18"/>
          <w:szCs w:val="18"/>
          <w:color w:val="auto"/>
        </w:rPr>
        <w:t>Directors. As of September 30, 2024, the Company owned 422 Class A and 482,945 Class B shares in Berkshire Hathaway valued at $514.0 million, which exceeded 5% of the Company’s total assets.</w:t>
      </w:r>
    </w:p>
    <w:p>
      <w:pPr>
        <w:spacing w:after="0" w:line="12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Company purchased $5.0 million of marketable equity securities during the first nine months of 2024. The Company purchased $4.6 million of marketable equity securities during the first nine months of 2023.</w:t>
      </w:r>
    </w:p>
    <w:p>
      <w:pPr>
        <w:spacing w:after="0" w:line="8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During the first nine months of 2024, the gross cumulative realized net gains from the sales of marketable equity securities were $ 20.2 million. The total proceeds from such sales were $23.5 million. During the first nine months of 2023, the gross cumulative realized net gains from the sales of marketable equity securities were $13.0 million. The total proceeds from such sales were $62.0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net gain on marketable equity securities comprised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00" w:type="dxa"/>
            <w:vAlign w:val="bottom"/>
            <w:gridSpan w:val="3"/>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6"/>
                <w:szCs w:val="16"/>
                <w:color w:val="auto"/>
              </w:rPr>
              <w:t>Gain on marketable equity securities,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4"/>
              <w:spacing w:after="0"/>
              <w:rPr>
                <w:sz w:val="20"/>
                <w:szCs w:val="20"/>
                <w:color w:val="auto"/>
              </w:rPr>
            </w:pPr>
            <w:r>
              <w:rPr>
                <w:rFonts w:ascii="Arial" w:cs="Arial" w:eastAsia="Arial" w:hAnsi="Arial"/>
                <w:sz w:val="16"/>
                <w:szCs w:val="16"/>
                <w:b w:val="1"/>
                <w:bCs w:val="1"/>
                <w:color w:val="auto"/>
              </w:rPr>
              <w:t>30,496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16,759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ind w:left="220"/>
              <w:spacing w:after="0"/>
              <w:rPr>
                <w:sz w:val="20"/>
                <w:szCs w:val="20"/>
                <w:color w:val="auto"/>
              </w:rPr>
            </w:pPr>
            <w:r>
              <w:rPr>
                <w:rFonts w:ascii="Arial" w:cs="Arial" w:eastAsia="Arial" w:hAnsi="Arial"/>
                <w:sz w:val="16"/>
                <w:szCs w:val="16"/>
                <w:b w:val="1"/>
                <w:bCs w:val="1"/>
                <w:color w:val="auto"/>
              </w:rPr>
              <w:t>154,276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113,429</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6"/>
                <w:szCs w:val="16"/>
                <w:color w:val="auto"/>
              </w:rPr>
              <w:t>Less: Net gains in earnings from marketable equity securities sold and donated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(5,908)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(6,010)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(5,475)</w:t>
            </w:r>
          </w:p>
        </w:tc>
        <w:tc>
          <w:tcPr>
            <w:tcW w:w="0" w:type="dxa"/>
            <w:vAlign w:val="bottom"/>
          </w:tcPr>
          <w:p>
            <w:pPr>
              <w:spacing w:after="0"/>
              <w:rPr>
                <w:sz w:val="1"/>
                <w:szCs w:val="1"/>
                <w:color w:val="auto"/>
              </w:rPr>
            </w:pPr>
          </w:p>
        </w:tc>
      </w:tr>
      <w:tr>
        <w:trPr>
          <w:trHeight w:val="161"/>
        </w:trPr>
        <w:tc>
          <w:tcPr>
            <w:tcW w:w="64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Net unrealized gains in earnings from marketable equity securities still held at the</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24,588</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16,759</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148,266</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107,954</w:t>
            </w:r>
          </w:p>
        </w:tc>
        <w:tc>
          <w:tcPr>
            <w:tcW w:w="0" w:type="dxa"/>
            <w:vAlign w:val="bottom"/>
          </w:tcPr>
          <w:p>
            <w:pPr>
              <w:spacing w:after="0"/>
              <w:rPr>
                <w:sz w:val="1"/>
                <w:szCs w:val="1"/>
                <w:color w:val="auto"/>
              </w:rPr>
            </w:pPr>
          </w:p>
        </w:tc>
      </w:tr>
      <w:tr>
        <w:trPr>
          <w:trHeight w:val="208"/>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end of the period</w:t>
            </w:r>
          </w:p>
        </w:tc>
        <w:tc>
          <w:tcPr>
            <w:tcW w:w="2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b w:val="1"/>
          <w:bCs w:val="1"/>
          <w:color w:val="auto"/>
        </w:rPr>
        <w:t xml:space="preserve">Investments in Affiliates. </w:t>
      </w:r>
      <w:r>
        <w:rPr>
          <w:rFonts w:ascii="Arial" w:cs="Arial" w:eastAsia="Arial" w:hAnsi="Arial"/>
          <w:sz w:val="17"/>
          <w:szCs w:val="17"/>
          <w:color w:val="auto"/>
        </w:rPr>
        <w:t>As of September 30, 2024, the Company held a 50.4% and 41.4% interest in N2K Networks and Realm,</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on a fully diluted basis, and accounts for these investments under the equity method. The Company holds one of the four seats</w:t>
      </w:r>
    </w:p>
    <w:p>
      <w:pPr>
        <w:spacing w:after="0" w:line="235" w:lineRule="auto"/>
        <w:rPr>
          <w:sz w:val="20"/>
          <w:szCs w:val="20"/>
          <w:color w:val="auto"/>
        </w:rPr>
      </w:pPr>
      <w:r>
        <w:rPr>
          <w:rFonts w:ascii="Arial" w:cs="Arial" w:eastAsia="Arial" w:hAnsi="Arial"/>
          <w:sz w:val="18"/>
          <w:szCs w:val="18"/>
          <w:color w:val="auto"/>
        </w:rPr>
        <w:t>of N2K Networks’ governing board with the other shareholders retaining substantive participation rights to control the financial and operating</w:t>
      </w:r>
    </w:p>
    <w:p>
      <w:pPr>
        <w:ind w:right="380"/>
        <w:spacing w:after="0"/>
        <w:rPr>
          <w:sz w:val="20"/>
          <w:szCs w:val="20"/>
          <w:color w:val="auto"/>
        </w:rPr>
      </w:pPr>
      <w:r>
        <w:rPr>
          <w:rFonts w:ascii="Arial" w:cs="Arial" w:eastAsia="Arial" w:hAnsi="Arial"/>
          <w:sz w:val="17"/>
          <w:szCs w:val="17"/>
          <w:color w:val="auto"/>
        </w:rPr>
        <w:t>decisions of N2K Networks through representation on the board. In May 2024, the Company entered into a convertible promissory note agreement to loan N2K Networks $2.0 million. The convertible promissory note bears interest at a rate of 12% per annum and, subject to</w:t>
      </w:r>
    </w:p>
    <w:p>
      <w:pPr>
        <w:spacing w:after="0" w:line="1" w:lineRule="exact"/>
        <w:rPr>
          <w:sz w:val="20"/>
          <w:szCs w:val="20"/>
          <w:color w:val="auto"/>
        </w:rPr>
      </w:pPr>
    </w:p>
    <w:p>
      <w:pPr>
        <w:ind w:right="720"/>
        <w:spacing w:after="0" w:line="226" w:lineRule="auto"/>
        <w:rPr>
          <w:sz w:val="20"/>
          <w:szCs w:val="20"/>
          <w:color w:val="auto"/>
        </w:rPr>
      </w:pPr>
      <w:r>
        <w:rPr>
          <w:rFonts w:ascii="Arial" w:cs="Arial" w:eastAsia="Arial" w:hAnsi="Arial"/>
          <w:sz w:val="18"/>
          <w:szCs w:val="18"/>
          <w:color w:val="auto"/>
        </w:rPr>
        <w:t>conversion provisions, all unpaid interest and principal are due by May 2027. In the third quarter of 2024, the Company recorded an impairment charge of $14.4 million on its investment in N2K Networks as a result of the investee exiting a significant product offering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following losses incurred in the current and prior year.</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As of September 30, 2024, the Company held an approximate 18% interest in Intersection Holdings, LLC (Intersection), and accounts for its investment under the equity method. The Company holds two of the ten seats of Intersection’s governing board, which allows the Company</w:t>
      </w:r>
    </w:p>
    <w:p>
      <w:pPr>
        <w:spacing w:after="0" w:line="235" w:lineRule="auto"/>
        <w:rPr>
          <w:sz w:val="20"/>
          <w:szCs w:val="20"/>
          <w:color w:val="auto"/>
        </w:rPr>
      </w:pPr>
      <w:r>
        <w:rPr>
          <w:rFonts w:ascii="Arial" w:cs="Arial" w:eastAsia="Arial" w:hAnsi="Arial"/>
          <w:sz w:val="18"/>
          <w:szCs w:val="18"/>
          <w:color w:val="auto"/>
        </w:rPr>
        <w:t>to exercise significant influence over Intersection. The Company loaned Intersection $30.0 million, which is repayable over 5 years at an</w:t>
      </w:r>
    </w:p>
    <w:p>
      <w:pPr>
        <w:ind w:right="200"/>
        <w:spacing w:after="0" w:line="237" w:lineRule="auto"/>
        <w:rPr>
          <w:sz w:val="20"/>
          <w:szCs w:val="20"/>
          <w:color w:val="auto"/>
        </w:rPr>
      </w:pPr>
      <w:r>
        <w:rPr>
          <w:rFonts w:ascii="Arial" w:cs="Arial" w:eastAsia="Arial" w:hAnsi="Arial"/>
          <w:sz w:val="18"/>
          <w:szCs w:val="18"/>
          <w:color w:val="auto"/>
        </w:rPr>
        <w:t>interest rate of 9% per annum. The outstanding balance on this loan was $26.7 million as of September 30, 2024. The loan is repayable by May 2028.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 the Company also held investments in several other affiliates; GHG held a 40% interest in each of the following</w:t>
      </w:r>
    </w:p>
    <w:p>
      <w:pPr>
        <w:spacing w:after="0" w:line="14"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affiliates: Residential Home Health Illinois, Residential Hospice Illinois, Mary Free Bed at Home, and Allegheny Health Network (AHN) Healthcare at Home. For the three and nine months ended September 30, 2024, the Company recorded $4.4 million and $12.9 million,</w:t>
      </w:r>
    </w:p>
    <w:p>
      <w:pPr>
        <w:spacing w:after="0" w:line="2"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respectively, in revenue for services provided to the affiliates of GHG. For the three and nine months ended September 30, 2023, the Company recorded $4.1 million and $11.5 million, respectively, in revenue for services provided to the affiliates of GHG.</w:t>
      </w:r>
    </w:p>
    <w:p>
      <w:pPr>
        <w:spacing w:after="0" w:line="1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University of York. KIHL loaned the joint venture £22 million, which is repayable over 25 years at an interest rate of 7% and guaranteed by the University of York. The outstanding balance on this loan was £19.3 million as of September 30, 2024. The loan is repayable by December 2041.</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ind w:right="980"/>
        <w:spacing w:after="0" w:line="271" w:lineRule="auto"/>
        <w:rPr>
          <w:sz w:val="20"/>
          <w:szCs w:val="20"/>
          <w:color w:val="auto"/>
        </w:rPr>
      </w:pPr>
      <w:r>
        <w:rPr>
          <w:rFonts w:ascii="Arial" w:cs="Arial" w:eastAsia="Arial" w:hAnsi="Arial"/>
          <w:sz w:val="18"/>
          <w:szCs w:val="18"/>
          <w:color w:val="auto"/>
        </w:rPr>
        <w:t>The Company had $36.4 million and $36.9 million in its investment account that represents cumulative undistributed income in its investments in affiliates as of September 30, 2024 and December 31, 2023, respectively.</w:t>
      </w:r>
    </w:p>
    <w:p>
      <w:pPr>
        <w:spacing w:after="0" w:line="8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w:t>
      </w:r>
    </w:p>
    <w:p>
      <w:pPr>
        <w:ind w:right="420"/>
        <w:spacing w:after="0"/>
        <w:rPr>
          <w:sz w:val="20"/>
          <w:szCs w:val="20"/>
          <w:color w:val="auto"/>
        </w:rPr>
      </w:pPr>
      <w:r>
        <w:rPr>
          <w:rFonts w:ascii="Arial" w:cs="Arial" w:eastAsia="Arial" w:hAnsi="Arial"/>
          <w:sz w:val="17"/>
          <w:szCs w:val="17"/>
          <w:color w:val="auto"/>
        </w:rPr>
        <w:t>identical or similar investments of the same issuer. The carrying value of these investments was $74.6 million and $74.0 million as of September 30, 2024 and December 31, 2023, respectively. During the three and nine months ended September 30, 2024, the Company</w:t>
      </w:r>
    </w:p>
    <w:p>
      <w:pPr>
        <w:spacing w:after="0" w:line="235" w:lineRule="auto"/>
        <w:rPr>
          <w:sz w:val="20"/>
          <w:szCs w:val="20"/>
          <w:color w:val="auto"/>
        </w:rPr>
      </w:pPr>
      <w:r>
        <w:rPr>
          <w:rFonts w:ascii="Arial" w:cs="Arial" w:eastAsia="Arial" w:hAnsi="Arial"/>
          <w:sz w:val="18"/>
          <w:szCs w:val="18"/>
          <w:color w:val="auto"/>
        </w:rPr>
        <w:t>recorded gains of $0.2 million to equity securities that are accounted for as cost method investments based on observable transactions for</w:t>
      </w:r>
    </w:p>
    <w:p>
      <w:pPr>
        <w:ind w:right="220"/>
        <w:spacing w:after="0"/>
        <w:rPr>
          <w:sz w:val="20"/>
          <w:szCs w:val="20"/>
          <w:color w:val="auto"/>
        </w:rPr>
      </w:pPr>
      <w:r>
        <w:rPr>
          <w:rFonts w:ascii="Arial" w:cs="Arial" w:eastAsia="Arial" w:hAnsi="Arial"/>
          <w:sz w:val="17"/>
          <w:szCs w:val="17"/>
          <w:color w:val="auto"/>
        </w:rPr>
        <w:t>identical or similar investments of the same issuer. During the nine months ended September 30, 2024, the Company recorded impairment losses of $0.7 million to those equity securities. During the nine months ended September 30, 2023, the Company recorded gains of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to those equity securities based on observable transactions.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ACCOUNTS PAYABLE, VEHICLE FLOOR PLAN PAYABLE AND ACCRUED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14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$24,233 and $24,667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4"/>
              <w:spacing w:after="0"/>
              <w:rPr>
                <w:sz w:val="20"/>
                <w:szCs w:val="20"/>
                <w:color w:val="auto"/>
              </w:rPr>
            </w:pPr>
            <w:r>
              <w:rPr>
                <w:rFonts w:ascii="Arial" w:cs="Arial" w:eastAsia="Arial" w:hAnsi="Arial"/>
                <w:sz w:val="16"/>
                <w:szCs w:val="16"/>
                <w:b w:val="1"/>
                <w:bCs w:val="1"/>
                <w:color w:val="auto"/>
              </w:rPr>
              <w:t>486,514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496,172</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31,737</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28,915</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518,251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525,087</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Credit loss expense was $1.1 million and $2.4 million for the three months ended September 30, 2024 and 2023, respectively. Credit loss expense was $2.7 million and $4.3 million for the nine months ended September 30, 2024 and 2023,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3"/>
                <w:szCs w:val="13"/>
                <w:color w:val="auto"/>
              </w:rPr>
            </w:pPr>
          </w:p>
        </w:tc>
        <w:tc>
          <w:tcPr>
            <w:tcW w:w="1260" w:type="dxa"/>
            <w:vAlign w:val="bottom"/>
          </w:tcPr>
          <w:p>
            <w:pPr>
              <w:jc w:val="right"/>
              <w:ind w:right="142"/>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102"/>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161,658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154,484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156,743</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148,300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171,570</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154,580</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264,066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237,157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754,037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694,521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Cash overdrafts of $2.9 million and $0.5 million are included in accounts payable as of September 30, 2024 and December 31, 2023, respectively.</w:t>
      </w:r>
    </w:p>
    <w:p>
      <w:pPr>
        <w:spacing w:after="0" w:line="86"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Company finances new, used and service loaner vehicle inventory through standardized floor plan facilities with Truist Bank and Toyota Motor Credit Corporation (Truist and Toyota floor plan facility) and Ford Motor Credit Company (Ford floor plan facility). At September 30,</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2024, the floor plan facilities bore interest at variable rates that are based on Secured Overnight Financing Rate (SOFR) and prime-based interest rates. The weighted average interest rate for the floor plan facilities was 6.8% and 6.6% for the three months ended September 30,</w:t>
      </w:r>
    </w:p>
    <w:p>
      <w:pPr>
        <w:spacing w:after="0" w:line="236" w:lineRule="auto"/>
        <w:rPr>
          <w:sz w:val="20"/>
          <w:szCs w:val="20"/>
          <w:color w:val="auto"/>
        </w:rPr>
      </w:pPr>
      <w:r>
        <w:rPr>
          <w:rFonts w:ascii="Arial" w:cs="Arial" w:eastAsia="Arial" w:hAnsi="Arial"/>
          <w:sz w:val="18"/>
          <w:szCs w:val="18"/>
          <w:color w:val="auto"/>
        </w:rPr>
        <w:t>2024 and 2023, respectively. The weighted average interest rate for the floor plan facilities was 6.8% and 6.0% for the nine months ended</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September 30, 2024 and 2023, respectively. Changes in the vehicle floor plan payable are reported as cash flows from financing activities in the Condensed Consolidated Statements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w:t>
      </w:r>
    </w:p>
    <w:p>
      <w:pPr>
        <w:spacing w:after="0" w:line="14"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covenants, including, among others, covenants restricting the dealership subsidiary with respect to the creation of liens and changes in ownership, officers and key management personnel. The Company was in compliance with all of these restrictive covenants as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w:t>
      </w:r>
    </w:p>
    <w:p>
      <w:pPr>
        <w:spacing w:after="0" w:line="235" w:lineRule="auto"/>
        <w:rPr>
          <w:sz w:val="20"/>
          <w:szCs w:val="20"/>
          <w:color w:val="auto"/>
        </w:rPr>
      </w:pPr>
      <w:r>
        <w:rPr>
          <w:rFonts w:ascii="Arial" w:cs="Arial" w:eastAsia="Arial" w:hAnsi="Arial"/>
          <w:sz w:val="18"/>
          <w:szCs w:val="18"/>
          <w:color w:val="auto"/>
        </w:rPr>
        <w:t>Operations when the associated inventory is sold. For the three months ended September 30, 2024 and 2023, the Company recognized a</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reduction in cost of goods sold of $2.3 million and $1.6 million, respectively, related to manufacturer floor plan assistance. For the nine months ended September 30, 2024 and 2023, the Company recognized a reduction in cost of goods sold of $6.9 million and $4.5 million,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respectively, related to manufacturer floor plan assistance.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ind w:right="780"/>
        <w:spacing w:after="0" w:line="271" w:lineRule="auto"/>
        <w:rPr>
          <w:sz w:val="20"/>
          <w:szCs w:val="20"/>
          <w:color w:val="auto"/>
        </w:rPr>
      </w:pPr>
      <w:r>
        <w:rPr>
          <w:rFonts w:ascii="Arial" w:cs="Arial" w:eastAsia="Arial" w:hAnsi="Arial"/>
          <w:sz w:val="18"/>
          <w:szCs w:val="18"/>
          <w:color w:val="auto"/>
        </w:rPr>
        <w:t>As of September 30, 2024 and December 31, 2023, the Company had $141.1 million and $128.9 million, respectively, in obligations outstanding related to floor plan facilities associated with new vehicles.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CONTRACTS IN PROGRESS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3"/>
                <w:szCs w:val="13"/>
                <w:color w:val="auto"/>
              </w:rPr>
            </w:pPr>
          </w:p>
        </w:tc>
        <w:tc>
          <w:tcPr>
            <w:tcW w:w="1260" w:type="dxa"/>
            <w:vAlign w:val="bottom"/>
          </w:tcPr>
          <w:p>
            <w:pPr>
              <w:jc w:val="right"/>
              <w:ind w:right="142"/>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102"/>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49,400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63,884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13,370</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15,387</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239,973</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215,283</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3,758</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2,657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306,501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297,211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2024, as a result of substantial digital advertising revenue declines and continued operating losses at WGB, the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Company performed an interim review of the goodwill and intangible assets at the WGB reporting unit. As a result of the impairment review, the Company recorded goodwill and amortized intangible asset impairment charges totaling $26.3 million. The Company estimated the fair</w:t>
      </w:r>
    </w:p>
    <w:p>
      <w:pPr>
        <w:spacing w:after="0" w:line="235" w:lineRule="auto"/>
        <w:rPr>
          <w:sz w:val="20"/>
          <w:szCs w:val="20"/>
          <w:color w:val="auto"/>
        </w:rPr>
      </w:pPr>
      <w:r>
        <w:rPr>
          <w:rFonts w:ascii="Arial" w:cs="Arial" w:eastAsia="Arial" w:hAnsi="Arial"/>
          <w:sz w:val="18"/>
          <w:szCs w:val="18"/>
          <w:color w:val="auto"/>
        </w:rPr>
        <w:t>value of the reporting unit and amortized intangible asset by utilizing a discounted cash flow model. The carrying value of the reporting unit</w:t>
      </w:r>
    </w:p>
    <w:p>
      <w:pPr>
        <w:ind w:right="360"/>
        <w:spacing w:after="0" w:line="237" w:lineRule="auto"/>
        <w:rPr>
          <w:sz w:val="20"/>
          <w:szCs w:val="20"/>
          <w:color w:val="auto"/>
        </w:rPr>
      </w:pPr>
      <w:r>
        <w:rPr>
          <w:rFonts w:ascii="Arial" w:cs="Arial" w:eastAsia="Arial" w:hAnsi="Arial"/>
          <w:sz w:val="18"/>
          <w:szCs w:val="18"/>
          <w:color w:val="auto"/>
        </w:rPr>
        <w:t>and amortized intangible asset exceeded their estimated fair values, resulting in goodwill and intangible asset impairment charges for the amount by which the carrying values exceeded their estimated fair values. WGB is included in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2023, due to continued sustained weakness in demand for certain Dekko power and data products primarily in the</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commercial office space market, the Company performed an interim review of the goodwill of the Dekko reporting unit. As a result of the impairment review, the Company recorded a $47.8 million goodwill impairment charge. Also in the third quarter of 2023, as a result of the</w:t>
      </w:r>
    </w:p>
    <w:p>
      <w:pPr>
        <w:spacing w:after="0" w:line="235" w:lineRule="auto"/>
        <w:rPr>
          <w:sz w:val="20"/>
          <w:szCs w:val="20"/>
          <w:color w:val="auto"/>
        </w:rPr>
      </w:pPr>
      <w:r>
        <w:rPr>
          <w:rFonts w:ascii="Arial" w:cs="Arial" w:eastAsia="Arial" w:hAnsi="Arial"/>
          <w:sz w:val="18"/>
          <w:szCs w:val="18"/>
          <w:color w:val="auto"/>
        </w:rPr>
        <w:t>substantial digital advertising revenue declines and continued significant operating losses at WGB, the Company performed an interim review</w:t>
      </w:r>
    </w:p>
    <w:p>
      <w:pPr>
        <w:ind w:right="280"/>
        <w:spacing w:after="0"/>
        <w:rPr>
          <w:sz w:val="20"/>
          <w:szCs w:val="20"/>
          <w:color w:val="auto"/>
        </w:rPr>
      </w:pPr>
      <w:r>
        <w:rPr>
          <w:rFonts w:ascii="Arial" w:cs="Arial" w:eastAsia="Arial" w:hAnsi="Arial"/>
          <w:sz w:val="17"/>
          <w:szCs w:val="17"/>
          <w:color w:val="auto"/>
        </w:rPr>
        <w:t>of the goodwill of the WGB reporting unit. As a result of the impairment review, the Company recorded a $50.2 million goodwill impairment charge. The Company estimated the fair value of the reporting units by utilizing a discounted cash flow model. The carrying value of the</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reporting units exceeded their estimated fair values, resulting in goodwill impairment charges for the amount by which the carrying values exceeded their estimated fair values after taking into account the effect of deferred income taxes. Dekko is included in manufacturing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WGB is included in other businesses.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for the three months ended September 30, 2024 and 2023, was $8.4 million and $11.8 million, respectively.</w:t>
      </w:r>
    </w:p>
    <w:p>
      <w:pPr>
        <w:spacing w:after="0" w:line="234" w:lineRule="auto"/>
        <w:rPr>
          <w:sz w:val="20"/>
          <w:szCs w:val="20"/>
          <w:color w:val="auto"/>
        </w:rPr>
      </w:pPr>
      <w:r>
        <w:rPr>
          <w:rFonts w:ascii="Arial" w:cs="Arial" w:eastAsia="Arial" w:hAnsi="Arial"/>
          <w:sz w:val="18"/>
          <w:szCs w:val="18"/>
          <w:color w:val="auto"/>
        </w:rPr>
        <w:t>Amortization of intangible assets for the nine months ended September 30, 2024 and 2023, was $29.2 million and $39.0 million, respectively.</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Amortization of intangible assets is estimated to be approximately $8 million for the remainder of 2024, $28 million in 2025, $20 million in 2026, $5 million in 2027, $2 million in 2028 and $2 million thereafter.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4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5" w:lineRule="exact"/>
              <w:rPr>
                <w:sz w:val="20"/>
                <w:szCs w:val="20"/>
                <w:color w:val="auto"/>
              </w:rPr>
            </w:pPr>
            <w:r>
              <w:rPr>
                <w:rFonts w:ascii="Arial" w:cs="Arial" w:eastAsia="Arial" w:hAnsi="Arial"/>
                <w:sz w:val="16"/>
                <w:szCs w:val="16"/>
                <w:color w:val="auto"/>
              </w:rPr>
              <w:t>Balance as of December 31,</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1,163,991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251,216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2,105,333</w:t>
            </w:r>
          </w:p>
        </w:tc>
        <w:tc>
          <w:tcPr>
            <w:tcW w:w="0" w:type="dxa"/>
            <w:vAlign w:val="bottom"/>
          </w:tcPr>
          <w:p>
            <w:pPr>
              <w:spacing w:after="0"/>
              <w:rPr>
                <w:sz w:val="1"/>
                <w:szCs w:val="1"/>
                <w:color w:val="auto"/>
              </w:rPr>
            </w:pPr>
          </w:p>
        </w:tc>
      </w:tr>
      <w:tr>
        <w:trPr>
          <w:trHeight w:val="190"/>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(166,926)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(580,139)</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832,840</w:t>
            </w:r>
          </w:p>
        </w:tc>
        <w:tc>
          <w:tcPr>
            <w:tcW w:w="1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152,931</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84,290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1,525,194</w:t>
            </w:r>
          </w:p>
        </w:tc>
        <w:tc>
          <w:tcPr>
            <w:tcW w:w="0" w:type="dxa"/>
            <w:vAlign w:val="bottom"/>
          </w:tcPr>
          <w:p>
            <w:pPr>
              <w:spacing w:after="0"/>
              <w:rPr>
                <w:sz w:val="1"/>
                <w:szCs w:val="1"/>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4,204</w:t>
            </w:r>
          </w:p>
        </w:tc>
        <w:tc>
          <w:tcPr>
            <w:tcW w:w="18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4,204</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Impairments</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(7,502)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(7,502)</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(1,684)</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(1,684)</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5"/>
                <w:szCs w:val="15"/>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14,296</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14,296</w:t>
            </w:r>
          </w:p>
        </w:tc>
        <w:tc>
          <w:tcPr>
            <w:tcW w:w="0" w:type="dxa"/>
            <w:vAlign w:val="bottom"/>
          </w:tcPr>
          <w:p>
            <w:pPr>
              <w:spacing w:after="0"/>
              <w:rPr>
                <w:sz w:val="1"/>
                <w:szCs w:val="1"/>
                <w:color w:val="auto"/>
              </w:rPr>
            </w:pPr>
          </w:p>
        </w:tc>
      </w:tr>
      <w:tr>
        <w:trPr>
          <w:trHeight w:val="224"/>
        </w:trPr>
        <w:tc>
          <w:tcPr>
            <w:tcW w:w="242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Balance as of September 30,</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1,180,807</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251,216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2,122,149</w:t>
            </w:r>
          </w:p>
        </w:tc>
        <w:tc>
          <w:tcPr>
            <w:tcW w:w="0" w:type="dxa"/>
            <w:vAlign w:val="bottom"/>
          </w:tcPr>
          <w:p>
            <w:pPr>
              <w:spacing w:after="0"/>
              <w:rPr>
                <w:sz w:val="1"/>
                <w:szCs w:val="1"/>
                <w:color w:val="auto"/>
              </w:rPr>
            </w:pPr>
          </w:p>
        </w:tc>
      </w:tr>
      <w:tr>
        <w:trPr>
          <w:trHeight w:val="182"/>
        </w:trPr>
        <w:tc>
          <w:tcPr>
            <w:tcW w:w="242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(174,428)</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(587,641)</w:t>
            </w:r>
          </w:p>
        </w:tc>
        <w:tc>
          <w:tcPr>
            <w:tcW w:w="0" w:type="dxa"/>
            <w:vAlign w:val="bottom"/>
          </w:tcPr>
          <w:p>
            <w:pPr>
              <w:spacing w:after="0"/>
              <w:rPr>
                <w:sz w:val="1"/>
                <w:szCs w:val="1"/>
                <w:color w:val="auto"/>
              </w:rPr>
            </w:pPr>
          </w:p>
        </w:tc>
      </w:tr>
      <w:tr>
        <w:trPr>
          <w:trHeight w:val="226"/>
        </w:trPr>
        <w:tc>
          <w:tcPr>
            <w:tcW w:w="242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849,656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152,931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76,788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1,534,508</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20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598,000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391,427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1,163,991</w:t>
            </w:r>
          </w:p>
        </w:tc>
        <w:tc>
          <w:tcPr>
            <w:tcW w:w="0" w:type="dxa"/>
            <w:vAlign w:val="bottom"/>
          </w:tcPr>
          <w:p>
            <w:pPr>
              <w:spacing w:after="0"/>
              <w:rPr>
                <w:sz w:val="1"/>
                <w:szCs w:val="1"/>
                <w:color w:val="auto"/>
              </w:rPr>
            </w:pPr>
          </w:p>
        </w:tc>
      </w:tr>
      <w:tr>
        <w:trPr>
          <w:trHeight w:val="238"/>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598,000</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171,600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832,840</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4,204</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4,204</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Dispositions</w:t>
            </w:r>
          </w:p>
        </w:tc>
        <w:tc>
          <w:tcPr>
            <w:tcW w:w="1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(1,684)</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(1,684)</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14,337</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14,296</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2024</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614,857</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391,386</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1,180,807</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614,857</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171,559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849,656</w:t>
            </w: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rPr>
              <w:t>As of September 30, 2024</w:t>
            </w: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2023</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8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520" w:type="dxa"/>
            <w:vAlign w:val="bottom"/>
          </w:tcPr>
          <w:p>
            <w:pPr>
              <w:jc w:val="center"/>
              <w:ind w:right="102"/>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tcPr>
          <w:p>
            <w:pPr>
              <w:jc w:val="center"/>
              <w:ind w:right="101"/>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80" w:type="dxa"/>
            <w:vAlign w:val="bottom"/>
          </w:tcPr>
          <w:p>
            <w:pPr>
              <w:jc w:val="center"/>
              <w:ind w:right="12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820" w:type="dxa"/>
            <w:vAlign w:val="bottom"/>
          </w:tcPr>
          <w:p>
            <w:pPr>
              <w:jc w:val="center"/>
              <w:ind w:right="8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7"/>
        </w:trPr>
        <w:tc>
          <w:tcPr>
            <w:tcW w:w="284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7"/>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282,192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250,370</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31,822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283,098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236,776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46,322</w:t>
            </w: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rPr>
              <w:t>2–10 years (1)</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116,670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92,027</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24,643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143,389</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90,558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52,831</w:t>
            </w: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13,412</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3,988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13,348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33,536</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33,498</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38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36,538</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35,712</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33"/>
        </w:trPr>
        <w:tc>
          <w:tcPr>
            <w:tcW w:w="2840" w:type="dxa"/>
            <w:vAlign w:val="bottom"/>
          </w:tcPr>
          <w:p>
            <w:pPr>
              <w:ind w:left="140"/>
              <w:spacing w:after="0"/>
              <w:rPr>
                <w:sz w:val="20"/>
                <w:szCs w:val="20"/>
                <w:color w:val="auto"/>
              </w:rPr>
            </w:pPr>
            <w:r>
              <w:rPr>
                <w:rFonts w:ascii="Arial" w:cs="Arial" w:eastAsia="Arial" w:hAnsi="Arial"/>
                <w:sz w:val="16"/>
                <w:szCs w:val="16"/>
                <w:color w:val="auto"/>
              </w:rPr>
              <w:t>Other</w:t>
            </w: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41,514</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37,265</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4,249</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41,327</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33,164</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8,163</w:t>
            </w:r>
          </w:p>
        </w:tc>
        <w:tc>
          <w:tcPr>
            <w:tcW w:w="0" w:type="dxa"/>
            <w:vAlign w:val="bottom"/>
          </w:tcPr>
          <w:p>
            <w:pPr>
              <w:spacing w:after="0"/>
              <w:rPr>
                <w:sz w:val="1"/>
                <w:szCs w:val="1"/>
                <w:color w:val="auto"/>
              </w:rPr>
            </w:pPr>
          </w:p>
        </w:tc>
      </w:tr>
      <w:tr>
        <w:trPr>
          <w:trHeight w:val="220"/>
        </w:trPr>
        <w:tc>
          <w:tcPr>
            <w:tcW w:w="2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491,312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426,572</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64,740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521,752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409,558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112,194</w:t>
            </w:r>
          </w:p>
        </w:tc>
        <w:tc>
          <w:tcPr>
            <w:tcW w:w="0" w:type="dxa"/>
            <w:vAlign w:val="bottom"/>
          </w:tcPr>
          <w:p>
            <w:pPr>
              <w:spacing w:after="0"/>
              <w:rPr>
                <w:sz w:val="1"/>
                <w:szCs w:val="1"/>
                <w:color w:val="auto"/>
              </w:rPr>
            </w:pPr>
          </w:p>
        </w:tc>
      </w:tr>
      <w:tr>
        <w:trPr>
          <w:trHeight w:val="27"/>
        </w:trPr>
        <w:tc>
          <w:tcPr>
            <w:tcW w:w="2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8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92,158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92,158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86,691</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84,533</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40" w:type="dxa"/>
            <w:vAlign w:val="bottom"/>
          </w:tcPr>
          <w:p>
            <w:pPr>
              <w:ind w:left="140"/>
              <w:spacing w:after="0"/>
              <w:rPr>
                <w:sz w:val="20"/>
                <w:szCs w:val="20"/>
                <w:color w:val="auto"/>
              </w:rPr>
            </w:pPr>
            <w:r>
              <w:rPr>
                <w:rFonts w:ascii="Arial" w:cs="Arial" w:eastAsia="Arial" w:hAnsi="Arial"/>
                <w:sz w:val="16"/>
                <w:szCs w:val="16"/>
                <w:color w:val="auto"/>
              </w:rPr>
              <w:t>Other</w:t>
            </w:r>
          </w:p>
        </w:tc>
        <w:tc>
          <w:tcPr>
            <w:tcW w:w="1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190,020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187,862</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10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December 31, 2023, the trade names and trademarks’ maximum useful life was 15 years.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9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200" w:type="dxa"/>
            <w:vAlign w:val="bottom"/>
          </w:tcPr>
          <w:p>
            <w:pPr>
              <w:spacing w:after="0"/>
              <w:rPr>
                <w:sz w:val="14"/>
                <w:szCs w:val="14"/>
                <w:color w:val="auto"/>
              </w:rPr>
            </w:pPr>
          </w:p>
        </w:tc>
        <w:tc>
          <w:tcPr>
            <w:tcW w:w="1420" w:type="dxa"/>
            <w:vAlign w:val="bottom"/>
          </w:tcPr>
          <w:p>
            <w:pPr>
              <w:jc w:val="right"/>
              <w:ind w:right="26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340" w:type="dxa"/>
            <w:vAlign w:val="bottom"/>
          </w:tcPr>
          <w:p>
            <w:pPr>
              <w:jc w:val="right"/>
              <w:ind w:right="2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258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line="224"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398,804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398,266</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6.33% - 8.88%</w:t>
            </w:r>
          </w:p>
        </w:tc>
        <w:tc>
          <w:tcPr>
            <w:tcW w:w="1780" w:type="dxa"/>
            <w:vAlign w:val="bottom"/>
          </w:tcPr>
          <w:p>
            <w:pPr>
              <w:jc w:val="center"/>
              <w:spacing w:after="0"/>
              <w:rPr>
                <w:sz w:val="20"/>
                <w:szCs w:val="20"/>
                <w:color w:val="auto"/>
              </w:rPr>
            </w:pPr>
            <w:r>
              <w:rPr>
                <w:rFonts w:ascii="Arial" w:cs="Arial" w:eastAsia="Arial" w:hAnsi="Arial"/>
                <w:sz w:val="16"/>
                <w:szCs w:val="16"/>
                <w:color w:val="auto"/>
              </w:rPr>
              <w:t>6.73%</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66,873</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97,879</w:t>
            </w:r>
          </w:p>
        </w:tc>
        <w:tc>
          <w:tcPr>
            <w:tcW w:w="0" w:type="dxa"/>
            <w:vAlign w:val="bottom"/>
          </w:tcPr>
          <w:p>
            <w:pPr>
              <w:spacing w:after="0"/>
              <w:rPr>
                <w:sz w:val="1"/>
                <w:szCs w:val="1"/>
                <w:color w:val="auto"/>
              </w:rPr>
            </w:pPr>
          </w:p>
        </w:tc>
      </w:tr>
      <w:tr>
        <w:trPr>
          <w:trHeight w:val="236"/>
        </w:trPr>
        <w:tc>
          <w:tcPr>
            <w:tcW w:w="25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(2)</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6.70% - 7.21%</w:t>
            </w:r>
          </w:p>
        </w:tc>
        <w:tc>
          <w:tcPr>
            <w:tcW w:w="1780" w:type="dxa"/>
            <w:vAlign w:val="bottom"/>
          </w:tcPr>
          <w:p>
            <w:pPr>
              <w:jc w:val="center"/>
              <w:spacing w:after="0"/>
              <w:rPr>
                <w:sz w:val="20"/>
                <w:szCs w:val="20"/>
                <w:color w:val="auto"/>
              </w:rPr>
            </w:pPr>
            <w:r>
              <w:rPr>
                <w:rFonts w:ascii="Arial" w:cs="Arial" w:eastAsia="Arial" w:hAnsi="Arial"/>
                <w:sz w:val="16"/>
                <w:szCs w:val="16"/>
                <w:color w:val="auto"/>
              </w:rPr>
              <w:t>7.29%</w:t>
            </w:r>
          </w:p>
        </w:tc>
        <w:tc>
          <w:tcPr>
            <w:tcW w:w="20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141,919</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147,476</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(3)</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6.95% - 7.10%</w:t>
            </w:r>
          </w:p>
        </w:tc>
        <w:tc>
          <w:tcPr>
            <w:tcW w:w="1780" w:type="dxa"/>
            <w:vAlign w:val="bottom"/>
          </w:tcPr>
          <w:p>
            <w:pPr>
              <w:jc w:val="center"/>
              <w:spacing w:after="0"/>
              <w:rPr>
                <w:sz w:val="20"/>
                <w:szCs w:val="20"/>
                <w:color w:val="auto"/>
              </w:rPr>
            </w:pPr>
            <w:r>
              <w:rPr>
                <w:rFonts w:ascii="Arial" w:cs="Arial" w:eastAsia="Arial" w:hAnsi="Arial"/>
                <w:sz w:val="16"/>
                <w:szCs w:val="16"/>
                <w:color w:val="auto"/>
              </w:rPr>
              <w:t>7.17%</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71,731</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74,541</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(4)</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7.20% - 7.35%</w:t>
            </w:r>
          </w:p>
        </w:tc>
        <w:tc>
          <w:tcPr>
            <w:tcW w:w="1780" w:type="dxa"/>
            <w:vAlign w:val="bottom"/>
          </w:tcPr>
          <w:p>
            <w:pPr>
              <w:jc w:val="center"/>
              <w:spacing w:after="0"/>
              <w:rPr>
                <w:sz w:val="20"/>
                <w:szCs w:val="20"/>
                <w:color w:val="auto"/>
              </w:rPr>
            </w:pPr>
            <w:r>
              <w:rPr>
                <w:rFonts w:ascii="Arial" w:cs="Arial" w:eastAsia="Arial" w:hAnsi="Arial"/>
                <w:sz w:val="16"/>
                <w:szCs w:val="16"/>
                <w:color w:val="auto"/>
              </w:rPr>
              <w:t>7.67%</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58,352</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63,097</w:t>
            </w:r>
          </w:p>
        </w:tc>
        <w:tc>
          <w:tcPr>
            <w:tcW w:w="0" w:type="dxa"/>
            <w:vAlign w:val="bottom"/>
          </w:tcPr>
          <w:p>
            <w:pPr>
              <w:spacing w:after="0"/>
              <w:rPr>
                <w:sz w:val="1"/>
                <w:szCs w:val="1"/>
                <w:color w:val="auto"/>
              </w:rPr>
            </w:pPr>
          </w:p>
        </w:tc>
      </w:tr>
      <w:tr>
        <w:trPr>
          <w:trHeight w:val="224"/>
        </w:trPr>
        <w:tc>
          <w:tcPr>
            <w:tcW w:w="258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940" w:type="dxa"/>
            <w:vAlign w:val="bottom"/>
          </w:tcPr>
          <w:p>
            <w:pPr>
              <w:jc w:val="center"/>
              <w:ind w:left="520"/>
              <w:spacing w:after="0"/>
              <w:rPr>
                <w:sz w:val="20"/>
                <w:szCs w:val="20"/>
                <w:color w:val="auto"/>
              </w:rPr>
            </w:pPr>
            <w:r>
              <w:rPr>
                <w:rFonts w:ascii="Arial" w:cs="Arial" w:eastAsia="Arial" w:hAnsi="Arial"/>
                <w:sz w:val="16"/>
                <w:szCs w:val="16"/>
                <w:color w:val="auto"/>
              </w:rPr>
              <w:t>2024 - 2032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- 8.00%</w:t>
            </w:r>
          </w:p>
        </w:tc>
        <w:tc>
          <w:tcPr>
            <w:tcW w:w="1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27,512</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30,574</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765,191</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811,833</w:t>
            </w:r>
          </w:p>
        </w:tc>
        <w:tc>
          <w:tcPr>
            <w:tcW w:w="0" w:type="dxa"/>
            <w:vAlign w:val="bottom"/>
          </w:tcPr>
          <w:p>
            <w:pPr>
              <w:spacing w:after="0"/>
              <w:rPr>
                <w:sz w:val="1"/>
                <w:szCs w:val="1"/>
                <w:color w:val="auto"/>
              </w:rPr>
            </w:pPr>
          </w:p>
        </w:tc>
      </w:tr>
      <w:tr>
        <w:trPr>
          <w:trHeight w:val="233"/>
        </w:trPr>
        <w:tc>
          <w:tcPr>
            <w:tcW w:w="258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(34,137)</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(66,751)</w:t>
            </w:r>
          </w:p>
        </w:tc>
        <w:tc>
          <w:tcPr>
            <w:tcW w:w="0" w:type="dxa"/>
            <w:vAlign w:val="bottom"/>
          </w:tcPr>
          <w:p>
            <w:pPr>
              <w:spacing w:after="0"/>
              <w:rPr>
                <w:sz w:val="1"/>
                <w:szCs w:val="1"/>
                <w:color w:val="auto"/>
              </w:rPr>
            </w:pPr>
          </w:p>
        </w:tc>
      </w:tr>
      <w:tr>
        <w:trPr>
          <w:trHeight w:val="22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731,054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745,082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109"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$1.2 million and $1.7 million of unamortized debt issuance costs as of September 30, 2024 and December 31, 2023,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$0.6 million of unamortized debt issuance costs as of September 30, 2024 and December 31, 2023.</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September 30, 2024 and December 31, 2023.</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$0.7 million and $0.8 million of unamortized debt issuance costs as of September 30, 2024 and December 31, 2023, respectively.</w:t>
      </w:r>
    </w:p>
    <w:p>
      <w:pPr>
        <w:spacing w:after="0" w:line="15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At September 30, 2024 and December 31, 2023, the fair value of the Company’s 5.75% unsecured notes, based on quoted market prices (Level 2 fair value assessment), totaled $399.9 million and $400.4 million, respectively.</w:t>
      </w:r>
    </w:p>
    <w:p>
      <w:pPr>
        <w:spacing w:after="0" w:line="112"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The outstanding balance on the Company’s $ 300 million unsecured revolving credit facility was $66.9 million as of September 30, 2024, consisting of British Pound (GBP) borrowings of £50 million with interest payable at Daily Sterling Overnight Index Average (SONIA) plus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1.375%.</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September 30, 2024 and December 31, 2023. The Company is in compliance with all financial covenants of the revolving credit facility and term loans as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During the three months ended September 30, 2024 and 2023, the Company had average borrowings outstanding of approximately $813.5 million and $737.7 million, respectively, at average annual interest rates of approximately 6.3% and 6.2%, respectively. During the three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2024 and 2023, the Company incurred net interest expense of $23.6 million and $9.8 million, respectively.</w:t>
      </w:r>
    </w:p>
    <w:p>
      <w:pPr>
        <w:spacing w:after="0" w:line="14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During the nine months ended September 30, 2024 and 2023, the Company had average borrowings outstanding of approximately $819.6 million and $737.1 million, respectively, at average annual interest rates of approximately 6.4% and 6.0%, respectively. During the nine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2024 and 2023, the Company incurred net interest expense of $130.0 million and $33.1 million, respectively.</w:t>
      </w:r>
    </w:p>
    <w:p>
      <w:pPr>
        <w:spacing w:after="0" w:line="140"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color w:val="auto"/>
        </w:rPr>
        <w:t>During the three and nine months ended September 30, 2024, the Company recorded interest expense of $9.7 million and $ 85.1 million, respectively, to adjust the fair value of the mandatorily redeemable noncontrolling interest. During the three and nine months ended</w:t>
      </w:r>
    </w:p>
    <w:p>
      <w:pPr>
        <w:spacing w:after="0" w:line="235" w:lineRule="auto"/>
        <w:rPr>
          <w:sz w:val="20"/>
          <w:szCs w:val="20"/>
          <w:color w:val="auto"/>
        </w:rPr>
      </w:pPr>
      <w:r>
        <w:rPr>
          <w:rFonts w:ascii="Arial" w:cs="Arial" w:eastAsia="Arial" w:hAnsi="Arial"/>
          <w:sz w:val="18"/>
          <w:szCs w:val="18"/>
          <w:color w:val="auto"/>
        </w:rPr>
        <w:t>September 30, 2023, the Company recorded interest expense of $1.1 million and $1.4 million, respectively, to adjust the fair value of the</w:t>
      </w:r>
    </w:p>
    <w:p>
      <w:pPr>
        <w:ind w:right="160"/>
        <w:spacing w:after="0"/>
        <w:rPr>
          <w:sz w:val="20"/>
          <w:szCs w:val="20"/>
          <w:color w:val="auto"/>
        </w:rPr>
      </w:pPr>
      <w:r>
        <w:rPr>
          <w:rFonts w:ascii="Arial" w:cs="Arial" w:eastAsia="Arial" w:hAnsi="Arial"/>
          <w:sz w:val="17"/>
          <w:szCs w:val="17"/>
          <w:color w:val="auto"/>
        </w:rPr>
        <w:t>mandatorily redeemable noncontrolling interest. The fair value of the mandatorily redeemable noncontrolling interest was based on the fair value of the underlying subsidiaries owned by GHC One LLC (GHC One) and GHC Two LLC (GHC Two), after taking into account any debt</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and other noncontrolling interests of its subsidiary investments. The fair value of the owned subsidiaries is determined by reference to either a discounted cash flow or EBITDA multiple, which approximates fair value (Level 3 fair value assessment) (See Note 8).</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On September 26, 2023, the Company’s automotive subsidiary entered into a credit agreement with Truist Bank to finance the acquisition of the Toyota of Richmond dealership and to repay the outstanding balances of the commercial notes maturing in 2031 and 2032. The related</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interest rate swap agreements maturing in 2031 and 2032 were also terminated resulting in realized gains of $4.6 million that reduced interest expense during the third quarter of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September 30, 2024</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95,478</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95,478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825,416</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825,416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6,344</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831,760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95,478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927,238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1,435</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3,290</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125,476</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3,290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126,911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5,577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690,153</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690,153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6,875</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697,028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5,577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702,605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788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2,761</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86</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40,764</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2,847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41,552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hanging="454"/>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340" w:hanging="454"/>
        <w:spacing w:after="0" w:line="261"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ind w:left="480" w:right="140" w:hanging="454"/>
        <w:spacing w:after="0" w:line="264"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10" w:lineRule="exact"/>
        <w:rPr>
          <w:rFonts w:ascii="Arial" w:cs="Arial" w:eastAsia="Arial" w:hAnsi="Arial"/>
          <w:sz w:val="14"/>
          <w:szCs w:val="14"/>
          <w:color w:val="auto"/>
        </w:rPr>
      </w:pPr>
    </w:p>
    <w:p>
      <w:pPr>
        <w:ind w:left="480" w:right="380" w:hanging="454"/>
        <w:spacing w:after="0" w:line="249"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0" w:lineRule="exact"/>
        <w:rPr>
          <w:rFonts w:ascii="Arial" w:cs="Arial" w:eastAsia="Arial" w:hAnsi="Arial"/>
          <w:sz w:val="14"/>
          <w:szCs w:val="14"/>
          <w:color w:val="auto"/>
        </w:rPr>
      </w:pPr>
    </w:p>
    <w:p>
      <w:pPr>
        <w:ind w:left="480" w:right="140" w:hanging="454"/>
        <w:spacing w:after="0" w:line="264"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swaps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260" w:hanging="454"/>
        <w:spacing w:after="0" w:line="253"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right="460" w:hanging="454"/>
        <w:spacing w:after="0" w:line="264"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7" w:name="page18"/>
    <w:bookmarkEnd w:id="17"/>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2140" w:type="dxa"/>
            <w:vAlign w:val="bottom"/>
          </w:tcPr>
          <w:p>
            <w:pPr>
              <w:jc w:val="center"/>
              <w:ind w:right="162"/>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center"/>
              <w:ind w:right="142"/>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2"/>
              <w:spacing w:after="0"/>
              <w:rPr>
                <w:sz w:val="20"/>
                <w:szCs w:val="20"/>
                <w:color w:val="auto"/>
              </w:rPr>
            </w:pPr>
            <w:r>
              <w:rPr>
                <w:rFonts w:ascii="Arial" w:cs="Arial" w:eastAsia="Arial" w:hAnsi="Arial"/>
                <w:sz w:val="16"/>
                <w:szCs w:val="16"/>
                <w:color w:val="auto"/>
              </w:rPr>
              <w:t>788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2"/>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Acquisition of business</w:t>
            </w:r>
          </w:p>
        </w:tc>
        <w:tc>
          <w:tcPr>
            <w:tcW w:w="200" w:type="dxa"/>
            <w:vAlign w:val="bottom"/>
          </w:tcPr>
          <w:p>
            <w:pPr>
              <w:spacing w:after="0"/>
              <w:rPr>
                <w:sz w:val="20"/>
                <w:szCs w:val="20"/>
                <w:color w:val="auto"/>
              </w:rPr>
            </w:pPr>
          </w:p>
        </w:tc>
        <w:tc>
          <w:tcPr>
            <w:tcW w:w="2140" w:type="dxa"/>
            <w:vAlign w:val="bottom"/>
          </w:tcPr>
          <w:p>
            <w:pPr>
              <w:jc w:val="right"/>
              <w:ind w:right="42"/>
              <w:spacing w:after="0"/>
              <w:rPr>
                <w:sz w:val="20"/>
                <w:szCs w:val="20"/>
                <w:color w:val="auto"/>
              </w:rPr>
            </w:pPr>
            <w:r>
              <w:rPr>
                <w:rFonts w:ascii="Arial" w:cs="Arial" w:eastAsia="Arial" w:hAnsi="Arial"/>
                <w:sz w:val="16"/>
                <w:szCs w:val="16"/>
                <w:b w:val="1"/>
                <w:bCs w:val="1"/>
                <w:color w:val="auto"/>
              </w:rPr>
              <w:t>1,293</w:t>
            </w:r>
          </w:p>
        </w:tc>
        <w:tc>
          <w:tcPr>
            <w:tcW w:w="280" w:type="dxa"/>
            <w:vAlign w:val="bottom"/>
          </w:tcPr>
          <w:p>
            <w:pPr>
              <w:spacing w:after="0"/>
              <w:rPr>
                <w:sz w:val="20"/>
                <w:szCs w:val="20"/>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280" w:type="dxa"/>
            <w:vAlign w:val="bottom"/>
          </w:tcPr>
          <w:p>
            <w:pPr>
              <w:spacing w:after="0"/>
              <w:rPr>
                <w:sz w:val="20"/>
                <w:szCs w:val="20"/>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85,145</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Capital contributions</w:t>
            </w:r>
          </w:p>
        </w:tc>
        <w:tc>
          <w:tcPr>
            <w:tcW w:w="200" w:type="dxa"/>
            <w:vAlign w:val="bottom"/>
          </w:tcPr>
          <w:p>
            <w:pPr>
              <w:spacing w:after="0"/>
              <w:rPr>
                <w:sz w:val="19"/>
                <w:szCs w:val="19"/>
                <w:color w:val="auto"/>
              </w:rPr>
            </w:pPr>
          </w:p>
        </w:tc>
        <w:tc>
          <w:tcPr>
            <w:tcW w:w="21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128</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Accretion of value included in net income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40" w:type="dxa"/>
            <w:vAlign w:val="bottom"/>
          </w:tcPr>
          <w:p>
            <w:pPr>
              <w:jc w:val="right"/>
              <w:ind w:right="42"/>
              <w:spacing w:after="0"/>
              <w:rPr>
                <w:sz w:val="20"/>
                <w:szCs w:val="20"/>
                <w:color w:val="auto"/>
              </w:rPr>
            </w:pPr>
            <w:r>
              <w:rPr>
                <w:rFonts w:ascii="Arial" w:cs="Arial" w:eastAsia="Arial" w:hAnsi="Arial"/>
                <w:sz w:val="16"/>
                <w:szCs w:val="16"/>
                <w:b w:val="1"/>
                <w:bCs w:val="1"/>
                <w:color w:val="auto"/>
              </w:rPr>
              <w:t>106</w:t>
            </w:r>
          </w:p>
        </w:tc>
        <w:tc>
          <w:tcPr>
            <w:tcW w:w="280" w:type="dxa"/>
            <w:vAlign w:val="bottom"/>
          </w:tcPr>
          <w:p>
            <w:pPr>
              <w:spacing w:after="0"/>
              <w:rPr>
                <w:sz w:val="20"/>
                <w:szCs w:val="20"/>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(719)</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(561)</w:t>
            </w:r>
          </w:p>
        </w:tc>
        <w:tc>
          <w:tcPr>
            <w:tcW w:w="0" w:type="dxa"/>
            <w:vAlign w:val="bottom"/>
          </w:tcPr>
          <w:p>
            <w:pPr>
              <w:spacing w:after="0"/>
              <w:rPr>
                <w:sz w:val="1"/>
                <w:szCs w:val="1"/>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42</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1,435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125,476</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4"/>
                <w:szCs w:val="24"/>
                <w:color w:val="auto"/>
              </w:rPr>
            </w:pPr>
          </w:p>
        </w:tc>
        <w:tc>
          <w:tcPr>
            <w:tcW w:w="2140" w:type="dxa"/>
            <w:vAlign w:val="bottom"/>
          </w:tcPr>
          <w:p>
            <w:pPr>
              <w:jc w:val="center"/>
              <w:ind w:right="162"/>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center"/>
              <w:ind w:right="142"/>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6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jc w:val="center"/>
              <w:ind w:right="162"/>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7"/>
                <w:szCs w:val="17"/>
                <w:color w:val="auto"/>
              </w:rPr>
            </w:pPr>
          </w:p>
        </w:tc>
        <w:tc>
          <w:tcPr>
            <w:tcW w:w="2080" w:type="dxa"/>
            <w:vAlign w:val="bottom"/>
          </w:tcPr>
          <w:p>
            <w:pPr>
              <w:jc w:val="center"/>
              <w:ind w:right="142"/>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Capital contributions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Accretion of value included in net income </w:t>
      </w:r>
      <w:r>
        <w:rPr>
          <w:rFonts w:ascii="Arial" w:cs="Arial" w:eastAsia="Arial" w:hAnsi="Arial"/>
          <w:sz w:val="20"/>
          <w:szCs w:val="20"/>
          <w:color w:val="auto"/>
          <w:vertAlign w:val="superscript"/>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or distributions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September 30, 2023</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8,423</w:t>
            </w:r>
          </w:p>
        </w:tc>
        <w:tc>
          <w:tcPr>
            <w:tcW w:w="98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30,845</w:t>
            </w:r>
          </w:p>
        </w:tc>
      </w:tr>
      <w:tr>
        <w:trPr>
          <w:trHeight w:val="229"/>
        </w:trPr>
        <w:tc>
          <w:tcPr>
            <w:tcW w:w="94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(5,157)</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1,421</w:t>
            </w:r>
          </w:p>
        </w:tc>
      </w:tr>
      <w:tr>
        <w:trPr>
          <w:trHeight w:val="229"/>
        </w:trPr>
        <w:tc>
          <w:tcPr>
            <w:tcW w:w="94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29"/>
        </w:trPr>
        <w:tc>
          <w:tcPr>
            <w:tcW w:w="94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856</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r>
      <w:tr>
        <w:trPr>
          <w:trHeight w:val="223"/>
        </w:trPr>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3,080</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32,043</w:t>
            </w:r>
          </w:p>
        </w:tc>
      </w:tr>
      <w:tr>
        <w:trPr>
          <w:trHeight w:val="27"/>
        </w:trPr>
        <w:tc>
          <w:tcPr>
            <w:tcW w:w="9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sectPr>
          <w:pgSz w:w="11900" w:h="16838" w:orient="portrait"/>
          <w:cols w:equalWidth="0" w:num="2">
            <w:col w:w="5820" w:space="720"/>
            <w:col w:w="4700"/>
          </w:cols>
          <w:pgMar w:left="320" w:top="931" w:right="339" w:bottom="1440" w:gutter="0" w:footer="0" w:header="0"/>
          <w:type w:val="continuous"/>
        </w:sectPr>
      </w:pPr>
    </w:p>
    <w:p>
      <w:pPr>
        <w:ind w:left="360" w:right="360" w:hanging="334"/>
        <w:spacing w:after="0" w:line="285"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Mandatorily Redeemable Noncontrolling Interest. </w:t>
      </w:r>
      <w:r>
        <w:rPr>
          <w:rFonts w:ascii="Arial" w:cs="Arial" w:eastAsia="Arial" w:hAnsi="Arial"/>
          <w:sz w:val="17"/>
          <w:szCs w:val="17"/>
          <w:color w:val="auto"/>
        </w:rPr>
        <w:t>The mandatorily redeemable noncontrolling interest represents the ownership portion of</w:t>
      </w:r>
    </w:p>
    <w:p>
      <w:pPr>
        <w:spacing w:after="0" w:line="2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 group of minority shareholders, consisting of a group of senior managers of the healthcare business, in subsidiaries of GHG. The Company established GHC One and GHC Two as vehicles to invest in a portfolio of healthcare businesses together with the group of senior managers</w:t>
      </w:r>
    </w:p>
    <w:p>
      <w:pPr>
        <w:spacing w:after="0" w:line="236" w:lineRule="auto"/>
        <w:rPr>
          <w:sz w:val="20"/>
          <w:szCs w:val="20"/>
          <w:color w:val="auto"/>
        </w:rPr>
      </w:pPr>
      <w:r>
        <w:rPr>
          <w:rFonts w:ascii="Arial" w:cs="Arial" w:eastAsia="Arial" w:hAnsi="Arial"/>
          <w:sz w:val="18"/>
          <w:szCs w:val="18"/>
          <w:color w:val="auto"/>
        </w:rPr>
        <w:t>of GHG. As the holder of preferred units, the Company is obligated to contribute 95% of the capital required for the acquisition of portfolio</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investments with the remaining 5% of the capital coming from the group of senior managers. The operating agreements of GHC One and GHC Two require the dissolution of the entities on March 31, 2026, and March 31, 2029, respectively, at which time the net assets will be</w:t>
      </w:r>
    </w:p>
    <w:p>
      <w:pPr>
        <w:spacing w:after="0" w:line="236" w:lineRule="auto"/>
        <w:rPr>
          <w:sz w:val="20"/>
          <w:szCs w:val="20"/>
          <w:color w:val="auto"/>
        </w:rPr>
      </w:pPr>
      <w:r>
        <w:rPr>
          <w:rFonts w:ascii="Arial" w:cs="Arial" w:eastAsia="Arial" w:hAnsi="Arial"/>
          <w:sz w:val="18"/>
          <w:szCs w:val="18"/>
          <w:color w:val="auto"/>
        </w:rPr>
        <w:t>distributed to its members. As a preferred unit holder, the Company will receive an amount up to its contributed capital plus a preferred</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annual return of 8% (guaranteed return) after the group of senior managers has received the redemption of their 5% interest in net assets (manager return). All distributions in excess of the manager and guaranteed return will be paid to common unit holders, which currently</w:t>
      </w:r>
    </w:p>
    <w:p>
      <w:pPr>
        <w:spacing w:after="0" w:line="236" w:lineRule="auto"/>
        <w:rPr>
          <w:sz w:val="20"/>
          <w:szCs w:val="20"/>
          <w:color w:val="auto"/>
        </w:rPr>
      </w:pPr>
      <w:r>
        <w:rPr>
          <w:rFonts w:ascii="Arial" w:cs="Arial" w:eastAsia="Arial" w:hAnsi="Arial"/>
          <w:sz w:val="18"/>
          <w:szCs w:val="18"/>
          <w:color w:val="auto"/>
        </w:rPr>
        <w:t>comprise the group of senior managers of GHG. The Company may convert its preferred units to common units at any time after which it will</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receive 80% of all distributions in excess of the manager return, with the remaining 20% of excess distributions going to the group of senior managers as holders of the other common units. The mandatorily redeemable noncontrolling interest is reported as a noncurrent liability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 and December 31, 2023 in the Condensed Consolidated Balance Sheets.</w:t>
      </w:r>
    </w:p>
    <w:p>
      <w:pPr>
        <w:spacing w:after="0" w:line="140" w:lineRule="exact"/>
        <w:rPr>
          <w:sz w:val="20"/>
          <w:szCs w:val="20"/>
          <w:color w:val="auto"/>
        </w:rPr>
      </w:pPr>
    </w:p>
    <w:p>
      <w:pPr>
        <w:ind w:right="460"/>
        <w:spacing w:after="0" w:line="251"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During the nine months ended September 30, 2024, the Company recorded goodwill and intangible asset impairment charges of</w:t>
      </w:r>
      <w:r>
        <w:rPr>
          <w:rFonts w:ascii="Arial" w:cs="Arial" w:eastAsia="Arial" w:hAnsi="Arial"/>
          <w:sz w:val="17"/>
          <w:szCs w:val="17"/>
          <w:b w:val="1"/>
          <w:bCs w:val="1"/>
          <w:color w:val="auto"/>
        </w:rPr>
        <w:t xml:space="preserve"> </w:t>
      </w:r>
      <w:r>
        <w:rPr>
          <w:rFonts w:ascii="Arial" w:cs="Arial" w:eastAsia="Arial" w:hAnsi="Arial"/>
          <w:sz w:val="17"/>
          <w:szCs w:val="17"/>
          <w:color w:val="auto"/>
        </w:rPr>
        <w:t>$26.3 million. During the three and nine months ended September 30, 2023, the Company recorded goodwill and other long-lived asset</w:t>
      </w:r>
    </w:p>
    <w:p>
      <w:pPr>
        <w:spacing w:after="0" w:line="235" w:lineRule="auto"/>
        <w:rPr>
          <w:sz w:val="20"/>
          <w:szCs w:val="20"/>
          <w:color w:val="auto"/>
        </w:rPr>
      </w:pPr>
      <w:r>
        <w:rPr>
          <w:rFonts w:ascii="Arial" w:cs="Arial" w:eastAsia="Arial" w:hAnsi="Arial"/>
          <w:sz w:val="18"/>
          <w:szCs w:val="18"/>
          <w:color w:val="auto"/>
        </w:rPr>
        <w:t>impairment charges of $98.3 million and $99.1 million, respectively. The remeasurement of goodwill and other long-lived assets is classified</w:t>
      </w:r>
    </w:p>
    <w:p>
      <w:pPr>
        <w:ind w:right="360"/>
        <w:spacing w:after="0"/>
        <w:rPr>
          <w:sz w:val="20"/>
          <w:szCs w:val="20"/>
          <w:color w:val="auto"/>
        </w:rPr>
      </w:pPr>
      <w:r>
        <w:rPr>
          <w:rFonts w:ascii="Arial" w:cs="Arial" w:eastAsia="Arial" w:hAnsi="Arial"/>
          <w:sz w:val="17"/>
          <w:szCs w:val="17"/>
          <w:color w:val="auto"/>
        </w:rPr>
        <w:t>as a Level 3 fair value assessment due to the significance of unobservable inputs developed in the determination of the fair value. The Company used a discounted cash flow model to determine the estimated fair value of the reporting units and other long-lived assets.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made estimates and assumptions regarding future cash flows, discount rates and long-term growth rates.</w:t>
      </w:r>
    </w:p>
    <w:p>
      <w:pPr>
        <w:spacing w:after="0" w:line="126"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During the three and nine months ended September 30, 2024, the Company recorded gains of $0.2 million to equity securities that are accounted for as cost method investments based on observable transactions for identical or similar investments of the same issuer. During</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nine months ended September 30, 2023, the Company recorded gains of $3.1 million to equity securities that are accounted for as cost method investments based on observable transactions for identical or similar investments of the same issuer. During the nine months ended</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September 30, 2024, the Company recorded impairment losses of $0.7 million to equity securities that are accounted for as cost method investments.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During the three and nine months ended September 30, 2024, the Company recorded an impairment charge of $14.4 million on one of its</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investments in affiliates (see Note 3). The Company used a market approach to determine the estimated fair value of its investment in the affiliate.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5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generated 80% and 78% of its revenue from U.S. domestic sales for the three and nine months ended September 30, 2024. The remaining 20% and 22% of revenue was generated from non-U.S. sales for the three and nine months ended September 30, 2024. For</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three and nine months ended September 30, 2023, 81% and 80% of revenue was from U.S domestic sales and the remaining 19% and 20% of revenue was generated from non-U.S. sales.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 the three and nine months ended September 30, 2024, the Company recognized 54% of its revenue over time as control of the services and goods transferred to the customer, and the remaining 46% at a point in time, when the customer obtained control of the promised goods.</w:t>
      </w:r>
    </w:p>
    <w:p>
      <w:pPr>
        <w:spacing w:after="0" w:line="1"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For the three and nine months ended September 30, 2023, the Company recognized 53% and 55% of its revenue over time, and the remaining 47% and 45% at a point in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September 30, 2024, the Company recognized a contract asset of $52.8 million related to a contract at a Kaplan</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International business, which is included in Deferred Charges and Other Assets. The Company expects to recognize an additional $292.9 million related to the remaining performance obligation in the contract over the next five years. As of December 31, 2023, the contract asset</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was $39.8 million. Additional contract assets of $3.2 million are included in current assets on the Company’s Condensed Consolidated Balance Sheet as of September 30,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performance which includes some payments that are refundable due to the contractual right of the customer to cancel the agreement. As of September 30, 2024 and December 31, 2023, 16% and 20% of the Company’s deferred revenue consisted of prepaid amounts which 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refundable. The following table presents the change in the Company’s deferred revenue balance: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197"/>
        </w:trPr>
        <w:tc>
          <w:tcPr>
            <w:tcW w:w="7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6"/>
              <w:spacing w:after="0"/>
              <w:rPr>
                <w:sz w:val="20"/>
                <w:szCs w:val="20"/>
                <w:color w:val="auto"/>
              </w:rPr>
            </w:pPr>
            <w:r>
              <w:rPr>
                <w:rFonts w:ascii="Arial" w:cs="Arial" w:eastAsia="Arial" w:hAnsi="Arial"/>
                <w:sz w:val="16"/>
                <w:szCs w:val="16"/>
                <w:b w:val="1"/>
                <w:bCs w:val="1"/>
                <w:color w:val="auto"/>
              </w:rPr>
              <w:t>443,335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400,347</w:t>
            </w:r>
          </w:p>
        </w:tc>
        <w:tc>
          <w:tcPr>
            <w:tcW w:w="1320" w:type="dxa"/>
            <w:vAlign w:val="bottom"/>
          </w:tcPr>
          <w:p>
            <w:pPr>
              <w:jc w:val="right"/>
              <w:ind w:right="505"/>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majority of the change in the deferred revenue balance is related to the cyclical nature of services in the Kaplan international division. During the nine months ended September 30, 2024, the Company recognized $341.7 million related to the Company’s deferred revenue balance as of December 31, 2023, including $61.7 million of prepaid amounts which were refundable at the prior year-end.</w:t>
      </w:r>
    </w:p>
    <w:p>
      <w:pPr>
        <w:spacing w:after="0" w:line="101"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September 30, 2024, the deferred revenue balance related to certain medical and nursing qualifications with an original</w:t>
      </w:r>
    </w:p>
    <w:p>
      <w:pPr>
        <w:ind w:right="120"/>
        <w:spacing w:after="0" w:line="237" w:lineRule="auto"/>
        <w:rPr>
          <w:sz w:val="20"/>
          <w:szCs w:val="20"/>
          <w:color w:val="auto"/>
        </w:rPr>
      </w:pPr>
      <w:r>
        <w:rPr>
          <w:rFonts w:ascii="Arial" w:cs="Arial" w:eastAsia="Arial" w:hAnsi="Arial"/>
          <w:sz w:val="18"/>
          <w:szCs w:val="18"/>
          <w:color w:val="auto"/>
        </w:rPr>
        <w:t>contract length greater than twelve months at Kaplan Supplemental Education was $5.9 million. Kaplan Supplemental Education expects to recognize 61% of this revenue over the next twelve months and the remainder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0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tcPr>
          <w:p>
            <w:pPr>
              <w:jc w:val="center"/>
              <w:ind w:right="224"/>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tcPr>
          <w:p>
            <w:pPr>
              <w:jc w:val="center"/>
              <w:ind w:right="12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26"/>
              <w:spacing w:after="0"/>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b w:val="1"/>
                <w:bCs w:val="1"/>
                <w:color w:val="auto"/>
              </w:rPr>
              <w:t>End of</w:t>
            </w:r>
          </w:p>
        </w:tc>
      </w:tr>
      <w:tr>
        <w:trPr>
          <w:trHeight w:val="20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auto"/>
              </w:rPr>
              <w:t>41,634</w:t>
            </w:r>
          </w:p>
        </w:tc>
        <w:tc>
          <w:tcPr>
            <w:tcW w:w="32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65,968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(66,395)</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4"/>
              <w:spacing w:after="0"/>
              <w:rPr>
                <w:sz w:val="20"/>
                <w:szCs w:val="20"/>
                <w:color w:val="auto"/>
              </w:rPr>
            </w:pPr>
            <w:r>
              <w:rPr>
                <w:rFonts w:ascii="Arial" w:cs="Arial" w:eastAsia="Arial" w:hAnsi="Arial"/>
                <w:sz w:val="16"/>
                <w:szCs w:val="16"/>
                <w:b w:val="1"/>
                <w:bCs w:val="1"/>
                <w:color w:val="auto"/>
              </w:rPr>
              <w:t>651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41,858</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for the nine months ended September 30, 2024.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(LOSS) PER SHARE</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w:t>
      </w:r>
    </w:p>
    <w:p>
      <w:pPr>
        <w:spacing w:after="0" w:line="235" w:lineRule="auto"/>
        <w:rPr>
          <w:sz w:val="20"/>
          <w:szCs w:val="20"/>
          <w:color w:val="auto"/>
        </w:rPr>
      </w:pPr>
      <w:r>
        <w:rPr>
          <w:rFonts w:ascii="Arial" w:cs="Arial" w:eastAsia="Arial" w:hAnsi="Arial"/>
          <w:sz w:val="18"/>
          <w:szCs w:val="18"/>
          <w:color w:val="auto"/>
        </w:rPr>
        <w:t>the two-class method is lower than the diluted earnings per share computed under the treasury stock method, resulting in the presentation of</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lower amount in diluted earnings per share. The computation of the earnings per share under the two-class method excludes the income attributable to</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unvested restricted stock awards from the numerator and excludes the dilutive impact of those underlying shares from the denominator.</w:t>
      </w:r>
    </w:p>
    <w:p>
      <w:pPr>
        <w:spacing w:after="0" w:line="1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reflects the Company’s net income (loss) and share data used in the basic and diluted earnings (loss) per share computations using the two-class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3"/>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6"/>
                <w:szCs w:val="16"/>
                <w:color w:val="auto"/>
              </w:rPr>
              <w:t>Numerator for basic earnings (loss) per share: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340" w:type="dxa"/>
            <w:vAlign w:val="bottom"/>
          </w:tcPr>
          <w:p>
            <w:pPr>
              <w:ind w:left="220"/>
              <w:spacing w:after="0"/>
              <w:rPr>
                <w:sz w:val="20"/>
                <w:szCs w:val="20"/>
                <w:color w:val="auto"/>
              </w:rPr>
            </w:pPr>
            <w:r>
              <w:rPr>
                <w:rFonts w:ascii="Arial" w:cs="Arial" w:eastAsia="Arial" w:hAnsi="Arial"/>
                <w:sz w:val="16"/>
                <w:szCs w:val="16"/>
                <w:color w:val="auto"/>
              </w:rPr>
              <w:t>Net income (loss) attributable to Graham Holdings Company common</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72,503</w:t>
            </w: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175,843</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400"/>
              <w:spacing w:after="0"/>
              <w:rPr>
                <w:sz w:val="20"/>
                <w:szCs w:val="20"/>
                <w:color w:val="auto"/>
              </w:rPr>
            </w:pPr>
            <w:r>
              <w:rPr>
                <w:rFonts w:ascii="Arial" w:cs="Arial" w:eastAsia="Arial" w:hAnsi="Arial"/>
                <w:sz w:val="16"/>
                <w:szCs w:val="16"/>
                <w:color w:val="auto"/>
              </w:rPr>
              <w:t>stockholders</w:t>
            </w:r>
          </w:p>
        </w:tc>
        <w:tc>
          <w:tcPr>
            <w:tcW w:w="3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(23,031)</w:t>
            </w:r>
          </w:p>
        </w:tc>
        <w:tc>
          <w:tcPr>
            <w:tcW w:w="3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152,029</w:t>
            </w:r>
          </w:p>
        </w:tc>
        <w:tc>
          <w:tcPr>
            <w:tcW w:w="0" w:type="dxa"/>
            <w:vAlign w:val="bottom"/>
          </w:tcPr>
          <w:p>
            <w:pPr>
              <w:spacing w:after="0"/>
              <w:rPr>
                <w:sz w:val="1"/>
                <w:szCs w:val="1"/>
                <w:color w:val="auto"/>
              </w:rPr>
            </w:pPr>
          </w:p>
        </w:tc>
      </w:tr>
      <w:tr>
        <w:trPr>
          <w:trHeight w:val="182"/>
        </w:trPr>
        <w:tc>
          <w:tcPr>
            <w:tcW w:w="5340" w:type="dxa"/>
            <w:vAlign w:val="bottom"/>
          </w:tcPr>
          <w:p>
            <w:pPr>
              <w:ind w:left="220"/>
              <w:spacing w:after="0" w:line="182" w:lineRule="exact"/>
              <w:rPr>
                <w:sz w:val="20"/>
                <w:szCs w:val="20"/>
                <w:color w:val="auto"/>
              </w:rPr>
            </w:pPr>
            <w:r>
              <w:rPr>
                <w:rFonts w:ascii="Arial" w:cs="Arial" w:eastAsia="Arial" w:hAnsi="Arial"/>
                <w:sz w:val="16"/>
                <w:szCs w:val="16"/>
                <w:color w:val="auto"/>
              </w:rPr>
              <w:t>Less: Dividends paid-common stock outstanding and unvested</w:t>
            </w:r>
          </w:p>
        </w:tc>
        <w:tc>
          <w:tcPr>
            <w:tcW w:w="320" w:type="dxa"/>
            <w:vAlign w:val="bottom"/>
          </w:tcPr>
          <w:p>
            <w:pPr>
              <w:spacing w:after="0"/>
              <w:rPr>
                <w:sz w:val="15"/>
                <w:szCs w:val="15"/>
                <w:color w:val="auto"/>
              </w:rPr>
            </w:pPr>
          </w:p>
        </w:tc>
        <w:tc>
          <w:tcPr>
            <w:tcW w:w="114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(7,444)</w:t>
            </w: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(30,370)</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400"/>
              <w:spacing w:after="0"/>
              <w:rPr>
                <w:sz w:val="20"/>
                <w:szCs w:val="20"/>
                <w:color w:val="auto"/>
              </w:rPr>
            </w:pPr>
            <w:r>
              <w:rPr>
                <w:rFonts w:ascii="Arial" w:cs="Arial" w:eastAsia="Arial" w:hAnsi="Arial"/>
                <w:sz w:val="16"/>
                <w:szCs w:val="16"/>
                <w:color w:val="auto"/>
              </w:rPr>
              <w:t>restricted shares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(7,458)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(30,992)</w:t>
            </w: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6"/>
                <w:szCs w:val="16"/>
                <w:color w:val="auto"/>
              </w:rPr>
              <w:t>Undistributed earnings (loss)</w:t>
            </w:r>
          </w:p>
        </w:tc>
        <w:tc>
          <w:tcPr>
            <w:tcW w:w="320" w:type="dxa"/>
            <w:vAlign w:val="bottom"/>
          </w:tcPr>
          <w:p>
            <w:pPr>
              <w:spacing w:after="0"/>
              <w:rPr>
                <w:sz w:val="19"/>
                <w:szCs w:val="19"/>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b w:val="1"/>
                <w:bCs w:val="1"/>
                <w:color w:val="auto"/>
              </w:rPr>
              <w:t>65,059</w:t>
            </w:r>
          </w:p>
        </w:tc>
        <w:tc>
          <w:tcPr>
            <w:tcW w:w="540" w:type="dxa"/>
            <w:vAlign w:val="bottom"/>
          </w:tcPr>
          <w:p>
            <w:pPr>
              <w:spacing w:after="0"/>
              <w:rPr>
                <w:sz w:val="19"/>
                <w:szCs w:val="19"/>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(30,489)</w:t>
            </w:r>
          </w:p>
        </w:tc>
        <w:tc>
          <w:tcPr>
            <w:tcW w:w="380" w:type="dxa"/>
            <w:vAlign w:val="bottom"/>
          </w:tcPr>
          <w:p>
            <w:pPr>
              <w:spacing w:after="0"/>
              <w:rPr>
                <w:sz w:val="19"/>
                <w:szCs w:val="19"/>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145,473</w:t>
            </w:r>
          </w:p>
        </w:tc>
        <w:tc>
          <w:tcPr>
            <w:tcW w:w="54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121,037</w:t>
            </w:r>
          </w:p>
        </w:tc>
        <w:tc>
          <w:tcPr>
            <w:tcW w:w="0" w:type="dxa"/>
            <w:vAlign w:val="bottom"/>
          </w:tcPr>
          <w:p>
            <w:pPr>
              <w:spacing w:after="0"/>
              <w:rPr>
                <w:sz w:val="1"/>
                <w:szCs w:val="1"/>
                <w:color w:val="auto"/>
              </w:rPr>
            </w:pPr>
          </w:p>
        </w:tc>
      </w:tr>
      <w:tr>
        <w:trPr>
          <w:trHeight w:val="236"/>
        </w:trPr>
        <w:tc>
          <w:tcPr>
            <w:tcW w:w="5340" w:type="dxa"/>
            <w:vAlign w:val="bottom"/>
          </w:tcPr>
          <w:p>
            <w:pPr>
              <w:ind w:left="220"/>
              <w:spacing w:after="0" w:line="236" w:lineRule="exact"/>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99.31 %</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99.31 %</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99.35 %</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b w:val="1"/>
                <w:bCs w:val="1"/>
                <w:color w:val="auto"/>
              </w:rPr>
              <w:t>64,612</w:t>
            </w:r>
          </w:p>
        </w:tc>
        <w:tc>
          <w:tcPr>
            <w:tcW w:w="540" w:type="dxa"/>
            <w:vAlign w:val="bottom"/>
          </w:tcPr>
          <w:p>
            <w:pPr>
              <w:spacing w:after="0"/>
              <w:rPr>
                <w:sz w:val="18"/>
                <w:szCs w:val="18"/>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(30,489)</w:t>
            </w:r>
          </w:p>
        </w:tc>
        <w:tc>
          <w:tcPr>
            <w:tcW w:w="380" w:type="dxa"/>
            <w:vAlign w:val="bottom"/>
          </w:tcPr>
          <w:p>
            <w:pPr>
              <w:spacing w:after="0"/>
              <w:rPr>
                <w:sz w:val="18"/>
                <w:szCs w:val="18"/>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144,473</w:t>
            </w:r>
          </w:p>
        </w:tc>
        <w:tc>
          <w:tcPr>
            <w:tcW w:w="54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120,253</w:t>
            </w:r>
          </w:p>
        </w:tc>
        <w:tc>
          <w:tcPr>
            <w:tcW w:w="0" w:type="dxa"/>
            <w:vAlign w:val="bottom"/>
          </w:tcPr>
          <w:p>
            <w:pPr>
              <w:spacing w:after="0"/>
              <w:rPr>
                <w:sz w:val="1"/>
                <w:szCs w:val="1"/>
                <w:color w:val="auto"/>
              </w:rPr>
            </w:pPr>
          </w:p>
        </w:tc>
      </w:tr>
      <w:tr>
        <w:trPr>
          <w:trHeight w:val="233"/>
        </w:trPr>
        <w:tc>
          <w:tcPr>
            <w:tcW w:w="534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7,392</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7,409</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30,164</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30,797</w:t>
            </w:r>
          </w:p>
        </w:tc>
        <w:tc>
          <w:tcPr>
            <w:tcW w:w="0" w:type="dxa"/>
            <w:vAlign w:val="bottom"/>
          </w:tcPr>
          <w:p>
            <w:pPr>
              <w:spacing w:after="0"/>
              <w:rPr>
                <w:sz w:val="1"/>
                <w:szCs w:val="1"/>
                <w:color w:val="auto"/>
              </w:rPr>
            </w:pPr>
          </w:p>
        </w:tc>
      </w:tr>
      <w:tr>
        <w:trPr>
          <w:trHeight w:val="227"/>
        </w:trPr>
        <w:tc>
          <w:tcPr>
            <w:tcW w:w="5340" w:type="dxa"/>
            <w:vAlign w:val="bottom"/>
          </w:tcPr>
          <w:p>
            <w:pPr>
              <w:ind w:left="220"/>
              <w:spacing w:after="0"/>
              <w:rPr>
                <w:sz w:val="20"/>
                <w:szCs w:val="20"/>
                <w:color w:val="auto"/>
              </w:rPr>
            </w:pPr>
            <w:r>
              <w:rPr>
                <w:rFonts w:ascii="Arial" w:cs="Arial" w:eastAsia="Arial" w:hAnsi="Arial"/>
                <w:sz w:val="16"/>
                <w:szCs w:val="16"/>
                <w:color w:val="auto"/>
              </w:rPr>
              <w:t>Numerator for basic earnings (loss)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72,004</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(23,080)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174,637</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151,050</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34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6</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6"/>
        </w:trPr>
        <w:tc>
          <w:tcPr>
            <w:tcW w:w="5340" w:type="dxa"/>
            <w:vAlign w:val="bottom"/>
          </w:tcPr>
          <w:p>
            <w:pPr>
              <w:ind w:left="140"/>
              <w:spacing w:after="0"/>
              <w:rPr>
                <w:sz w:val="20"/>
                <w:szCs w:val="20"/>
                <w:color w:val="auto"/>
              </w:rPr>
            </w:pPr>
            <w:r>
              <w:rPr>
                <w:rFonts w:ascii="Arial" w:cs="Arial" w:eastAsia="Arial" w:hAnsi="Arial"/>
                <w:sz w:val="16"/>
                <w:szCs w:val="16"/>
                <w:color w:val="auto"/>
              </w:rPr>
              <w:t>Numerator for diluted earnings (loss)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72,007</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(23,080)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174,643</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151,052</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3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6"/>
                <w:szCs w:val="16"/>
                <w:color w:val="auto"/>
              </w:rPr>
              <w:t>Denominator for basic earnings (loss) per share: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4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Pr>
          <w:p>
            <w:pPr>
              <w:spacing w:after="0"/>
              <w:rPr>
                <w:sz w:val="20"/>
                <w:szCs w:val="20"/>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b w:val="1"/>
                <w:bCs w:val="1"/>
                <w:color w:val="auto"/>
              </w:rPr>
              <w:t>4,352</w:t>
            </w:r>
          </w:p>
        </w:tc>
        <w:tc>
          <w:tcPr>
            <w:tcW w:w="540" w:type="dxa"/>
            <w:vAlign w:val="bottom"/>
          </w:tcPr>
          <w:p>
            <w:pPr>
              <w:spacing w:after="0"/>
              <w:rPr>
                <w:sz w:val="20"/>
                <w:szCs w:val="20"/>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4,602</w:t>
            </w:r>
          </w:p>
        </w:tc>
        <w:tc>
          <w:tcPr>
            <w:tcW w:w="380" w:type="dxa"/>
            <w:vAlign w:val="bottom"/>
          </w:tcPr>
          <w:p>
            <w:pPr>
              <w:spacing w:after="0"/>
              <w:rPr>
                <w:sz w:val="20"/>
                <w:szCs w:val="20"/>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4,395</w:t>
            </w:r>
          </w:p>
        </w:tc>
        <w:tc>
          <w:tcPr>
            <w:tcW w:w="540" w:type="dxa"/>
            <w:vAlign w:val="bottom"/>
          </w:tcPr>
          <w:p>
            <w:pPr>
              <w:spacing w:after="0"/>
              <w:rPr>
                <w:sz w:val="20"/>
                <w:szCs w:val="20"/>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4,686</w:t>
            </w:r>
          </w:p>
        </w:tc>
        <w:tc>
          <w:tcPr>
            <w:tcW w:w="0" w:type="dxa"/>
            <w:vAlign w:val="bottom"/>
          </w:tcPr>
          <w:p>
            <w:pPr>
              <w:spacing w:after="0"/>
              <w:rPr>
                <w:sz w:val="1"/>
                <w:szCs w:val="1"/>
                <w:color w:val="auto"/>
              </w:rPr>
            </w:pPr>
          </w:p>
        </w:tc>
      </w:tr>
      <w:tr>
        <w:trPr>
          <w:trHeight w:val="233"/>
        </w:trPr>
        <w:tc>
          <w:tcPr>
            <w:tcW w:w="534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32</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28</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7"/>
        </w:trPr>
        <w:tc>
          <w:tcPr>
            <w:tcW w:w="5340" w:type="dxa"/>
            <w:vAlign w:val="bottom"/>
          </w:tcPr>
          <w:p>
            <w:pPr>
              <w:ind w:left="140"/>
              <w:spacing w:after="0"/>
              <w:rPr>
                <w:sz w:val="20"/>
                <w:szCs w:val="20"/>
                <w:color w:val="auto"/>
              </w:rPr>
            </w:pPr>
            <w:r>
              <w:rPr>
                <w:rFonts w:ascii="Arial" w:cs="Arial" w:eastAsia="Arial" w:hAnsi="Arial"/>
                <w:sz w:val="16"/>
                <w:szCs w:val="16"/>
                <w:color w:val="auto"/>
              </w:rPr>
              <w:t>Denominator for diluted earnings (loss) per share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4,384</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4,602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4,423</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4,700</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340" w:type="dxa"/>
            <w:vAlign w:val="bottom"/>
            <w:vMerge w:val="continue"/>
          </w:tcPr>
          <w:p>
            <w:pPr>
              <w:spacing w:after="0"/>
              <w:rPr>
                <w:sz w:val="18"/>
                <w:szCs w:val="18"/>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16.54</w:t>
            </w:r>
          </w:p>
        </w:tc>
        <w:tc>
          <w:tcPr>
            <w:tcW w:w="540" w:type="dxa"/>
            <w:vAlign w:val="bottom"/>
            <w:vMerge w:val="restart"/>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40"/>
              <w:spacing w:after="0"/>
              <w:rPr>
                <w:sz w:val="20"/>
                <w:szCs w:val="20"/>
                <w:color w:val="auto"/>
              </w:rPr>
            </w:pPr>
            <w:r>
              <w:rPr>
                <w:rFonts w:ascii="Arial" w:cs="Arial" w:eastAsia="Arial" w:hAnsi="Arial"/>
                <w:sz w:val="16"/>
                <w:szCs w:val="16"/>
                <w:color w:val="auto"/>
              </w:rPr>
              <w:t>(5.02)</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39.74</w:t>
            </w:r>
          </w:p>
        </w:tc>
        <w:tc>
          <w:tcPr>
            <w:tcW w:w="54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20"/>
              <w:spacing w:after="0"/>
              <w:rPr>
                <w:sz w:val="20"/>
                <w:szCs w:val="20"/>
                <w:color w:val="auto"/>
              </w:rPr>
            </w:pPr>
            <w:r>
              <w:rPr>
                <w:rFonts w:ascii="Arial" w:cs="Arial" w:eastAsia="Arial" w:hAnsi="Arial"/>
                <w:sz w:val="16"/>
                <w:szCs w:val="16"/>
                <w:color w:val="auto"/>
              </w:rPr>
              <w:t>32.23</w:t>
            </w:r>
          </w:p>
        </w:tc>
        <w:tc>
          <w:tcPr>
            <w:tcW w:w="0" w:type="dxa"/>
            <w:vAlign w:val="bottom"/>
          </w:tcPr>
          <w:p>
            <w:pPr>
              <w:spacing w:after="0"/>
              <w:rPr>
                <w:sz w:val="1"/>
                <w:szCs w:val="1"/>
                <w:color w:val="auto"/>
              </w:rPr>
            </w:pPr>
          </w:p>
        </w:tc>
      </w:tr>
      <w:tr>
        <w:trPr>
          <w:trHeight w:val="242"/>
        </w:trPr>
        <w:tc>
          <w:tcPr>
            <w:tcW w:w="5340" w:type="dxa"/>
            <w:vAlign w:val="bottom"/>
          </w:tcPr>
          <w:p>
            <w:pPr>
              <w:ind w:left="140"/>
              <w:spacing w:after="0"/>
              <w:rPr>
                <w:sz w:val="20"/>
                <w:szCs w:val="20"/>
                <w:color w:val="auto"/>
              </w:rPr>
            </w:pPr>
            <w:r>
              <w:rPr>
                <w:rFonts w:ascii="Arial" w:cs="Arial" w:eastAsia="Arial" w:hAnsi="Arial"/>
                <w:sz w:val="16"/>
                <w:szCs w:val="16"/>
                <w:b w:val="1"/>
                <w:bCs w:val="1"/>
                <w:color w:val="auto"/>
              </w:rPr>
              <w:t>Basic earnings (loss) per share</w:t>
            </w:r>
          </w:p>
        </w:tc>
        <w:tc>
          <w:tcPr>
            <w:tcW w:w="3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140"/>
              <w:spacing w:after="0"/>
              <w:rPr>
                <w:sz w:val="20"/>
                <w:szCs w:val="20"/>
                <w:color w:val="auto"/>
              </w:rPr>
            </w:pPr>
            <w:r>
              <w:rPr>
                <w:rFonts w:ascii="Arial" w:cs="Arial" w:eastAsia="Arial" w:hAnsi="Arial"/>
                <w:sz w:val="16"/>
                <w:szCs w:val="16"/>
                <w:b w:val="1"/>
                <w:bCs w:val="1"/>
                <w:color w:val="auto"/>
              </w:rPr>
              <w:t>Diluted earnings (loss)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16.42</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(5.02)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39.49</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32.14</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Earnings (loss) per share amounts may not recalculate due to rounding.</w:t>
      </w:r>
    </w:p>
    <w:p>
      <w:pPr>
        <w:spacing w:after="0" w:line="123" w:lineRule="exact"/>
        <w:rPr>
          <w:sz w:val="20"/>
          <w:szCs w:val="20"/>
          <w:color w:val="auto"/>
        </w:rPr>
      </w:pPr>
    </w:p>
    <w:p>
      <w:pPr>
        <w:ind w:left="260" w:right="340" w:hanging="252"/>
        <w:spacing w:after="0" w:line="230" w:lineRule="auto"/>
        <w:tabs>
          <w:tab w:leader="none" w:pos="311" w:val="left"/>
        </w:tabs>
        <w:numPr>
          <w:ilvl w:val="0"/>
          <w:numId w:val="9"/>
        </w:numPr>
        <w:rPr>
          <w:rFonts w:ascii="Arial" w:cs="Arial" w:eastAsia="Arial" w:hAnsi="Arial"/>
          <w:sz w:val="13"/>
          <w:szCs w:val="13"/>
          <w:color w:val="auto"/>
        </w:rPr>
      </w:pPr>
      <w:r>
        <w:rPr>
          <w:rFonts w:ascii="Arial" w:cs="Arial" w:eastAsia="Arial" w:hAnsi="Arial"/>
          <w:sz w:val="13"/>
          <w:szCs w:val="13"/>
          <w:color w:val="auto"/>
        </w:rPr>
        <w:t>Percent of undistributed losses allocated to common stockholders is 100% in the three months ended September 30, 2023 as participating securities are not contractually obligated to share in losses.</w:t>
      </w:r>
    </w:p>
    <w:p>
      <w:pPr>
        <w:spacing w:after="0" w:line="13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Diluted earnings (loss) per share excludes the following weighted average potential common shares, as the effect would be antidilutive, as computed under the treasury stock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36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rPr>
              <w:t>Three Months Ended</w:t>
            </w:r>
          </w:p>
        </w:tc>
        <w:tc>
          <w:tcPr>
            <w:tcW w:w="2760" w:type="dxa"/>
            <w:vAlign w:val="bottom"/>
            <w:gridSpan w:val="2"/>
          </w:tcPr>
          <w:p>
            <w:pPr>
              <w:jc w:val="right"/>
              <w:ind w:right="244"/>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r>
      <w:tr>
        <w:trPr>
          <w:trHeight w:val="196"/>
        </w:trPr>
        <w:tc>
          <w:tcPr>
            <w:tcW w:w="57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7"/>
                <w:szCs w:val="17"/>
                <w:color w:val="auto"/>
              </w:rPr>
            </w:pPr>
          </w:p>
        </w:tc>
      </w:tr>
      <w:tr>
        <w:trPr>
          <w:trHeight w:val="20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5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7"/>
                <w:szCs w:val="17"/>
                <w:color w:val="auto"/>
              </w:rPr>
            </w:pPr>
          </w:p>
        </w:tc>
      </w:tr>
      <w:tr>
        <w:trPr>
          <w:trHeight w:val="223"/>
        </w:trPr>
        <w:tc>
          <w:tcPr>
            <w:tcW w:w="576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860" w:type="dxa"/>
            <w:vAlign w:val="bottom"/>
          </w:tcPr>
          <w:p>
            <w:pPr>
              <w:spacing w:after="0"/>
              <w:rPr>
                <w:sz w:val="19"/>
                <w:szCs w:val="19"/>
                <w:color w:val="auto"/>
              </w:rPr>
            </w:pPr>
          </w:p>
        </w:tc>
        <w:tc>
          <w:tcPr>
            <w:tcW w:w="1500" w:type="dxa"/>
            <w:vAlign w:val="bottom"/>
          </w:tcPr>
          <w:p>
            <w:pPr>
              <w:jc w:val="right"/>
              <w:ind w:right="1044"/>
              <w:spacing w:after="0"/>
              <w:rPr>
                <w:sz w:val="20"/>
                <w:szCs w:val="20"/>
                <w:color w:val="auto"/>
              </w:rPr>
            </w:pPr>
            <w:r>
              <w:rPr>
                <w:rFonts w:ascii="Arial" w:cs="Arial" w:eastAsia="Arial" w:hAnsi="Arial"/>
                <w:sz w:val="16"/>
                <w:szCs w:val="16"/>
                <w:b w:val="1"/>
                <w:bCs w:val="1"/>
                <w:color w:val="auto"/>
              </w:rPr>
              <w:t>21</w:t>
            </w:r>
          </w:p>
        </w:tc>
        <w:tc>
          <w:tcPr>
            <w:tcW w:w="1300" w:type="dxa"/>
            <w:vAlign w:val="bottom"/>
          </w:tcPr>
          <w:p>
            <w:pPr>
              <w:jc w:val="right"/>
              <w:ind w:right="924"/>
              <w:spacing w:after="0"/>
              <w:rPr>
                <w:sz w:val="20"/>
                <w:szCs w:val="20"/>
                <w:color w:val="auto"/>
              </w:rPr>
            </w:pPr>
            <w:r>
              <w:rPr>
                <w:rFonts w:ascii="Arial" w:cs="Arial" w:eastAsia="Arial" w:hAnsi="Arial"/>
                <w:sz w:val="16"/>
                <w:szCs w:val="16"/>
                <w:color w:val="auto"/>
              </w:rPr>
              <w:t>12</w:t>
            </w:r>
          </w:p>
        </w:tc>
        <w:tc>
          <w:tcPr>
            <w:tcW w:w="1460" w:type="dxa"/>
            <w:vAlign w:val="bottom"/>
          </w:tcPr>
          <w:p>
            <w:pPr>
              <w:jc w:val="right"/>
              <w:ind w:right="1004"/>
              <w:spacing w:after="0"/>
              <w:rPr>
                <w:sz w:val="20"/>
                <w:szCs w:val="20"/>
                <w:color w:val="auto"/>
              </w:rPr>
            </w:pPr>
            <w:r>
              <w:rPr>
                <w:rFonts w:ascii="Arial" w:cs="Arial" w:eastAsia="Arial" w:hAnsi="Arial"/>
                <w:sz w:val="16"/>
                <w:szCs w:val="16"/>
                <w:b w:val="1"/>
                <w:bCs w:val="1"/>
                <w:color w:val="auto"/>
              </w:rPr>
              <w:t>20</w:t>
            </w: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9"/>
        </w:trPr>
        <w:tc>
          <w:tcPr>
            <w:tcW w:w="5760" w:type="dxa"/>
            <w:vAlign w:val="bottom"/>
          </w:tcPr>
          <w:p>
            <w:pPr>
              <w:ind w:left="140"/>
              <w:spacing w:after="0"/>
              <w:rPr>
                <w:sz w:val="20"/>
                <w:szCs w:val="20"/>
                <w:color w:val="auto"/>
              </w:rPr>
            </w:pPr>
            <w:r>
              <w:rPr>
                <w:rFonts w:ascii="Arial" w:cs="Arial" w:eastAsia="Arial" w:hAnsi="Arial"/>
                <w:sz w:val="16"/>
                <w:szCs w:val="16"/>
                <w:color w:val="auto"/>
              </w:rPr>
              <w:t>Weighted average stock options</w:t>
            </w:r>
          </w:p>
        </w:tc>
        <w:tc>
          <w:tcPr>
            <w:tcW w:w="860" w:type="dxa"/>
            <w:vAlign w:val="bottom"/>
          </w:tcPr>
          <w:p>
            <w:pPr>
              <w:spacing w:after="0"/>
              <w:rPr>
                <w:sz w:val="19"/>
                <w:szCs w:val="19"/>
                <w:color w:val="auto"/>
              </w:rPr>
            </w:pPr>
          </w:p>
        </w:tc>
        <w:tc>
          <w:tcPr>
            <w:tcW w:w="1500" w:type="dxa"/>
            <w:vAlign w:val="bottom"/>
          </w:tcPr>
          <w:p>
            <w:pPr>
              <w:jc w:val="right"/>
              <w:ind w:right="1044"/>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924"/>
              <w:spacing w:after="0"/>
              <w:rPr>
                <w:sz w:val="20"/>
                <w:szCs w:val="20"/>
                <w:color w:val="auto"/>
              </w:rPr>
            </w:pPr>
            <w:r>
              <w:rPr>
                <w:rFonts w:ascii="Arial" w:cs="Arial" w:eastAsia="Arial" w:hAnsi="Arial"/>
                <w:sz w:val="16"/>
                <w:szCs w:val="16"/>
                <w:color w:val="auto"/>
              </w:rPr>
              <w:t>13</w:t>
            </w:r>
          </w:p>
        </w:tc>
        <w:tc>
          <w:tcPr>
            <w:tcW w:w="1460" w:type="dxa"/>
            <w:vAlign w:val="bottom"/>
          </w:tcPr>
          <w:p>
            <w:pPr>
              <w:jc w:val="right"/>
              <w:ind w:right="1004"/>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diluted earnings per share amounts for the three and nine months ended September 30, 2024 exclude the effects of 27,742 stock options and contingently issuable shares as their inclusion would have been antidilutive due to a market condition. The diluted (loss) earnings</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per share amounts for the three and nine months ended September 30, 2023 exclude the effects of 105,000 stock options and contingently issuable shares outstanding as their inclusion would have been antidilutive due to a market condition.</w:t>
      </w:r>
    </w:p>
    <w:p>
      <w:pPr>
        <w:spacing w:after="0" w:line="104"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In the three and nine months ended September 30, 2024, the Company declared regular dividends totaling $ 1.72 and $ 6.88 per common share, respectively. In the three and nine months ended September 30, 2023, the Company declared regular dividends totaling $1.65 and $6.60 per common share,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14,761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8,490</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42,866</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25,306</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11,220</w:t>
            </w:r>
          </w:p>
        </w:tc>
        <w:tc>
          <w:tcPr>
            <w:tcW w:w="5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11,559</w:t>
            </w:r>
          </w:p>
        </w:tc>
        <w:tc>
          <w:tcPr>
            <w:tcW w:w="3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33,660</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34,652</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(41,487)</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(38,351)</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(124,416)</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(114,774)</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 cost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(487)</w:t>
            </w:r>
          </w:p>
        </w:tc>
        <w:tc>
          <w:tcPr>
            <w:tcW w:w="5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412</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(1,463)</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1,234</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(11,891)</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(9,888)</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(35,672)</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(29,916)</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(27,884)</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(27,778)</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(85,025)</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(83,498)</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Early retirement program and 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3,665</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20,493</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9,646</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(24,219)</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(27,778)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(64,532)</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(73,852)</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October 2024, the Company purchased an irrevocable group annuity contract from an insurance company for $461.3 million to settle</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$457.9 million of the outstanding defined benefit pension obligation related to certain retirees and beneficiaries. The purchase of the group annuity contract was funded from the assets of the Company’s pension plan. As a result of this transaction, the Company was relieved of all</w:t>
      </w:r>
    </w:p>
    <w:p>
      <w:pPr>
        <w:spacing w:after="0" w:line="235" w:lineRule="auto"/>
        <w:rPr>
          <w:sz w:val="20"/>
          <w:szCs w:val="20"/>
          <w:color w:val="auto"/>
        </w:rPr>
      </w:pPr>
      <w:r>
        <w:rPr>
          <w:rFonts w:ascii="Arial" w:cs="Arial" w:eastAsia="Arial" w:hAnsi="Arial"/>
          <w:sz w:val="18"/>
          <w:szCs w:val="18"/>
          <w:color w:val="auto"/>
        </w:rPr>
        <w:t>responsibility for these pension obligations and the insurance company is now required to pay and administer the retirement benefits owed to</w:t>
      </w:r>
    </w:p>
    <w:p>
      <w:pPr>
        <w:ind w:right="280"/>
        <w:spacing w:after="0" w:line="226" w:lineRule="auto"/>
        <w:rPr>
          <w:sz w:val="20"/>
          <w:szCs w:val="20"/>
          <w:color w:val="auto"/>
        </w:rPr>
      </w:pPr>
      <w:r>
        <w:rPr>
          <w:rFonts w:ascii="Arial" w:cs="Arial" w:eastAsia="Arial" w:hAnsi="Arial"/>
          <w:sz w:val="18"/>
          <w:szCs w:val="18"/>
          <w:color w:val="auto"/>
        </w:rPr>
        <w:t>approximately 1,850 retirees and beneficiaries, with no change to the amount, timing or form of monthly retirement benefit payments. As a result, the Company estimates that it will record a one-time pre-tax settlement gain of approximately $700 million in the fourth quarter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40"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In the third quarter of 2024, the Company recorded $3.7 million in expenses related to Separation Incentive Programs (SIPs) for certain Kaplan, Dekko, WGB, Saatchi Art, Society6, Slate and Decile employees, which were funded from the assets of the Company’s pension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In the second quarter of 2024, the Company recorded $14.8 million in expenses related to a Voluntary Retirement Incentive Program (VRIP) for certain Graham Media Group and Corporate employees, which was funded from the assets of the Company’s pension plan. Also in the</w:t>
      </w:r>
    </w:p>
    <w:p>
      <w:pPr>
        <w:spacing w:after="0" w:line="235" w:lineRule="auto"/>
        <w:rPr>
          <w:sz w:val="20"/>
          <w:szCs w:val="20"/>
          <w:color w:val="auto"/>
        </w:rPr>
      </w:pPr>
      <w:r>
        <w:rPr>
          <w:rFonts w:ascii="Arial" w:cs="Arial" w:eastAsia="Arial" w:hAnsi="Arial"/>
          <w:sz w:val="18"/>
          <w:szCs w:val="18"/>
          <w:color w:val="auto"/>
        </w:rPr>
        <w:t>second quarter of 2024, the Company recorded $1.6 million in expenses related to SIPs for certain Framebridge and Code3 employees,</w:t>
      </w:r>
    </w:p>
    <w:p>
      <w:pPr>
        <w:ind w:right="760"/>
        <w:spacing w:after="0" w:line="237" w:lineRule="auto"/>
        <w:rPr>
          <w:sz w:val="20"/>
          <w:szCs w:val="20"/>
          <w:color w:val="auto"/>
        </w:rPr>
      </w:pPr>
      <w:r>
        <w:rPr>
          <w:rFonts w:ascii="Arial" w:cs="Arial" w:eastAsia="Arial" w:hAnsi="Arial"/>
          <w:sz w:val="18"/>
          <w:szCs w:val="18"/>
          <w:color w:val="auto"/>
        </w:rPr>
        <w:t>which was funded from the assets of the Company’s pension plan. In the first quarter of 2024, the Company recorded $0.4 million in expenses related to a SIP for certain Framebridge employees, which was funded from the assets of the Company’s pension plans.</w:t>
      </w:r>
    </w:p>
    <w:p>
      <w:pPr>
        <w:spacing w:after="0" w:line="1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second quarter of 2023, the Company recorded $5.5 million in expenses related to SIPs for certain Kaplan, Graham Media Group, Leaf Group, Code3 and Pinna employees, which was funded from the assets of the Company’s pension plans. In the first quarter of 2023, the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Company recorded $4.1 million in expenses related to SIPs for certain Leaf Group and Code3 employees, which was funded from the assets of the Company’s pension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2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2023</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287</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148</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862</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444</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1,128</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1,164</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3,385</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3,494</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1,415</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1,312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4,247</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3,938</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funds, a U.S. stock index fund, and a relatively small number of stocks and high-quality fixed-income securities that are held by a third-party trustee. The assets of the Company’s pension plans were allocated as follows:</w:t>
      </w:r>
    </w:p>
    <w:p>
      <w:pPr>
        <w:spacing w:after="0" w:line="190" w:lineRule="exact"/>
        <w:rPr>
          <w:sz w:val="20"/>
          <w:szCs w:val="20"/>
          <w:color w:val="auto"/>
        </w:rPr>
      </w:pPr>
    </w:p>
    <w:tbl>
      <w:tblPr>
        <w:tblLayout w:type="fixed"/>
        <w:tblInd w:w="8240" w:type="dxa"/>
        <w:tblCellMar>
          <w:top w:w="0" w:type="dxa"/>
          <w:left w:w="0" w:type="dxa"/>
          <w:bottom w:w="0" w:type="dxa"/>
          <w:right w:w="0" w:type="dxa"/>
        </w:tblCellMar>
      </w:tblPr>
      <w:tr>
        <w:trPr>
          <w:trHeight w:val="205"/>
        </w:trPr>
        <w:tc>
          <w:tcPr>
            <w:tcW w:w="1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 of</w:t>
            </w:r>
          </w:p>
        </w:tc>
      </w:tr>
      <w:tr>
        <w:trPr>
          <w:trHeight w:val="220"/>
        </w:trPr>
        <w:tc>
          <w:tcPr>
            <w:tcW w:w="1260" w:type="dxa"/>
            <w:vAlign w:val="bottom"/>
          </w:tcPr>
          <w:p>
            <w:pPr>
              <w:jc w:val="center"/>
              <w:ind w:left="128"/>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tcPr>
          <w:p>
            <w:pPr>
              <w:jc w:val="center"/>
              <w:ind w:left="208"/>
              <w:spacing w:after="0"/>
              <w:rPr>
                <w:sz w:val="20"/>
                <w:szCs w:val="20"/>
                <w:color w:val="auto"/>
              </w:rPr>
            </w:pPr>
            <w:r>
              <w:rPr>
                <w:rFonts w:ascii="Arial" w:cs="Arial" w:eastAsia="Arial" w:hAnsi="Arial"/>
                <w:sz w:val="14"/>
                <w:szCs w:val="14"/>
                <w:color w:val="auto"/>
              </w:rPr>
              <w:t>December 31,</w:t>
            </w:r>
          </w:p>
        </w:tc>
      </w:tr>
      <w:tr>
        <w:trPr>
          <w:trHeight w:val="196"/>
        </w:trPr>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20" w:lineRule="exact"/>
        <w:rPr>
          <w:sz w:val="20"/>
          <w:szCs w:val="20"/>
          <w:color w:val="auto"/>
        </w:rPr>
      </w:pPr>
      <w:r>
        <w:rPr>
          <w:sz w:val="20"/>
          <w:szCs w:val="20"/>
          <w:color w:val="auto"/>
        </w:rPr>
        <w:br w:type="column"/>
      </w:r>
    </w:p>
    <w:p>
      <w:pPr>
        <w:ind w:left="80"/>
        <w:spacing w:after="0"/>
        <w:tabs>
          <w:tab w:leader="none" w:pos="1620" w:val="left"/>
        </w:tabs>
        <w:rPr>
          <w:sz w:val="20"/>
          <w:szCs w:val="20"/>
          <w:color w:val="auto"/>
        </w:rPr>
      </w:pPr>
      <w:r>
        <w:rPr>
          <w:rFonts w:ascii="Arial" w:cs="Arial" w:eastAsia="Arial" w:hAnsi="Arial"/>
          <w:sz w:val="16"/>
          <w:szCs w:val="16"/>
          <w:b w:val="1"/>
          <w:bCs w:val="1"/>
          <w:color w:val="auto"/>
        </w:rPr>
        <w:t>56 %</w:t>
      </w:r>
      <w:r>
        <w:rPr>
          <w:sz w:val="20"/>
          <w:szCs w:val="20"/>
          <w:color w:val="auto"/>
        </w:rPr>
        <w:tab/>
      </w:r>
      <w:r>
        <w:rPr>
          <w:rFonts w:ascii="Arial" w:cs="Arial" w:eastAsia="Arial" w:hAnsi="Arial"/>
          <w:sz w:val="15"/>
          <w:szCs w:val="15"/>
          <w:color w:val="auto"/>
        </w:rPr>
        <w:t>59 %</w:t>
      </w:r>
    </w:p>
    <w:p>
      <w:pPr>
        <w:spacing w:after="0" w:line="46" w:lineRule="exact"/>
        <w:rPr>
          <w:sz w:val="20"/>
          <w:szCs w:val="20"/>
          <w:color w:val="auto"/>
        </w:rPr>
      </w:pPr>
    </w:p>
    <w:p>
      <w:pPr>
        <w:ind w:left="80"/>
        <w:spacing w:after="0"/>
        <w:tabs>
          <w:tab w:leader="none" w:pos="170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6"/>
          <w:szCs w:val="16"/>
          <w:color w:val="auto"/>
        </w:rPr>
        <w:t>7 %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16 %</w:t>
      </w:r>
      <w:r>
        <w:rPr>
          <w:sz w:val="20"/>
          <w:szCs w:val="20"/>
          <w:color w:val="auto"/>
        </w:rPr>
        <w:tab/>
      </w:r>
      <w:r>
        <w:rPr>
          <w:rFonts w:ascii="Arial" w:cs="Arial" w:eastAsia="Arial" w:hAnsi="Arial"/>
          <w:sz w:val="15"/>
          <w:szCs w:val="15"/>
          <w:color w:val="auto"/>
        </w:rPr>
        <w:t>17 %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11 %</w:t>
      </w:r>
      <w:r>
        <w:rPr>
          <w:sz w:val="20"/>
          <w:szCs w:val="20"/>
          <w:color w:val="auto"/>
        </w:rPr>
        <w:tab/>
      </w:r>
      <w:r>
        <w:rPr>
          <w:rFonts w:ascii="Arial" w:cs="Arial" w:eastAsia="Arial" w:hAnsi="Arial"/>
          <w:sz w:val="15"/>
          <w:szCs w:val="15"/>
          <w:color w:val="auto"/>
        </w:rPr>
        <w:t>14 %</w:t>
      </w:r>
    </w:p>
    <w:p>
      <w:pPr>
        <w:spacing w:after="0" w:line="46"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29210</wp:posOffset>
            </wp:positionV>
            <wp:extent cx="19030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29210</wp:posOffset>
            </wp:positionV>
            <wp:extent cx="19030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55245</wp:posOffset>
            </wp:positionV>
            <wp:extent cx="1903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931" w:right="339" w:bottom="1440" w:gutter="0" w:footer="0" w:header="0"/>
          <w:type w:val="continuous"/>
        </w:sectPr>
      </w:pPr>
    </w:p>
    <w:p>
      <w:pPr>
        <w:spacing w:after="0" w:line="12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manages approximately 48% of the pension assets internally, of which the majority is invested in private investment funds with the remaining investments in Berkshire Hathaway and Markel stock, and short-term fixed-income securities. The remaining 52% of plan</w:t>
      </w:r>
    </w:p>
    <w:p>
      <w:pPr>
        <w:spacing w:after="0" w:line="235" w:lineRule="auto"/>
        <w:rPr>
          <w:sz w:val="20"/>
          <w:szCs w:val="20"/>
          <w:color w:val="auto"/>
        </w:rPr>
      </w:pPr>
      <w:r>
        <w:rPr>
          <w:rFonts w:ascii="Arial" w:cs="Arial" w:eastAsia="Arial" w:hAnsi="Arial"/>
          <w:sz w:val="18"/>
          <w:szCs w:val="18"/>
          <w:color w:val="auto"/>
        </w:rPr>
        <w:t>assets are managed by two investment companies. The goal of the investment managers is to produce moderate long-term growth in the</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value of these assets, while protecting them against large decreases in value. Both investment managers may invest in a combination of equity and fixed-income securities and cash. The managers are not permitted to invest in securities of the Company or in alternative</w:t>
      </w:r>
    </w:p>
    <w:p>
      <w:pPr>
        <w:spacing w:after="0" w:line="236" w:lineRule="auto"/>
        <w:rPr>
          <w:sz w:val="20"/>
          <w:szCs w:val="20"/>
          <w:color w:val="auto"/>
        </w:rPr>
      </w:pPr>
      <w:r>
        <w:rPr>
          <w:rFonts w:ascii="Arial" w:cs="Arial" w:eastAsia="Arial" w:hAnsi="Arial"/>
          <w:sz w:val="18"/>
          <w:szCs w:val="18"/>
          <w:color w:val="auto"/>
        </w:rPr>
        <w:t>investments. One investment manager cannot invest more than 15% of the assets at the time of purchase in the stock of Alphabet and</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Berkshire Hathaway, and no more than 35% of the assets it manages in specified international exchanges at the time the investment is made. The other investment manager cannot invest more than 20% of the assets at the time of purchase in the stock of Berkshire Hathaway</w:t>
      </w:r>
    </w:p>
    <w:p>
      <w:pPr>
        <w:spacing w:after="0" w:line="236" w:lineRule="auto"/>
        <w:rPr>
          <w:sz w:val="20"/>
          <w:szCs w:val="20"/>
          <w:color w:val="auto"/>
        </w:rPr>
      </w:pPr>
      <w:r>
        <w:rPr>
          <w:rFonts w:ascii="Arial" w:cs="Arial" w:eastAsia="Arial" w:hAnsi="Arial"/>
          <w:sz w:val="18"/>
          <w:szCs w:val="18"/>
          <w:color w:val="auto"/>
        </w:rPr>
        <w:t>and no more than 15% of the assets it manages in specified international exchanges at the time the investment is made. Excluding the</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exceptions noted above, the investment managers cannot invest more than 10% of the assets in the securities of any other single issuer, except for obligations of the U.S. Government, without receiving prior approval from the Plan administrator.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2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2024. Types of concentrations that were evaluated include, but are not limited to,</w:t>
      </w:r>
    </w:p>
    <w:p>
      <w:pPr>
        <w:spacing w:after="0" w:line="235" w:lineRule="auto"/>
        <w:rPr>
          <w:sz w:val="20"/>
          <w:szCs w:val="20"/>
          <w:color w:val="auto"/>
        </w:rPr>
      </w:pPr>
      <w:r>
        <w:rPr>
          <w:rFonts w:ascii="Arial" w:cs="Arial" w:eastAsia="Arial" w:hAnsi="Arial"/>
          <w:sz w:val="18"/>
          <w:szCs w:val="18"/>
          <w:color w:val="auto"/>
        </w:rPr>
        <w:t>investment concentrations in a single entity, type of industry, foreign country and individual fund. At September 30, 2024, the pension plan</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held investments in one common stock, one private investment fund, and one U.S. Treasury securities fund that exceeded 10% of total plan assets, valued at $1,736.1 million, or approximately 51% of total plan assets. At December 31, 2023, the pension plan held investments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one common stock and one private investment fund that exceeded 10% of total plan assets, valued at $1,011.1 million, or approximately 34%</w:t>
      </w:r>
    </w:p>
    <w:p>
      <w:pPr>
        <w:spacing w:after="0" w:line="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of total plan assets. Assets also included $91.0 million and $82.4 million of Markel shares at September 30, 2024 and December 31, 2023,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benefit arising from the Company’s other postretirement plans consists of the following components: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0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56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4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1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2023</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80" w:type="dxa"/>
            <w:vAlign w:val="bottom"/>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16"/>
                <w:szCs w:val="16"/>
                <w:b w:val="1"/>
                <w:bCs w:val="1"/>
                <w:color w:val="auto"/>
              </w:rPr>
              <w:t>14</w:t>
            </w:r>
          </w:p>
        </w:tc>
        <w:tc>
          <w:tcPr>
            <w:tcW w:w="92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42</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112</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880" w:type="dxa"/>
            <w:vAlign w:val="bottom"/>
          </w:tcPr>
          <w:p>
            <w:pPr>
              <w:spacing w:after="0"/>
              <w:rPr>
                <w:sz w:val="19"/>
                <w:szCs w:val="19"/>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9"/>
                <w:szCs w:val="19"/>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(469)</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(1,408)</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88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(455)</w:t>
            </w:r>
          </w:p>
        </w:tc>
        <w:tc>
          <w:tcPr>
            <w:tcW w:w="92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(1,366)</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r>
      <w:tr>
        <w:trPr>
          <w:trHeight w:val="21"/>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12. OTHER NON-OPERATING (EXPENSE)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8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280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600" w:type="dxa"/>
            <w:vAlign w:val="bottom"/>
          </w:tcPr>
          <w:p>
            <w:pPr>
              <w:spacing w:after="0"/>
              <w:rPr>
                <w:sz w:val="20"/>
                <w:szCs w:val="20"/>
                <w:color w:val="auto"/>
              </w:rPr>
            </w:pPr>
            <w:r>
              <w:rPr>
                <w:rFonts w:ascii="Arial" w:cs="Arial" w:eastAsia="Arial" w:hAnsi="Arial"/>
                <w:sz w:val="14"/>
                <w:szCs w:val="14"/>
                <w:color w:val="auto"/>
              </w:rPr>
              <w:t>(in thousands)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1940" w:type="dxa"/>
            <w:vAlign w:val="bottom"/>
          </w:tcPr>
          <w:p>
            <w:pPr>
              <w:jc w:val="right"/>
              <w:ind w:right="488"/>
              <w:spacing w:after="0"/>
              <w:rPr>
                <w:sz w:val="20"/>
                <w:szCs w:val="20"/>
                <w:color w:val="auto"/>
              </w:rPr>
            </w:pPr>
            <w:r>
              <w:rPr>
                <w:rFonts w:ascii="Arial" w:cs="Arial" w:eastAsia="Arial" w:hAnsi="Arial"/>
                <w:sz w:val="14"/>
                <w:szCs w:val="14"/>
                <w:color w:val="auto"/>
              </w:rPr>
              <w:t>2023</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1880" w:type="dxa"/>
            <w:vAlign w:val="bottom"/>
          </w:tcPr>
          <w:p>
            <w:pPr>
              <w:jc w:val="right"/>
              <w:ind w:right="42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businesses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(loss) gain,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investment in affiliate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gain,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Non-Operating (Expense)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3,763</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1,136</w:t>
            </w:r>
          </w:p>
        </w:tc>
        <w:tc>
          <w:tcPr>
            <w:tcW w:w="5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8,121</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14,368</w:t>
            </w:r>
          </w:p>
        </w:tc>
      </w:tr>
      <w:tr>
        <w:trPr>
          <w:trHeight w:val="229"/>
        </w:trPr>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(4,559)</w:t>
            </w:r>
          </w:p>
        </w:tc>
        <w:tc>
          <w:tcPr>
            <w:tcW w:w="5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1,720</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(5,642)</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1,820</w:t>
            </w:r>
          </w:p>
        </w:tc>
      </w:tr>
      <w:tr>
        <w:trPr>
          <w:trHeight w:val="230"/>
        </w:trPr>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(744)</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15</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5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5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7</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958</w:t>
            </w:r>
          </w:p>
        </w:tc>
      </w:tr>
      <w:tr>
        <w:trPr>
          <w:trHeight w:val="230"/>
        </w:trPr>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191</w:t>
            </w:r>
          </w:p>
        </w:tc>
        <w:tc>
          <w:tcPr>
            <w:tcW w:w="5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191</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3,104</w:t>
            </w:r>
          </w:p>
        </w:tc>
      </w:tr>
      <w:tr>
        <w:trPr>
          <w:trHeight w:val="233"/>
        </w:trPr>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139</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598</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1,025</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w:t>
            </w:r>
          </w:p>
        </w:tc>
      </w:tr>
      <w:tr>
        <w:trPr>
          <w:trHeight w:val="223"/>
        </w:trPr>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3,581</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2,973</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22,458</w:t>
            </w:r>
          </w:p>
        </w:tc>
      </w:tr>
      <w:tr>
        <w:trPr>
          <w:trHeight w:val="24"/>
        </w:trPr>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900" w:space="720"/>
            <w:col w:w="5620"/>
          </w:cols>
          <w:pgMar w:left="320" w:top="1039" w:right="339" w:bottom="1440" w:gutter="0" w:footer="0" w:header="0"/>
          <w:type w:val="continuous"/>
        </w:sectPr>
      </w:pPr>
    </w:p>
    <w:p>
      <w:pPr>
        <w:spacing w:after="0" w:line="2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gain on cost method investments results from observable price changes in the fair value of the underlying equity securities accounted for under the cost method (see Notes 3 and 8).</w:t>
      </w:r>
    </w:p>
    <w:p>
      <w:pPr>
        <w:spacing w:after="0" w:line="86"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During the nine months ended September 30, 2024, the Company recorded contingent consideration gains of $0.9 million related to the disposition of Kaplan University (KU) in 2018. During the three and nine months ended September 30, 2023, the Company recorded contingent consideration gains of $1.1 million and $4.3 million,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2024, the Company recorded a $3.7 million gain related to Kaplan’s sale of a small business (see Note 2).</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the second quarter of 2024, the Company recorded a $3.5 million gain related to the sale of a small business by WGB, which included five websites (see Note 2).</w:t>
      </w:r>
    </w:p>
    <w:p>
      <w:pPr>
        <w:spacing w:after="0" w:line="8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the second quarter of 2023, the Company recorded a $10.0 million gain related to the Pinna transaction (see Notes 2 and 3). The Company used a market approach to determine the fair value of the noncontrolling financial interest received in Realm in exchange for the Pinna business.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8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10"/>
        </w:trPr>
        <w:tc>
          <w:tcPr>
            <w:tcW w:w="46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2023</w:t>
            </w:r>
          </w:p>
        </w:tc>
        <w:tc>
          <w:tcPr>
            <w:tcW w:w="1080" w:type="dxa"/>
            <w:vAlign w:val="bottom"/>
            <w:tcBorders>
              <w:bottom w:val="single" w:sz="8" w:color="auto"/>
            </w:tcBorders>
          </w:tcPr>
          <w:p>
            <w:pPr>
              <w:spacing w:after="0"/>
              <w:rPr>
                <w:sz w:val="18"/>
                <w:szCs w:val="18"/>
                <w:color w:val="auto"/>
              </w:rPr>
            </w:pPr>
          </w:p>
        </w:tc>
      </w:tr>
      <w:tr>
        <w:trPr>
          <w:trHeight w:val="200"/>
        </w:trPr>
        <w:tc>
          <w:tcPr>
            <w:tcW w:w="4660" w:type="dxa"/>
            <w:vAlign w:val="bottom"/>
          </w:tcPr>
          <w:p>
            <w:pPr>
              <w:spacing w:after="0"/>
              <w:rPr>
                <w:sz w:val="17"/>
                <w:szCs w:val="17"/>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rPr>
              <w:t>Before-Tax</w:t>
            </w:r>
          </w:p>
        </w:tc>
        <w:tc>
          <w:tcPr>
            <w:tcW w:w="840" w:type="dxa"/>
            <w:vAlign w:val="bottom"/>
          </w:tcPr>
          <w:p>
            <w:pPr>
              <w:jc w:val="center"/>
              <w:ind w:left="68"/>
              <w:spacing w:after="0"/>
              <w:rPr>
                <w:sz w:val="20"/>
                <w:szCs w:val="20"/>
                <w:color w:val="auto"/>
              </w:rPr>
            </w:pPr>
            <w:r>
              <w:rPr>
                <w:rFonts w:ascii="Arial" w:cs="Arial" w:eastAsia="Arial" w:hAnsi="Arial"/>
                <w:sz w:val="14"/>
                <w:szCs w:val="14"/>
                <w:b w:val="1"/>
                <w:bCs w:val="1"/>
                <w:color w:val="auto"/>
              </w:rPr>
              <w:t>Income</w:t>
            </w:r>
          </w:p>
        </w:tc>
        <w:tc>
          <w:tcPr>
            <w:tcW w:w="1280" w:type="dxa"/>
            <w:vAlign w:val="bottom"/>
          </w:tcPr>
          <w:p>
            <w:pPr>
              <w:jc w:val="center"/>
              <w:ind w:left="108"/>
              <w:spacing w:after="0"/>
              <w:rPr>
                <w:sz w:val="20"/>
                <w:szCs w:val="20"/>
                <w:color w:val="auto"/>
              </w:rPr>
            </w:pPr>
            <w:r>
              <w:rPr>
                <w:rFonts w:ascii="Arial" w:cs="Arial" w:eastAsia="Arial" w:hAnsi="Arial"/>
                <w:sz w:val="14"/>
                <w:szCs w:val="14"/>
                <w:b w:val="1"/>
                <w:bCs w:val="1"/>
                <w:color w:val="auto"/>
              </w:rPr>
              <w:t>After-Tax</w:t>
            </w:r>
          </w:p>
        </w:tc>
        <w:tc>
          <w:tcPr>
            <w:tcW w:w="1340" w:type="dxa"/>
            <w:vAlign w:val="bottom"/>
          </w:tcPr>
          <w:p>
            <w:pPr>
              <w:jc w:val="center"/>
              <w:ind w:right="88"/>
              <w:spacing w:after="0"/>
              <w:rPr>
                <w:sz w:val="20"/>
                <w:szCs w:val="20"/>
                <w:color w:val="auto"/>
              </w:rPr>
            </w:pPr>
            <w:r>
              <w:rPr>
                <w:rFonts w:ascii="Arial" w:cs="Arial" w:eastAsia="Arial" w:hAnsi="Arial"/>
                <w:sz w:val="14"/>
                <w:szCs w:val="14"/>
                <w:color w:val="auto"/>
              </w:rPr>
              <w:t>Before-Tax</w:t>
            </w:r>
          </w:p>
        </w:tc>
        <w:tc>
          <w:tcPr>
            <w:tcW w:w="880" w:type="dxa"/>
            <w:vAlign w:val="bottom"/>
          </w:tcPr>
          <w:p>
            <w:pPr>
              <w:jc w:val="center"/>
              <w:ind w:right="68"/>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w w:val="97"/>
              </w:rPr>
              <w:t>After-Tax</w:t>
            </w:r>
          </w:p>
        </w:tc>
      </w:tr>
      <w:tr>
        <w:trPr>
          <w:trHeight w:val="216"/>
        </w:trPr>
        <w:tc>
          <w:tcPr>
            <w:tcW w:w="4660" w:type="dxa"/>
            <w:vAlign w:val="bottom"/>
          </w:tcPr>
          <w:p>
            <w:pPr>
              <w:spacing w:after="0"/>
              <w:rPr>
                <w:sz w:val="20"/>
                <w:szCs w:val="20"/>
                <w:color w:val="auto"/>
              </w:rPr>
            </w:pPr>
            <w:r>
              <w:rPr>
                <w:rFonts w:ascii="Arial" w:cs="Arial" w:eastAsia="Arial" w:hAnsi="Arial"/>
                <w:sz w:val="14"/>
                <w:szCs w:val="14"/>
                <w:color w:val="auto"/>
              </w:rPr>
              <w:t>(in thousands)</w:t>
            </w: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9"/>
              </w:rPr>
              <w:t>Tax</w:t>
            </w:r>
          </w:p>
        </w:tc>
        <w:tc>
          <w:tcPr>
            <w:tcW w:w="1280" w:type="dxa"/>
            <w:vAlign w:val="bottom"/>
          </w:tcPr>
          <w:p>
            <w:pPr>
              <w:jc w:val="center"/>
              <w:ind w:left="128"/>
              <w:spacing w:after="0"/>
              <w:rPr>
                <w:sz w:val="20"/>
                <w:szCs w:val="20"/>
                <w:color w:val="auto"/>
              </w:rPr>
            </w:pPr>
            <w:r>
              <w:rPr>
                <w:rFonts w:ascii="Arial" w:cs="Arial" w:eastAsia="Arial" w:hAnsi="Arial"/>
                <w:sz w:val="14"/>
                <w:szCs w:val="14"/>
                <w:b w:val="1"/>
                <w:bCs w:val="1"/>
                <w:color w:val="auto"/>
              </w:rPr>
              <w:t>Amount</w:t>
            </w:r>
          </w:p>
        </w:tc>
        <w:tc>
          <w:tcPr>
            <w:tcW w:w="1340" w:type="dxa"/>
            <w:vAlign w:val="bottom"/>
          </w:tcPr>
          <w:p>
            <w:pPr>
              <w:jc w:val="center"/>
              <w:ind w:right="88"/>
              <w:spacing w:after="0"/>
              <w:rPr>
                <w:sz w:val="20"/>
                <w:szCs w:val="20"/>
                <w:color w:val="auto"/>
              </w:rPr>
            </w:pPr>
            <w:r>
              <w:rPr>
                <w:rFonts w:ascii="Arial" w:cs="Arial" w:eastAsia="Arial" w:hAnsi="Arial"/>
                <w:sz w:val="14"/>
                <w:szCs w:val="14"/>
                <w:color w:val="auto"/>
              </w:rPr>
              <w:t>Amount</w:t>
            </w:r>
          </w:p>
        </w:tc>
        <w:tc>
          <w:tcPr>
            <w:tcW w:w="880" w:type="dxa"/>
            <w:vAlign w:val="bottom"/>
          </w:tcPr>
          <w:p>
            <w:pPr>
              <w:jc w:val="center"/>
              <w:ind w:right="68"/>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w w:val="99"/>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300" w:hanging="161"/>
        <w:spacing w:after="0" w:line="264" w:lineRule="auto"/>
        <w:rPr>
          <w:sz w:val="20"/>
          <w:szCs w:val="20"/>
          <w:color w:val="auto"/>
        </w:rPr>
      </w:pPr>
      <w:r>
        <w:rPr>
          <w:rFonts w:ascii="Arial" w:cs="Arial" w:eastAsia="Arial" w:hAnsi="Arial"/>
          <w:sz w:val="16"/>
          <w:szCs w:val="16"/>
          <w:color w:val="auto"/>
        </w:rPr>
        <w:t>Amortization of net prior service (credit) cost included in net income</w:t>
      </w:r>
    </w:p>
    <w:p>
      <w:pPr>
        <w:ind w:left="14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Losses for the period</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23"/>
        </w:trPr>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31,469</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31,469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(19,474)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(19,474)</w:t>
            </w:r>
          </w:p>
        </w:tc>
      </w:tr>
      <w:tr>
        <w:trPr>
          <w:trHeight w:val="233"/>
        </w:trPr>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30,704</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30,704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(19,474)</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(19,474)</w:t>
            </w:r>
          </w:p>
        </w:tc>
      </w:tr>
      <w:tr>
        <w:trPr>
          <w:trHeight w:val="624"/>
        </w:trPr>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36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124</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(363)</w:t>
            </w:r>
          </w:p>
        </w:tc>
        <w:tc>
          <w:tcPr>
            <w:tcW w:w="32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33"/>
        </w:trPr>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(12,360)</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3,164</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(9,196)</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(10,473)</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2,694</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(7,779)</w:t>
            </w:r>
          </w:p>
        </w:tc>
      </w:tr>
      <w:tr>
        <w:trPr>
          <w:trHeight w:val="223"/>
        </w:trPr>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(12,847)</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3,288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(9,559)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(10,063)</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2,589</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(7,474)</w:t>
            </w:r>
          </w:p>
        </w:tc>
      </w:tr>
      <w:tr>
        <w:trPr>
          <w:trHeight w:val="452"/>
        </w:trPr>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(1,975)</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515</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(1,460)</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879</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w:t>
            </w:r>
          </w:p>
        </w:tc>
      </w:tr>
      <w:tr>
        <w:trPr>
          <w:trHeight w:val="223"/>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15,882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3,803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19,685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(33,361)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(29,893)</w:t>
            </w:r>
          </w:p>
        </w:tc>
      </w:tr>
      <w:tr>
        <w:trPr>
          <w:trHeight w:val="24"/>
        </w:trPr>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September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100" w:type="dxa"/>
            <w:vAlign w:val="bottom"/>
            <w:tcBorders>
              <w:top w:val="single" w:sz="8" w:color="auto"/>
              <w:bottom w:val="single" w:sz="8" w:color="auto"/>
            </w:tcBorders>
          </w:tcPr>
          <w:p>
            <w:pPr>
              <w:spacing w:after="0"/>
              <w:rPr>
                <w:sz w:val="19"/>
                <w:szCs w:val="19"/>
                <w:color w:val="auto"/>
              </w:rPr>
            </w:pPr>
          </w:p>
        </w:tc>
      </w:tr>
      <w:tr>
        <w:trPr>
          <w:trHeight w:val="201"/>
        </w:trPr>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rPr>
              <w:t>Before-Tax</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After-Tax</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Before-Tax</w:t>
            </w:r>
          </w:p>
        </w:tc>
        <w:tc>
          <w:tcPr>
            <w:tcW w:w="1020" w:type="dxa"/>
            <w:vAlign w:val="bottom"/>
          </w:tcPr>
          <w:p>
            <w:pPr>
              <w:jc w:val="center"/>
              <w:spacing w:after="0"/>
              <w:rPr>
                <w:sz w:val="20"/>
                <w:szCs w:val="20"/>
                <w:color w:val="auto"/>
              </w:rPr>
            </w:pPr>
            <w:r>
              <w:rPr>
                <w:rFonts w:ascii="Arial" w:cs="Arial" w:eastAsia="Arial" w:hAnsi="Arial"/>
                <w:sz w:val="14"/>
                <w:szCs w:val="14"/>
                <w:color w:val="auto"/>
              </w:rPr>
              <w:t>Income</w:t>
            </w:r>
          </w:p>
        </w:tc>
        <w:tc>
          <w:tcPr>
            <w:tcW w:w="1100" w:type="dxa"/>
            <w:vAlign w:val="bottom"/>
          </w:tcPr>
          <w:p>
            <w:pPr>
              <w:jc w:val="center"/>
              <w:spacing w:after="0"/>
              <w:rPr>
                <w:sz w:val="20"/>
                <w:szCs w:val="20"/>
                <w:color w:val="auto"/>
              </w:rPr>
            </w:pPr>
            <w:r>
              <w:rPr>
                <w:rFonts w:ascii="Arial" w:cs="Arial" w:eastAsia="Arial" w:hAnsi="Arial"/>
                <w:sz w:val="14"/>
                <w:szCs w:val="14"/>
                <w:color w:val="auto"/>
              </w:rPr>
              <w:t>After-Tax</w:t>
            </w:r>
          </w:p>
        </w:tc>
      </w:tr>
      <w:tr>
        <w:trPr>
          <w:trHeight w:val="216"/>
        </w:trPr>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Amount</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Tax</w:t>
            </w:r>
          </w:p>
        </w:tc>
        <w:tc>
          <w:tcPr>
            <w:tcW w:w="1100" w:type="dxa"/>
            <w:vAlign w:val="bottom"/>
          </w:tcPr>
          <w:p>
            <w:pPr>
              <w:jc w:val="center"/>
              <w:spacing w:after="0"/>
              <w:rPr>
                <w:sz w:val="20"/>
                <w:szCs w:val="20"/>
                <w:color w:val="auto"/>
              </w:rPr>
            </w:pPr>
            <w:r>
              <w:rPr>
                <w:rFonts w:ascii="Arial" w:cs="Arial" w:eastAsia="Arial" w:hAnsi="Arial"/>
                <w:sz w:val="14"/>
                <w:szCs w:val="14"/>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10160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4400" w:space="240"/>
            <w:col w:w="6600"/>
          </w:cols>
          <w:pgMar w:left="320" w:top="1039"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300" w:hanging="161"/>
        <w:spacing w:after="0" w:line="264" w:lineRule="auto"/>
        <w:rPr>
          <w:sz w:val="20"/>
          <w:szCs w:val="20"/>
          <w:color w:val="auto"/>
        </w:rPr>
      </w:pPr>
      <w:r>
        <w:rPr>
          <w:rFonts w:ascii="Arial" w:cs="Arial" w:eastAsia="Arial" w:hAnsi="Arial"/>
          <w:sz w:val="16"/>
          <w:szCs w:val="16"/>
          <w:color w:val="auto"/>
        </w:rPr>
        <w:t>Amortization of net prior service (credit) cost included in net income</w:t>
      </w:r>
    </w:p>
    <w:p>
      <w:pPr>
        <w:ind w:left="14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Losses for the period</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21,702</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21,702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(8,096)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(8,096)</w:t>
            </w:r>
          </w:p>
        </w:tc>
      </w:tr>
      <w:tr>
        <w:trPr>
          <w:trHeight w:val="233"/>
        </w:trPr>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20,937</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20,937</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(8,096)</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(8,096)</w:t>
            </w:r>
          </w:p>
        </w:tc>
      </w:tr>
      <w:tr>
        <w:trPr>
          <w:trHeight w:val="624"/>
        </w:trPr>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(1,463)</w:t>
            </w: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374</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(1,089)</w:t>
            </w:r>
          </w:p>
        </w:tc>
        <w:tc>
          <w:tcPr>
            <w:tcW w:w="32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1,230</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(316)</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33"/>
        </w:trPr>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(37,080)</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9,493</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(27,587)</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(31,673)</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8,147</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(23,526)</w:t>
            </w:r>
          </w:p>
        </w:tc>
      </w:tr>
      <w:tr>
        <w:trPr>
          <w:trHeight w:val="223"/>
        </w:trPr>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(38,543)</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9,867</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(28,676)</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(30,443)</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7,831</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(22,612)</w:t>
            </w:r>
          </w:p>
        </w:tc>
      </w:tr>
      <w:tr>
        <w:trPr>
          <w:trHeight w:val="452"/>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(518)</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135</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(383)</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820</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w:t>
            </w:r>
          </w:p>
        </w:tc>
      </w:tr>
      <w:tr>
        <w:trPr>
          <w:trHeight w:val="223"/>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(18,124)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10,002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8,651</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(33,454)</w:t>
            </w:r>
          </w:p>
        </w:tc>
      </w:tr>
      <w:tr>
        <w:trPr>
          <w:trHeight w:val="24"/>
        </w:trPr>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400" w:space="240"/>
            <w:col w:w="6600"/>
          </w:cols>
          <w:pgMar w:left="320" w:top="1039"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center"/>
              <w:ind w:left="324"/>
              <w:spacing w:after="0"/>
              <w:rPr>
                <w:sz w:val="20"/>
                <w:szCs w:val="20"/>
                <w:color w:val="auto"/>
              </w:rPr>
            </w:pPr>
            <w:r>
              <w:rPr>
                <w:rFonts w:ascii="Arial" w:cs="Arial" w:eastAsia="Arial" w:hAnsi="Arial"/>
                <w:sz w:val="16"/>
                <w:szCs w:val="16"/>
                <w:color w:val="auto"/>
                <w:w w:val="97"/>
              </w:rPr>
              <w:t>(32,711)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649,185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(2,137)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614,337</w:t>
            </w: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before reclassifications</w:t>
            </w:r>
          </w:p>
        </w:tc>
        <w:tc>
          <w:tcPr>
            <w:tcW w:w="160" w:type="dxa"/>
            <w:vAlign w:val="bottom"/>
          </w:tcPr>
          <w:p>
            <w:pPr>
              <w:spacing w:after="0"/>
              <w:rPr>
                <w:sz w:val="20"/>
                <w:szCs w:val="20"/>
                <w:color w:val="auto"/>
              </w:rPr>
            </w:pPr>
          </w:p>
        </w:tc>
        <w:tc>
          <w:tcPr>
            <w:tcW w:w="1140" w:type="dxa"/>
            <w:vAlign w:val="bottom"/>
          </w:tcPr>
          <w:p>
            <w:pPr>
              <w:jc w:val="center"/>
              <w:ind w:left="324"/>
              <w:spacing w:after="0"/>
              <w:rPr>
                <w:sz w:val="20"/>
                <w:szCs w:val="20"/>
                <w:color w:val="auto"/>
              </w:rPr>
            </w:pPr>
            <w:r>
              <w:rPr>
                <w:rFonts w:ascii="Arial" w:cs="Arial" w:eastAsia="Arial" w:hAnsi="Arial"/>
                <w:sz w:val="16"/>
                <w:szCs w:val="16"/>
                <w:b w:val="1"/>
                <w:bCs w:val="1"/>
                <w:color w:val="auto"/>
              </w:rPr>
              <w:t>21,702</w:t>
            </w:r>
          </w:p>
        </w:tc>
        <w:tc>
          <w:tcPr>
            <w:tcW w:w="200" w:type="dxa"/>
            <w:vAlign w:val="bottom"/>
          </w:tcPr>
          <w:p>
            <w:pPr>
              <w:spacing w:after="0"/>
              <w:rPr>
                <w:sz w:val="20"/>
                <w:szCs w:val="20"/>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(22)</w:t>
            </w:r>
          </w:p>
        </w:tc>
        <w:tc>
          <w:tcPr>
            <w:tcW w:w="200" w:type="dxa"/>
            <w:vAlign w:val="bottom"/>
          </w:tcPr>
          <w:p>
            <w:pPr>
              <w:spacing w:after="0"/>
              <w:rPr>
                <w:sz w:val="20"/>
                <w:szCs w:val="20"/>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b w:val="1"/>
                <w:bCs w:val="1"/>
                <w:color w:val="auto"/>
              </w:rPr>
              <w:t>21,680</w:t>
            </w:r>
          </w:p>
        </w:tc>
        <w:tc>
          <w:tcPr>
            <w:tcW w:w="0" w:type="dxa"/>
            <w:vAlign w:val="bottom"/>
          </w:tcPr>
          <w:p>
            <w:pPr>
              <w:spacing w:after="0"/>
              <w:rPr>
                <w:sz w:val="1"/>
                <w:szCs w:val="1"/>
                <w:color w:val="auto"/>
              </w:rPr>
            </w:pPr>
          </w:p>
        </w:tc>
      </w:tr>
      <w:tr>
        <w:trPr>
          <w:trHeight w:val="182"/>
        </w:trPr>
        <w:tc>
          <w:tcPr>
            <w:tcW w:w="576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5"/>
                <w:szCs w:val="15"/>
                <w:color w:val="auto"/>
              </w:rPr>
            </w:pPr>
          </w:p>
        </w:tc>
        <w:tc>
          <w:tcPr>
            <w:tcW w:w="114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(765)</w:t>
            </w:r>
          </w:p>
        </w:tc>
        <w:tc>
          <w:tcPr>
            <w:tcW w:w="200" w:type="dxa"/>
            <w:vAlign w:val="bottom"/>
          </w:tcPr>
          <w:p>
            <w:pPr>
              <w:spacing w:after="0"/>
              <w:rPr>
                <w:sz w:val="15"/>
                <w:szCs w:val="15"/>
                <w:color w:val="auto"/>
              </w:rPr>
            </w:pPr>
          </w:p>
        </w:tc>
        <w:tc>
          <w:tcPr>
            <w:tcW w:w="13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(28,676)</w:t>
            </w:r>
          </w:p>
        </w:tc>
        <w:tc>
          <w:tcPr>
            <w:tcW w:w="160" w:type="dxa"/>
            <w:vAlign w:val="bottom"/>
          </w:tcPr>
          <w:p>
            <w:pPr>
              <w:spacing w:after="0"/>
              <w:rPr>
                <w:sz w:val="15"/>
                <w:szCs w:val="15"/>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(361)</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(29,802)</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324"/>
              <w:spacing w:after="0"/>
              <w:rPr>
                <w:sz w:val="20"/>
                <w:szCs w:val="20"/>
                <w:color w:val="auto"/>
              </w:rPr>
            </w:pPr>
            <w:r>
              <w:rPr>
                <w:rFonts w:ascii="Arial" w:cs="Arial" w:eastAsia="Arial" w:hAnsi="Arial"/>
                <w:sz w:val="16"/>
                <w:szCs w:val="16"/>
                <w:b w:val="1"/>
                <w:bCs w:val="1"/>
                <w:color w:val="auto"/>
              </w:rPr>
              <w:t>20,937</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(28,676)</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(383)</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(8,122)</w:t>
            </w:r>
          </w:p>
        </w:tc>
        <w:tc>
          <w:tcPr>
            <w:tcW w:w="0" w:type="dxa"/>
            <w:vAlign w:val="bottom"/>
          </w:tcPr>
          <w:p>
            <w:pPr>
              <w:spacing w:after="0"/>
              <w:rPr>
                <w:sz w:val="1"/>
                <w:szCs w:val="1"/>
                <w:color w:val="auto"/>
              </w:rPr>
            </w:pPr>
          </w:p>
        </w:tc>
      </w:tr>
      <w:tr>
        <w:trPr>
          <w:trHeight w:val="22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center"/>
              <w:ind w:left="324"/>
              <w:spacing w:after="0"/>
              <w:rPr>
                <w:sz w:val="20"/>
                <w:szCs w:val="20"/>
                <w:color w:val="auto"/>
              </w:rPr>
            </w:pPr>
            <w:r>
              <w:rPr>
                <w:rFonts w:ascii="Arial" w:cs="Arial" w:eastAsia="Arial" w:hAnsi="Arial"/>
                <w:sz w:val="16"/>
                <w:szCs w:val="16"/>
                <w:b w:val="1"/>
                <w:bCs w:val="1"/>
                <w:color w:val="auto"/>
                <w:w w:val="97"/>
              </w:rPr>
              <w:t>(11,774)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620,509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(2,520)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606,215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25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5"/>
                <w:szCs w:val="5"/>
                <w:color w:val="auto"/>
              </w:rPr>
            </w:pPr>
          </w:p>
        </w:tc>
        <w:tc>
          <w:tcPr>
            <w:tcW w:w="20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vMerge w:val="continue"/>
          </w:tcPr>
          <w:p>
            <w:pPr>
              <w:spacing w:after="0"/>
              <w:rPr>
                <w:sz w:val="12"/>
                <w:szCs w:val="12"/>
                <w:color w:val="auto"/>
              </w:rPr>
            </w:pPr>
          </w:p>
        </w:tc>
        <w:tc>
          <w:tcPr>
            <w:tcW w:w="2520" w:type="dxa"/>
            <w:vAlign w:val="bottom"/>
          </w:tcPr>
          <w:p>
            <w:pPr>
              <w:jc w:val="center"/>
              <w:ind w:left="28"/>
              <w:spacing w:after="0" w:line="12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c>
          <w:tcPr>
            <w:tcW w:w="2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Foreign Currency Translation Adjustments: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200" w:type="dxa"/>
            <w:vAlign w:val="bottom"/>
          </w:tcPr>
          <w:p>
            <w:pPr>
              <w:ind w:left="140"/>
              <w:spacing w:after="0" w:line="182" w:lineRule="exact"/>
              <w:rPr>
                <w:sz w:val="20"/>
                <w:szCs w:val="20"/>
                <w:color w:val="auto"/>
              </w:rPr>
            </w:pPr>
            <w:r>
              <w:rPr>
                <w:rFonts w:ascii="Arial" w:cs="Arial" w:eastAsia="Arial" w:hAnsi="Arial"/>
                <w:sz w:val="16"/>
                <w:szCs w:val="16"/>
                <w:color w:val="auto"/>
              </w:rPr>
              <w:t>Adjustment for sale of a business with foreign</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(765)</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(765)</w:t>
            </w: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520" w:type="dxa"/>
            <w:vAlign w:val="bottom"/>
          </w:tcPr>
          <w:p>
            <w:pPr>
              <w:ind w:left="120"/>
              <w:spacing w:after="0"/>
              <w:rPr>
                <w:sz w:val="20"/>
                <w:szCs w:val="20"/>
                <w:color w:val="auto"/>
              </w:rPr>
            </w:pPr>
            <w:r>
              <w:rPr>
                <w:rFonts w:ascii="Arial" w:cs="Arial" w:eastAsia="Arial" w:hAnsi="Arial"/>
                <w:sz w:val="14"/>
                <w:szCs w:val="14"/>
                <w:color w:val="auto"/>
              </w:rPr>
              <w:t>Other (expense) income, net</w:t>
            </w:r>
          </w:p>
        </w:tc>
        <w:tc>
          <w:tcPr>
            <w:tcW w:w="0" w:type="dxa"/>
            <w:vAlign w:val="bottom"/>
          </w:tcPr>
          <w:p>
            <w:pPr>
              <w:spacing w:after="0"/>
              <w:rPr>
                <w:sz w:val="1"/>
                <w:szCs w:val="1"/>
                <w:color w:val="auto"/>
              </w:rPr>
            </w:pPr>
          </w:p>
        </w:tc>
      </w:tr>
      <w:tr>
        <w:trPr>
          <w:trHeight w:val="222"/>
        </w:trPr>
        <w:tc>
          <w:tcPr>
            <w:tcW w:w="420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 cost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410</w:t>
            </w:r>
          </w:p>
        </w:tc>
        <w:tc>
          <w:tcPr>
            <w:tcW w:w="32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(1,463)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1,230</w:t>
            </w:r>
          </w:p>
        </w:tc>
        <w:tc>
          <w:tcPr>
            <w:tcW w:w="252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3"/>
        </w:trPr>
        <w:tc>
          <w:tcPr>
            <w:tcW w:w="420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(12,360)</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(37,080)</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(31,673)</w:t>
            </w:r>
          </w:p>
        </w:tc>
        <w:tc>
          <w:tcPr>
            <w:tcW w:w="252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(12,847)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(10,063)</w:t>
            </w:r>
          </w:p>
        </w:tc>
        <w:tc>
          <w:tcPr>
            <w:tcW w:w="32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(38,543)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(30,443)</w:t>
            </w:r>
          </w:p>
        </w:tc>
        <w:tc>
          <w:tcPr>
            <w:tcW w:w="252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3"/>
        </w:trPr>
        <w:tc>
          <w:tcPr>
            <w:tcW w:w="4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3,288</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2,589</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9,867</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7,831</w:t>
            </w:r>
          </w:p>
        </w:tc>
        <w:tc>
          <w:tcPr>
            <w:tcW w:w="252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20"/>
        </w:trPr>
        <w:tc>
          <w:tcPr>
            <w:tcW w:w="4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(9,559)</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(28,676)</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(22,612)</w:t>
            </w:r>
          </w:p>
        </w:tc>
        <w:tc>
          <w:tcPr>
            <w:tcW w:w="252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6"/>
        </w:trPr>
        <w:tc>
          <w:tcPr>
            <w:tcW w:w="420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(5,237)</w:t>
            </w:r>
          </w:p>
        </w:tc>
        <w:tc>
          <w:tcPr>
            <w:tcW w:w="252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(10,440)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(29,802)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(27,849)</w:t>
            </w:r>
          </w:p>
        </w:tc>
        <w:tc>
          <w:tcPr>
            <w:tcW w:w="252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260" w:hanging="412"/>
        <w:spacing w:after="0" w:line="264" w:lineRule="auto"/>
        <w:tabs>
          <w:tab w:leader="none" w:pos="348"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accumulated other comprehensive income (loss)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real estate lease and sublease disputes;</w:t>
      </w:r>
    </w:p>
    <w:p>
      <w:pPr>
        <w:spacing w:after="0" w:line="236" w:lineRule="auto"/>
        <w:rPr>
          <w:sz w:val="20"/>
          <w:szCs w:val="20"/>
          <w:color w:val="auto"/>
        </w:rPr>
      </w:pPr>
      <w:r>
        <w:rPr>
          <w:rFonts w:ascii="Arial" w:cs="Arial" w:eastAsia="Arial" w:hAnsi="Arial"/>
          <w:sz w:val="18"/>
          <w:szCs w:val="18"/>
          <w:color w:val="auto"/>
        </w:rPr>
        <w:t>violations of employment laws and applicable wage and hour laws; and statutory or common law claims involving current and former students</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and employees. Although the outcomes of the legal claims and proceedings against the Company cannot be predicted with certainty, based on currently available information, management believes that there are no existing claims or proceedings that are likely to have a material</w:t>
      </w:r>
    </w:p>
    <w:p>
      <w:pPr>
        <w:spacing w:after="0" w:line="235" w:lineRule="auto"/>
        <w:rPr>
          <w:sz w:val="20"/>
          <w:szCs w:val="20"/>
          <w:color w:val="auto"/>
        </w:rPr>
      </w:pPr>
      <w:r>
        <w:rPr>
          <w:rFonts w:ascii="Arial" w:cs="Arial" w:eastAsia="Arial" w:hAnsi="Arial"/>
          <w:sz w:val="18"/>
          <w:szCs w:val="18"/>
          <w:color w:val="auto"/>
        </w:rPr>
        <w:t>effect on the Company’s business, financial condition, results of operations or cash flows. However, based on currently available information,</w:t>
      </w:r>
    </w:p>
    <w:p>
      <w:pPr>
        <w:ind w:right="400"/>
        <w:spacing w:after="0" w:line="237" w:lineRule="auto"/>
        <w:rPr>
          <w:sz w:val="20"/>
          <w:szCs w:val="20"/>
          <w:color w:val="auto"/>
        </w:rPr>
      </w:pPr>
      <w:r>
        <w:rPr>
          <w:rFonts w:ascii="Arial" w:cs="Arial" w:eastAsia="Arial" w:hAnsi="Arial"/>
          <w:sz w:val="18"/>
          <w:szCs w:val="18"/>
          <w:color w:val="auto"/>
        </w:rPr>
        <w:t>management believes it is reasonably possible that future losses from existing and threatened legal, regulatory and other proceedings in excess of the amounts recorded could reach approximately $10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 Kaplan had a total outstanding accounts receivable balance of $113.8 million from Purdue Global related to</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amounts due for reimbursements for services, fees earned and a deferred fee. Included in this total, Kaplan has a $19.7 million long-term receivable balance due from Purdue Global at September 30, 2024, related to the advance of $20.0 million during the initial KU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2024, the automotive group recorded expense of $2.0 million and $6.0 million,</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respectively, for operating and management services provided by Christopher J. Ourisman and his team of industry professionals. During the three and nine months ended September 30, 2023, the automotive group recorded expense of $1.8 million and $5.2 million, respectively,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6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w:t>
            </w: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96"/>
              </w:rPr>
              <w:t>2023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2023</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438,090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411,837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1,283,587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1,192,105</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145,422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116,112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373,958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347,818</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95,385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109,216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300,914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343,882</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155,413</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116,164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431,142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331,505</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289,392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272,018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902,046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765,251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83,464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86,653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253,753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269,110</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576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1,727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1,207,162</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5"/>
              </w:rPr>
              <w:t>1,111,519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3,545,104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3,248,064</w:t>
            </w:r>
          </w:p>
        </w:tc>
      </w:tr>
      <w:tr>
        <w:trPr>
          <w:trHeight w:val="161"/>
        </w:trPr>
        <w:tc>
          <w:tcPr>
            <w:tcW w:w="60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3"/>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37,311</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33,069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109,021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94,625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63,274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33,310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126,745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97,808</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7,114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10,515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20,216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39,019</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14,419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6,837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34,481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19,986</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9,069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8,240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28,929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28,543</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(27,073)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(24,404)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(77,456)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(73,428)</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(14,081)</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(43,454)</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(39,881)</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90,033</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52,968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198,482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166,672</w:t>
            </w:r>
          </w:p>
        </w:tc>
      </w:tr>
      <w:tr>
        <w:trPr>
          <w:trHeight w:val="161"/>
        </w:trPr>
        <w:tc>
          <w:tcPr>
            <w:tcW w:w="60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Amortization of Intangible Assets and Impairment of Goodwill and Other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3"/>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Long-Lived Assets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2,421</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3,210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8,267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11,610</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4,070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4,088</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2,619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51,489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8,387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60,683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866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1,393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2,702</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1,821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53,149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33,354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58,987</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8,385</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110,080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55,481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138,073</w:t>
            </w:r>
          </w:p>
        </w:tc>
      </w:tr>
      <w:tr>
        <w:trPr>
          <w:trHeight w:val="20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34,890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29,859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100,754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83,015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61,914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31,947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122,675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93,720</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4,495</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(40,974)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11,829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(21,664)</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14,260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5,971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33,088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17,284</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9,064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8,237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28,919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28,540</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(28,894)</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(77,553)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(110,810)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(132,415)</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(14,081)</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(43,454)</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(39,881)</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81,648</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(57,112)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143,001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28,599</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Equity in Losses of Affiliates,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(13,361)</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(8,470)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(2,245)</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(23,619)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(9,824)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(130,041)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(33,140)</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38,307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35,653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105,379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97,313</w:t>
            </w: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Gain on Marketable Equity Securities,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30,496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16,759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154,276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113,429</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Other (Expense) Income, Net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3,581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2,973</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22,458</w:t>
            </w: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113,006</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267,118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226,414</w:t>
            </w:r>
          </w:p>
        </w:tc>
      </w:tr>
      <w:tr>
        <w:trPr>
          <w:trHeight w:val="21"/>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26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205"/>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w w:val="96"/>
              </w:rPr>
              <w:t>2023</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2023</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8,576</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26,736</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28,428</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2,756</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3,120</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8,494</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9,243</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2,818</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2,388</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8,227</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6,957</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1,754</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1,411</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5,031</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3,802</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1,774</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1,304</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5,203</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3,565</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3,522</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3,832</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11,909</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10,882</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132</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432</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21,332</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22,207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66,032</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63,335</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4,445</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2,226</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13,267</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6,680</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1,528</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833</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4,583</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2,498</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978</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1,897</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4,804</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3,521</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14,413</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10,563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29</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86</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1,963</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662</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5,577</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1,847</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1,014</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952</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3,043</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w:t>
            </w:r>
          </w:p>
        </w:tc>
      </w:tr>
      <w:tr>
        <w:trPr>
          <w:trHeight w:val="234"/>
        </w:trPr>
        <w:tc>
          <w:tcPr>
            <w:tcW w:w="606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14,761</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8,490</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42,866</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25,306</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5,811</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8,316</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18,468</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23,516</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982</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1,841</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4,319</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5,018</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3,817</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4,380</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12,085</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14,971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4,016</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4,579</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8,842</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9,732</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724</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2,112</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3,093</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6,215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6,401</w:t>
            </w:r>
          </w:p>
        </w:tc>
        <w:tc>
          <w:tcPr>
            <w:tcW w:w="5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5,508</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16,776</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12,120</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2,425</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23,771</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26,742</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66,008</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71,581</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180" w:type="dxa"/>
            <w:vAlign w:val="bottom"/>
          </w:tcPr>
          <w:p>
            <w:pPr>
              <w:jc w:val="right"/>
              <w:ind w:right="10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5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7"/>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2,037,877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2,021,471</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412,391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419,557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416,089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431,712</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306,049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265,150</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592,274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597,267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333,937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368,542</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187,586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93,760</w:t>
            </w:r>
          </w:p>
        </w:tc>
        <w:tc>
          <w:tcPr>
            <w:tcW w:w="0" w:type="dxa"/>
            <w:vAlign w:val="bottom"/>
          </w:tcPr>
          <w:p>
            <w:pPr>
              <w:spacing w:after="0"/>
              <w:rPr>
                <w:sz w:val="1"/>
                <w:szCs w:val="1"/>
                <w:color w:val="auto"/>
              </w:rPr>
            </w:pPr>
          </w:p>
        </w:tc>
      </w:tr>
      <w:tr>
        <w:trPr>
          <w:trHeight w:val="220"/>
        </w:trPr>
        <w:tc>
          <w:tcPr>
            <w:tcW w:w="8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4,286,203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4,197,459</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825,416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690,153</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168,161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186,480</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2,141,036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2,113,638</w:t>
            </w:r>
          </w:p>
        </w:tc>
        <w:tc>
          <w:tcPr>
            <w:tcW w:w="0" w:type="dxa"/>
            <w:vAlign w:val="bottom"/>
          </w:tcPr>
          <w:p>
            <w:pPr>
              <w:spacing w:after="0"/>
              <w:rPr>
                <w:sz w:val="1"/>
                <w:szCs w:val="1"/>
                <w:color w:val="auto"/>
              </w:rPr>
            </w:pPr>
          </w:p>
        </w:tc>
      </w:tr>
      <w:tr>
        <w:trPr>
          <w:trHeight w:val="226"/>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7,420,816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7,187,730</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w:t>
            </w: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96"/>
              </w:rPr>
              <w:t>2023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2023</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277,009</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249,976</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813,833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714,715</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85,655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81,925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246,818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250,557</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76,134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78,332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221,389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226,535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158</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3,101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5,739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8,360</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(866)</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(4,192)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(8,062)</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438,090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411,837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1,283,587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1,192,105</w:t>
            </w:r>
          </w:p>
        </w:tc>
      </w:tr>
      <w:tr>
        <w:trPr>
          <w:trHeight w:val="161"/>
        </w:trPr>
        <w:tc>
          <w:tcPr>
            <w:tcW w:w="60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3"/>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25,538</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22,220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82,674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64,272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11,385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8,465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31,258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33,343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11,186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9,729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21,438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16,992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(10,717)</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(7,412)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(26,357)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(20,074)</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37,311</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33,069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109,021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94,625</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2,421</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3,210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8,267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11,133</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25,538</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22,220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82,674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64,272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11,385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8,465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31,258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33,343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11,186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9,729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21,438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16,992</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(13,138)</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(10,622)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(34,624)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(31,684)</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34,890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29,859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100,754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83,015</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7,202</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7,599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21,735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20,832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589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1,258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2,291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3,431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777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1,117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2,653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4,087</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8,576</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26,736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28,428</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198</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527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1,903</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958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5,729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2,803</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1,962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1,063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5,874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3,110</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382</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1,137</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4,445</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13,267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6,680</w:t>
            </w:r>
          </w:p>
        </w:tc>
      </w:tr>
      <w:tr>
        <w:trPr>
          <w:trHeight w:val="20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4,734</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6,445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16,254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19,747</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535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999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768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1,637</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542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872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1,446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2,110</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5,811</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8,316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18,468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5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7"/>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1,553,897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1,537,989</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205,409</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187,972</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1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230,742</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249,519</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47,829</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45,991</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2,037,877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2,021,471</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6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608"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Company reported net income attributable to common shares of $72.5 million ($16.42 per share) for the third quarter of 2024, compared to a net loss of $23.0 million ($5.02 per share) for the third quarter of 2023.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2024:</w:t>
      </w:r>
    </w:p>
    <w:p>
      <w:pPr>
        <w:spacing w:after="0" w:line="158" w:lineRule="exact"/>
        <w:rPr>
          <w:sz w:val="20"/>
          <w:szCs w:val="20"/>
          <w:color w:val="auto"/>
        </w:rPr>
      </w:pPr>
    </w:p>
    <w:p>
      <w:pPr>
        <w:ind w:left="180" w:right="30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$3.7 million in non-operating expenses related to Separation Incentive Programs (SIPs) at Kaplan, manufacturing and other businesses (after tax-impact of $2.7 million, or $0.62 per share);</w:t>
      </w:r>
    </w:p>
    <w:p>
      <w:pPr>
        <w:spacing w:after="0" w:line="86" w:lineRule="exact"/>
        <w:rPr>
          <w:rFonts w:ascii="Arial" w:cs="Arial" w:eastAsia="Arial" w:hAnsi="Arial"/>
          <w:sz w:val="18"/>
          <w:szCs w:val="18"/>
          <w:color w:val="auto"/>
        </w:rPr>
      </w:pPr>
    </w:p>
    <w:p>
      <w:pPr>
        <w:ind w:left="180" w:right="44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$9.7 million in interest expense to adjust the fair value of the mandatorily redeemable noncontrolling interest (after-tax impact of $13.2 million, or $3.00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$30.5 million in net gains on marketable equity securities (after-tax impact of $22.7 million, or $5.14 per share);</w:t>
      </w:r>
    </w:p>
    <w:p>
      <w:pPr>
        <w:spacing w:after="0" w:line="144" w:lineRule="exact"/>
        <w:rPr>
          <w:rFonts w:ascii="Arial" w:cs="Arial" w:eastAsia="Arial" w:hAnsi="Arial"/>
          <w:sz w:val="18"/>
          <w:szCs w:val="18"/>
          <w:color w:val="auto"/>
        </w:rPr>
      </w:pPr>
    </w:p>
    <w:p>
      <w:pPr>
        <w:ind w:left="180" w:right="38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$2.3 million in net losses of affiliates whose operations are not managed by the Company (after-tax impact of $1.7 million, or $0.39 per share);</w:t>
      </w:r>
    </w:p>
    <w:p>
      <w:pPr>
        <w:spacing w:after="0" w:line="99" w:lineRule="exact"/>
        <w:rPr>
          <w:rFonts w:ascii="Arial" w:cs="Arial" w:eastAsia="Arial" w:hAnsi="Arial"/>
          <w:sz w:val="18"/>
          <w:szCs w:val="18"/>
          <w:color w:val="auto"/>
        </w:rPr>
      </w:pPr>
    </w:p>
    <w:p>
      <w:pPr>
        <w:ind w:left="180" w:right="120" w:hanging="172"/>
        <w:spacing w:after="0" w:line="256"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non-operating gain of $3.8 million from the sale of certain businesses and websites (after-tax impact of $2.6 million, or $0.58 per share); and</w:t>
      </w:r>
    </w:p>
    <w:p>
      <w:pPr>
        <w:spacing w:after="0" w:line="111" w:lineRule="exact"/>
        <w:rPr>
          <w:rFonts w:ascii="Arial" w:cs="Arial" w:eastAsia="Arial" w:hAnsi="Arial"/>
          <w:sz w:val="18"/>
          <w:szCs w:val="18"/>
          <w:color w:val="auto"/>
        </w:rPr>
      </w:pPr>
    </w:p>
    <w:p>
      <w:pPr>
        <w:ind w:left="18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net non-operating loss of $14.2 million from the impairment and write-up of equity and cost method investments (after-tax impact of $10.6 million, or $2.40 per share).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2023:</w:t>
      </w:r>
    </w:p>
    <w:p>
      <w:pPr>
        <w:spacing w:after="0" w:line="158"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$98.3 million in goodwill and other long-lived asset impairment charges (after tax impact of $84.4 million, or $18.18 per share);</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$16.8 million in net gains on marketable equity securities (after-tax impact of $12.3 million, or $2.66 per share);</w:t>
      </w:r>
    </w:p>
    <w:p>
      <w:pPr>
        <w:spacing w:after="0" w:line="157" w:lineRule="exact"/>
        <w:rPr>
          <w:rFonts w:ascii="Arial" w:cs="Arial" w:eastAsia="Arial" w:hAnsi="Arial"/>
          <w:sz w:val="18"/>
          <w:szCs w:val="18"/>
          <w:color w:val="auto"/>
        </w:rPr>
      </w:pPr>
    </w:p>
    <w:p>
      <w:pPr>
        <w:ind w:left="180" w:right="380" w:hanging="172"/>
        <w:spacing w:after="0" w:line="271"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$2.8 million in net losses of affiliates whose operations are not managed by the Company (after-tax impact of $2.1 million, or $0.45 per share);</w:t>
      </w:r>
    </w:p>
    <w:p>
      <w:pPr>
        <w:spacing w:after="0" w:line="86" w:lineRule="exact"/>
        <w:rPr>
          <w:rFonts w:ascii="Arial" w:cs="Arial" w:eastAsia="Arial" w:hAnsi="Arial"/>
          <w:sz w:val="18"/>
          <w:szCs w:val="18"/>
          <w:color w:val="auto"/>
        </w:rPr>
      </w:pPr>
    </w:p>
    <w:p>
      <w:pPr>
        <w:ind w:left="180" w:right="280" w:hanging="172"/>
        <w:spacing w:after="0" w:line="271"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$4.6 million credit to interest expense resulting from gains realized related to the termination of interest rate swaps (after-tax impact of $3.3 million, or $0.72 per share); and</w:t>
      </w:r>
    </w:p>
    <w:p>
      <w:pPr>
        <w:spacing w:after="0" w:line="99" w:lineRule="exact"/>
        <w:rPr>
          <w:rFonts w:ascii="Arial" w:cs="Arial" w:eastAsia="Arial" w:hAnsi="Arial"/>
          <w:sz w:val="18"/>
          <w:szCs w:val="18"/>
          <w:color w:val="auto"/>
        </w:rPr>
      </w:pPr>
    </w:p>
    <w:p>
      <w:pPr>
        <w:ind w:left="180" w:right="540" w:hanging="172"/>
        <w:spacing w:after="0" w:line="256"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 million in interest expense to adjust the fair value of the mandatorily redeemable noncontrolling interest (after-tax impact of $1.0 million, or $0.22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third quarter of 2024 was $1,207.2 million, up 9% from $1,111.5 million in the third quarter of 2023. Revenues increased at</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education, television broadcasting, healthcare and automotive, partially offset by declines at manufacturing and other businesses. The Company reported operating income of $81.6 million for the third quarter of 2024, compared to an operating loss of $57.1 million for the third</w:t>
      </w:r>
    </w:p>
    <w:p>
      <w:pPr>
        <w:spacing w:after="0" w:line="236" w:lineRule="auto"/>
        <w:rPr>
          <w:sz w:val="20"/>
          <w:szCs w:val="20"/>
          <w:color w:val="auto"/>
        </w:rPr>
      </w:pPr>
      <w:r>
        <w:rPr>
          <w:rFonts w:ascii="Arial" w:cs="Arial" w:eastAsia="Arial" w:hAnsi="Arial"/>
          <w:sz w:val="18"/>
          <w:szCs w:val="18"/>
          <w:color w:val="auto"/>
        </w:rPr>
        <w:t>quarter of 2023. The improvement in operating results is due to goodwill and other long-lived asset impairment charges at World of Good</w:t>
      </w:r>
    </w:p>
    <w:p>
      <w:pPr>
        <w:spacing w:after="0" w:line="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Brands (WGB) and Dekko in the third quarter of 2023 and increases at education, television broadcasting, healthcare and automotive, partially offset by declines at manufacturing and other businesses, excluding the impairments.</w:t>
      </w:r>
    </w:p>
    <w:p>
      <w:pPr>
        <w:spacing w:after="0" w:line="12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the first nine months of 2024, the Company recorded net income attributable to common shares of $175.8 million ($39.49 per share), compared to $152.0 million ($32.14 per share) for the first nine months of 2023.</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Items included in the Company’s net income for the first nine months of 2024:</w:t>
      </w:r>
    </w:p>
    <w:p>
      <w:pPr>
        <w:spacing w:after="0" w:line="158"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$26.3 million in goodwill and intangible asset impairment charges at WGB (after tax impact of $21.2 million, or $4.77 per share);</w:t>
      </w:r>
    </w:p>
    <w:p>
      <w:pPr>
        <w:spacing w:after="0" w:line="144" w:lineRule="exact"/>
        <w:rPr>
          <w:rFonts w:ascii="Arial" w:cs="Arial" w:eastAsia="Arial" w:hAnsi="Arial"/>
          <w:sz w:val="18"/>
          <w:szCs w:val="18"/>
          <w:color w:val="auto"/>
        </w:rPr>
      </w:pPr>
    </w:p>
    <w:p>
      <w:pPr>
        <w:ind w:left="180" w:right="60" w:hanging="172"/>
        <w:spacing w:after="0" w:line="301" w:lineRule="auto"/>
        <w:tabs>
          <w:tab w:leader="none" w:pos="175" w:val="left"/>
        </w:tabs>
        <w:numPr>
          <w:ilvl w:val="0"/>
          <w:numId w:val="13"/>
        </w:numPr>
        <w:rPr>
          <w:rFonts w:ascii="Arial" w:cs="Arial" w:eastAsia="Arial" w:hAnsi="Arial"/>
          <w:sz w:val="17"/>
          <w:szCs w:val="17"/>
          <w:color w:val="auto"/>
        </w:rPr>
      </w:pPr>
      <w:r>
        <w:rPr>
          <w:rFonts w:ascii="Arial" w:cs="Arial" w:eastAsia="Arial" w:hAnsi="Arial"/>
          <w:sz w:val="17"/>
          <w:szCs w:val="17"/>
          <w:color w:val="auto"/>
        </w:rPr>
        <w:t>$20.5 million in non-operating expenses related to a Voluntary Retirement Incentive Program (VRIP) at the television broadcasting division and the corporate office, and SIPs at Kaplan, manufacturing and other businesses (after tax-impact of $15.2 million, or $3.42 per share);</w:t>
      </w:r>
    </w:p>
    <w:p>
      <w:pPr>
        <w:spacing w:after="0" w:line="76" w:lineRule="exact"/>
        <w:rPr>
          <w:rFonts w:ascii="Arial" w:cs="Arial" w:eastAsia="Arial" w:hAnsi="Arial"/>
          <w:sz w:val="17"/>
          <w:szCs w:val="17"/>
          <w:color w:val="auto"/>
        </w:rPr>
      </w:pPr>
    </w:p>
    <w:p>
      <w:pPr>
        <w:ind w:left="180" w:right="340" w:hanging="172"/>
        <w:spacing w:after="0" w:line="256" w:lineRule="auto"/>
        <w:tabs>
          <w:tab w:leader="none" w:pos="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$85.1 million in interest expense to adjust the fair value of the mandatorily redeemable noncontrolling interest (after-tax impact of $76.4 million, or $17.16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$154.3 million in net gains on marketable equity securities (after-tax impact of $114.8 million, or $25.77 per share);</w:t>
      </w:r>
    </w:p>
    <w:p>
      <w:pPr>
        <w:spacing w:after="0" w:line="157" w:lineRule="exact"/>
        <w:rPr>
          <w:rFonts w:ascii="Arial" w:cs="Arial" w:eastAsia="Arial" w:hAnsi="Arial"/>
          <w:sz w:val="18"/>
          <w:szCs w:val="18"/>
          <w:color w:val="auto"/>
        </w:rPr>
      </w:pPr>
    </w:p>
    <w:p>
      <w:pPr>
        <w:ind w:left="180" w:right="380" w:hanging="172"/>
        <w:spacing w:after="0" w:line="256" w:lineRule="auto"/>
        <w:tabs>
          <w:tab w:leader="none" w:pos="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$4.9 million in net losses of affiliates whose operations are not managed by the Company (after-tax impact of $3.7 million, or $0.82 per share);</w:t>
      </w:r>
    </w:p>
    <w:p>
      <w:pPr>
        <w:spacing w:after="0" w:line="111" w:lineRule="exact"/>
        <w:rPr>
          <w:rFonts w:ascii="Arial" w:cs="Arial" w:eastAsia="Arial" w:hAnsi="Arial"/>
          <w:sz w:val="18"/>
          <w:szCs w:val="18"/>
          <w:color w:val="auto"/>
        </w:rPr>
      </w:pPr>
    </w:p>
    <w:p>
      <w:pPr>
        <w:ind w:left="180" w:right="120" w:hanging="172"/>
        <w:spacing w:after="0" w:line="271" w:lineRule="auto"/>
        <w:tabs>
          <w:tab w:leader="none" w:pos="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non-operating gain of $7.2 million from the sale of certain businesses and websites (after-tax impact of $5.3 million, or $1.19 per share); and</w:t>
      </w:r>
    </w:p>
    <w:p>
      <w:pPr>
        <w:spacing w:after="0" w:line="86" w:lineRule="exact"/>
        <w:rPr>
          <w:rFonts w:ascii="Arial" w:cs="Arial" w:eastAsia="Arial" w:hAnsi="Arial"/>
          <w:sz w:val="18"/>
          <w:szCs w:val="18"/>
          <w:color w:val="auto"/>
        </w:rPr>
      </w:pPr>
    </w:p>
    <w:p>
      <w:pPr>
        <w:ind w:left="180" w:right="20" w:hanging="172"/>
        <w:spacing w:after="0" w:line="271" w:lineRule="auto"/>
        <w:tabs>
          <w:tab w:leader="none" w:pos="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non-operating loss of $15.0 million from the impairment and write-up of equity and cost method investments (after-tax impact of $11.1 million, or $2.50 per share).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2023:</w:t>
      </w:r>
    </w:p>
    <w:p>
      <w:pPr>
        <w:spacing w:after="0" w:line="144" w:lineRule="exact"/>
        <w:rPr>
          <w:sz w:val="20"/>
          <w:szCs w:val="20"/>
          <w:color w:val="auto"/>
        </w:rPr>
      </w:pPr>
    </w:p>
    <w:p>
      <w:pPr>
        <w:ind w:left="180" w:right="60" w:hanging="172"/>
        <w:spacing w:after="0" w:line="271" w:lineRule="auto"/>
        <w:tabs>
          <w:tab w:leader="none" w:pos="1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$4.7 million net credit related to a fair value change in contingent consideration from prior acquisitions (after-tax impact of $4.5 million, or $0.98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$99.1 million in goodwill and other long-lived asset impairment charges (after-tax impact of $85.0 million, or $18.30 per share);</w:t>
      </w:r>
    </w:p>
    <w:p>
      <w:pPr>
        <w:spacing w:after="0" w:line="144" w:lineRule="exact"/>
        <w:rPr>
          <w:rFonts w:ascii="Arial" w:cs="Arial" w:eastAsia="Arial" w:hAnsi="Arial"/>
          <w:sz w:val="18"/>
          <w:szCs w:val="18"/>
          <w:color w:val="auto"/>
        </w:rPr>
      </w:pPr>
    </w:p>
    <w:p>
      <w:pPr>
        <w:ind w:left="180" w:right="160" w:hanging="172"/>
        <w:spacing w:after="0" w:line="271" w:lineRule="auto"/>
        <w:tabs>
          <w:tab w:leader="none" w:pos="1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$9.6 million in expenses related to non-operating SIPs at other businesses and the education and television broadcasting divisions (after-tax impact of $7.2 million, or $1.54 per share);</w:t>
      </w:r>
    </w:p>
    <w:p>
      <w:pPr>
        <w:spacing w:after="0" w:line="86" w:lineRule="exact"/>
        <w:rPr>
          <w:rFonts w:ascii="Arial" w:cs="Arial" w:eastAsia="Arial" w:hAnsi="Arial"/>
          <w:sz w:val="18"/>
          <w:szCs w:val="18"/>
          <w:color w:val="auto"/>
        </w:rPr>
      </w:pPr>
    </w:p>
    <w:p>
      <w:pPr>
        <w:ind w:left="180" w:right="240" w:hanging="172"/>
        <w:spacing w:after="0" w:line="271" w:lineRule="auto"/>
        <w:tabs>
          <w:tab w:leader="none" w:pos="1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$1.4 million in net interest expense to adjust the fair value of the mandatorily redeemable noncontrolling interest (after-tax impact of $1.3 million, or $0.27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$113.4 million in net gains on marketable equity securities (after-tax impact of $83.6 million, or $17.99 per share);</w:t>
      </w:r>
    </w:p>
    <w:p>
      <w:pPr>
        <w:spacing w:after="0" w:line="144" w:lineRule="exact"/>
        <w:rPr>
          <w:rFonts w:ascii="Arial" w:cs="Arial" w:eastAsia="Arial" w:hAnsi="Arial"/>
          <w:sz w:val="18"/>
          <w:szCs w:val="18"/>
          <w:color w:val="auto"/>
        </w:rPr>
      </w:pPr>
    </w:p>
    <w:p>
      <w:pPr>
        <w:ind w:left="180" w:right="380" w:hanging="172"/>
        <w:spacing w:after="0" w:line="271" w:lineRule="auto"/>
        <w:tabs>
          <w:tab w:leader="none" w:pos="1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$9.7 million in net losses of affiliates whose operations are not managed by the Company (after-tax impact of $7.1 million, or $1.53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non-operating gain of $10.0 million on the sale of Pinna (after-tax impact of $7.4 million, or $1.59 per share);</w:t>
      </w:r>
    </w:p>
    <w:p>
      <w:pPr>
        <w:spacing w:after="0" w:line="144"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non-operating gain of $3.9 million from the write-up and sales of cost method investments (after-tax impact of $2.9 million, or $0.63 per share); and</w:t>
      </w:r>
    </w:p>
    <w:p>
      <w:pPr>
        <w:spacing w:after="0" w:line="99" w:lineRule="exact"/>
        <w:rPr>
          <w:rFonts w:ascii="Arial" w:cs="Arial" w:eastAsia="Arial" w:hAnsi="Arial"/>
          <w:sz w:val="18"/>
          <w:szCs w:val="18"/>
          <w:color w:val="auto"/>
        </w:rPr>
      </w:pPr>
    </w:p>
    <w:p>
      <w:pPr>
        <w:ind w:left="180" w:right="280" w:hanging="172"/>
        <w:spacing w:after="0" w:line="256" w:lineRule="auto"/>
        <w:tabs>
          <w:tab w:leader="none" w:pos="1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$4.6 million credit to interest expense resulting from gains realized related to the termination of interest rate swaps (after-tax impact of $3.3 million, or $0.72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nine months of 2024 was $3,545.1 million, up 9% from $3,248.1 million in the first nine months of 2023. Revenues</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increased at education, television broadcasting, healthcare and automotive, partially offset by declines at manufacturing and other businesses. The Company recorded operated income of $143.0 million for the first nine months of 2024, compared to $28.6 million for the</w:t>
      </w:r>
    </w:p>
    <w:p>
      <w:pPr>
        <w:spacing w:after="0" w:line="235" w:lineRule="auto"/>
        <w:rPr>
          <w:sz w:val="20"/>
          <w:szCs w:val="20"/>
          <w:color w:val="auto"/>
        </w:rPr>
      </w:pPr>
      <w:r>
        <w:rPr>
          <w:rFonts w:ascii="Arial" w:cs="Arial" w:eastAsia="Arial" w:hAnsi="Arial"/>
          <w:sz w:val="18"/>
          <w:szCs w:val="18"/>
          <w:color w:val="auto"/>
        </w:rPr>
        <w:t>first nine months of 2023. Excluding goodwill and other long-lived asset impairment charges, the improvement in operating results is due to</w:t>
      </w:r>
    </w:p>
    <w:p>
      <w:pPr>
        <w:ind w:right="900"/>
        <w:spacing w:after="0" w:line="237" w:lineRule="auto"/>
        <w:rPr>
          <w:sz w:val="20"/>
          <w:szCs w:val="20"/>
          <w:color w:val="auto"/>
        </w:rPr>
      </w:pPr>
      <w:r>
        <w:rPr>
          <w:rFonts w:ascii="Arial" w:cs="Arial" w:eastAsia="Arial" w:hAnsi="Arial"/>
          <w:sz w:val="18"/>
          <w:szCs w:val="18"/>
          <w:color w:val="auto"/>
        </w:rPr>
        <w:t>increases at education, television broadcasting, healthcare and automotive, partially offset by declines at manufacturing and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Education division revenue totaled $438.1 million for the third quarter of 2024, up 6% from $411.8 million for the same period of 2023. Kaplan reported operating income of $34.9 million for the third quarter of 2024, compared to $29.9 million for the third quarter of 2023.</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For the first nine months of 2024, education division revenue totaled $1,283.6 million, up 8% from $1,192.1 million for the same period of</w:t>
      </w:r>
    </w:p>
    <w:p>
      <w:pPr>
        <w:spacing w:after="0" w:line="14"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2023. Kaplan reported operating income of $100.8 million for the first nine months of 2024, compared to $83.0 million for the first nine months of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277,009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249,976</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813,833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714,715</w:t>
            </w: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85,655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81,925</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246,818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250,557</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76,134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78,332</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221,389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226,535</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158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3,101</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5,739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8,360</w:t>
            </w: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3"/>
        </w:trPr>
        <w:tc>
          <w:tcPr>
            <w:tcW w:w="4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(866)</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(4,192)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(8,062)</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438,090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411,837</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1,283,587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1,192,105</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25,538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22,220</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82,674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64,272</w:t>
            </w: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11,385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8,465</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31,258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33,343</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11,186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9,729</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21,438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16,992</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(10,717)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(7,412)</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(26,357)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(20,074)</w:t>
            </w: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(2,421)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(3,210)</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(8,267)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(11,133)</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(81)</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34,890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29,859</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100,754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83,015</w:t>
            </w: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w:t>
      </w:r>
    </w:p>
    <w:p>
      <w:pPr>
        <w:spacing w:after="0" w:line="14"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States (U.S.). Kaplan International revenue increased 11% and 14% for the third quarter and first nine months of 2024, respectively (9% and 12%, respectively, on a constant currency basis). The increase is due largely to growth at Australia, Pathways, UK Professional and Singapore. Kaplan International reported operating income of $25.5 million in the third quarter of 2024, compared to $22.2 million in the third quarter of 2023. The increase is due largely to improved results at Australia, UK Professional and Pathways. Operating income increased to</w:t>
      </w:r>
    </w:p>
    <w:p>
      <w:pPr>
        <w:ind w:right="600"/>
        <w:spacing w:after="0" w:line="237" w:lineRule="auto"/>
        <w:rPr>
          <w:sz w:val="20"/>
          <w:szCs w:val="20"/>
          <w:color w:val="auto"/>
        </w:rPr>
      </w:pPr>
      <w:r>
        <w:rPr>
          <w:rFonts w:ascii="Arial" w:cs="Arial" w:eastAsia="Arial" w:hAnsi="Arial"/>
          <w:sz w:val="18"/>
          <w:szCs w:val="18"/>
          <w:color w:val="auto"/>
        </w:rPr>
        <w:t>$82.7 million in the first nine months of 2024, compared to $64.3 million in the first nine months of 2023. The increase is due largely to improved results at Australia, UK Professional, Pathways and Singapore, partially offset by a decline at Languages.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increased</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5% for the third quarter of 2024, due primarily to an increase in the Purdue Global fee recorded. Higher Education revenue declined 1% for the first nine months of 2024, due to reduced reimbursable expenses from Purdue Global. Enrollments at Purdue Global, the largest</w:t>
      </w:r>
    </w:p>
    <w:p>
      <w:pPr>
        <w:spacing w:after="0" w:line="236" w:lineRule="auto"/>
        <w:rPr>
          <w:sz w:val="20"/>
          <w:szCs w:val="20"/>
          <w:color w:val="auto"/>
        </w:rPr>
      </w:pPr>
      <w:r>
        <w:rPr>
          <w:rFonts w:ascii="Arial" w:cs="Arial" w:eastAsia="Arial" w:hAnsi="Arial"/>
          <w:sz w:val="18"/>
          <w:szCs w:val="18"/>
          <w:color w:val="auto"/>
        </w:rPr>
        <w:t>institutional client, increased 2% for the first nine months of 2024 compared to the first nine months of 2023. For the third quarter and first</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nine months of 2024 and 2023, Kaplan recorded a portion of the fee from Purdue Global. The Company will continue to assess the fee it records from Purdue Global on a quarterly basis to make a determination as to whether to record all or part of the fee in the future and</w:t>
      </w:r>
    </w:p>
    <w:p>
      <w:pPr>
        <w:spacing w:after="0" w:line="236" w:lineRule="auto"/>
        <w:rPr>
          <w:sz w:val="20"/>
          <w:szCs w:val="20"/>
          <w:color w:val="auto"/>
        </w:rPr>
      </w:pPr>
      <w:r>
        <w:rPr>
          <w:rFonts w:ascii="Arial" w:cs="Arial" w:eastAsia="Arial" w:hAnsi="Arial"/>
          <w:sz w:val="18"/>
          <w:szCs w:val="18"/>
          <w:color w:val="auto"/>
        </w:rPr>
        <w:t>whether to adjust fee amounts recognized in earlier periods. Higher Education operating results improved in the third quarter of 2024 due to</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an increase in the Purdue Global fee recorded. Higher Education operating results declined in the first nine months of 2024 due to primarily to an increase in higher education development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education businesses. Supplemental Education revenue declined 3% and 2% for the third quarter and first nine months of 2024, respectively, driven mostly by softness in Medical Licensure test preparation and publishing activities and Real Estate, offset in part by growth in</w:t>
      </w:r>
    </w:p>
    <w:p>
      <w:pPr>
        <w:spacing w:after="0" w:line="1"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Insurance, CFA, Architecture and Engineering and MCAT test preparation. Operating results improved in the third quarter and first nine months of 2024 due to cost reductions from lower headcount, partially offset by lower revenues.</w:t>
      </w:r>
    </w:p>
    <w:p>
      <w:pPr>
        <w:spacing w:after="0" w:line="10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Kaplan corporate and other expenses increased in the third quarter and first nine months of 2024, largely due to increased employee benefit and incentive compensation costs.</w:t>
      </w:r>
    </w:p>
    <w:p>
      <w:pPr>
        <w:spacing w:after="0" w:line="10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third quarter of 2024, the Company offered a SIP to certain employees at Supplemental Education, which was funded from the assets of the Company’s pension plan; $2.7 million in related non-operating pension expense was recorded in the third quarter of 2024.</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145,422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116,112</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25</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373,958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347,818</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61,914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31,947</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94</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122,675</w:t>
            </w:r>
          </w:p>
        </w:tc>
        <w:tc>
          <w:tcPr>
            <w:tcW w:w="3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93,720</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31</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Inc. owns seven television stations located in Houston, TX; Detroit, MI; Orlando, FL; San Antonio, TX; Jacksonville,</w:t>
      </w:r>
    </w:p>
    <w:p>
      <w:pPr>
        <w:spacing w:after="0" w:line="14" w:lineRule="exact"/>
        <w:rPr>
          <w:sz w:val="20"/>
          <w:szCs w:val="20"/>
          <w:color w:val="auto"/>
        </w:rPr>
      </w:pPr>
    </w:p>
    <w:p>
      <w:pPr>
        <w:jc w:val="both"/>
        <w:ind w:right="80"/>
        <w:spacing w:after="0"/>
        <w:rPr>
          <w:sz w:val="20"/>
          <w:szCs w:val="20"/>
          <w:color w:val="auto"/>
        </w:rPr>
      </w:pPr>
      <w:r>
        <w:rPr>
          <w:rFonts w:ascii="Arial" w:cs="Arial" w:eastAsia="Arial" w:hAnsi="Arial"/>
          <w:sz w:val="17"/>
          <w:szCs w:val="17"/>
          <w:color w:val="auto"/>
        </w:rPr>
        <w:t>FL; and Roanoke, VA, as well as SocialNewsDesk, a provider of social media management tools designed to connect newsrooms with their users. Revenue at the television broadcasting division increased 25% to $145.4 million in the third quarter of 2024, from $116.1 million in the</w:t>
      </w:r>
    </w:p>
    <w:p>
      <w:pPr>
        <w:spacing w:after="0" w:line="235" w:lineRule="auto"/>
        <w:rPr>
          <w:sz w:val="20"/>
          <w:szCs w:val="20"/>
          <w:color w:val="auto"/>
        </w:rPr>
      </w:pPr>
      <w:r>
        <w:rPr>
          <w:rFonts w:ascii="Arial" w:cs="Arial" w:eastAsia="Arial" w:hAnsi="Arial"/>
          <w:sz w:val="18"/>
          <w:szCs w:val="18"/>
          <w:color w:val="auto"/>
        </w:rPr>
        <w:t>same period of 2023. The revenue increase is due to a $34.5 million increase in political advertising revenue, increases from summer</w:t>
      </w:r>
    </w:p>
    <w:p>
      <w:pPr>
        <w:ind w:right="60"/>
        <w:spacing w:after="0"/>
        <w:rPr>
          <w:sz w:val="20"/>
          <w:szCs w:val="20"/>
          <w:color w:val="auto"/>
        </w:rPr>
      </w:pPr>
      <w:r>
        <w:rPr>
          <w:rFonts w:ascii="Arial" w:cs="Arial" w:eastAsia="Arial" w:hAnsi="Arial"/>
          <w:sz w:val="17"/>
          <w:szCs w:val="17"/>
          <w:color w:val="auto"/>
        </w:rPr>
        <w:t>Olympics-related advertising revenue at the Company’s NBC stations and an increase in digital advertising revenue, partially offset by a $ 3.4 million decrease in retransmission revenue and a decline in local advertising revenue. Operating income for the third quarter of 2024 was up</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94% to $61.9 million, from $31.9 million in the same period of 2023, due to higher revenues and lower network fees, partially offset by increased pension expense.</w:t>
      </w:r>
    </w:p>
    <w:p>
      <w:pPr>
        <w:spacing w:after="0" w:line="10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Revenue at the television broadcasting division was up 8% to $374.0 million in the first nine months of 2024, from $347.8 million in the same period of 2023. The revenue increase is due to a $40.8 million increase in political advertising revenue, increases from summer Olympics-</w:t>
      </w:r>
    </w:p>
    <w:p>
      <w:pPr>
        <w:ind w:right="180"/>
        <w:spacing w:after="0"/>
        <w:rPr>
          <w:sz w:val="20"/>
          <w:szCs w:val="20"/>
          <w:color w:val="auto"/>
        </w:rPr>
      </w:pPr>
      <w:r>
        <w:rPr>
          <w:rFonts w:ascii="Arial" w:cs="Arial" w:eastAsia="Arial" w:hAnsi="Arial"/>
          <w:sz w:val="17"/>
          <w:szCs w:val="17"/>
          <w:color w:val="auto"/>
        </w:rPr>
        <w:t>related advertising at the Company’s NBC stations and an increase in digital advertising revenue, partially offset by a decline in local advertising revenue and a $6.1 million decrease in retransmission revenue. Operating income for the first nine months of 2024 was up 31%</w:t>
      </w:r>
    </w:p>
    <w:p>
      <w:pPr>
        <w:spacing w:after="0" w:line="235" w:lineRule="auto"/>
        <w:rPr>
          <w:sz w:val="20"/>
          <w:szCs w:val="20"/>
          <w:color w:val="auto"/>
        </w:rPr>
      </w:pPr>
      <w:r>
        <w:rPr>
          <w:rFonts w:ascii="Arial" w:cs="Arial" w:eastAsia="Arial" w:hAnsi="Arial"/>
          <w:sz w:val="18"/>
          <w:szCs w:val="18"/>
          <w:color w:val="auto"/>
        </w:rPr>
        <w:t>to $122.7 million, from $93.7 million in the same period of 2023, due to higher revenues and lower network fees, partially offset by increased</w:t>
      </w:r>
    </w:p>
    <w:p>
      <w:pPr>
        <w:ind w:right="160"/>
        <w:spacing w:after="0"/>
        <w:rPr>
          <w:sz w:val="20"/>
          <w:szCs w:val="20"/>
          <w:color w:val="auto"/>
        </w:rPr>
      </w:pPr>
      <w:r>
        <w:rPr>
          <w:rFonts w:ascii="Arial" w:cs="Arial" w:eastAsia="Arial" w:hAnsi="Arial"/>
          <w:sz w:val="17"/>
          <w:szCs w:val="17"/>
          <w:color w:val="auto"/>
        </w:rPr>
        <w:t>pension expense. While per subscriber rates from cable, satellite and OTT providers have grown, overall cable and satellite subscribers are down due to cord cutting, resulting in retransmission revenue net of network fees in 2024 expected to decline compared with 2023, and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trend is expected to continue.</w:t>
      </w:r>
    </w:p>
    <w:p>
      <w:pPr>
        <w:spacing w:after="0" w:line="12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second quarter of 2024, the Company offered a VRIP to certain employees at the television broadcasting division. The early retirement program expense for this program was funded by the assets of the Company’s pension plan; $14.3 million in related non-operating pension expense was recorded in the second quarter of 2024.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right="18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center"/>
              <w:ind w:right="20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0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95,385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109,216</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300,914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343,882</w:t>
            </w: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4,495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(40,974)</w:t>
            </w:r>
          </w:p>
        </w:tc>
        <w:tc>
          <w:tcPr>
            <w:tcW w:w="1320" w:type="dxa"/>
            <w:vAlign w:val="bottom"/>
          </w:tcPr>
          <w:p>
            <w:pPr>
              <w:jc w:val="center"/>
              <w:ind w:left="722"/>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11,829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(21,664)</w:t>
            </w:r>
          </w:p>
        </w:tc>
        <w:tc>
          <w:tcPr>
            <w:tcW w:w="1200" w:type="dxa"/>
            <w:vAlign w:val="bottom"/>
          </w:tcPr>
          <w:p>
            <w:pPr>
              <w:jc w:val="center"/>
              <w:ind w:left="802"/>
              <w:spacing w:after="0"/>
              <w:rPr>
                <w:sz w:val="20"/>
                <w:szCs w:val="20"/>
                <w:color w:val="auto"/>
              </w:rPr>
            </w:pPr>
            <w:r>
              <w:rPr>
                <w:rFonts w:ascii="Arial" w:cs="Arial" w:eastAsia="Arial" w:hAnsi="Arial"/>
                <w:sz w:val="16"/>
                <w:szCs w:val="16"/>
                <w:color w:val="auto"/>
                <w:w w:val="99"/>
              </w:rPr>
              <w:t>—</w:t>
            </w:r>
          </w:p>
        </w:tc>
      </w:tr>
    </w:tbl>
    <w:p>
      <w:pPr>
        <w:spacing w:after="0" w:line="218"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revenues decreased 13% and 12% in the third quarter and first nine months of 2024, respectively. The revenue decline in the</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third quarter of 2024 is due to largely to lower revenues at Hoover, along with declines at Dekko, partially offset by increased revenues at Forney. The revenue decline in the first nine months of 2024 is due largely to lower revenues at Hoover, and declines at Dekko and Joyce.</w:t>
      </w:r>
    </w:p>
    <w:p>
      <w:pPr>
        <w:spacing w:after="0" w:line="235" w:lineRule="auto"/>
        <w:rPr>
          <w:sz w:val="20"/>
          <w:szCs w:val="20"/>
          <w:color w:val="auto"/>
        </w:rPr>
      </w:pPr>
      <w:r>
        <w:rPr>
          <w:rFonts w:ascii="Arial" w:cs="Arial" w:eastAsia="Arial" w:hAnsi="Arial"/>
          <w:sz w:val="18"/>
          <w:szCs w:val="18"/>
          <w:color w:val="auto"/>
        </w:rPr>
        <w:t>The revenue decline at Hoover is due largely to a decrease in overall product demand, particularly for multi-family housing. Revenues</w:t>
      </w:r>
    </w:p>
    <w:p>
      <w:pPr>
        <w:ind w:right="260"/>
        <w:spacing w:after="0" w:line="226" w:lineRule="auto"/>
        <w:rPr>
          <w:sz w:val="20"/>
          <w:szCs w:val="20"/>
          <w:color w:val="auto"/>
        </w:rPr>
      </w:pPr>
      <w:r>
        <w:rPr>
          <w:rFonts w:ascii="Arial" w:cs="Arial" w:eastAsia="Arial" w:hAnsi="Arial"/>
          <w:sz w:val="18"/>
          <w:szCs w:val="18"/>
          <w:color w:val="auto"/>
        </w:rPr>
        <w:t>declined at Dekko due to lower product demand. Overall, Hoover results included wood gains on inventory sales in the first nine months of 2024 and 2023, with gains in the first nine months of 2024 much lower than the prior year. For the third quarter of 2024, Hoover results</w:t>
      </w:r>
    </w:p>
    <w:p>
      <w:pPr>
        <w:spacing w:after="0" w:line="236" w:lineRule="auto"/>
        <w:rPr>
          <w:sz w:val="20"/>
          <w:szCs w:val="20"/>
          <w:color w:val="auto"/>
        </w:rPr>
      </w:pPr>
      <w:r>
        <w:rPr>
          <w:rFonts w:ascii="Arial" w:cs="Arial" w:eastAsia="Arial" w:hAnsi="Arial"/>
          <w:sz w:val="18"/>
          <w:szCs w:val="18"/>
          <w:color w:val="auto"/>
        </w:rPr>
        <w:t>included modest wood gains on inventory sales compared with higher wood gains on inventory sales in the third quarter of 2023.</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Manufacturing operating results improved in the third quarter and first nine months of 2024 due to a $47.8 million goodwill impairment charge at Dekko recorded in the third quarter 2023. Excluding this goodwill impairment charge, manufacturing results were down in the third quarter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first nine months of 2024, due largely to significant declines at Hoover and Dekko, along with declines at Joyce and Forney.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2" w:name="page33"/>
    <w:bookmarkEnd w:id="32"/>
    <w:p>
      <w:pPr>
        <w:ind w:right="280"/>
        <w:spacing w:after="0" w:line="271" w:lineRule="auto"/>
        <w:rPr>
          <w:sz w:val="20"/>
          <w:szCs w:val="20"/>
          <w:color w:val="auto"/>
        </w:rPr>
      </w:pPr>
      <w:r>
        <w:rPr>
          <w:rFonts w:ascii="Arial" w:cs="Arial" w:eastAsia="Arial" w:hAnsi="Arial"/>
          <w:sz w:val="18"/>
          <w:szCs w:val="18"/>
          <w:color w:val="auto"/>
        </w:rPr>
        <w:t>In the third quarter of 2024, the Company offered a SIP to certain employees at Dekko, which was funded by the assets of the Company’s pension plan; $0.1 million in related non-operating pension expense was recorded in the third quarter of 2024.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0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155,413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116,164</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34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431,142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331,505</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30</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14,260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5,971</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33,088</w:t>
            </w:r>
          </w:p>
        </w:tc>
        <w:tc>
          <w:tcPr>
            <w:tcW w:w="3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17,284</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91</w:t>
            </w:r>
          </w:p>
        </w:tc>
      </w:tr>
    </w:tbl>
    <w:p>
      <w:pPr>
        <w:spacing w:after="0" w:line="218"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Graham Healthcare Group (GHG) provides home health and hospice services in seven states. GHG also provides nursing care and prescription services for patients receiving in-home infusion treatments through its 86.7% interest in CSI Pharmacy Holding Company, LLC</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(CSI), and other healthcare services. Healthcare revenues increased 34% and 30% for the third quarter and first nine months of 2024, respectively, due largely to significant growth at CSI from an expansion of infusion treatment offerings and patient service areas; revenues</w:t>
      </w:r>
    </w:p>
    <w:p>
      <w:pPr>
        <w:spacing w:after="0" w:line="235" w:lineRule="auto"/>
        <w:rPr>
          <w:sz w:val="20"/>
          <w:szCs w:val="20"/>
          <w:color w:val="auto"/>
        </w:rPr>
      </w:pPr>
      <w:r>
        <w:rPr>
          <w:rFonts w:ascii="Arial" w:cs="Arial" w:eastAsia="Arial" w:hAnsi="Arial"/>
          <w:sz w:val="18"/>
          <w:szCs w:val="18"/>
          <w:color w:val="auto"/>
        </w:rPr>
        <w:t>also grew in home health and hospice services and at the other healthcare businesses. The increase in GHG operating results in the third</w:t>
      </w:r>
    </w:p>
    <w:p>
      <w:pPr>
        <w:ind w:right="580"/>
        <w:spacing w:after="0" w:line="226" w:lineRule="auto"/>
        <w:rPr>
          <w:sz w:val="20"/>
          <w:szCs w:val="20"/>
          <w:color w:val="auto"/>
        </w:rPr>
      </w:pPr>
      <w:r>
        <w:rPr>
          <w:rFonts w:ascii="Arial" w:cs="Arial" w:eastAsia="Arial" w:hAnsi="Arial"/>
          <w:sz w:val="18"/>
          <w:szCs w:val="18"/>
          <w:color w:val="auto"/>
        </w:rPr>
        <w:t>quarter and first nine months of 2024 is due to substantially higher operating results at CSI from significant revenue growth, along with improved results at home health, partially offset by increased pension expense. In January 2022, GHC implemented a pension credit</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retention program offering a pension credit up to $ 50,000 per employee, cliff vested after three years of continuous employment for certain existing employees and new employees. Effective April 1, 2024, this program is no longer being offered to new employees.</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w:t>
      </w:r>
    </w:p>
    <w:p>
      <w:pPr>
        <w:ind w:right="160"/>
        <w:spacing w:after="0" w:line="237" w:lineRule="auto"/>
        <w:rPr>
          <w:sz w:val="20"/>
          <w:szCs w:val="20"/>
          <w:color w:val="auto"/>
        </w:rPr>
      </w:pPr>
      <w:r>
        <w:rPr>
          <w:rFonts w:ascii="Arial" w:cs="Arial" w:eastAsia="Arial" w:hAnsi="Arial"/>
          <w:sz w:val="18"/>
          <w:szCs w:val="18"/>
          <w:color w:val="auto"/>
        </w:rPr>
        <w:t>$3.4 million and $ 1.9 million for the third quarter of 2024 and 2023, respectively, from these joint ventures. The Company recorded equity in earnings of $10.2 million and $6.9 million for the first nine months of 2024 and 2023,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289,392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272,018</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902,046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765,251</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18</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9,064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8,237</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28,919</w:t>
            </w:r>
          </w:p>
        </w:tc>
        <w:tc>
          <w:tcPr>
            <w:tcW w:w="3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28,540</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w:t>
            </w:r>
          </w:p>
        </w:tc>
      </w:tr>
    </w:tbl>
    <w:p>
      <w:pPr>
        <w:spacing w:after="0" w:line="23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Automotive includes eight automotive dealerships in the Washington, DC metropolitan area and Richmond, VA: Ourisman Lexus of Rockville, Ourisman Honda of Tysons Corner, Ourisman Jeep Bethesda, Ourisman Ford of Manassas, Toyota of Woodbridge, Ourisman Chrysler-</w:t>
      </w:r>
    </w:p>
    <w:p>
      <w:pPr>
        <w:spacing w:after="0" w:line="235" w:lineRule="auto"/>
        <w:rPr>
          <w:sz w:val="20"/>
          <w:szCs w:val="20"/>
          <w:color w:val="auto"/>
        </w:rPr>
      </w:pPr>
      <w:r>
        <w:rPr>
          <w:rFonts w:ascii="Arial" w:cs="Arial" w:eastAsia="Arial" w:hAnsi="Arial"/>
          <w:sz w:val="18"/>
          <w:szCs w:val="18"/>
          <w:color w:val="auto"/>
        </w:rPr>
        <w:t>Dodge-Jeep-Ram (CDJR) of Woodbridge and Ourisman Toyota of Richmond, which was acquired on September 27, 2023 from McGeorge</w:t>
      </w:r>
    </w:p>
    <w:p>
      <w:pPr>
        <w:ind w:right="460"/>
        <w:spacing w:after="0" w:line="226" w:lineRule="auto"/>
        <w:rPr>
          <w:sz w:val="20"/>
          <w:szCs w:val="20"/>
          <w:color w:val="auto"/>
        </w:rPr>
      </w:pPr>
      <w:r>
        <w:rPr>
          <w:rFonts w:ascii="Arial" w:cs="Arial" w:eastAsia="Arial" w:hAnsi="Arial"/>
          <w:sz w:val="18"/>
          <w:szCs w:val="18"/>
          <w:color w:val="auto"/>
        </w:rPr>
        <w:t>Toyota. The automotive group was awarded a Kia Open Point dealership in Bethesda, MD, which commenced operations at the end of December 2023. Christopher J. Ourisman, a member of the Ourisman Automotive Group family of dealerships, and his team of industry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professionals operate and manage the dealerships; the Company holds a 90% stake.</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Revenues for the third quarter of 2024 increased 6% due largely to the Toyota of Richmond acquisition and the addition of the Kia dealership, as well as sales growth for services and parts, partially offset by a decline in new and used vehicle sales and a decline in sales of finance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insurance product offerings. Revenues for the first nine months of 2024 increased 18% due largely to the Toyota of Richmond acquisition</w:t>
      </w:r>
    </w:p>
    <w:p>
      <w:pPr>
        <w:spacing w:after="0" w:line="7"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and the addition of the Kia dealership, as well as sales growth for services and parts, partially offset by a decline in used vehicle sales and a decline in sales of finance and insurance products offerings. Operating results increased for the third quarter of 2024 due largely to earnings</w:t>
      </w:r>
    </w:p>
    <w:p>
      <w:pPr>
        <w:spacing w:after="0" w:line="235" w:lineRule="auto"/>
        <w:rPr>
          <w:sz w:val="20"/>
          <w:szCs w:val="20"/>
          <w:color w:val="auto"/>
        </w:rPr>
      </w:pPr>
      <w:r>
        <w:rPr>
          <w:rFonts w:ascii="Arial" w:cs="Arial" w:eastAsia="Arial" w:hAnsi="Arial"/>
          <w:sz w:val="18"/>
          <w:szCs w:val="18"/>
          <w:color w:val="auto"/>
        </w:rPr>
        <w:t>from the Toyota of Richmond acquisition and higher overall gross profit on services and parts, partially offset by lower overall gross margins</w:t>
      </w:r>
    </w:p>
    <w:p>
      <w:pPr>
        <w:ind w:right="60"/>
        <w:spacing w:after="0"/>
        <w:rPr>
          <w:sz w:val="20"/>
          <w:szCs w:val="20"/>
          <w:color w:val="auto"/>
        </w:rPr>
      </w:pPr>
      <w:r>
        <w:rPr>
          <w:rFonts w:ascii="Arial" w:cs="Arial" w:eastAsia="Arial" w:hAnsi="Arial"/>
          <w:sz w:val="17"/>
          <w:szCs w:val="17"/>
          <w:color w:val="auto"/>
        </w:rPr>
        <w:t>on new vehicles and a decline in finance and insurance product sales. Operating results increased modestly for the first nine months of 2024 due largely to earnings from the Toyota of Richmond acquisition and higher overall gross profit on services and parts, partially offset by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overall gross margins on new and used vehicles and a decline in finance and insurance product sales.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jc w:val="right"/>
              <w:ind w:right="52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jc w:val="right"/>
              <w:ind w:right="402"/>
              <w:spacing w:after="0"/>
              <w:rPr>
                <w:sz w:val="20"/>
                <w:szCs w:val="20"/>
                <w:color w:val="auto"/>
              </w:rPr>
            </w:pPr>
            <w:r>
              <w:rPr>
                <w:rFonts w:ascii="Arial" w:cs="Arial" w:eastAsia="Arial" w:hAnsi="Arial"/>
                <w:sz w:val="14"/>
                <w:szCs w:val="14"/>
                <w:color w:val="auto"/>
              </w:rPr>
              <w:t>%</w:t>
            </w: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6"/>
        </w:trPr>
        <w:tc>
          <w:tcPr>
            <w:tcW w:w="4020" w:type="dxa"/>
            <w:vAlign w:val="bottom"/>
          </w:tcPr>
          <w:p>
            <w:pPr>
              <w:ind w:left="140"/>
              <w:spacing w:after="0" w:line="23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24,678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28,446</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77,288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90,215</w:t>
            </w: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402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23,623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27,418</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69,667</w:t>
            </w:r>
          </w:p>
        </w:tc>
        <w:tc>
          <w:tcPr>
            <w:tcW w:w="34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78,105</w:t>
            </w: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402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35,163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30,789</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106,798</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100,790</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w:t>
            </w:r>
          </w:p>
        </w:tc>
      </w:tr>
      <w:tr>
        <w:trPr>
          <w:trHeight w:val="220"/>
        </w:trPr>
        <w:tc>
          <w:tcPr>
            <w:tcW w:w="40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83,464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86,653</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253,753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269,110</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Society6 and Saatchi Art (formerly Leaf Marketplace) and Framebridge</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World of Good Brands (formerly Leaf Media), Code3, Slate, Foreign Policy, Pinna and City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Clyde’s Restaurant Group, Decile and Supporting Cast</w:t>
      </w:r>
    </w:p>
    <w:p>
      <w:pPr>
        <w:spacing w:after="0" w:line="261"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Overall, revenue from other businesses declined 4% and 6% in the third quarter and first nine months of 2024, respectively. Retail revenue declined in the first nine months of 2024 largely due to lower revenue at Society6, partially offset by revenue growth at Saatchi Art and</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Framebridge. Media revenue declined in the first nine months of 2024 due to lower revenue at WGB and Code3, partially offset by revenue growth at Slate, Foreign Policy and City Cast. Specialty revenue increased in the first nine months of 2024 due to revenue growth at Clyde’s</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Restaurant Group (CRG), Decile and Supporting Cast. Excluding the former Leaf businesses, revenue from other businesses grew in the third quarter and first nine months of 2024.</w:t>
      </w:r>
    </w:p>
    <w:p>
      <w:pPr>
        <w:spacing w:after="0" w:line="10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Overall, operating results at other businesses improved in the first nine months of 2024 due to $26.3 million in goodwill and intangible asset impairment charges at WGB in 2024 compared to $ 50.2 million in goodwill impairment charges at WGB in 2023. Excluding these impairment charges and increased pension expense, operating losses at other businesses in the first nine months of 2024 were similar to the prior year.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w:t>
      </w:r>
    </w:p>
    <w:p>
      <w:pPr>
        <w:spacing w:after="0" w:line="14" w:lineRule="exact"/>
        <w:rPr>
          <w:sz w:val="20"/>
          <w:szCs w:val="20"/>
          <w:color w:val="auto"/>
        </w:rPr>
      </w:pPr>
    </w:p>
    <w:p>
      <w:pPr>
        <w:ind w:right="920"/>
        <w:spacing w:after="0" w:line="237" w:lineRule="auto"/>
        <w:rPr>
          <w:sz w:val="20"/>
          <w:szCs w:val="20"/>
          <w:color w:val="auto"/>
        </w:rPr>
      </w:pPr>
      <w:r>
        <w:rPr>
          <w:rFonts w:ascii="Arial" w:cs="Arial" w:eastAsia="Arial" w:hAnsi="Arial"/>
          <w:sz w:val="18"/>
          <w:szCs w:val="18"/>
          <w:color w:val="auto"/>
        </w:rPr>
        <w:t>builds enduring, creator-driven brands that reach passionate audiences in large lifestyle categories, including fitness and wellness (Well+Good and Livestrong.com), and home, art and design (Saatchi Art and Society6).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2023, the Company restructured Leaf into three stand-alone businesses: Society6 (formerly included in Leaf</w:t>
      </w:r>
    </w:p>
    <w:p>
      <w:pPr>
        <w:spacing w:after="0" w:line="14" w:lineRule="exact"/>
        <w:rPr>
          <w:sz w:val="20"/>
          <w:szCs w:val="20"/>
          <w:color w:val="auto"/>
        </w:rPr>
      </w:pPr>
    </w:p>
    <w:p>
      <w:pPr>
        <w:ind w:right="700"/>
        <w:spacing w:after="0" w:line="226" w:lineRule="auto"/>
        <w:rPr>
          <w:sz w:val="20"/>
          <w:szCs w:val="20"/>
          <w:color w:val="auto"/>
        </w:rPr>
      </w:pPr>
      <w:r>
        <w:rPr>
          <w:rFonts w:ascii="Arial" w:cs="Arial" w:eastAsia="Arial" w:hAnsi="Arial"/>
          <w:sz w:val="18"/>
          <w:szCs w:val="18"/>
          <w:color w:val="auto"/>
        </w:rPr>
        <w:t>Marketplace), Saatchi Art (formerly included in Leaf Marketplace) and WGB (formerly Leaf Media). The transition process for this restructuring has involved various cost reduction initiatives, including elimination of shared services costs and functions; transitioning</w:t>
      </w:r>
    </w:p>
    <w:p>
      <w:pPr>
        <w:spacing w:after="0" w:line="236" w:lineRule="auto"/>
        <w:rPr>
          <w:sz w:val="20"/>
          <w:szCs w:val="20"/>
          <w:color w:val="auto"/>
        </w:rPr>
      </w:pPr>
      <w:r>
        <w:rPr>
          <w:rFonts w:ascii="Arial" w:cs="Arial" w:eastAsia="Arial" w:hAnsi="Arial"/>
          <w:sz w:val="18"/>
          <w:szCs w:val="18"/>
          <w:color w:val="auto"/>
        </w:rPr>
        <w:t>financial and human resources systems; and rationalizing physical facilities and data centers. In the first and second quarters of 2023, Leaf</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implemented a SIP to reduce the number of employees, which was funded by the assets of the Company’s pension plan; $2.9 million and $3.9 million in related non-operating pension expense was recorded in the first and second quarters of 2023, respectively. Each of Society6,</w:t>
      </w:r>
    </w:p>
    <w:p>
      <w:pPr>
        <w:spacing w:after="0" w:line="1"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Saatchi Art and WGB has continued with the transition and cost reduction process, which was largely complete at the end of the second quarter of 2024. In the third quarter of 2024, the Company implemented an additional SIP at Society6, Saatchi Art and WGB, which was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funded from the assets of the Company’s pension plan; $0.5 million in related non-operating pension expense was recorded.</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Revenues at Society6 and WGB declined substantially in the third quarter and first nine months of 2024. Revenue declines at Society6 are due to declines in traffic, largely driven by a significant decrease in advertising spend, as well as softer demand in the home decor category.</w:t>
      </w:r>
    </w:p>
    <w:p>
      <w:pPr>
        <w:spacing w:after="0" w:line="235" w:lineRule="auto"/>
        <w:rPr>
          <w:sz w:val="20"/>
          <w:szCs w:val="20"/>
          <w:color w:val="auto"/>
        </w:rPr>
      </w:pPr>
      <w:r>
        <w:rPr>
          <w:rFonts w:ascii="Arial" w:cs="Arial" w:eastAsia="Arial" w:hAnsi="Arial"/>
          <w:sz w:val="18"/>
          <w:szCs w:val="18"/>
          <w:color w:val="auto"/>
        </w:rPr>
        <w:t>Revenue declines at WGB are due to reduced traffic and the soft digital advertising market for programmatic. Revenues at Saatchi Art grew</w:t>
      </w:r>
    </w:p>
    <w:p>
      <w:pPr>
        <w:ind w:right="140"/>
        <w:spacing w:after="0" w:line="237" w:lineRule="auto"/>
        <w:rPr>
          <w:sz w:val="20"/>
          <w:szCs w:val="20"/>
          <w:color w:val="auto"/>
        </w:rPr>
      </w:pPr>
      <w:r>
        <w:rPr>
          <w:rFonts w:ascii="Arial" w:cs="Arial" w:eastAsia="Arial" w:hAnsi="Arial"/>
          <w:sz w:val="18"/>
          <w:szCs w:val="18"/>
          <w:color w:val="auto"/>
        </w:rPr>
        <w:t>in the first nine months of 2024. Overall, the Leaf businesses reported significant operating losses in each of the third quarters and first nine months of 2024 and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substantial digital advertising revenue declines and continued significant operating losses at WGB, the Company recorded</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 $50.2 million goodwill impairment charge in the third quarter of 2023. In the second quarter of 2024, the Company recorded an additional $26.3 million in goodwill and intangible asset impairment charges at WGB. Excluding these impairment charges, losses increased at the Leaf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businesses in the third quarter and first nine months of 2024.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Clyde’s Restaurant Group</w:t>
      </w:r>
    </w:p>
    <w:p>
      <w:pPr>
        <w:spacing w:after="0" w:line="15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CRG owns and operates 13 restaurants and entertainment venues in the Washington, DC metropolitan area, including Old Ebbitt Grill and The Hamilton. In July 2024, CRG opened Rye Street Tavern, a new restaurant in Baltimore, MD. Revenue increased in the third quarter and</w:t>
      </w:r>
    </w:p>
    <w:p>
      <w:pPr>
        <w:spacing w:after="0" w:line="235" w:lineRule="auto"/>
        <w:rPr>
          <w:sz w:val="20"/>
          <w:szCs w:val="20"/>
          <w:color w:val="auto"/>
        </w:rPr>
      </w:pPr>
      <w:r>
        <w:rPr>
          <w:rFonts w:ascii="Arial" w:cs="Arial" w:eastAsia="Arial" w:hAnsi="Arial"/>
          <w:sz w:val="18"/>
          <w:szCs w:val="18"/>
          <w:color w:val="auto"/>
        </w:rPr>
        <w:t>first nine months of 2024 due to the new restaurant opening and modest price increases. Operating results declined in the third quarter and</w:t>
      </w:r>
    </w:p>
    <w:p>
      <w:pPr>
        <w:spacing w:after="0" w:line="226" w:lineRule="auto"/>
        <w:rPr>
          <w:sz w:val="20"/>
          <w:szCs w:val="20"/>
          <w:color w:val="auto"/>
        </w:rPr>
      </w:pPr>
      <w:r>
        <w:rPr>
          <w:rFonts w:ascii="Arial" w:cs="Arial" w:eastAsia="Arial" w:hAnsi="Arial"/>
          <w:sz w:val="18"/>
          <w:szCs w:val="18"/>
          <w:color w:val="auto"/>
        </w:rPr>
        <w:t>first nine months of 2024. Excluding pre-opening expenses incurred for new restaurants, operating results improved modestly for the third quarter and first nine months of 2024. CRG reported an operating loss in each of the third quarters of 2024 and 2023, while CRG reported 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in each of the first nine months of 2024 and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CRG plans to open new restaurants in Washington, DC and Reston, VA in late 2024 and late 2025,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Framebridge is a custom framing service company, headquartered in Washington, DC, with 26 retail locations, and two manufacturing</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facilities in Kentucky and Virginia. In the third quarter of 2024, Framebridge opened three new retail stores. Framebridge plans to open six additional retail stores in the fourth quarter of 2024 and continues to actively explore other opportunities for further store expansion.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in the third quarter and first nine months of 2024 due to an increase in retail revenue from same-store sales growth and</w:t>
      </w:r>
    </w:p>
    <w:p>
      <w:pPr>
        <w:spacing w:after="0" w:line="14" w:lineRule="exact"/>
        <w:rPr>
          <w:sz w:val="20"/>
          <w:szCs w:val="20"/>
          <w:color w:val="auto"/>
        </w:rPr>
      </w:pPr>
    </w:p>
    <w:p>
      <w:pPr>
        <w:ind w:right="760"/>
        <w:spacing w:after="0"/>
        <w:rPr>
          <w:sz w:val="20"/>
          <w:szCs w:val="20"/>
          <w:color w:val="auto"/>
        </w:rPr>
      </w:pPr>
      <w:r>
        <w:rPr>
          <w:rFonts w:ascii="Arial" w:cs="Arial" w:eastAsia="Arial" w:hAnsi="Arial"/>
          <w:sz w:val="17"/>
          <w:szCs w:val="17"/>
          <w:color w:val="auto"/>
        </w:rPr>
        <w:t>operating additional retail stores compared to the same periods in 2023. Framebridge is an investment stage business and reported significant operating losses in the first nine months of 2024 and 2023. Excluding increased pension expense, operating losses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Framebridge for the first nine months of 2024 were similar to the prior year.</w:t>
      </w:r>
    </w:p>
    <w:p>
      <w:pPr>
        <w:spacing w:after="0" w:line="140" w:lineRule="exact"/>
        <w:rPr>
          <w:sz w:val="20"/>
          <w:szCs w:val="20"/>
          <w:color w:val="auto"/>
        </w:rPr>
      </w:pPr>
    </w:p>
    <w:p>
      <w:pPr>
        <w:jc w:val="both"/>
        <w:ind w:right="200"/>
        <w:spacing w:after="0" w:line="285" w:lineRule="auto"/>
        <w:rPr>
          <w:sz w:val="20"/>
          <w:szCs w:val="20"/>
          <w:color w:val="auto"/>
        </w:rPr>
      </w:pPr>
      <w:r>
        <w:rPr>
          <w:rFonts w:ascii="Arial" w:cs="Arial" w:eastAsia="Arial" w:hAnsi="Arial"/>
          <w:sz w:val="17"/>
          <w:szCs w:val="17"/>
          <w:color w:val="auto"/>
        </w:rPr>
        <w:t>In the first and second quarters of 2024, Framebridge implemented a SIP, which was funded by the assets of the Company’s pension plan; $0.4 million and $1.0 million in related non-operating pension expense was recorded in the first and second quarters of 2024,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2" w:lineRule="exact"/>
        <w:rPr>
          <w:sz w:val="20"/>
          <w:szCs w:val="20"/>
          <w:color w:val="auto"/>
        </w:rPr>
      </w:pPr>
    </w:p>
    <w:p>
      <w:pPr>
        <w:ind w:right="620"/>
        <w:spacing w:after="0" w:line="259"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though three core elements of digital success: media, creative and commerce; Slate and Foreign Policy, which publish online and print magazines and</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websites; and three investment stage businesses, Decile, City Cast and Supporting Cast. Slate, Supporting Cast, City Cast, Foreign Policy and Decile reported revenue growth in the first nine months of 2024, while Code3 reported a revenue decline. Losses from City Cast, Decile,</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Code3, Supporting Cast and Foreign Policy in the first nine months of 2024 adversely affected operating results, while Slate reported an operating profit during this period.</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Other businesses also included Pinna, which was sold in June 2023 when the Company entered into a merger agreement with Realm of Possibility, Inc. (Realm), a provider of audio entertainment services, to merge Pinna with Realm in return for a noncontrolling financial interest</w:t>
      </w:r>
    </w:p>
    <w:p>
      <w:pPr>
        <w:spacing w:after="0" w:line="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in the merged entity. In connection with the merger, the Company recorded a $10.0 million non-cash, non-operating gain related to the transaction. The Company’s investment in Realm is reported as an equity method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2024, Slate and Decile implemented SIPs to reduce the number of employees, which were funded by the assets of the</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Company’s pension plan; $0.3 million in related non-operating pension expense was recorded in the third quarter of 2024. In the second quarter of 2024, Code3 implemented a SIP to reduce the number of employees, which was funded by the assets of the Company’s pension</w:t>
      </w:r>
    </w:p>
    <w:p>
      <w:pPr>
        <w:spacing w:after="0" w:line="236" w:lineRule="auto"/>
        <w:rPr>
          <w:sz w:val="20"/>
          <w:szCs w:val="20"/>
          <w:color w:val="auto"/>
        </w:rPr>
      </w:pPr>
      <w:r>
        <w:rPr>
          <w:rFonts w:ascii="Arial" w:cs="Arial" w:eastAsia="Arial" w:hAnsi="Arial"/>
          <w:sz w:val="18"/>
          <w:szCs w:val="18"/>
          <w:color w:val="auto"/>
        </w:rPr>
        <w:t>plan; $0.6 million in related non-operating pension expense was recorded in the second quarter of 2024. In the first and second quarters of</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2023, Code3 implemented a SIP to reduce the number of employees, which was funded by the assets of the Company’s pension plan; $1.2 million and $0.6 million in related non-operating pension expense was recorded in the first and second quarters of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in the first nine months of 2023 benefited from a $4.2 million net credit related to a fair value change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contingent consideration from a prior acquisition.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 Changes</w:t>
      </w:r>
    </w:p>
    <w:p>
      <w:pPr>
        <w:spacing w:after="0" w:line="14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Effective January 1, 2024, the Company’s defined benefit pension plan was amended to provide many of the current employees who are current plan participants with an increased pension benefit, and to provide certain current employees from several business units with a new pension benefit offering. The increased and new pension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3" w:right="359" w:bottom="1440" w:gutter="0" w:footer="0" w:header="0"/>
        </w:sectPr>
      </w:pPr>
    </w:p>
    <w:bookmarkStart w:id="35" w:name="page36"/>
    <w:bookmarkEnd w:id="35"/>
    <w:p>
      <w:pPr>
        <w:ind w:right="160"/>
        <w:spacing w:after="0" w:line="271" w:lineRule="auto"/>
        <w:rPr>
          <w:sz w:val="20"/>
          <w:szCs w:val="20"/>
          <w:color w:val="auto"/>
        </w:rPr>
      </w:pPr>
      <w:r>
        <w:rPr>
          <w:rFonts w:ascii="Arial" w:cs="Arial" w:eastAsia="Arial" w:hAnsi="Arial"/>
          <w:sz w:val="18"/>
          <w:szCs w:val="18"/>
          <w:color w:val="auto"/>
        </w:rPr>
        <w:t>benefits will be funded by the assets of the Company’s pension plan. As a result of these changes, the Company’s matching contribution to certain of its 401(k) Savings Plans was eliminated.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Equity </w:t>
      </w:r>
      <w:r>
        <w:rPr>
          <w:rFonts w:ascii="Arial" w:cs="Arial" w:eastAsia="Arial" w:hAnsi="Arial"/>
          <w:sz w:val="18"/>
          <w:szCs w:val="18"/>
          <w:b w:val="1"/>
          <w:bCs w:val="1"/>
          <w:u w:val="single" w:color="auto"/>
          <w:color w:val="auto"/>
          <w:highlight w:val="white"/>
        </w:rPr>
        <w:t>in Earnings (Losses) of</w:t>
      </w:r>
      <w:r>
        <w:rPr>
          <w:rFonts w:ascii="Arial" w:cs="Arial" w:eastAsia="Arial" w:hAnsi="Arial"/>
          <w:sz w:val="18"/>
          <w:szCs w:val="18"/>
          <w:b w:val="1"/>
          <w:bCs w:val="1"/>
          <w:u w:val="single" w:color="auto"/>
          <w:color w:val="auto"/>
        </w:rPr>
        <w:t xml:space="preserve"> Affiliates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2024, the Company held an approximate 18% interest in Intersection Holdings, LLC (Intersection), a company that</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provides digital marketing and advertising services and products for cities, transit systems, airports, and other public and private spaces; and a 41.4% interest on a fully diluted basis in Realm. The Company also holds interests in several other affiliates, including a number of home</w:t>
      </w:r>
    </w:p>
    <w:p>
      <w:pPr>
        <w:spacing w:after="0" w:line="236" w:lineRule="auto"/>
        <w:rPr>
          <w:sz w:val="20"/>
          <w:szCs w:val="20"/>
          <w:color w:val="auto"/>
        </w:rPr>
      </w:pPr>
      <w:r>
        <w:rPr>
          <w:rFonts w:ascii="Arial" w:cs="Arial" w:eastAsia="Arial" w:hAnsi="Arial"/>
          <w:sz w:val="18"/>
          <w:szCs w:val="18"/>
          <w:color w:val="auto"/>
        </w:rPr>
        <w:t>health and hospice joint ventures managed by GHG and two joint ventures managed by Kaplan. Overall, the Company recorded equity in</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losses of affiliates of $13.4 million for the third quarter of 2024, compared to $0.8 million for the third quarter of 2023. These amounts include $2.3 million and $2.8 million in net losses for the third quarter of 2024 and 2023, respectively, from affiliates whose operations are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managed by the Company. The 2024 amount also includes a $14.4 million impairment loss on the Company’s investment in N2K Networks.</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recorded equity in losses of affiliates of $8.5 million for the first nine months of 2024, compared to $2.2 million for the first nine months of 2023. These amounts include $4.9 million and $9.7 million in net losses for the first nine months of 2024 and 2023, respectively,</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from affiliates whose operations are not managed by the Company. The 2024 amount also includes a $14.4 million impairment loss on the Company’s investment in N2K Networks.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2023, the automotive subsidiary of the Company entered into a credit agreement with Truist Bank to finance the acquisition of</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the Toyota of Richmond dealership and to repay the outstanding balance of the automotive subsidiary commercial notes that were maturing in 2031 and 2032. The related interest rate swaps were also terminated, resulting in a realized gain of $4.6 million recorded as a credit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during the third quarter of 2023.</w:t>
      </w:r>
    </w:p>
    <w:p>
      <w:pPr>
        <w:spacing w:after="0" w:line="126"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The Company incurred net interest expense of $ 23.6 million and $130.0 million for the third quarter and first nine months of 2024, respectively, compared to $9.8 million and $33.1 million for the third quarter and first nine months of 2023, respectively.</w:t>
      </w:r>
    </w:p>
    <w:p>
      <w:pPr>
        <w:spacing w:after="0" w:line="10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Company recorded interest expense of $9.7 million and $85.1 million in the third quarter and first nine months of 2024, respectively, to adjust the fair value of the mandatorily redeemable noncontrolling interest at GHG. The significant adjustment recorded in the first nine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months of 2024 is largely related to a substantial increase in the estimated fair value of CSI. The Company recorded interest expense of $1.1</w:t>
      </w:r>
    </w:p>
    <w:p>
      <w:pPr>
        <w:spacing w:after="0" w:line="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million and $1.4 million in the third quarter and first nine months of 2023, respectively, to adjust the fair value of the mandatorily redeemable noncontrolling interest at GHG.</w:t>
      </w:r>
    </w:p>
    <w:p>
      <w:pPr>
        <w:spacing w:after="0" w:line="127"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Excluding these adjustments, the increase in net interest expense relates primarily to higher debt balances, higher interest rates on the Company’s variable debt, and increased floor plan interest expense.</w:t>
      </w:r>
    </w:p>
    <w:p>
      <w:pPr>
        <w:spacing w:after="0" w:line="8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At September 30, 2024, the Company had $765.2 million in borrowings outstanding at an average interest rate of 6.2%, and cash, marketable equity securities and other investments of $1,114.0 million. At September 30, 2024, the Company had $66.9 million outstanding on its $300 million revolving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net non-operating pension and postretirement benefit income of $38.3 million and $105.4 million for the third quarter</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and first nine months of 2024, respectively, compared to $35.7 million and $97.3 million for the third quarter and first nine months of 2023,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2024, the Company recorded $3.7 million in expenses related to non-operating SIPs at Kaplan, manufacturing and</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other businesses. In the second quarter of 2024, the Company recorded $14.8 million in expenses related to a VRIP at the television broadcasting division and the corporate office and $1.6 million in expenses related to non-operating SIPs at other businesses. In the first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quarter of 2024, the Company recorded $0.4 million in expenses related to a non-operating SIP at other businesses.</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the second quarter of 2023, the Company recorded $5.5 million in expenses related to non-operating SIPs at other businesses and the education and television broadcasting divisions. In the first quarter of 2023, the Company recorded $4.1 million in expenses related to non-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SIPs at other businesses.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4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Overall, the Company recognized $30.5 million and $154.3 million in net gains on marketable equity securities in the third quarter and first nine months of 2024, respectively, compared to $16.8 million and $113.4 million in net gains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on marketable equity securities in the third quarter and first nine months of 2023,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w:t>
      </w:r>
      <w:r>
        <w:rPr>
          <w:rFonts w:ascii="Arial" w:cs="Arial" w:eastAsia="Arial" w:hAnsi="Arial"/>
          <w:sz w:val="18"/>
          <w:szCs w:val="18"/>
          <w:b w:val="1"/>
          <w:bCs w:val="1"/>
          <w:u w:val="single" w:color="auto"/>
          <w:color w:val="auto"/>
          <w:highlight w:val="white"/>
        </w:rPr>
        <w:t>g Income (Expenses)</w:t>
      </w:r>
    </w:p>
    <w:p>
      <w:pPr>
        <w:spacing w:after="0" w:line="144"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The Company recorded total other non-operating expenses, net, of $ 0.5 million for the third quarter of 2024, compared to income of $3.6 million for the third quarter of 2023. The 2024 amounts included $4.6 million in foreign currency losses; partially offset by a gain of $3.8</w:t>
      </w:r>
    </w:p>
    <w:p>
      <w:pPr>
        <w:spacing w:after="0" w:line="1"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million on the sale of certain businesses and websites, and other items. The 2023 amounts included $1.7 million in foreign currency gains; $1.1 million in gains related to the sale of businesses and contingent consideration; a $0.1 million gain on sale of a cost method investment,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other items.</w:t>
      </w:r>
    </w:p>
    <w:p>
      <w:pPr>
        <w:spacing w:after="0" w:line="140"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The Company recorded total other non-operating income, net, of $3.0 million for the first nine months of 2024, compared to $22.5 million for the first nine months of 2023. The 2024 amounts included a gain of $7.2 million on the sale of certain businesses and websites; $0.9 million</w:t>
      </w:r>
    </w:p>
    <w:p>
      <w:pPr>
        <w:spacing w:after="0" w:line="235" w:lineRule="auto"/>
        <w:rPr>
          <w:sz w:val="20"/>
          <w:szCs w:val="20"/>
          <w:color w:val="auto"/>
        </w:rPr>
      </w:pPr>
      <w:r>
        <w:rPr>
          <w:rFonts w:ascii="Arial" w:cs="Arial" w:eastAsia="Arial" w:hAnsi="Arial"/>
          <w:sz w:val="18"/>
          <w:szCs w:val="18"/>
          <w:color w:val="auto"/>
        </w:rPr>
        <w:t>in gains related to the sale of businesses and contingent consideration, and other items; partially offset by $5.6 million in foreign currency</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losses and a $ 0.7 million impairment on cost method investments. The 2023 amounts included a non-cash gain of $10.0 million on the sale of Pinna; $4.3 million in gains related to the sale of businesses and contingent consideration; a $3.1 million fair value increase on cost</w:t>
      </w:r>
    </w:p>
    <w:p>
      <w:pPr>
        <w:spacing w:after="0" w:line="2" w:lineRule="exact"/>
        <w:rPr>
          <w:sz w:val="20"/>
          <w:szCs w:val="20"/>
          <w:color w:val="auto"/>
        </w:rPr>
      </w:pPr>
    </w:p>
    <w:p>
      <w:pPr>
        <w:ind w:right="660"/>
        <w:spacing w:after="0" w:line="404" w:lineRule="auto"/>
        <w:rPr>
          <w:sz w:val="20"/>
          <w:szCs w:val="20"/>
          <w:color w:val="auto"/>
        </w:rPr>
      </w:pPr>
      <w:r>
        <w:rPr>
          <w:rFonts w:ascii="Arial" w:cs="Arial" w:eastAsia="Arial" w:hAnsi="Arial"/>
          <w:sz w:val="18"/>
          <w:szCs w:val="18"/>
          <w:color w:val="auto"/>
        </w:rPr>
        <w:t xml:space="preserve">method investments; $1.8 million in foreign currency gains; a $1.0 million gain on sales of cost method investments, and other items. </w:t>
      </w:r>
      <w:r>
        <w:rPr>
          <w:rFonts w:ascii="Arial" w:cs="Arial" w:eastAsia="Arial" w:hAnsi="Arial"/>
          <w:sz w:val="18"/>
          <w:szCs w:val="18"/>
          <w:b w:val="1"/>
          <w:bCs w:val="1"/>
          <w:u w:val="single" w:color="auto"/>
          <w:color w:val="auto"/>
        </w:rPr>
        <w:t>Provision for Income Taxes</w:t>
      </w:r>
    </w:p>
    <w:p>
      <w:pPr>
        <w:spacing w:after="0" w:line="1" w:lineRule="exact"/>
        <w:rPr>
          <w:sz w:val="20"/>
          <w:szCs w:val="20"/>
          <w:color w:val="auto"/>
        </w:rPr>
      </w:pPr>
    </w:p>
    <w:p>
      <w:pPr>
        <w:jc w:val="both"/>
        <w:ind w:right="80"/>
        <w:spacing w:after="0" w:line="259" w:lineRule="auto"/>
        <w:rPr>
          <w:sz w:val="20"/>
          <w:szCs w:val="20"/>
          <w:color w:val="auto"/>
        </w:rPr>
      </w:pPr>
      <w:r>
        <w:rPr>
          <w:rFonts w:ascii="Arial" w:cs="Arial" w:eastAsia="Arial" w:hAnsi="Arial"/>
          <w:sz w:val="17"/>
          <w:szCs w:val="17"/>
          <w:color w:val="auto"/>
        </w:rPr>
        <w:t>The Company’s effective tax rate for the first nine months of 2024 and 2023 was 32.2% and 31.1%, respectively. The Company’s effective tax rate for the first nine months of 2024 is based on the estimated full year 2024 effective tax rate, which includes the adverse impact of the</w:t>
      </w:r>
    </w:p>
    <w:p>
      <w:pPr>
        <w:spacing w:after="0" w:line="1"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permanent differences related to the interest expense recorded to adjust the fair value of the mandatorily redeemable noncontrolling interest at GHG and goodwill and intangible asset impairment charges.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4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calculation of diluted earnings (loss) per share for the third quarter and first nine months of 2024 was based on 4,384,123 and 4,422,816 weighted average shares outstanding, respectively, compared to 4,601,521 and 4,700,304, respectively, for the third quarter and first nine</w:t>
      </w:r>
    </w:p>
    <w:p>
      <w:pPr>
        <w:ind w:right="660"/>
        <w:spacing w:after="0"/>
        <w:rPr>
          <w:sz w:val="20"/>
          <w:szCs w:val="20"/>
          <w:color w:val="auto"/>
        </w:rPr>
      </w:pPr>
      <w:r>
        <w:rPr>
          <w:rFonts w:ascii="Arial" w:cs="Arial" w:eastAsia="Arial" w:hAnsi="Arial"/>
          <w:sz w:val="17"/>
          <w:szCs w:val="17"/>
          <w:color w:val="auto"/>
        </w:rPr>
        <w:t>months of 2023. At September 30, 2024, there were 4,347,533 shares outstanding. On September 12, 2024, the Board of Directors authorized the Company to acquire up to 500,000 shares of its Class B common stock; the Company has remaining authorization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486,132 shares as of September 30,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4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Company continuously assesses relevant events and circumstances to determine whether it is more likely than not that the fair value of a reporting unit is less than its carrying amount. In the second quarter of 2024, the Company performed an interim impairment review at the WGB reporting unit.</w:t>
      </w:r>
    </w:p>
    <w:p>
      <w:pPr>
        <w:spacing w:after="0" w:line="10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As a result of continued sustained weakness in digital advertising demand resulting in substantial revenue declines and continued significant operating losses at WGB, the Company recorded a $7.5 million goodwill impairment charge at WGB. After the impairment charge, no</w:t>
      </w:r>
    </w:p>
    <w:p>
      <w:pPr>
        <w:ind w:right="560"/>
        <w:spacing w:after="0" w:line="237" w:lineRule="auto"/>
        <w:rPr>
          <w:sz w:val="20"/>
          <w:szCs w:val="20"/>
          <w:color w:val="auto"/>
        </w:rPr>
      </w:pPr>
      <w:r>
        <w:rPr>
          <w:rFonts w:ascii="Arial" w:cs="Arial" w:eastAsia="Arial" w:hAnsi="Arial"/>
          <w:sz w:val="18"/>
          <w:szCs w:val="18"/>
          <w:color w:val="auto"/>
        </w:rPr>
        <w:t>goodwill remains at the WGB reporting unit, which is included in other businesses. Additionally, the Company recorded a $18.8 million intangible asset impairment charge at WGB.</w:t>
      </w:r>
    </w:p>
    <w:p>
      <w:pPr>
        <w:spacing w:after="0" w:line="12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It is possible that impairment charges, which may be material, could occur in the future, given changes in market conditions and the inherent variability in projecting future operating performance.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1220" w:type="dxa"/>
            <w:vAlign w:val="bottom"/>
          </w:tcPr>
          <w:p>
            <w:pPr>
              <w:jc w:val="right"/>
              <w:ind w:right="123"/>
              <w:spacing w:after="0" w:line="153" w:lineRule="exact"/>
              <w:rPr>
                <w:sz w:val="20"/>
                <w:szCs w:val="20"/>
                <w:color w:val="auto"/>
              </w:rPr>
            </w:pPr>
            <w:r>
              <w:rPr>
                <w:rFonts w:ascii="Arial" w:cs="Arial" w:eastAsia="Arial" w:hAnsi="Arial"/>
                <w:sz w:val="14"/>
                <w:szCs w:val="14"/>
                <w:b w:val="1"/>
                <w:bCs w:val="1"/>
                <w:color w:val="auto"/>
              </w:rPr>
              <w:t>September 30,</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05"/>
        </w:trPr>
        <w:tc>
          <w:tcPr>
            <w:tcW w:w="84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2024</w:t>
            </w:r>
          </w:p>
        </w:tc>
        <w:tc>
          <w:tcPr>
            <w:tcW w:w="14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244,361</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169,897</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37,863</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31,994</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831,760</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697,028</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765,191</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811,833</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revolving credit facility,</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amounting to $233.1 million at September 30, 2024 and the undrawn $50.0 million delayed draw term loan at the automotive subsidiary.</w:t>
      </w:r>
    </w:p>
    <w:p>
      <w:pPr>
        <w:spacing w:after="0" w:line="158"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During the first nine months of 2024, the Company’s cash and cash equivalents increased by $74.5 million, due to cash generated from operations, the net proceeds from the sale and purchase of marketable equity securities and net proceeds from the vehicle floor plan</w:t>
      </w:r>
    </w:p>
    <w:p>
      <w:pPr>
        <w:spacing w:after="0" w:line="235" w:lineRule="auto"/>
        <w:rPr>
          <w:sz w:val="20"/>
          <w:szCs w:val="20"/>
          <w:color w:val="auto"/>
        </w:rPr>
      </w:pPr>
      <w:r>
        <w:rPr>
          <w:rFonts w:ascii="Arial" w:cs="Arial" w:eastAsia="Arial" w:hAnsi="Arial"/>
          <w:sz w:val="18"/>
          <w:szCs w:val="18"/>
          <w:color w:val="auto"/>
        </w:rPr>
        <w:t>payable, which was offset by share repurchases, repayment of borrowings, capital expenditures, and dividend payments. In the first nine</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months of 2024, the Company’s borrowings decreased by $46.6 million, primarily due to repayments under the revolving credit facility, term loan and commercial notes at the automotive subsidiary.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 and December 31, 2023, the Company had money market investments of $95.5 million and $5.6 million, that are</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included in cash and cash equivalents. At September 30, 2024, the Company held approximately $96 million in cash and cash equivalents in businesses domiciled outside the U.S., of which approximately $8 million is not available for immediate use in operations or for distribution.</w:t>
      </w:r>
    </w:p>
    <w:p>
      <w:pPr>
        <w:spacing w:after="0" w:line="236" w:lineRule="auto"/>
        <w:rPr>
          <w:sz w:val="20"/>
          <w:szCs w:val="20"/>
          <w:color w:val="auto"/>
        </w:rPr>
      </w:pPr>
      <w:r>
        <w:rPr>
          <w:rFonts w:ascii="Arial" w:cs="Arial" w:eastAsia="Arial" w:hAnsi="Arial"/>
          <w:sz w:val="18"/>
          <w:szCs w:val="18"/>
          <w:color w:val="auto"/>
        </w:rPr>
        <w:t>Additionally, Kaplan’s business operations outside the U.S. retain cash balances to support ongoing working capital requirements, capital</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expenditures, and regulatory requirements. As a result, the Company considers a significant portion of the cash and cash equivalents balance held outside the U.S. as not readily available for use in U.S.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2024, the fair value of the Company’s investments in marketable equity securities was $825.4 million, which includes</w:t>
      </w:r>
    </w:p>
    <w:p>
      <w:pPr>
        <w:spacing w:after="0" w:line="14" w:lineRule="exact"/>
        <w:rPr>
          <w:sz w:val="20"/>
          <w:szCs w:val="20"/>
          <w:color w:val="auto"/>
        </w:rPr>
      </w:pPr>
    </w:p>
    <w:p>
      <w:pPr>
        <w:jc w:val="both"/>
        <w:ind w:right="460"/>
        <w:spacing w:after="0"/>
        <w:rPr>
          <w:sz w:val="20"/>
          <w:szCs w:val="20"/>
          <w:color w:val="auto"/>
        </w:rPr>
      </w:pPr>
      <w:r>
        <w:rPr>
          <w:rFonts w:ascii="Arial" w:cs="Arial" w:eastAsia="Arial" w:hAnsi="Arial"/>
          <w:sz w:val="17"/>
          <w:szCs w:val="17"/>
          <w:color w:val="auto"/>
        </w:rPr>
        <w:t>investments in the common stock of four publicly traded companies. During the first nine months of 2024, the Company purchased $5.0 million of marketable equity securities and sold marketable equity securities that generated proceeds of $23.5 million. At September 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2024, the net unrealized gain related to the Company’s investments totaled $598.3 million.</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May 2024, the Company entered into a convertible promissory note agreement to loan N2K Networks $2.0 million. The convertible promissory note bears interest at a rate of 12% per annum and, subject to conversion provisions, all unpaid interest and principal are due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2027.</w:t>
      </w:r>
    </w:p>
    <w:p>
      <w:pPr>
        <w:spacing w:after="0" w:line="12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April 2023, the Company entered into a term note agreement to loan Intersection $30.0 million at an interest rate of 9% per annum. The principal and interest on the note are payable in monthly installments over 5 years with the final payment due by May 2028. The outstanding balance on this loan was $26.7 million as of September 30, 2024.</w:t>
      </w:r>
    </w:p>
    <w:p>
      <w:pPr>
        <w:spacing w:after="0" w:line="10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Company had working capital of $752.8 million and $ 619.6 million at September 30, 2024 and December 31, 2023, respectively. The Company maintains working capital levels consistent with its underlying business requirements and consistently generates cash from operations in excess of required interest or principal payments.</w:t>
      </w:r>
    </w:p>
    <w:p>
      <w:pPr>
        <w:spacing w:after="0" w:line="10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At September 30, 2024 and December 31, 2023, the Company had borrowings outstanding of $765.2 million and $811.8 million, respectively. The Company’s borrowings at September 30, 2024 were mostly from $400.0 million of 5.75% unsecured notes due June 1, 2026, $66.9</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million in outstanding borrowings under the Company’s revolving credit facility, a term loan of $141.9 million, and real estate and capital term loans of $130.1 million at the automotive subsidiary. The Company’s borrowings at December 31, 2023 were mostly from $400.0 million of</w:t>
      </w:r>
    </w:p>
    <w:p>
      <w:pPr>
        <w:spacing w:after="0" w:line="235" w:lineRule="auto"/>
        <w:rPr>
          <w:sz w:val="20"/>
          <w:szCs w:val="20"/>
          <w:color w:val="auto"/>
        </w:rPr>
      </w:pPr>
      <w:r>
        <w:rPr>
          <w:rFonts w:ascii="Arial" w:cs="Arial" w:eastAsia="Arial" w:hAnsi="Arial"/>
          <w:sz w:val="18"/>
          <w:szCs w:val="18"/>
          <w:color w:val="auto"/>
        </w:rPr>
        <w:t>5.75% unsecured notes due June 1, 2026, $97.9 million in outstanding borrowings under the Company’s revolving credit facility, a term loan</w:t>
      </w:r>
    </w:p>
    <w:p>
      <w:pPr>
        <w:ind w:right="200"/>
        <w:spacing w:after="0" w:line="237" w:lineRule="auto"/>
        <w:rPr>
          <w:sz w:val="20"/>
          <w:szCs w:val="20"/>
          <w:color w:val="auto"/>
        </w:rPr>
      </w:pPr>
      <w:r>
        <w:rPr>
          <w:rFonts w:ascii="Arial" w:cs="Arial" w:eastAsia="Arial" w:hAnsi="Arial"/>
          <w:sz w:val="18"/>
          <w:szCs w:val="18"/>
          <w:color w:val="auto"/>
        </w:rPr>
        <w:t>of $147.5 million, and real estate and capital term loans of $137.6 million at the automotive subsidiary. The interest on the $400.0 million of 5.75% unsecured notes is payable semiannually on June 1 and December 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2024 and 2023, the Company had average borrowings outstanding of approximately $819.6</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million and $737.1 million, respectively, at average annual interest rates of approximately 6.4% and 6.0%, respectively. During the nine months ended September 30, 2024 and 2023, the Company incurred net interest expense of $130.0 million and $33.1 million, respectively.</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Included in the interest expense for the nine months ended September 30, 2024 and 2023 is $85.1 million and $1.4 million, respectively, to adjust the fair value of the mandatorily redeemable noncontrolling interest (see Notes 7 and 8).</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On September 26, 2023, the Company’s automotive subsidiary entered into a credit agreement with Truist Bank to finance the acquisition of the Toyota of Richmond dealership and to repay the outstanding balances of the commercial notes maturing in 2031 and 2032. The related</w:t>
      </w:r>
    </w:p>
    <w:p>
      <w:pPr>
        <w:spacing w:after="0" w:line="1"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interest rate swap agreements maturing in 2031 and 2032 were also terminated resulting in realized gains of $4.6 million that reduced interest expense during the third quarter of 2023.</w:t>
      </w:r>
    </w:p>
    <w:p>
      <w:pPr>
        <w:spacing w:after="0" w:line="12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On August 19, 2024, Moody’s affirmed the Company’s credit rating and maintained the outlook as Stable. On April 2, 2024, Standard &amp; Poor’s affirmed the Company’s credit rating and maintained the outlook as Stable.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jc w:val="center"/>
              <w:ind w:left="3502"/>
              <w:spacing w:after="0"/>
              <w:rPr>
                <w:sz w:val="20"/>
                <w:szCs w:val="20"/>
                <w:color w:val="auto"/>
              </w:rPr>
            </w:pPr>
            <w:r>
              <w:rPr>
                <w:rFonts w:ascii="Arial" w:cs="Arial" w:eastAsia="Arial" w:hAnsi="Arial"/>
                <w:sz w:val="14"/>
                <w:szCs w:val="14"/>
                <w:b w:val="1"/>
                <w:bCs w:val="1"/>
                <w:color w:val="auto"/>
              </w:rPr>
              <w:t>Moody’s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760" w:type="dxa"/>
            <w:vAlign w:val="bottom"/>
          </w:tcPr>
          <w:p>
            <w:pPr>
              <w:jc w:val="center"/>
              <w:ind w:left="3522"/>
              <w:spacing w:after="0"/>
              <w:rPr>
                <w:sz w:val="20"/>
                <w:szCs w:val="20"/>
                <w:color w:val="auto"/>
              </w:rPr>
            </w:pPr>
            <w:r>
              <w:rPr>
                <w:rFonts w:ascii="Arial" w:cs="Arial" w:eastAsia="Arial" w:hAnsi="Arial"/>
                <w:sz w:val="16"/>
                <w:szCs w:val="16"/>
                <w:color w:val="auto"/>
                <w:w w:val="98"/>
              </w:rPr>
              <w:t>Ba1</w:t>
            </w:r>
          </w:p>
        </w:tc>
        <w:tc>
          <w:tcPr>
            <w:tcW w:w="1800" w:type="dxa"/>
            <w:vAlign w:val="bottom"/>
          </w:tcPr>
          <w:p>
            <w:pPr>
              <w:jc w:val="center"/>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760" w:type="dxa"/>
            <w:vAlign w:val="bottom"/>
          </w:tcPr>
          <w:p>
            <w:pPr>
              <w:jc w:val="center"/>
              <w:ind w:left="3502"/>
              <w:spacing w:after="0"/>
              <w:rPr>
                <w:sz w:val="20"/>
                <w:szCs w:val="20"/>
                <w:color w:val="auto"/>
              </w:rPr>
            </w:pPr>
            <w:r>
              <w:rPr>
                <w:rFonts w:ascii="Arial" w:cs="Arial" w:eastAsia="Arial" w:hAnsi="Arial"/>
                <w:sz w:val="16"/>
                <w:szCs w:val="16"/>
                <w:color w:val="auto"/>
              </w:rPr>
              <w:t>Stable</w:t>
            </w:r>
          </w:p>
        </w:tc>
        <w:tc>
          <w:tcPr>
            <w:tcW w:w="1800" w:type="dxa"/>
            <w:vAlign w:val="bottom"/>
          </w:tcPr>
          <w:p>
            <w:pPr>
              <w:jc w:val="center"/>
              <w:spacing w:after="0"/>
              <w:rPr>
                <w:sz w:val="20"/>
                <w:szCs w:val="20"/>
                <w:color w:val="auto"/>
              </w:rPr>
            </w:pPr>
            <w:r>
              <w:rPr>
                <w:rFonts w:ascii="Arial" w:cs="Arial" w:eastAsia="Arial" w:hAnsi="Arial"/>
                <w:sz w:val="16"/>
                <w:szCs w:val="16"/>
                <w:color w:val="auto"/>
              </w:rPr>
              <w:t>Stable</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as</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needed, from borrowings under its revolving credit facility. As of September 30, 2024, the Company had $66.9 million outstanding under the $300 million revolving credit facility. In management’s opinion, the Company will have sufficient financial resources to meet its business</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21"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062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increase in cash and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290,676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202,526</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(35,680)</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(119,431)</w:t>
            </w:r>
          </w:p>
        </w:tc>
      </w:tr>
      <w:tr>
        <w:trPr>
          <w:trHeight w:val="229"/>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(176,315)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(69,705)</w:t>
            </w:r>
          </w:p>
        </w:tc>
      </w:tr>
      <w:tr>
        <w:trPr>
          <w:trHeight w:val="233"/>
        </w:trPr>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1,652</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(3,184)</w:t>
            </w:r>
          </w:p>
        </w:tc>
      </w:tr>
      <w:tr>
        <w:trPr>
          <w:trHeight w:val="223"/>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80,333</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10,206</w:t>
            </w:r>
          </w:p>
        </w:tc>
      </w:tr>
      <w:tr>
        <w:trPr>
          <w:trHeight w:val="24"/>
        </w:trPr>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780"/>
          </w:cols>
          <w:pgMar w:left="320" w:top="931" w:right="379" w:bottom="1440" w:gutter="0" w:footer="0" w:header="0"/>
          <w:type w:val="continuous"/>
        </w:sectPr>
      </w:pPr>
    </w:p>
    <w:p>
      <w:pPr>
        <w:spacing w:after="0" w:line="2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76"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181,018</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156,014</w:t>
            </w:r>
          </w:p>
        </w:tc>
      </w:tr>
      <w:tr>
        <w:trPr>
          <w:trHeight w:val="221"/>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30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121,513</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201,408</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47,746</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50,181</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early retirement programs and special separation benefit expense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(64,532)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(73,852)</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(113,560)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(86,439)</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118,491</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(44,786)</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290,676</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202,526</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2024 compared to the first nine months of 2023, the increase in net cash provided by operating activities is</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primarily driven by the changes in operating assets and liabilities, partially offset by lower net income, net of non-cash adjustments. Changes in operating assets and liabilities were driven by a significant increase in the value of the mandatorily redeemable noncontrolling interest,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decreases in vendor payments and purchases of inventory.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(57,680)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(61,156)</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sales of marketable equity securities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18,524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55,817</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certain businesses, net of cash acquired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(4,022)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(77,004)</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equity affiliates and cost method investments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(2,188)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(12,839)</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Loan to related party</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(2,000)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11,686</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5,751</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(35,680)</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(119,431)</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60"/>
        <w:spacing w:after="0" w:line="251"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The amounts reflected in the Company’s Condensed Consolidated Statements of Cash Flows are based on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made during the relevant periods, whereas the Company’s capital expenditures for the first nine months of 2024 and 2023</w:t>
      </w:r>
    </w:p>
    <w:p>
      <w:pPr>
        <w:spacing w:after="0" w:line="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disclosed in Note 15 to the Condensed Consolidated Financial Statements include assets acquired during the period. The Company estimates that its capital expenditures will be in the range of $95 million to $105 million in 2024.</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i w:val="1"/>
          <w:iCs w:val="1"/>
          <w:color w:val="auto"/>
        </w:rPr>
        <w:t xml:space="preserve">Net proceeds from sale of marketable equity securities. </w:t>
      </w:r>
      <w:r>
        <w:rPr>
          <w:rFonts w:ascii="Arial" w:cs="Arial" w:eastAsia="Arial" w:hAnsi="Arial"/>
          <w:sz w:val="18"/>
          <w:szCs w:val="18"/>
          <w:color w:val="auto"/>
        </w:rPr>
        <w:t>During the first nine months of 2024 and 2023, the Company sold marketable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that generated proceeds of $23.5 million and $62.0 million, respectively.</w:t>
      </w:r>
    </w:p>
    <w:p>
      <w:pPr>
        <w:sectPr>
          <w:pgSz w:w="11900" w:h="16838" w:orient="portrait"/>
          <w:cols w:equalWidth="0" w:num="1">
            <w:col w:w="11200"/>
          </w:cols>
          <w:pgMar w:left="320" w:top="931" w:right="37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t>The Company purchased $5.0 million and $4.6 million of marketable equity securities during the first nine months of 2024 and 2023.</w:t>
      </w:r>
    </w:p>
    <w:p>
      <w:pPr>
        <w:spacing w:after="0" w:line="158"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first nine months of 2024, the Company acquired two small businesses. During the first nine months of 2023,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acquired four business: one in automotive, two small businesses in healthcare and one in other businesses for $82.3 million in</w:t>
      </w:r>
    </w:p>
    <w:p>
      <w:pPr>
        <w:spacing w:after="0" w:line="235" w:lineRule="auto"/>
        <w:rPr>
          <w:sz w:val="20"/>
          <w:szCs w:val="20"/>
          <w:color w:val="auto"/>
        </w:rPr>
      </w:pPr>
      <w:r>
        <w:rPr>
          <w:rFonts w:ascii="Arial" w:cs="Arial" w:eastAsia="Arial" w:hAnsi="Arial"/>
          <w:sz w:val="18"/>
          <w:szCs w:val="18"/>
          <w:color w:val="auto"/>
        </w:rPr>
        <w:t>cash and contingent consideration and the assumption of floor plan payables. In September 2023, the Company’s automotive subsidiary</w:t>
      </w:r>
    </w:p>
    <w:p>
      <w:pPr>
        <w:spacing w:after="0" w:line="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acquired a Toyota automotive dealership, including the real property for the dealership operations. In addition to a cash payment and the assumption of $2.2 million in floor plan payables, the automotive subsidiary borrowed $37.0 million to finance the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Loan to related party. </w:t>
      </w:r>
      <w:r>
        <w:rPr>
          <w:rFonts w:ascii="Arial" w:cs="Arial" w:eastAsia="Arial" w:hAnsi="Arial"/>
          <w:sz w:val="18"/>
          <w:szCs w:val="18"/>
          <w:color w:val="auto"/>
        </w:rPr>
        <w:t>In May 2024, the Company entered into a convertible promissory note agreement to loan N2K Networks $2.0 million.</w:t>
      </w:r>
    </w:p>
    <w:p>
      <w:pPr>
        <w:spacing w:after="0" w:line="14"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The convertible promissory note bears interest at a rate of 12% per annum and, subject to conversion provisions, all unpaid interest and principal are due by May 2027. In April 2023, the Company entered into a term note agreement to loan Intersection $30.0 million at an</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interest rate of 9% per annum. The principal and interest on the note are payable in monthly installments over 5 years with the final payment due by May 2028. The outstanding balance on this loan was $26.7 million as of September 30,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67"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(98,170)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(132,248)</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under revolving credit facility</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(34,216)</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(140,000)</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(22,926)</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(23,534)</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(16,053)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(117,792)</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vehicle floor plan payable</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8,443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52,623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Issuance of borrowings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293,387</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(13,393)</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(176,315)</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(69,705)</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Common Stock Repurchases. </w:t>
      </w:r>
      <w:r>
        <w:rPr>
          <w:rFonts w:ascii="Arial" w:cs="Arial" w:eastAsia="Arial" w:hAnsi="Arial"/>
          <w:sz w:val="17"/>
          <w:szCs w:val="17"/>
          <w:color w:val="auto"/>
        </w:rPr>
        <w:t>During the first nine months of 2024, the Company purchased a total of 133,276 shares of its Class B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a cost of approximately $99.1 million, including commissions and accrued excise tax of $0.9 million. On September 12, 2024, the</w:t>
      </w:r>
    </w:p>
    <w:p>
      <w:pPr>
        <w:spacing w:after="0" w:line="235" w:lineRule="auto"/>
        <w:rPr>
          <w:sz w:val="20"/>
          <w:szCs w:val="20"/>
          <w:color w:val="auto"/>
        </w:rPr>
      </w:pPr>
      <w:r>
        <w:rPr>
          <w:rFonts w:ascii="Arial" w:cs="Arial" w:eastAsia="Arial" w:hAnsi="Arial"/>
          <w:sz w:val="18"/>
          <w:szCs w:val="18"/>
          <w:color w:val="auto"/>
        </w:rPr>
        <w:t>Board of Directors authorized the Company to acquire up to 500,000 shares of its Class B common stock. The Company did not announce a</w:t>
      </w:r>
    </w:p>
    <w:p>
      <w:pPr>
        <w:ind w:right="60"/>
        <w:spacing w:after="0" w:line="237" w:lineRule="auto"/>
        <w:rPr>
          <w:sz w:val="20"/>
          <w:szCs w:val="20"/>
          <w:color w:val="auto"/>
        </w:rPr>
      </w:pPr>
      <w:r>
        <w:rPr>
          <w:rFonts w:ascii="Arial" w:cs="Arial" w:eastAsia="Arial" w:hAnsi="Arial"/>
          <w:sz w:val="18"/>
          <w:szCs w:val="18"/>
          <w:color w:val="auto"/>
        </w:rPr>
        <w:t>ceiling price or time limit for the purchases. At September 30, 2024, the Company had remaining authorization from the Board of Directors to purchase up to 486,132 shares of Class B common stock.</w:t>
      </w:r>
    </w:p>
    <w:p>
      <w:pPr>
        <w:spacing w:after="0" w:line="12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the first nine months of 2024, the Company repaid amounts borrowed under the $300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In September 2023, the Company’s automotive subsidiary entered into a credit agreement with Truist Bank which</w:t>
      </w:r>
    </w:p>
    <w:p>
      <w:pPr>
        <w:spacing w:after="0" w:line="235" w:lineRule="auto"/>
        <w:rPr>
          <w:sz w:val="20"/>
          <w:szCs w:val="20"/>
          <w:color w:val="auto"/>
        </w:rPr>
      </w:pPr>
      <w:r>
        <w:rPr>
          <w:rFonts w:ascii="Arial" w:cs="Arial" w:eastAsia="Arial" w:hAnsi="Arial"/>
          <w:sz w:val="18"/>
          <w:szCs w:val="18"/>
          <w:color w:val="auto"/>
        </w:rPr>
        <w:t>includes (i) a $75.2 million real estate term loan, (ii) a $65.0 million capital term loan, (iii) a $50.0 million delayed draw term loan, and (iv)</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establishment of a revolving floor plan credit facility. The automotive subsidiary used the net proceeds from the real estate and capital term loans to acquire an automotive dealership, including the real property for the dealership operations, and to repay the outstanding balances of</w:t>
      </w:r>
    </w:p>
    <w:p>
      <w:pPr>
        <w:spacing w:after="0" w:line="236" w:lineRule="auto"/>
        <w:rPr>
          <w:sz w:val="20"/>
          <w:szCs w:val="20"/>
          <w:color w:val="auto"/>
        </w:rPr>
      </w:pPr>
      <w:r>
        <w:rPr>
          <w:rFonts w:ascii="Arial" w:cs="Arial" w:eastAsia="Arial" w:hAnsi="Arial"/>
          <w:sz w:val="18"/>
          <w:szCs w:val="18"/>
          <w:color w:val="auto"/>
        </w:rPr>
        <w:t>the commercial notes maturing in 2031 and 2032. On July 28, 2023, the Company entered into a $150 million term loan and used the</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proceeds to repay the U.S. dollar borrowings of the $300 million revolving credit facility. In the first nine months of 2024 and 2023, the Company used vehicle floor plan financing to fund the purchase of new, used and service loaner vehicles at its automotive subsidiary.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vehicle floor plan payable fluctuates with changes in the amount of vehicle inventory held by the automotive dealerships.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$1.72 and $1.65 for the first nine months of 2024 and 2023, respectively.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expects to pay a dividend of $6.88 per share in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first nine months of 2024 and 2023, the Company paid $5.4 million and $3.8 million, respectively, related to deferred</w:t>
      </w:r>
    </w:p>
    <w:p>
      <w:pPr>
        <w:spacing w:after="0" w:line="1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payments from prior acquisitions. During the first nine months of 2024 and 2023, the Company increased the borrowings under its cash overdraft facilities by $2.4 million and $3.8 million, respectively.</w:t>
      </w:r>
    </w:p>
    <w:p>
      <w:pPr>
        <w:spacing w:after="0" w:line="12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report, in the Company’s Annual Report on Form 10-K and in the Company’s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2023 Annual Report to Stockholders, are “forward-looking statements” within the meaning of the Private Securities Litigation Reform Act of</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1995. Forward-looking statements are based on expectations, forecasts, and assumptions by the Company’s management and involve a number of risks, uncertainties, and other factors that could cause actual results to differ from those stated, including, without limitation,</w:t>
      </w:r>
    </w:p>
    <w:p>
      <w:pPr>
        <w:spacing w:after="0" w:line="236" w:lineRule="auto"/>
        <w:rPr>
          <w:sz w:val="20"/>
          <w:szCs w:val="20"/>
          <w:color w:val="auto"/>
        </w:rPr>
      </w:pPr>
      <w:r>
        <w:rPr>
          <w:rFonts w:ascii="Arial" w:cs="Arial" w:eastAsia="Arial" w:hAnsi="Arial"/>
          <w:sz w:val="18"/>
          <w:szCs w:val="18"/>
          <w:color w:val="auto"/>
        </w:rPr>
        <w:t>comments about expectations related to acquisitions or dispositions or related business activities, the Company’s business strategies and</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objectives, the prospects for growth in the Company’s various business operations, the Company’s future financial performance, and the risks and uncertainties described in Item 1A of the Company’s Annual Report on Form 10-K. Accordingly, undue reliance should not be</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w:t>
      </w:r>
    </w:p>
    <w:p>
      <w:pPr>
        <w:spacing w:after="0" w:line="14"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which are subject to equity price risk; to its borrowing and cash-management activities, which are subject to interest rate risk; and to its foreign business operations, which are subject to foreign exchange rate risk. The Company’s market risk disclosures set forth in its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Annual Report filed on Form 10-K have not otherwise changed significantly.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w:t>
      </w:r>
    </w:p>
    <w:p>
      <w:pPr>
        <w:spacing w:after="0" w:line="1"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controls and procedures (as defined in Exchange Act Rules 13a-15(e) and 15d-15(e)), as of September 30, 2024. Based on that evaluation, the Company’s Chief Executive Officer and Chief Financial Officer have concluded that the Company’s disclosure controls and procedures,</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as designed and implemented, are effective in ensuring that information required to be disclosed by the Company in the reports that it files or submits under the Exchange Act is recorded, processed, summarized and reported, within the time periods specified in the Securities and</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September 30, 2024</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1" w:name="page42"/>
    <w:bookmarkEnd w:id="41"/>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During the quarter ended September 30, 2024, the Company purchased shares of its Class B Common Stock as set forth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42"/>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6"/>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1200" w:type="dxa"/>
            <w:vAlign w:val="bottom"/>
            <w:gridSpan w:val="2"/>
          </w:tcPr>
          <w:p>
            <w:pPr>
              <w:jc w:val="center"/>
              <w:spacing w:after="0" w:line="176" w:lineRule="exact"/>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8"/>
                <w:szCs w:val="18"/>
                <w:b w:val="1"/>
                <w:bCs w:val="1"/>
                <w:color w:val="auto"/>
                <w:w w:val="98"/>
                <w:vertAlign w:val="superscript"/>
              </w:rPr>
              <w:t>(1)</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Plan</w:t>
            </w:r>
            <w:r>
              <w:rPr>
                <w:rFonts w:ascii="Arial" w:cs="Arial" w:eastAsia="Arial" w:hAnsi="Arial"/>
                <w:sz w:val="9"/>
                <w:szCs w:val="9"/>
                <w:b w:val="1"/>
                <w:bCs w:val="1"/>
                <w:color w:val="auto"/>
              </w:rPr>
              <w:t>(2)</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Plan</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97"/>
        </w:trPr>
        <w:tc>
          <w:tcPr>
            <w:tcW w:w="46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6"/>
                <w:szCs w:val="16"/>
                <w:color w:val="auto"/>
              </w:rPr>
              <w:t>July 1 - 31</w:t>
            </w:r>
          </w:p>
        </w:tc>
        <w:tc>
          <w:tcPr>
            <w:tcW w:w="1320" w:type="dxa"/>
            <w:vAlign w:val="bottom"/>
          </w:tcPr>
          <w:p>
            <w:pPr>
              <w:jc w:val="right"/>
              <w:spacing w:after="0"/>
              <w:rPr>
                <w:sz w:val="20"/>
                <w:szCs w:val="20"/>
                <w:color w:val="auto"/>
              </w:rPr>
            </w:pPr>
            <w:r>
              <w:rPr>
                <w:rFonts w:ascii="Arial" w:cs="Arial" w:eastAsia="Arial" w:hAnsi="Arial"/>
                <w:sz w:val="16"/>
                <w:szCs w:val="16"/>
                <w:color w:val="auto"/>
              </w:rPr>
              <w:t>12,689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758.71</w:t>
            </w:r>
          </w:p>
        </w:tc>
        <w:tc>
          <w:tcPr>
            <w:tcW w:w="1720" w:type="dxa"/>
            <w:vAlign w:val="bottom"/>
          </w:tcPr>
          <w:p>
            <w:pPr>
              <w:jc w:val="right"/>
              <w:spacing w:after="0"/>
              <w:rPr>
                <w:sz w:val="20"/>
                <w:szCs w:val="20"/>
                <w:color w:val="auto"/>
              </w:rPr>
            </w:pPr>
            <w:r>
              <w:rPr>
                <w:rFonts w:ascii="Arial" w:cs="Arial" w:eastAsia="Arial" w:hAnsi="Arial"/>
                <w:sz w:val="16"/>
                <w:szCs w:val="16"/>
                <w:color w:val="auto"/>
              </w:rPr>
              <w:t>12,689</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154,928</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August 1 - 31</w:t>
            </w:r>
          </w:p>
        </w:tc>
        <w:tc>
          <w:tcPr>
            <w:tcW w:w="1320" w:type="dxa"/>
            <w:vAlign w:val="bottom"/>
          </w:tcPr>
          <w:p>
            <w:pPr>
              <w:jc w:val="right"/>
              <w:spacing w:after="0"/>
              <w:rPr>
                <w:sz w:val="20"/>
                <w:szCs w:val="20"/>
                <w:color w:val="auto"/>
              </w:rPr>
            </w:pPr>
            <w:r>
              <w:rPr>
                <w:rFonts w:ascii="Arial" w:cs="Arial" w:eastAsia="Arial" w:hAnsi="Arial"/>
                <w:sz w:val="16"/>
                <w:szCs w:val="16"/>
                <w:color w:val="auto"/>
              </w:rPr>
              <w:t>29,790</w:t>
            </w:r>
          </w:p>
        </w:tc>
        <w:tc>
          <w:tcPr>
            <w:tcW w:w="2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745.63</w:t>
            </w:r>
          </w:p>
        </w:tc>
        <w:tc>
          <w:tcPr>
            <w:tcW w:w="1720" w:type="dxa"/>
            <w:vAlign w:val="bottom"/>
          </w:tcPr>
          <w:p>
            <w:pPr>
              <w:jc w:val="right"/>
              <w:spacing w:after="0"/>
              <w:rPr>
                <w:sz w:val="20"/>
                <w:szCs w:val="20"/>
                <w:color w:val="auto"/>
              </w:rPr>
            </w:pPr>
            <w:r>
              <w:rPr>
                <w:rFonts w:ascii="Arial" w:cs="Arial" w:eastAsia="Arial" w:hAnsi="Arial"/>
                <w:sz w:val="16"/>
                <w:szCs w:val="16"/>
                <w:color w:val="auto"/>
              </w:rPr>
              <w:t>29,790</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125,138</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Arial" w:cs="Arial" w:eastAsia="Arial" w:hAnsi="Arial"/>
                <w:sz w:val="16"/>
                <w:szCs w:val="16"/>
                <w:color w:val="auto"/>
              </w:rPr>
              <w:t>September 1 - 30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22,011</w:t>
            </w:r>
          </w:p>
        </w:tc>
        <w:tc>
          <w:tcPr>
            <w:tcW w:w="240" w:type="dxa"/>
            <w:vAlign w:val="bottom"/>
          </w:tcPr>
          <w:p>
            <w:pPr>
              <w:spacing w:after="0"/>
              <w:rPr>
                <w:sz w:val="20"/>
                <w:szCs w:val="20"/>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785.58</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22,011</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486,132</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64,490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761.84</w:t>
            </w:r>
          </w:p>
        </w:tc>
        <w:tc>
          <w:tcPr>
            <w:tcW w:w="1720" w:type="dxa"/>
            <w:vAlign w:val="bottom"/>
          </w:tcPr>
          <w:p>
            <w:pPr>
              <w:jc w:val="right"/>
              <w:spacing w:after="0"/>
              <w:rPr>
                <w:sz w:val="20"/>
                <w:szCs w:val="20"/>
                <w:color w:val="auto"/>
              </w:rPr>
            </w:pPr>
            <w:r>
              <w:rPr>
                <w:rFonts w:ascii="Arial" w:cs="Arial" w:eastAsia="Arial" w:hAnsi="Arial"/>
                <w:sz w:val="16"/>
                <w:szCs w:val="16"/>
                <w:color w:val="auto"/>
              </w:rPr>
              <w:t>64,490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Average price paid per share includes costs associated with repurchases, including commissions and excise taxes.</w:t>
      </w:r>
    </w:p>
    <w:p>
      <w:pPr>
        <w:spacing w:after="0" w:line="163" w:lineRule="exact"/>
        <w:rPr>
          <w:rFonts w:ascii="Arial" w:cs="Arial" w:eastAsia="Arial" w:hAnsi="Arial"/>
          <w:sz w:val="14"/>
          <w:szCs w:val="14"/>
          <w:color w:val="auto"/>
        </w:rPr>
      </w:pPr>
    </w:p>
    <w:p>
      <w:pPr>
        <w:ind w:right="20" w:firstLine="8"/>
        <w:spacing w:after="0" w:line="247" w:lineRule="auto"/>
        <w:tabs>
          <w:tab w:leader="none" w:pos="2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May 4, 2023, the Company’s Board of Directors authorized the Company to purchase, on the open market or otherwise, up to 500,000 shares of its Class B Common Stock. There was no expiration date for this authorization. On September 12, 2024, the Company’s Board of Directors authorized the Company to purchase, on the open market or otherwise, up to 500,000 shares of its Class B Common Stock. This authorization includes shares that remained under the previous authorization. There is no expiration date for this authorization. All purchases made during the quarter ended September 30, 2024 were open market transactions and some of these shares were purchased under a 10b5-1 plan.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2024, the following directors or officers of the Company’s (as defined in Rule 16a-1(f) of the</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Exchange Act) adopted a “Rule 10b5-1 trading arrangement” or “non-Rule 10b5-1 trading arrangement,” as defined in Item 408 of Regulation 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September 23, 2024, Marcel A. Snyman, the Company’s Vice President and Chief Accounting Officer, adopted a Rule 10b5-1 trading</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arrangement providing for the sale of an aggregate of up to 243 shares of the Company’s Class B common stock acquired upon the vesting of restricted stock awards held by Mr. Snyman. The actual number of shares sold under the trading arrangement will be net of shares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withheld for taxes upon vesting and settlement of the restricted stock awards subject to the trading plan. The trading arrangement is intended to satisfy the affirmative defense in Rule 10b5-1(c). The first date that sales of any shares are permitted to be sold under the trading</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arrangement is January 6, 2025, and subsequent sales under the trading arrangement may occur on a regular basis for the duration of the trading arrangement until December 31, 2025, or earlier if all transactions under the trading arrangement are completed.</w:t>
      </w:r>
    </w:p>
    <w:p>
      <w:pPr>
        <w:spacing w:after="0" w:line="104"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During the quarter ended September 30, 2024, no other directors or officers of the Company’s (as defined in Rule 16a-1(f) of the Exchange Act) adopted, modified or terminated a “Rule 10b5-1 trading arrangement” or “non-Rule 10b5-1 trading arrangement,” as defined in Item 408 of Regulation S-K.</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020" w:type="dxa"/>
            <w:vAlign w:val="bottom"/>
            <w:gridSpan w:val="19"/>
            <w:vMerge w:val="restart"/>
          </w:tcPr>
          <w:p>
            <w:pPr>
              <w:ind w:left="4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6020" w:type="dxa"/>
            <w:vAlign w:val="bottom"/>
            <w:gridSpan w:val="1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21"/>
          </w:tcPr>
          <w:p>
            <w:pPr>
              <w:spacing w:after="0"/>
              <w:rPr>
                <w:rFonts w:ascii="Arial" w:cs="Arial" w:eastAsia="Arial" w:hAnsi="Arial"/>
                <w:sz w:val="16"/>
                <w:szCs w:val="16"/>
                <w:color w:val="0000FF"/>
              </w:rPr>
            </w:pPr>
            <w:hyperlink r:id="rId64">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5" w:lineRule="exact"/>
              <w:rPr>
                <w:rFonts w:ascii="Arial" w:cs="Arial" w:eastAsia="Arial" w:hAnsi="Arial"/>
                <w:sz w:val="16"/>
                <w:szCs w:val="16"/>
                <w:color w:val="0000FF"/>
              </w:rPr>
            </w:pPr>
            <w:hyperlink r:id="rId64">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21"/>
          </w:tcPr>
          <w:p>
            <w:pPr>
              <w:spacing w:after="0"/>
              <w:rPr>
                <w:rFonts w:ascii="Arial" w:cs="Arial" w:eastAsia="Arial" w:hAnsi="Arial"/>
                <w:sz w:val="16"/>
                <w:szCs w:val="16"/>
                <w:color w:val="0000FF"/>
              </w:rPr>
            </w:pPr>
            <w:hyperlink r:id="rId65">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2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65">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21"/>
          </w:tcPr>
          <w:p>
            <w:pPr>
              <w:spacing w:after="0"/>
              <w:rPr>
                <w:rFonts w:ascii="Arial" w:cs="Arial" w:eastAsia="Arial" w:hAnsi="Arial"/>
                <w:sz w:val="16"/>
                <w:szCs w:val="16"/>
                <w:color w:val="0000FF"/>
              </w:rPr>
            </w:pPr>
            <w:hyperlink r:id="rId66">
              <w:r>
                <w:rPr>
                  <w:rFonts w:ascii="Arial" w:cs="Arial" w:eastAsia="Arial" w:hAnsi="Arial"/>
                  <w:sz w:val="16"/>
                  <w:szCs w:val="16"/>
                  <w:color w:val="0000FF"/>
                </w:rPr>
                <w:t>By-Laws of the Company as amended and restated through September 12, 2024 (incorporated by reference to Exhibit 3.1 to the Company’s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rPr>
            </w:pPr>
            <w:hyperlink r:id="rId66">
              <w:r>
                <w:rPr>
                  <w:rFonts w:ascii="Arial" w:cs="Arial" w:eastAsia="Arial" w:hAnsi="Arial"/>
                  <w:sz w:val="16"/>
                  <w:szCs w:val="16"/>
                  <w:color w:val="0000FF"/>
                </w:rPr>
                <w:t>Current Report on Form 8-K dated September 12, 2024).</w:t>
              </w:r>
            </w:hyperlink>
          </w:p>
        </w:tc>
        <w:tc>
          <w:tcPr>
            <w:tcW w:w="59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21"/>
          </w:tcPr>
          <w:p>
            <w:pPr>
              <w:spacing w:after="0"/>
              <w:rPr>
                <w:rFonts w:ascii="Arial" w:cs="Arial" w:eastAsia="Arial" w:hAnsi="Arial"/>
                <w:sz w:val="16"/>
                <w:szCs w:val="16"/>
                <w:color w:val="0000FF"/>
              </w:rPr>
            </w:pPr>
            <w:hyperlink r:id="rId67">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Trustee (incorporated by reference to Exhibit 4.1 to the Company’s Current Report on Form 8-K dated May 30,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21"/>
          </w:tcPr>
          <w:p>
            <w:pPr>
              <w:spacing w:after="0"/>
              <w:rPr>
                <w:rFonts w:ascii="Arial" w:cs="Arial" w:eastAsia="Arial" w:hAnsi="Arial"/>
                <w:sz w:val="16"/>
                <w:szCs w:val="16"/>
                <w:color w:val="0000FF"/>
              </w:rPr>
            </w:pPr>
            <w:hyperlink r:id="rId68">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8"/>
          </w:tcPr>
          <w:p>
            <w:pPr>
              <w:spacing w:after="0" w:line="155" w:lineRule="exact"/>
              <w:rPr>
                <w:rFonts w:ascii="Arial" w:cs="Arial" w:eastAsia="Arial" w:hAnsi="Arial"/>
                <w:sz w:val="16"/>
                <w:szCs w:val="16"/>
                <w:color w:val="0000FF"/>
                <w:w w:val="99"/>
              </w:rPr>
            </w:pPr>
            <w:hyperlink r:id="rId68">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10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080" w:type="dxa"/>
            <w:vAlign w:val="bottom"/>
            <w:tcBorders>
              <w:bottom w:val="single" w:sz="8" w:color="0000FF"/>
            </w:tcBorders>
            <w:gridSpan w:val="5"/>
          </w:tcPr>
          <w:p>
            <w:pPr>
              <w:spacing w:after="0" w:line="155" w:lineRule="exact"/>
              <w:rPr>
                <w:rFonts w:ascii="Arial" w:cs="Arial" w:eastAsia="Arial" w:hAnsi="Arial"/>
                <w:sz w:val="16"/>
                <w:szCs w:val="16"/>
                <w:color w:val="0000FF"/>
              </w:rPr>
            </w:pPr>
            <w:hyperlink r:id="rId68">
              <w:r>
                <w:rPr>
                  <w:rFonts w:ascii="Arial" w:cs="Arial" w:eastAsia="Arial" w:hAnsi="Arial"/>
                  <w:sz w:val="16"/>
                  <w:szCs w:val="16"/>
                  <w:color w:val="0000FF"/>
                </w:rPr>
                <w:t>Quarterly Report on Form 10-Q for the quarter ended March 31, 2020).</w:t>
              </w:r>
            </w:hyperlink>
          </w:p>
        </w:tc>
        <w:tc>
          <w:tcPr>
            <w:tcW w:w="4960" w:type="dxa"/>
            <w:vAlign w:val="bottom"/>
            <w:gridSpan w:val="1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4.3</w:t>
            </w:r>
          </w:p>
        </w:tc>
        <w:tc>
          <w:tcPr>
            <w:tcW w:w="10100" w:type="dxa"/>
            <w:vAlign w:val="bottom"/>
            <w:gridSpan w:val="21"/>
          </w:tcPr>
          <w:p>
            <w:pPr>
              <w:spacing w:after="0"/>
              <w:rPr>
                <w:rFonts w:ascii="Arial" w:cs="Arial" w:eastAsia="Arial" w:hAnsi="Arial"/>
                <w:sz w:val="16"/>
                <w:szCs w:val="16"/>
                <w:color w:val="0000FF"/>
              </w:rPr>
            </w:pPr>
            <w:hyperlink r:id="rId69">
              <w:r>
                <w:rPr>
                  <w:rFonts w:ascii="Arial" w:cs="Arial" w:eastAsia="Arial" w:hAnsi="Arial"/>
                  <w:sz w:val="16"/>
                  <w:szCs w:val="16"/>
                  <w:color w:val="0000FF"/>
                </w:rPr>
                <w:t>Second Supplemental Indenture, dated as of January 6, 2022, among Graham Automotive LLC, a Delaware limited liability company, a</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66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69">
              <w:r>
                <w:rPr>
                  <w:rFonts w:ascii="Arial" w:cs="Arial" w:eastAsia="Arial" w:hAnsi="Arial"/>
                  <w:sz w:val="16"/>
                  <w:szCs w:val="16"/>
                  <w:color w:val="0000FF"/>
                </w:rPr>
                <w:t>subsidiary of Graham Holdings Company, a Delaware corporation, and The Bank of New York Mellon Trust Company, N.A., as trustee</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1"/>
          </w:tcPr>
          <w:p>
            <w:pPr>
              <w:spacing w:after="0" w:line="155" w:lineRule="exact"/>
              <w:rPr>
                <w:rFonts w:ascii="Arial" w:cs="Arial" w:eastAsia="Arial" w:hAnsi="Arial"/>
                <w:sz w:val="16"/>
                <w:szCs w:val="16"/>
                <w:color w:val="0000FF"/>
              </w:rPr>
            </w:pPr>
            <w:hyperlink r:id="rId69">
              <w:r>
                <w:rPr>
                  <w:rFonts w:ascii="Arial" w:cs="Arial" w:eastAsia="Arial" w:hAnsi="Arial"/>
                  <w:sz w:val="16"/>
                  <w:szCs w:val="16"/>
                  <w:color w:val="0000FF"/>
                </w:rPr>
                <w:t>(incorporated by reference to Exhibit 4.3 to the Company’s Annual Report on Form 10-K for the fiscal year ended December 31, 2021)</w:t>
              </w:r>
            </w:hyperlink>
          </w:p>
        </w:tc>
        <w:tc>
          <w:tcPr>
            <w:tcW w:w="60" w:type="dxa"/>
            <w:vAlign w:val="bottom"/>
            <w:tcBorders>
              <w:bottom w:val="single" w:sz="8" w:color="0000FF"/>
            </w:tcBorders>
            <w:gridSpan w:val="2"/>
          </w:tcPr>
          <w:p>
            <w:pPr>
              <w:jc w:val="right"/>
              <w:spacing w:after="0" w:line="155" w:lineRule="exact"/>
              <w:rPr>
                <w:rFonts w:ascii="Arial" w:cs="Arial" w:eastAsia="Arial" w:hAnsi="Arial"/>
                <w:sz w:val="16"/>
                <w:szCs w:val="16"/>
                <w:color w:val="0000FF"/>
                <w:w w:val="88"/>
              </w:rPr>
            </w:pPr>
            <w:hyperlink r:id="rId69">
              <w:r>
                <w:rPr>
                  <w:rFonts w:ascii="Arial" w:cs="Arial" w:eastAsia="Arial" w:hAnsi="Arial"/>
                  <w:sz w:val="16"/>
                  <w:szCs w:val="16"/>
                  <w:color w:val="0000FF"/>
                  <w:w w:val="88"/>
                </w:rPr>
                <w:t>.</w:t>
              </w:r>
            </w:hyperlink>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4.4</w:t>
            </w:r>
          </w:p>
        </w:tc>
        <w:tc>
          <w:tcPr>
            <w:tcW w:w="9600" w:type="dxa"/>
            <w:vAlign w:val="bottom"/>
            <w:tcBorders>
              <w:bottom w:val="single" w:sz="8" w:color="0000FF"/>
            </w:tcBorders>
            <w:gridSpan w:val="12"/>
          </w:tcPr>
          <w:p>
            <w:pPr>
              <w:spacing w:after="0"/>
              <w:rPr>
                <w:rFonts w:ascii="Arial" w:cs="Arial" w:eastAsia="Arial" w:hAnsi="Arial"/>
                <w:sz w:val="16"/>
                <w:szCs w:val="16"/>
                <w:color w:val="0000FF"/>
              </w:rPr>
            </w:pPr>
            <w:hyperlink r:id="rId70">
              <w:r>
                <w:rPr>
                  <w:rFonts w:ascii="Arial" w:cs="Arial" w:eastAsia="Arial" w:hAnsi="Arial"/>
                  <w:sz w:val="16"/>
                  <w:szCs w:val="16"/>
                  <w:color w:val="0000FF"/>
                </w:rPr>
                <w:t>Third Supplemental Indenture, dated as of August 15, 2023, among Graham Digital Holding Company LLC, a Delaware limited liability</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21"/>
          </w:tcPr>
          <w:p>
            <w:pPr>
              <w:spacing w:after="0" w:line="155" w:lineRule="exact"/>
              <w:rPr>
                <w:rFonts w:ascii="Arial" w:cs="Arial" w:eastAsia="Arial" w:hAnsi="Arial"/>
                <w:sz w:val="16"/>
                <w:szCs w:val="16"/>
                <w:color w:val="0000FF"/>
              </w:rPr>
            </w:pPr>
            <w:hyperlink r:id="rId70">
              <w:r>
                <w:rPr>
                  <w:rFonts w:ascii="Arial" w:cs="Arial" w:eastAsia="Arial" w:hAnsi="Arial"/>
                  <w:sz w:val="16"/>
                  <w:szCs w:val="16"/>
                  <w:color w:val="0000FF"/>
                </w:rPr>
                <w:t>company, a subsidiary of Graham Holdings Company, a Delaware corporation, and The Bank of New York Mellon Trust Company, N.A., as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70">
              <w:r>
                <w:rPr>
                  <w:rFonts w:ascii="Arial" w:cs="Arial" w:eastAsia="Arial" w:hAnsi="Arial"/>
                  <w:sz w:val="16"/>
                  <w:szCs w:val="16"/>
                  <w:color w:val="0000FF"/>
                </w:rPr>
                <w:t>trustee (incorporated by reference to Exhibit 4.4 to the Company’s Quarterly Report on Form 10-Q for the quarter ended September 30,</w:t>
              </w:r>
            </w:hyperlink>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96"/>
              </w:rPr>
            </w:pPr>
            <w:hyperlink r:id="rId70">
              <w:r>
                <w:rPr>
                  <w:rFonts w:ascii="Arial" w:cs="Arial" w:eastAsia="Arial" w:hAnsi="Arial"/>
                  <w:sz w:val="16"/>
                  <w:szCs w:val="16"/>
                  <w:color w:val="0000FF"/>
                  <w:w w:val="96"/>
                </w:rPr>
                <w:t>2023).</w:t>
              </w:r>
            </w:hyperlink>
          </w:p>
        </w:tc>
        <w:tc>
          <w:tcPr>
            <w:tcW w:w="36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21"/>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00" w:hanging="953"/>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77" w:lineRule="exact"/>
        <w:rPr>
          <w:sz w:val="20"/>
          <w:szCs w:val="20"/>
          <w:color w:val="auto"/>
        </w:rPr>
      </w:pPr>
    </w:p>
    <w:p>
      <w:pPr>
        <w:ind w:left="1100" w:hanging="953"/>
        <w:spacing w:after="0"/>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6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6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680" w:type="dxa"/>
            <w:vAlign w:val="bottom"/>
          </w:tcPr>
          <w:p>
            <w:pPr>
              <w:spacing w:after="0"/>
              <w:rPr>
                <w:sz w:val="20"/>
                <w:szCs w:val="20"/>
                <w:color w:val="auto"/>
              </w:rPr>
            </w:pPr>
            <w:r>
              <w:rPr>
                <w:rFonts w:ascii="Arial" w:cs="Arial" w:eastAsia="Arial" w:hAnsi="Arial"/>
                <w:sz w:val="18"/>
                <w:szCs w:val="18"/>
                <w:color w:val="auto"/>
              </w:rPr>
              <w:t>Date: October 30, 2024</w:t>
            </w:r>
          </w:p>
        </w:tc>
        <w:tc>
          <w:tcPr>
            <w:tcW w:w="34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6"/>
        </w:trPr>
        <w:tc>
          <w:tcPr>
            <w:tcW w:w="36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6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6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23"/>
        </w:trPr>
        <w:tc>
          <w:tcPr>
            <w:tcW w:w="3680" w:type="dxa"/>
            <w:vAlign w:val="bottom"/>
          </w:tcPr>
          <w:p>
            <w:pPr>
              <w:spacing w:after="0"/>
              <w:rPr>
                <w:sz w:val="20"/>
                <w:szCs w:val="20"/>
                <w:color w:val="auto"/>
              </w:rPr>
            </w:pPr>
            <w:r>
              <w:rPr>
                <w:rFonts w:ascii="Arial" w:cs="Arial" w:eastAsia="Arial" w:hAnsi="Arial"/>
                <w:sz w:val="18"/>
                <w:szCs w:val="18"/>
                <w:color w:val="auto"/>
              </w:rPr>
              <w:t>Date: October 30, 2024</w:t>
            </w:r>
          </w:p>
        </w:tc>
        <w:tc>
          <w:tcPr>
            <w:tcW w:w="34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6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680" w:type="dxa"/>
            <w:vAlign w:val="bottom"/>
          </w:tcPr>
          <w:p>
            <w:pPr>
              <w:spacing w:after="0"/>
              <w:rPr>
                <w:sz w:val="24"/>
                <w:szCs w:val="24"/>
                <w:color w:val="auto"/>
              </w:rPr>
            </w:pPr>
          </w:p>
        </w:tc>
        <w:tc>
          <w:tcPr>
            <w:tcW w:w="3480" w:type="dxa"/>
            <w:vAlign w:val="bottom"/>
          </w:tcPr>
          <w:p>
            <w:pPr>
              <w:jc w:val="right"/>
              <w:ind w:right="1390"/>
              <w:spacing w:after="0"/>
              <w:rPr>
                <w:sz w:val="20"/>
                <w:szCs w:val="20"/>
                <w:color w:val="auto"/>
              </w:rPr>
            </w:pPr>
            <w:r>
              <w:rPr>
                <w:rFonts w:ascii="Arial" w:cs="Arial" w:eastAsia="Arial" w:hAnsi="Arial"/>
                <w:sz w:val="18"/>
                <w:szCs w:val="18"/>
                <w:color w:val="auto"/>
              </w:rPr>
              <w:t>42</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2024</w:t>
      </w:r>
    </w:p>
    <w:p>
      <w:pPr>
        <w:sectPr>
          <w:pgSz w:w="11900" w:h="16838" w:orient="portrait"/>
          <w:cols w:equalWidth="0" w:num="1">
            <w:col w:w="11240"/>
          </w:cols>
          <w:pgMar w:left="320" w:top="114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2024</w:t>
      </w:r>
    </w:p>
    <w:p>
      <w:pPr>
        <w:sectPr>
          <w:pgSz w:w="11900" w:h="16838" w:orient="portrait"/>
          <w:cols w:equalWidth="0" w:num="1">
            <w:col w:w="11240"/>
          </w:cols>
          <w:pgMar w:left="320" w:top="114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2024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2024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2024</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32"/>
    </w:lvl>
  </w:abstractNum>
  <w:abstractNum w:abstractNumId="17">
    <w:nsid w:val="257130A3"/>
    <w:multiLevelType w:val="hybridMultilevel"/>
    <w:lvl w:ilvl="0">
      <w:lvlJc w:val="left"/>
      <w:lvlText w:val="*"/>
      <w:numFmt w:val="bullet"/>
      <w:start w:val="1"/>
    </w:lvl>
    <w:lvl w:ilvl="1">
      <w:lvlJc w:val="left"/>
      <w:lvlText w:val="%2"/>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64" Type="http://schemas.openxmlformats.org/officeDocument/2006/relationships/hyperlink" Target="https://www.sec.gov/Archives/edgar/data/104889/000095013304000785/w94191exv3w1.htm" TargetMode="External"/><Relationship Id="rId65" Type="http://schemas.openxmlformats.org/officeDocument/2006/relationships/hyperlink" Target="https://www.sec.gov/Archives/edgar/data/104889/000095015713000428/ex3-1.htm" TargetMode="External"/><Relationship Id="rId66" Type="http://schemas.openxmlformats.org/officeDocument/2006/relationships/hyperlink" Target="https://www.sec.gov/Archives/edgar/data/104889/000010488924000047/a2024-09x12form8xkexhibit31.htm" TargetMode="External"/><Relationship Id="rId67" Type="http://schemas.openxmlformats.org/officeDocument/2006/relationships/hyperlink" Target="https://www.sec.gov/Archives/edgar/data/104889/000095015718000572/ex4-1.htm" TargetMode="External"/><Relationship Id="rId68" Type="http://schemas.openxmlformats.org/officeDocument/2006/relationships/hyperlink" Target="https://www.sec.gov/Archives/edgar/data/104889/000010488920000031/dex42.htm" TargetMode="External"/><Relationship Id="rId69" Type="http://schemas.openxmlformats.org/officeDocument/2006/relationships/hyperlink" Target="https://www.sec.gov/Archives/edgar/data/104889/000010488922000011/a2021q410-kex43.htm" TargetMode="External"/><Relationship Id="rId70" Type="http://schemas.openxmlformats.org/officeDocument/2006/relationships/hyperlink" Target="https://www.sec.gov/Archives/edgar/data/104889/000010488923000064/a2023q310-q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2024-10-30T07:32:07Z</dcterms:created>
  <dcterms:modified xsi:type="dcterms:W3CDTF">2024-10-30T07:32:07Z</dcterms:modified>
</cp:coreProperties>
</file>