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 2006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5020" w:type="dxa"/>
            <w:vAlign w:val="bottom"/>
          </w:tcPr>
          <w:p>
            <w:pPr>
              <w:ind w:left="23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22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w w:val="92"/>
              </w:rPr>
              <w:t>Non-accelerated filer</w:t>
            </w:r>
          </w:p>
        </w:tc>
        <w:tc>
          <w:tcPr>
            <w:tcW w:w="25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00" w:type="dxa"/>
            <w:vAlign w:val="bottom"/>
            <w:gridSpan w:val="3"/>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  Yes</w:t>
            </w:r>
          </w:p>
        </w:tc>
        <w:tc>
          <w:tcPr>
            <w:tcW w:w="252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358"/>
        </w:trPr>
        <w:tc>
          <w:tcPr>
            <w:tcW w:w="5020" w:type="dxa"/>
            <w:vAlign w:val="bottom"/>
          </w:tcPr>
          <w:p>
            <w:pPr>
              <w:ind w:left="460"/>
              <w:spacing w:after="0"/>
              <w:rPr>
                <w:sz w:val="20"/>
                <w:szCs w:val="20"/>
                <w:color w:val="auto"/>
              </w:rPr>
            </w:pPr>
            <w:r>
              <w:rPr>
                <w:rFonts w:ascii="Arial" w:cs="Arial" w:eastAsia="Arial" w:hAnsi="Arial"/>
                <w:sz w:val="18"/>
                <w:szCs w:val="18"/>
                <w:color w:val="auto"/>
              </w:rPr>
              <w:t>Shares outstanding at August 1, 2006:</w:t>
            </w:r>
          </w:p>
        </w:tc>
        <w:tc>
          <w:tcPr>
            <w:tcW w:w="2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12"/>
        </w:trPr>
        <w:tc>
          <w:tcPr>
            <w:tcW w:w="5020" w:type="dxa"/>
            <w:vAlign w:val="bottom"/>
          </w:tcPr>
          <w:p>
            <w:pPr>
              <w:ind w:left="3320"/>
              <w:spacing w:after="0"/>
              <w:rPr>
                <w:sz w:val="20"/>
                <w:szCs w:val="20"/>
                <w:color w:val="auto"/>
              </w:rPr>
            </w:pPr>
            <w:r>
              <w:rPr>
                <w:rFonts w:ascii="Arial" w:cs="Arial" w:eastAsia="Arial" w:hAnsi="Arial"/>
                <w:sz w:val="18"/>
                <w:szCs w:val="18"/>
                <w:color w:val="auto"/>
                <w:w w:val="88"/>
              </w:rPr>
              <w:t>Class A Common Stock</w:t>
            </w:r>
          </w:p>
        </w:tc>
        <w:tc>
          <w:tcPr>
            <w:tcW w:w="2220" w:type="dxa"/>
            <w:vAlign w:val="bottom"/>
          </w:tcPr>
          <w:p>
            <w:pPr>
              <w:ind w:left="900"/>
              <w:spacing w:after="0"/>
              <w:rPr>
                <w:sz w:val="20"/>
                <w:szCs w:val="20"/>
                <w:color w:val="auto"/>
              </w:rPr>
            </w:pPr>
            <w:r>
              <w:rPr>
                <w:rFonts w:ascii="Arial" w:cs="Arial" w:eastAsia="Arial" w:hAnsi="Arial"/>
                <w:sz w:val="18"/>
                <w:szCs w:val="18"/>
                <w:color w:val="auto"/>
                <w:w w:val="91"/>
              </w:rPr>
              <w:t>1,722,250 Shares</w:t>
            </w:r>
          </w:p>
        </w:tc>
        <w:tc>
          <w:tcPr>
            <w:tcW w:w="16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2"/>
        </w:trPr>
        <w:tc>
          <w:tcPr>
            <w:tcW w:w="5020" w:type="dxa"/>
            <w:vAlign w:val="bottom"/>
          </w:tcPr>
          <w:p>
            <w:pPr>
              <w:ind w:left="3320"/>
              <w:spacing w:after="0"/>
              <w:rPr>
                <w:sz w:val="20"/>
                <w:szCs w:val="20"/>
                <w:color w:val="auto"/>
              </w:rPr>
            </w:pPr>
            <w:r>
              <w:rPr>
                <w:rFonts w:ascii="Arial" w:cs="Arial" w:eastAsia="Arial" w:hAnsi="Arial"/>
                <w:sz w:val="18"/>
                <w:szCs w:val="18"/>
                <w:color w:val="auto"/>
                <w:w w:val="88"/>
              </w:rPr>
              <w:t>Class B Common Stock</w:t>
            </w:r>
          </w:p>
        </w:tc>
        <w:tc>
          <w:tcPr>
            <w:tcW w:w="2220" w:type="dxa"/>
            <w:vAlign w:val="bottom"/>
          </w:tcPr>
          <w:p>
            <w:pPr>
              <w:ind w:left="900"/>
              <w:spacing w:after="0"/>
              <w:rPr>
                <w:sz w:val="20"/>
                <w:szCs w:val="20"/>
                <w:color w:val="auto"/>
              </w:rPr>
            </w:pPr>
            <w:r>
              <w:rPr>
                <w:rFonts w:ascii="Arial" w:cs="Arial" w:eastAsia="Arial" w:hAnsi="Arial"/>
                <w:sz w:val="18"/>
                <w:szCs w:val="18"/>
                <w:color w:val="auto"/>
                <w:w w:val="91"/>
              </w:rPr>
              <w:t>7,888,010 Shares</w:t>
            </w:r>
          </w:p>
        </w:tc>
        <w:tc>
          <w:tcPr>
            <w:tcW w:w="16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15"/>
        </w:trPr>
        <w:tc>
          <w:tcPr>
            <w:tcW w:w="50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8080" w:type="dxa"/>
            <w:vAlign w:val="bottom"/>
            <w:gridSpan w:val="9"/>
          </w:tcPr>
          <w:p>
            <w:pPr>
              <w:spacing w:after="0"/>
              <w:rPr>
                <w:sz w:val="17"/>
                <w:szCs w:val="17"/>
                <w:color w:val="auto"/>
              </w:rPr>
            </w:pPr>
          </w:p>
        </w:tc>
        <w:tc>
          <w:tcPr>
            <w:tcW w:w="360" w:type="dxa"/>
            <w:vAlign w:val="bottom"/>
          </w:tcPr>
          <w:p>
            <w:pPr>
              <w:spacing w:after="0"/>
              <w:rPr>
                <w:sz w:val="17"/>
                <w:szCs w:val="17"/>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a.  </w:t>
            </w:r>
            <w:hyperlink w:anchor="page3">
              <w:r>
                <w:rPr>
                  <w:rFonts w:ascii="Arial" w:cs="Arial" w:eastAsia="Arial" w:hAnsi="Arial"/>
                  <w:sz w:val="18"/>
                  <w:szCs w:val="18"/>
                  <w:color w:val="0000EE"/>
                  <w:w w:val="91"/>
                </w:rPr>
                <w:t>Condensed Consolidated Statements of Income (Unaudited) for the Thirteen and Twenty-Six Weeks Ended July 2, 2006 and July 3, 2005</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auto"/>
                <w:w w:val="89"/>
              </w:rPr>
            </w:pPr>
            <w:r>
              <w:rPr>
                <w:rFonts w:ascii="Arial" w:cs="Arial" w:eastAsia="Arial" w:hAnsi="Arial"/>
                <w:sz w:val="18"/>
                <w:szCs w:val="18"/>
                <w:color w:val="auto"/>
                <w:w w:val="89"/>
              </w:rPr>
              <w:t xml:space="preserve">b.  </w:t>
            </w:r>
            <w:hyperlink w:anchor="page4">
              <w:r>
                <w:rPr>
                  <w:rFonts w:ascii="Arial" w:cs="Arial" w:eastAsia="Arial" w:hAnsi="Arial"/>
                  <w:sz w:val="18"/>
                  <w:szCs w:val="18"/>
                  <w:color w:val="0000EE"/>
                  <w:w w:val="89"/>
                </w:rPr>
                <w:t>Condensed Consolidated Statements of Comprehensive Income (Unaudited) for the Thirteen and Twenty-Six Weeks Ended July 2, 2006 and</w:t>
              </w:r>
            </w:hyperlink>
          </w:p>
        </w:tc>
        <w:tc>
          <w:tcPr>
            <w:tcW w:w="3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6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July 3, 2005</w:t>
              </w:r>
            </w:hyperlink>
          </w:p>
        </w:tc>
        <w:tc>
          <w:tcPr>
            <w:tcW w:w="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c.  </w:t>
            </w:r>
            <w:hyperlink w:anchor="page5">
              <w:r>
                <w:rPr>
                  <w:rFonts w:ascii="Arial" w:cs="Arial" w:eastAsia="Arial" w:hAnsi="Arial"/>
                  <w:sz w:val="18"/>
                  <w:szCs w:val="18"/>
                  <w:color w:val="0000EE"/>
                </w:rPr>
                <w:t>Condensed Consolidated Balance Sheets at July 2, 2006 (Unaudited) and January 1, 2006</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auto"/>
                <w:w w:val="97"/>
              </w:rPr>
            </w:pPr>
            <w:r>
              <w:rPr>
                <w:rFonts w:ascii="Arial" w:cs="Arial" w:eastAsia="Arial" w:hAnsi="Arial"/>
                <w:sz w:val="18"/>
                <w:szCs w:val="18"/>
                <w:color w:val="auto"/>
                <w:w w:val="97"/>
              </w:rPr>
              <w:t xml:space="preserve">d.  </w:t>
            </w:r>
            <w:hyperlink w:anchor="page6">
              <w:r>
                <w:rPr>
                  <w:rFonts w:ascii="Arial" w:cs="Arial" w:eastAsia="Arial" w:hAnsi="Arial"/>
                  <w:sz w:val="18"/>
                  <w:szCs w:val="18"/>
                  <w:color w:val="0000EE"/>
                  <w:w w:val="97"/>
                </w:rPr>
                <w:t>Condensed Consolidated Statements of Cash Flows (Unaudited) for the Twenty-Six Weeks Ended July 2, 2006 and July 3, 2005</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7">
              <w:r>
                <w:rPr>
                  <w:rFonts w:ascii="Arial" w:cs="Arial" w:eastAsia="Arial" w:hAnsi="Arial"/>
                  <w:sz w:val="18"/>
                  <w:szCs w:val="18"/>
                  <w:color w:val="0000EE"/>
                </w:rPr>
                <w:t>Notes to Condensed Consolidated Financial Statements (Unaudited)</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Results of Operations and Financial Condition</w:t>
              </w:r>
            </w:hyperlink>
          </w:p>
        </w:tc>
        <w:tc>
          <w:tcPr>
            <w:tcW w:w="398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2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608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6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OTHER INFORMATION</w:t>
              </w:r>
            </w:hyperlink>
          </w:p>
        </w:tc>
        <w:tc>
          <w:tcPr>
            <w:tcW w:w="844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Submission of Matters to a Vote of Security Holders</w:t>
              </w:r>
            </w:hyperlink>
          </w:p>
        </w:tc>
        <w:tc>
          <w:tcPr>
            <w:tcW w:w="660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8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Signatures</w:t>
              </w:r>
            </w:hyperlink>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1"/>
          </w:tcPr>
          <w:p>
            <w:pPr>
              <w:ind w:left="490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0"/>
              </w:rPr>
              <w:t>Thirteen Weeks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w w:val="92"/>
              </w:rPr>
              <w:t>Twenty-Six Weeks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1"/>
              </w:rPr>
              <w:t>July 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July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346,390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336,563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673,555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195,643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191,622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409,244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345,780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17,764</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969,041</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897,577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1,917,321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1,731,507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495,934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472,981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989,571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325,012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237,531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49,512</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47,905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871,836</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759,882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1,682,357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1,485,823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97,205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137,695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earnings of affiliates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126,444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128,555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78,744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4"/>
              </w:rPr>
              <w:t>Cumulative effect of change in method of accounting for share-based payments, net of taxes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2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9,613</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20" w:type="dxa"/>
            <w:vAlign w:val="bottom"/>
            <w:gridSpan w:val="2"/>
          </w:tcPr>
          <w:p>
            <w:pPr>
              <w:ind w:left="568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Thirteen Weeks Ended</w:t>
            </w:r>
          </w:p>
        </w:tc>
        <w:tc>
          <w:tcPr>
            <w:tcW w:w="120" w:type="dxa"/>
            <w:vAlign w:val="bottom"/>
          </w:tcPr>
          <w:p>
            <w:pPr>
              <w:spacing w:after="0"/>
              <w:rPr>
                <w:sz w:val="14"/>
                <w:szCs w:val="14"/>
                <w:color w:val="auto"/>
              </w:rPr>
            </w:pPr>
          </w:p>
        </w:tc>
        <w:tc>
          <w:tcPr>
            <w:tcW w:w="17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July 2,</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July 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July 2,</w:t>
            </w:r>
          </w:p>
        </w:tc>
        <w:tc>
          <w:tcPr>
            <w:tcW w:w="68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$ 78,744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$ 78,755</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155,618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10,186</w:t>
            </w: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(10,831)</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20,284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2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(31,579)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(15,574)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(16,582)</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(2,877)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benefit related to other comprehensive income</w:t>
            </w:r>
          </w:p>
        </w:tc>
        <w:tc>
          <w:tcPr>
            <w:tcW w:w="2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(7,200)</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(12,358)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$ 71,544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$ 66,397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157,177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$ 117,698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0" w:type="dxa"/>
            <w:vAlign w:val="bottom"/>
            <w:vMerge w:val="restart"/>
          </w:tcPr>
          <w:p>
            <w:pPr>
              <w:jc w:val="right"/>
              <w:ind w:right="2012"/>
              <w:spacing w:after="0"/>
              <w:rPr>
                <w:sz w:val="20"/>
                <w:szCs w:val="20"/>
                <w:color w:val="auto"/>
              </w:rPr>
            </w:pPr>
            <w:r>
              <w:rPr>
                <w:rFonts w:ascii="Arial" w:cs="Arial" w:eastAsia="Arial" w:hAnsi="Arial"/>
                <w:sz w:val="18"/>
                <w:szCs w:val="18"/>
                <w:color w:val="auto"/>
                <w:w w:val="79"/>
              </w:rPr>
              <w:t>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July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1,</w:t>
            </w:r>
          </w:p>
        </w:tc>
      </w:tr>
      <w:tr>
        <w:trPr>
          <w:trHeight w:val="175"/>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264,890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405,335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26,863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861,937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818,326</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329,720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327,569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equipment and fixtures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1,912,759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1,839,983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182,624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167,116</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2,425,103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2,334,668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(1,399,325)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(1,325,676)</w:t>
            </w: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1,025,778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1,008,992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Land</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107,965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1,175,986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1,142,632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68,498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1,199,260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1,125,570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Indefinite-lived intangible assets, net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494,692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Prepaid pension cost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555,180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593,469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4,716,826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424,732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247,886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24,820</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715,135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Postretirement benefits other than pensions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153,881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150,909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407,024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401,723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403,635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1,958,824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1,934,083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w:t>
            </w:r>
          </w:p>
        </w:tc>
        <w:tc>
          <w:tcPr>
            <w:tcW w:w="60" w:type="dxa"/>
            <w:vAlign w:val="bottom"/>
            <w:shd w:val="clear" w:color="auto" w:fill="CCEEFF"/>
          </w:tcPr>
          <w:p>
            <w:pPr>
              <w:spacing w:after="0"/>
              <w:rPr>
                <w:sz w:val="18"/>
                <w:szCs w:val="18"/>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2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3,970,267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3,871,587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Cumulative foreign currency translation adjustment</w:t>
            </w:r>
          </w:p>
        </w:tc>
        <w:tc>
          <w:tcPr>
            <w:tcW w:w="2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13,457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640"/>
              <w:spacing w:after="0"/>
              <w:rPr>
                <w:sz w:val="20"/>
                <w:szCs w:val="20"/>
                <w:color w:val="auto"/>
              </w:rPr>
            </w:pPr>
            <w:r>
              <w:rPr>
                <w:rFonts w:ascii="Arial" w:cs="Arial" w:eastAsia="Arial" w:hAnsi="Arial"/>
                <w:sz w:val="18"/>
                <w:szCs w:val="18"/>
                <w:color w:val="auto"/>
              </w:rPr>
              <w:t>Unrealized gain on available-for-sale securities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51,454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(1,508,118)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(1,509,188)</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2,745,882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2,638,423</w:t>
            </w:r>
          </w:p>
        </w:tc>
        <w:tc>
          <w:tcPr>
            <w:tcW w:w="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4,716,826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July 2,</w:t>
            </w:r>
          </w:p>
        </w:tc>
        <w:tc>
          <w:tcPr>
            <w:tcW w:w="7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July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$ 155,618</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$ 145,346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5,075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98,537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2,767</w:t>
            </w:r>
          </w:p>
        </w:tc>
        <w:tc>
          <w:tcPr>
            <w:tcW w:w="740" w:type="dxa"/>
            <w:vAlign w:val="bottom"/>
          </w:tcPr>
          <w:p>
            <w:pPr>
              <w:jc w:val="right"/>
              <w:spacing w:after="0"/>
              <w:rPr>
                <w:sz w:val="20"/>
                <w:szCs w:val="20"/>
                <w:color w:val="auto"/>
              </w:rPr>
            </w:pPr>
            <w:r>
              <w:rPr>
                <w:rFonts w:ascii="Arial" w:cs="Arial" w:eastAsia="Arial" w:hAnsi="Arial"/>
                <w:sz w:val="18"/>
                <w:szCs w:val="18"/>
                <w:color w:val="auto"/>
              </w:rPr>
              <w:t>3,073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Early retirement program expense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49,657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from sale of land</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Property, plant and equipment write-downs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(869)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Foreign exchange (gain) loss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(2,882)</w:t>
            </w:r>
          </w:p>
        </w:tc>
        <w:tc>
          <w:tcPr>
            <w:tcW w:w="740" w:type="dxa"/>
            <w:vAlign w:val="bottom"/>
          </w:tcPr>
          <w:p>
            <w:pPr>
              <w:jc w:val="right"/>
              <w:spacing w:after="0"/>
              <w:rPr>
                <w:sz w:val="20"/>
                <w:szCs w:val="20"/>
                <w:color w:val="auto"/>
              </w:rPr>
            </w:pPr>
            <w:r>
              <w:rPr>
                <w:rFonts w:ascii="Arial" w:cs="Arial" w:eastAsia="Arial" w:hAnsi="Arial"/>
                <w:sz w:val="18"/>
                <w:szCs w:val="18"/>
                <w:color w:val="auto"/>
              </w:rPr>
              <w:t>4,619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741</w:t>
            </w: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receivable, net</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in inventories</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(11,701)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12,730</w:t>
            </w:r>
          </w:p>
        </w:tc>
        <w:tc>
          <w:tcPr>
            <w:tcW w:w="740" w:type="dxa"/>
            <w:vAlign w:val="bottom"/>
          </w:tcPr>
          <w:p>
            <w:pPr>
              <w:jc w:val="right"/>
              <w:spacing w:after="0"/>
              <w:rPr>
                <w:sz w:val="20"/>
                <w:szCs w:val="20"/>
                <w:color w:val="auto"/>
              </w:rPr>
            </w:pPr>
            <w:r>
              <w:rPr>
                <w:rFonts w:ascii="Arial" w:cs="Arial" w:eastAsia="Arial" w:hAnsi="Arial"/>
                <w:sz w:val="18"/>
                <w:szCs w:val="18"/>
                <w:color w:val="auto"/>
              </w:rPr>
              <w:t>14,720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income taxes receivable</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9,552</w:t>
            </w:r>
          </w:p>
        </w:tc>
        <w:tc>
          <w:tcPr>
            <w:tcW w:w="740" w:type="dxa"/>
            <w:vAlign w:val="bottom"/>
          </w:tcPr>
          <w:p>
            <w:pPr>
              <w:jc w:val="right"/>
              <w:spacing w:after="0"/>
              <w:rPr>
                <w:sz w:val="20"/>
                <w:szCs w:val="20"/>
                <w:color w:val="auto"/>
              </w:rPr>
            </w:pPr>
            <w:r>
              <w:rPr>
                <w:rFonts w:ascii="Arial" w:cs="Arial" w:eastAsia="Arial" w:hAnsi="Arial"/>
                <w:sz w:val="18"/>
                <w:szCs w:val="18"/>
                <w:color w:val="auto"/>
              </w:rPr>
              <w:t>22,330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244,258</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(131,686)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(66,914)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484</w:t>
            </w:r>
          </w:p>
        </w:tc>
        <w:tc>
          <w:tcPr>
            <w:tcW w:w="740" w:type="dxa"/>
            <w:vAlign w:val="bottom"/>
          </w:tcPr>
          <w:p>
            <w:pPr>
              <w:jc w:val="right"/>
              <w:spacing w:after="0"/>
              <w:rPr>
                <w:sz w:val="20"/>
                <w:szCs w:val="20"/>
                <w:color w:val="auto"/>
              </w:rPr>
            </w:pPr>
            <w:r>
              <w:rPr>
                <w:rFonts w:ascii="Arial" w:cs="Arial" w:eastAsia="Arial" w:hAnsi="Arial"/>
                <w:sz w:val="18"/>
                <w:szCs w:val="18"/>
                <w:color w:val="auto"/>
              </w:rPr>
              <w:t>24,614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(42,888)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73,802</w:t>
            </w:r>
          </w:p>
        </w:tc>
        <w:tc>
          <w:tcPr>
            <w:tcW w:w="740" w:type="dxa"/>
            <w:vAlign w:val="bottom"/>
          </w:tcPr>
          <w:p>
            <w:pPr>
              <w:jc w:val="right"/>
              <w:spacing w:after="0"/>
              <w:rPr>
                <w:sz w:val="20"/>
                <w:szCs w:val="20"/>
                <w:color w:val="auto"/>
              </w:rPr>
            </w:pPr>
            <w:r>
              <w:rPr>
                <w:rFonts w:ascii="Arial" w:cs="Arial" w:eastAsia="Arial" w:hAnsi="Arial"/>
                <w:sz w:val="18"/>
                <w:szCs w:val="18"/>
                <w:color w:val="auto"/>
              </w:rPr>
              <w:t>8,124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cost method investments</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(2,758)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Investment in affiliates</w:t>
            </w:r>
          </w:p>
        </w:tc>
        <w:tc>
          <w:tcPr>
            <w:tcW w:w="1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(169,960)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(178,957)</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 of commercial paper</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2740" w:type="dxa"/>
            <w:vAlign w:val="bottom"/>
            <w:gridSpan w:val="3"/>
          </w:tcPr>
          <w:p>
            <w:pPr>
              <w:jc w:val="right"/>
              <w:ind w:right="220"/>
              <w:spacing w:after="0"/>
              <w:rPr>
                <w:sz w:val="20"/>
                <w:szCs w:val="20"/>
                <w:color w:val="auto"/>
              </w:rPr>
            </w:pPr>
            <w:r>
              <w:rPr>
                <w:rFonts w:ascii="Arial" w:cs="Arial" w:eastAsia="Arial" w:hAnsi="Arial"/>
                <w:sz w:val="18"/>
                <w:szCs w:val="18"/>
                <w:color w:val="auto"/>
              </w:rPr>
              <w:t>(8,875)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13,731</w:t>
            </w:r>
          </w:p>
        </w:tc>
        <w:tc>
          <w:tcPr>
            <w:tcW w:w="740" w:type="dxa"/>
            <w:vAlign w:val="bottom"/>
          </w:tcPr>
          <w:p>
            <w:pPr>
              <w:jc w:val="right"/>
              <w:spacing w:after="0"/>
              <w:rPr>
                <w:sz w:val="20"/>
                <w:szCs w:val="20"/>
                <w:color w:val="auto"/>
              </w:rPr>
            </w:pPr>
            <w:r>
              <w:rPr>
                <w:rFonts w:ascii="Arial" w:cs="Arial" w:eastAsia="Arial" w:hAnsi="Arial"/>
                <w:sz w:val="18"/>
                <w:szCs w:val="18"/>
                <w:color w:val="auto"/>
              </w:rPr>
              <w:t>19,226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Excess tax benefit on stock options</w:t>
            </w:r>
          </w:p>
        </w:tc>
        <w:tc>
          <w:tcPr>
            <w:tcW w:w="17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3,050</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331"/>
        </w:trPr>
        <w:tc>
          <w:tcPr>
            <w:tcW w:w="788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74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215,861</w:t>
            </w:r>
          </w:p>
        </w:tc>
        <w:tc>
          <w:tcPr>
            <w:tcW w:w="2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$ 264,890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$ 105,724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6</w:t>
            </w:r>
          </w:p>
        </w:tc>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8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2006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second quarter of 2006, Kaplan acquired two businesses in their professional and K12 learning services divisions totaling $59.7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 Most of the purchase price for these acquisitions has been allocated to goodwill and other intangibles on a preliminary basis.</w:t>
      </w:r>
    </w:p>
    <w:p>
      <w:pPr>
        <w:spacing w:after="0" w:line="1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the second quarter of 2005, Kaplan acquired five businesses in their higher education and professional divisions totaling $83.1 million. These acquisitions included BISYS Education Services, a provider of licensing education and compliance solutions for financial services institutions and professionals as well as Asia Pacific Management Institute, a private education provider for undergraduate and postgraduate students in Asia. In the first quarter of 2005, the Company acquired Slate, an online magazine and Kaplan acquired two businesses in their higher education division; these acquisitions totaled $26.5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Investments in marketable equity securities at July 2, 2006 and January 1, 2006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4"/>
                <w:szCs w:val="14"/>
                <w:b w:val="1"/>
                <w:bCs w:val="1"/>
                <w:color w:val="auto"/>
              </w:rPr>
              <w:t>July 2,</w:t>
            </w:r>
          </w:p>
        </w:tc>
        <w:tc>
          <w:tcPr>
            <w:tcW w:w="3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January 1,</w:t>
            </w:r>
          </w:p>
        </w:tc>
      </w:tr>
      <w:tr>
        <w:trPr>
          <w:trHeight w:val="175"/>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$234,196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Gross unrealized gains</w:t>
            </w:r>
          </w:p>
        </w:tc>
        <w:tc>
          <w:tcPr>
            <w:tcW w:w="36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84,351</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95,725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319,297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329,921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During the second quarter of 2006, the Company sold marketable equity securities for a pre-tax gain of $31.6 million. During the first quarter of 2005, the Company sold marketable equity securities for a pre-tax gain of $3.3 million. No sales of marketable equity securities were made in the second quarter of 2005.</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made $42.9 million in investments in marketable equity securities during the first quarter of 2006. There were no investments in marketable equity securities during the second quarter of 2006 or during the first six months of 2005.</w:t>
      </w:r>
    </w:p>
    <w:p>
      <w:pPr>
        <w:spacing w:after="0" w:line="13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At July 2, 2006 and January 1, 2006, the carrying value of the Company’s cost method investments was $13.8 million and $11.9 million, respectively. The Company invested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$2.8 million during the second quarter and first six months of 2006, in companies constituting cost method investments; for the same periods of 2005, the Company invested $7.8 million.</w:t>
      </w:r>
    </w:p>
    <w:p>
      <w:pPr>
        <w:spacing w:after="0" w:line="13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recorded charges of $0 and $0.8 million during the second quarter and first six months of 2006, respectively, to write-down certain of its investments to estimated fair value; for the same periods of 2005, the Company recorded charges of $0.6 million.</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July 2, 2006 and January 1, 2006, the Company has commercial paper investments of $135.1 million and $59.2 million, respectively, that are classified as “cash and cash equivalents” on the Company’s 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July 2,</w:t>
            </w: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5"/>
        </w:trPr>
        <w:tc>
          <w:tcPr>
            <w:tcW w:w="8840" w:type="dxa"/>
            <w:vAlign w:val="bottom"/>
          </w:tcPr>
          <w:p>
            <w:pPr>
              <w:spacing w:after="0"/>
              <w:rPr>
                <w:sz w:val="15"/>
                <w:szCs w:val="15"/>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4.0 percent notes due 2006 (£8.2 million)</w:t>
            </w:r>
          </w:p>
        </w:tc>
        <w:tc>
          <w:tcPr>
            <w:tcW w:w="5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425.2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401.7</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2003, notes of £16.7 million were issued to current employees of The Financial Training Company (FTC) who were former FTC shareholders in connection with the March 2003 acquisition by Kaplan. In 2004, 50% of the balance on the notes was paid. The remaining balance outstanding of £8.2 million is due for repayment in August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July 2, 2006 and January 1, 2006 is at interest rates of 5% to 7% and matures from 2006 to 2009.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2006 and 2005, the Company had average borrowings outstanding of approximately $424.1 million and $447.3 million, respectively, at average annual interest rates of approximately 5.5 percent and 5.4 percent, respectively. During the second quarter of 2006 and 2005, the Company incurred net interest expense of $3.9 million and $5.9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2006 and 2005, the Company had average borrowings outstanding of approximately $425.3 million and $448.2 million, respectively, at average annual interest rates of approximately 5.4 percent and 5.4 percent, respectively. During the first six months of 2006 and 2005, the Company incurred net interest expense of $8.6 million and $11.8 million, respectively.</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August 8, 2006, The Company entered into a new $500 million five year revolving credit agreement (the “2006 Credit Agreement”) with a group of banks. That facility replaced the Company’s $250 million 364-day revolving credit agreement dated as of August 10, 2005 (the “2005 Credit Agreement”) and its $350 million 5-year revolving credit agreement dated as of August 14, 2002 (the “2002 Credit Agreement”).</w:t>
      </w:r>
    </w:p>
    <w:p>
      <w:pPr>
        <w:spacing w:after="0" w:line="140" w:lineRule="exact"/>
        <w:rPr>
          <w:sz w:val="20"/>
          <w:szCs w:val="20"/>
          <w:color w:val="auto"/>
        </w:rPr>
      </w:pPr>
    </w:p>
    <w:p>
      <w:pPr>
        <w:ind w:right="400"/>
        <w:spacing w:after="0" w:line="305" w:lineRule="auto"/>
        <w:rPr>
          <w:sz w:val="20"/>
          <w:szCs w:val="20"/>
          <w:color w:val="auto"/>
        </w:rPr>
      </w:pPr>
      <w:r>
        <w:rPr>
          <w:rFonts w:ascii="Arial" w:cs="Arial" w:eastAsia="Arial" w:hAnsi="Arial"/>
          <w:sz w:val="15"/>
          <w:szCs w:val="15"/>
          <w:color w:val="auto"/>
        </w:rPr>
        <w:t>Except for the length and the amount of the commitments, the terms of the 2006 Credit Agreement are substantially the same as the terms of the 2005 Credit Agreement. The Company is required to pay a facility fee at an annual rate, which depends on the Company’s long-term debt ratings, of between 0.04% and</w:t>
      </w:r>
    </w:p>
    <w:p>
      <w:pPr>
        <w:spacing w:after="0" w:line="261" w:lineRule="auto"/>
        <w:rPr>
          <w:sz w:val="20"/>
          <w:szCs w:val="20"/>
          <w:color w:val="auto"/>
        </w:rPr>
      </w:pPr>
      <w:r>
        <w:rPr>
          <w:rFonts w:ascii="Arial" w:cs="Arial" w:eastAsia="Arial" w:hAnsi="Arial"/>
          <w:sz w:val="18"/>
          <w:szCs w:val="18"/>
          <w:color w:val="auto"/>
        </w:rPr>
        <w:t>0.10% of the amount of the facility. Any borrowings are made on an unsecured basis and bear interest, at the Company’s option, at Citibank’s base rate or at a rate based 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LIBOR plus an applicable margin that also depends on the Company’s long-term debt ratings. The 2006 Credit Agreement will expire on August 8, 2011, unless the Company and the banks agree prior to the second anniversary date to extend the term (which extensions cannot exceed an aggregate of two years). Any outstanding borrowings must be repaid on or prior to the final termination date. The 2006 Credit Agreement supports the issuance of the Company’s commercial paper but the Company may also draw on the facility for general corporate purposes. The 2006 Credit Agreement contains terms and conditions, including remedies in the event of a default by the Company, typical of facilities of this type and, among other things, requires the Company to maintain at least $1 billion of consolidated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2006 and 2005 asset information is as of July 2, 2006 and January 1, 2006, respectively.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Second Quarter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Education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4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$245,566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88,970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84,166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141,095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409,244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969,041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 (15,373)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33,888</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 (12,996)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8,898</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2,476</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25,561</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11,577</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365</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Net pension credit (expense)</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85"/>
              </w:rPr>
              <w:t>$ (48,671)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(43,977)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$668,383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416,302</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$594,883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1,143,968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1,350,076</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$155,419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$4,329,031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319,297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4,716,826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Newspaper</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line="20" w:lineRule="exact"/>
              <w:rPr>
                <w:sz w:val="1"/>
                <w:szCs w:val="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Cable</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8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Education</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2005</w:t>
            </w:r>
          </w:p>
        </w:tc>
        <w:tc>
          <w:tcPr>
            <w:tcW w:w="4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$236,336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88,396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97,949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129,116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345,780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897,577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27,000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Equity in earnings of affiliates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9,343</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2,537</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713</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25,232</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9,398</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auto"/>
                <w:w w:val="86"/>
              </w:rPr>
              <w:t>682</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Net pension credit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$702,221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420,154</w:t>
            </w:r>
          </w:p>
        </w:tc>
        <w:tc>
          <w:tcPr>
            <w:tcW w:w="9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$594,937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1,122,654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1,257,952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90,159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$4,188,077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3"/>
          </w:tcPr>
          <w:p>
            <w:pPr>
              <w:spacing w:after="0"/>
              <w:rPr>
                <w:sz w:val="20"/>
                <w:szCs w:val="20"/>
                <w:color w:val="auto"/>
              </w:rPr>
            </w:pPr>
            <w:r>
              <w:rPr>
                <w:rFonts w:ascii="Arial" w:cs="Arial" w:eastAsia="Arial" w:hAnsi="Arial"/>
                <w:sz w:val="18"/>
                <w:szCs w:val="18"/>
                <w:color w:val="auto"/>
              </w:rPr>
              <w:t>Investments in marketable equity securities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329,921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4,584,773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vMerge w:val="restart"/>
          </w:tcPr>
          <w:p>
            <w:pPr>
              <w:jc w:val="right"/>
              <w:ind w:right="43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Six Month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Newspaper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Publishing</w:t>
            </w:r>
          </w:p>
        </w:tc>
        <w:tc>
          <w:tcPr>
            <w:tcW w:w="2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4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$489,038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174,884</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w w:val="87"/>
              </w:rPr>
              <w:t>$158,951</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$276,270</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$818,178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$1,917,321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16,664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65,308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86,533</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(22,028)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4"/>
              </w:rPr>
              <w:t>17,756</w:t>
            </w:r>
          </w:p>
        </w:tc>
        <w:tc>
          <w:tcPr>
            <w:tcW w:w="300" w:type="dxa"/>
            <w:vAlign w:val="bottom"/>
            <w:gridSpan w:val="2"/>
            <w:vMerge w:val="restart"/>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4,901</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1,276</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8"/>
              </w:rPr>
              <w:t>50,425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4"/>
              </w:rPr>
              <w:t>23,610</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569</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pension credit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 (50,578)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(2,900)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Newspaper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Cable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Publishing</w:t>
            </w:r>
          </w:p>
        </w:tc>
        <w:tc>
          <w:tcPr>
            <w:tcW w:w="2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Television</w:t>
            </w:r>
          </w:p>
        </w:tc>
        <w:tc>
          <w:tcPr>
            <w:tcW w:w="1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2005</w:t>
            </w:r>
          </w:p>
        </w:tc>
        <w:tc>
          <w:tcPr>
            <w:tcW w:w="4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$469,364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167,688</w:t>
            </w:r>
          </w:p>
        </w:tc>
        <w:tc>
          <w:tcPr>
            <w:tcW w:w="880" w:type="dxa"/>
            <w:vAlign w:val="bottom"/>
            <w:gridSpan w:val="3"/>
          </w:tcPr>
          <w:p>
            <w:pPr>
              <w:ind w:left="200"/>
              <w:spacing w:after="0"/>
              <w:rPr>
                <w:sz w:val="20"/>
                <w:szCs w:val="20"/>
                <w:color w:val="auto"/>
              </w:rPr>
            </w:pPr>
            <w:r>
              <w:rPr>
                <w:rFonts w:ascii="Arial" w:cs="Arial" w:eastAsia="Arial" w:hAnsi="Arial"/>
                <w:sz w:val="18"/>
                <w:szCs w:val="18"/>
                <w:color w:val="auto"/>
                <w:w w:val="87"/>
              </w:rPr>
              <w:t>$167,800</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$255,492</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$671,163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$1,731,507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58,395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46,995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66,754</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(15,153)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Equity in losses of affiliates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4"/>
              </w:rPr>
              <w:t>18,132</w:t>
            </w:r>
          </w:p>
        </w:tc>
        <w:tc>
          <w:tcPr>
            <w:tcW w:w="300" w:type="dxa"/>
            <w:vAlign w:val="bottom"/>
            <w:gridSpan w:val="2"/>
            <w:vMerge w:val="restart"/>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4,999</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1,447</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8"/>
              </w:rPr>
              <w:t>50,424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4"/>
              </w:rPr>
              <w:t>17,789</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ind w:left="260"/>
              <w:spacing w:after="0"/>
              <w:rPr>
                <w:sz w:val="20"/>
                <w:szCs w:val="20"/>
                <w:color w:val="auto"/>
              </w:rPr>
            </w:pPr>
            <w:r>
              <w:rPr>
                <w:rFonts w:ascii="Arial" w:cs="Arial" w:eastAsia="Arial" w:hAnsi="Arial"/>
                <w:sz w:val="18"/>
                <w:szCs w:val="18"/>
                <w:color w:val="auto"/>
                <w:w w:val="86"/>
              </w:rPr>
              <w:t>682</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pension credit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19,171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w w:val="78"/>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Second Quarter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Higher</w:t>
            </w: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Supplemental</w:t>
            </w:r>
          </w:p>
        </w:tc>
        <w:tc>
          <w:tcPr>
            <w:tcW w:w="60" w:type="dxa"/>
            <w:vAlign w:val="bottom"/>
          </w:tcPr>
          <w:p>
            <w:pPr>
              <w:spacing w:after="0"/>
              <w:rPr>
                <w:sz w:val="12"/>
                <w:szCs w:val="12"/>
                <w:color w:val="auto"/>
              </w:rPr>
            </w:pPr>
          </w:p>
        </w:tc>
        <w:tc>
          <w:tcPr>
            <w:tcW w:w="9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4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Education</w:t>
            </w:r>
          </w:p>
        </w:tc>
        <w:tc>
          <w:tcPr>
            <w:tcW w:w="960" w:type="dxa"/>
            <w:vAlign w:val="bottom"/>
            <w:gridSpan w:val="5"/>
          </w:tcPr>
          <w:p>
            <w:pPr>
              <w:ind w:left="100"/>
              <w:spacing w:after="0"/>
              <w:rPr>
                <w:sz w:val="20"/>
                <w:szCs w:val="20"/>
                <w:color w:val="auto"/>
              </w:rPr>
            </w:pPr>
            <w:r>
              <w:rPr>
                <w:rFonts w:ascii="Arial" w:cs="Arial" w:eastAsia="Arial" w:hAnsi="Arial"/>
                <w:sz w:val="14"/>
                <w:szCs w:val="14"/>
                <w:b w:val="1"/>
                <w:bCs w:val="1"/>
                <w:color w:val="auto"/>
              </w:rPr>
              <w:t>Education</w:t>
            </w:r>
          </w:p>
        </w:tc>
        <w:tc>
          <w:tcPr>
            <w:tcW w:w="6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and Other</w:t>
            </w: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90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3140" w:type="dxa"/>
            <w:vAlign w:val="bottom"/>
            <w:gridSpan w:val="5"/>
          </w:tcPr>
          <w:p>
            <w:pPr>
              <w:jc w:val="right"/>
              <w:ind w:right="120"/>
              <w:spacing w:after="0"/>
              <w:rPr>
                <w:sz w:val="20"/>
                <w:szCs w:val="20"/>
                <w:color w:val="auto"/>
              </w:rPr>
            </w:pPr>
            <w:r>
              <w:rPr>
                <w:rFonts w:ascii="Arial" w:cs="Arial" w:eastAsia="Arial" w:hAnsi="Arial"/>
                <w:sz w:val="18"/>
                <w:szCs w:val="18"/>
                <w:color w:val="auto"/>
              </w:rPr>
              <w:t>$207,806</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201,438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23,034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w w:val="90"/>
              </w:rPr>
              <w:t>$ (15,548)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Identifiable assets</w:t>
            </w:r>
          </w:p>
        </w:tc>
        <w:tc>
          <w:tcPr>
            <w:tcW w:w="3140" w:type="dxa"/>
            <w:vAlign w:val="bottom"/>
            <w:gridSpan w:val="5"/>
          </w:tcPr>
          <w:p>
            <w:pPr>
              <w:jc w:val="right"/>
              <w:ind w:right="120"/>
              <w:spacing w:after="0"/>
              <w:rPr>
                <w:sz w:val="20"/>
                <w:szCs w:val="20"/>
                <w:color w:val="auto"/>
              </w:rPr>
            </w:pPr>
            <w:r>
              <w:rPr>
                <w:rFonts w:ascii="Arial" w:cs="Arial" w:eastAsia="Arial" w:hAnsi="Arial"/>
                <w:sz w:val="18"/>
                <w:szCs w:val="18"/>
                <w:color w:val="auto"/>
              </w:rPr>
              <w:t>$554,989</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767,536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5"/>
          </w:tcPr>
          <w:p>
            <w:pPr>
              <w:ind w:left="60"/>
              <w:spacing w:after="0"/>
              <w:rPr>
                <w:sz w:val="20"/>
                <w:szCs w:val="20"/>
                <w:color w:val="auto"/>
              </w:rPr>
            </w:pPr>
            <w:r>
              <w:rPr>
                <w:rFonts w:ascii="Arial" w:cs="Arial" w:eastAsia="Arial" w:hAnsi="Arial"/>
                <w:sz w:val="18"/>
                <w:szCs w:val="18"/>
                <w:color w:val="auto"/>
              </w:rPr>
              <w:t>$ 27,551</w:t>
            </w: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86"/>
              </w:rPr>
              <w:t>$1,350,076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Kaplan stock-based incentive compensation</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60" w:type="dxa"/>
            <w:vAlign w:val="bottom"/>
            <w:gridSpan w:val="3"/>
          </w:tcPr>
          <w:p>
            <w:pPr>
              <w:spacing w:after="0"/>
              <w:rPr>
                <w:sz w:val="20"/>
                <w:szCs w:val="20"/>
                <w:color w:val="auto"/>
              </w:rPr>
            </w:pPr>
            <w:r>
              <w:rPr>
                <w:rFonts w:ascii="Arial" w:cs="Arial" w:eastAsia="Arial" w:hAnsi="Arial"/>
                <w:sz w:val="18"/>
                <w:szCs w:val="18"/>
                <w:color w:val="auto"/>
              </w:rPr>
              <w:t>2005</w:t>
            </w:r>
          </w:p>
        </w:tc>
        <w:tc>
          <w:tcPr>
            <w:tcW w:w="4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1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$173,200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172,580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345,780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18,710</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5"/>
          </w:tcPr>
          <w:p>
            <w:pPr>
              <w:ind w:left="60"/>
              <w:spacing w:after="0"/>
              <w:rPr>
                <w:sz w:val="20"/>
                <w:szCs w:val="20"/>
                <w:color w:val="auto"/>
              </w:rPr>
            </w:pPr>
            <w:r>
              <w:rPr>
                <w:rFonts w:ascii="Arial" w:cs="Arial" w:eastAsia="Arial" w:hAnsi="Arial"/>
                <w:sz w:val="18"/>
                <w:szCs w:val="18"/>
                <w:color w:val="auto"/>
                <w:w w:val="90"/>
              </w:rPr>
              <w:t>$ (14,123)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1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$587,997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645,957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$ 23,998</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$1,257,952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4,442</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3,031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Six Month Period</w:t>
            </w: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Higher</w:t>
            </w:r>
          </w:p>
        </w:tc>
        <w:tc>
          <w:tcPr>
            <w:tcW w:w="12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Supplemental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54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Education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Education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2006</w:t>
            </w:r>
          </w:p>
        </w:tc>
        <w:tc>
          <w:tcPr>
            <w:tcW w:w="90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shd w:val="clear" w:color="auto" w:fill="CCEEFF"/>
          </w:tcPr>
          <w:p>
            <w:pPr>
              <w:spacing w:after="0"/>
              <w:rPr>
                <w:sz w:val="16"/>
                <w:szCs w:val="16"/>
                <w:color w:val="auto"/>
              </w:rPr>
            </w:pPr>
          </w:p>
        </w:tc>
        <w:tc>
          <w:tcPr>
            <w:tcW w:w="23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$423,311</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394,867</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$818,178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56,025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58,955</w:t>
            </w:r>
          </w:p>
        </w:tc>
        <w:tc>
          <w:tcPr>
            <w:tcW w:w="9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5"/>
              </w:rPr>
              <w:t>$ (28,447)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11,988</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9,530</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2,092</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1,839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5,266</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9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Operating revenues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$342,119</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329,044</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$671,163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46,998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53,900</w:t>
            </w:r>
          </w:p>
        </w:tc>
        <w:tc>
          <w:tcPr>
            <w:tcW w:w="9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5"/>
              </w:rPr>
              <w:t>$ (34,144)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Depreciation expense</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7,695</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1,544</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2,129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w:t>
            </w:r>
          </w:p>
        </w:tc>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9,981</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online media publishing business (primarily washingtonpost.com and Slate).</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international editions; the publication of Arthur Frommer’s Budget Travel; online operations (primarily newsweek.com and budgettravelonline.com) and the publication of business periodicals for the computer services industry and the Washington-area technology community.</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 For segment reporting purposes, the education division has two primary segments, supplemental education and higher education. Kaplan corporate overhead and “other” is also included; “other” includes Kaplan stock compensation expense and amortization of certain intangibles.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July 2, 2006 and January 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$1,497,662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$1,199,260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22,387</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2,199,369</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484,595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1,714,774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$1,423,972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2,124,904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481,828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1,643,076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other intangible assets during the six months ended July 2, 2006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Magazine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Publishing</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3"/>
              </w:rPr>
              <w:t>Broadcasting</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Publishing</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Television</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8"/>
              </w:rPr>
              <w:t>Education</w:t>
            </w:r>
          </w:p>
        </w:tc>
        <w:tc>
          <w:tcPr>
            <w:tcW w:w="220" w:type="dxa"/>
            <w:vAlign w:val="bottom"/>
          </w:tcPr>
          <w:p>
            <w:pPr>
              <w:spacing w:after="0"/>
              <w:rPr>
                <w:sz w:val="14"/>
                <w:szCs w:val="14"/>
                <w:color w:val="auto"/>
              </w:rPr>
            </w:pPr>
          </w:p>
        </w:tc>
        <w:tc>
          <w:tcPr>
            <w:tcW w:w="8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680" w:type="dxa"/>
            <w:vAlign w:val="bottom"/>
            <w:gridSpan w:val="3"/>
          </w:tcPr>
          <w:p>
            <w:pPr>
              <w:ind w:left="1800"/>
              <w:spacing w:after="0"/>
              <w:rPr>
                <w:sz w:val="20"/>
                <w:szCs w:val="20"/>
                <w:color w:val="auto"/>
              </w:rPr>
            </w:pPr>
            <w:r>
              <w:rPr>
                <w:rFonts w:ascii="Arial" w:cs="Arial" w:eastAsia="Arial" w:hAnsi="Arial"/>
                <w:sz w:val="18"/>
                <w:szCs w:val="18"/>
                <w:color w:val="auto"/>
              </w:rPr>
              <w:t>$ 80,651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203,165</w:t>
            </w:r>
          </w:p>
        </w:tc>
        <w:tc>
          <w:tcPr>
            <w:tcW w:w="9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$ 69,556</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$85,666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$686,532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2006</w:t>
            </w:r>
          </w:p>
        </w:tc>
        <w:tc>
          <w:tcPr>
            <w:tcW w:w="2680" w:type="dxa"/>
            <w:vAlign w:val="bottom"/>
            <w:gridSpan w:val="3"/>
            <w:shd w:val="clear" w:color="auto" w:fill="CCEEFF"/>
          </w:tcPr>
          <w:p>
            <w:pPr>
              <w:ind w:left="1800"/>
              <w:spacing w:after="0"/>
              <w:rPr>
                <w:sz w:val="20"/>
                <w:szCs w:val="20"/>
                <w:color w:val="auto"/>
              </w:rPr>
            </w:pPr>
            <w:r>
              <w:rPr>
                <w:rFonts w:ascii="Arial" w:cs="Arial" w:eastAsia="Arial" w:hAnsi="Arial"/>
                <w:sz w:val="18"/>
                <w:szCs w:val="18"/>
                <w:color w:val="auto"/>
              </w:rPr>
              <w:t>$ 80,651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203,165</w:t>
            </w:r>
          </w:p>
        </w:tc>
        <w:tc>
          <w:tcPr>
            <w:tcW w:w="9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$ 69,556</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85,666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760,222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0" w:type="dxa"/>
            <w:vAlign w:val="bottom"/>
            <w:vMerge w:val="restart"/>
          </w:tcPr>
          <w:p>
            <w:pPr>
              <w:jc w:val="right"/>
              <w:ind w:right="352"/>
              <w:spacing w:after="0"/>
              <w:rPr>
                <w:sz w:val="20"/>
                <w:szCs w:val="20"/>
                <w:color w:val="auto"/>
              </w:rPr>
            </w:pPr>
            <w:r>
              <w:rPr>
                <w:rFonts w:ascii="Arial" w:cs="Arial" w:eastAsia="Arial" w:hAnsi="Arial"/>
                <w:sz w:val="18"/>
                <w:szCs w:val="18"/>
                <w:color w:val="auto"/>
              </w:rPr>
              <w:t>13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Newspaper</w:t>
            </w:r>
          </w:p>
        </w:tc>
        <w:tc>
          <w:tcPr>
            <w:tcW w:w="3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3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Cable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Indefinite-Lived Intangible Assets, net</w:t>
            </w:r>
          </w:p>
        </w:tc>
        <w:tc>
          <w:tcPr>
            <w:tcW w:w="6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Television</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5"/>
              </w:rPr>
              <w:t>Education</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20"/>
              <w:spacing w:after="0"/>
              <w:rPr>
                <w:sz w:val="20"/>
                <w:szCs w:val="20"/>
                <w:color w:val="auto"/>
              </w:rPr>
            </w:pPr>
            <w:r>
              <w:rPr>
                <w:rFonts w:ascii="Arial" w:cs="Arial" w:eastAsia="Arial" w:hAnsi="Arial"/>
                <w:sz w:val="18"/>
                <w:szCs w:val="18"/>
                <w:color w:val="auto"/>
                <w:w w:val="85"/>
              </w:rPr>
              <w:t>$486,330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Balance at July 2, 2006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5"/>
          </w:tcPr>
          <w:p>
            <w:pPr>
              <w:ind w:left="3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486,330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8,362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93"/>
              </w:rPr>
              <w:t>Newspaper</w:t>
            </w:r>
          </w:p>
        </w:tc>
        <w:tc>
          <w:tcPr>
            <w:tcW w:w="300" w:type="dxa"/>
            <w:vAlign w:val="bottom"/>
          </w:tcPr>
          <w:p>
            <w:pPr>
              <w:spacing w:after="0"/>
              <w:rPr>
                <w:sz w:val="24"/>
                <w:szCs w:val="2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Television</w:t>
            </w:r>
          </w:p>
        </w:tc>
        <w:tc>
          <w:tcPr>
            <w:tcW w:w="300" w:type="dxa"/>
            <w:vAlign w:val="bottom"/>
          </w:tcPr>
          <w:p>
            <w:pPr>
              <w:spacing w:after="0"/>
              <w:rPr>
                <w:sz w:val="24"/>
                <w:szCs w:val="2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Magazine</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Cable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Amortized intangible assets, net</w:t>
            </w:r>
          </w:p>
        </w:tc>
        <w:tc>
          <w:tcPr>
            <w:tcW w:w="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3"/>
              </w:rPr>
              <w:t>Publishing</w:t>
            </w:r>
          </w:p>
        </w:tc>
        <w:tc>
          <w:tcPr>
            <w:tcW w:w="30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Broadcasting</w:t>
            </w:r>
          </w:p>
        </w:tc>
        <w:tc>
          <w:tcPr>
            <w:tcW w:w="30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Publishing</w:t>
            </w:r>
          </w:p>
        </w:tc>
        <w:tc>
          <w:tcPr>
            <w:tcW w:w="3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6"/>
              </w:rPr>
              <w:t>Television</w:t>
            </w:r>
          </w:p>
        </w:tc>
        <w:tc>
          <w:tcPr>
            <w:tcW w:w="280" w:type="dxa"/>
            <w:vAlign w:val="bottom"/>
          </w:tcPr>
          <w:p>
            <w:pPr>
              <w:spacing w:after="0"/>
              <w:rPr>
                <w:sz w:val="14"/>
                <w:szCs w:val="1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5"/>
              </w:rPr>
              <w:t>Education</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1,710</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$ 14,428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9"/>
                <w:szCs w:val="19"/>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(1,839)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at July 2, 2006</w:t>
            </w:r>
          </w:p>
        </w:tc>
        <w:tc>
          <w:tcPr>
            <w:tcW w:w="16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$ 13,364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six-months ended July 3, 2005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w w:val="80"/>
              </w:rPr>
              <w:t>Newspaper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Television</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Magazine</w:t>
            </w:r>
          </w:p>
        </w:tc>
        <w:tc>
          <w:tcPr>
            <w:tcW w:w="280" w:type="dxa"/>
            <w:vAlign w:val="bottom"/>
          </w:tcPr>
          <w:p>
            <w:pPr>
              <w:spacing w:after="0"/>
              <w:rPr>
                <w:sz w:val="14"/>
                <w:szCs w:val="14"/>
                <w:color w:val="auto"/>
              </w:rPr>
            </w:pPr>
          </w:p>
        </w:tc>
        <w:tc>
          <w:tcPr>
            <w:tcW w:w="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Goodwill, net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0"/>
              </w:rPr>
              <w:t>Publishing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0"/>
              </w:rPr>
              <w:t>Publishing</w:t>
            </w:r>
          </w:p>
        </w:tc>
        <w:tc>
          <w:tcPr>
            <w:tcW w:w="280" w:type="dxa"/>
            <w:vAlign w:val="bottom"/>
          </w:tcPr>
          <w:p>
            <w:pPr>
              <w:spacing w:after="0"/>
              <w:rPr>
                <w:sz w:val="14"/>
                <w:szCs w:val="14"/>
                <w:color w:val="auto"/>
              </w:rPr>
            </w:pPr>
          </w:p>
        </w:tc>
        <w:tc>
          <w:tcPr>
            <w:tcW w:w="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75"/>
              </w:rPr>
              <w:t>Television</w:t>
            </w:r>
          </w:p>
        </w:tc>
        <w:tc>
          <w:tcPr>
            <w:tcW w:w="8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1"/>
              </w:rPr>
              <w:t>Education</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$ 72,770</w:t>
            </w: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ind w:left="120"/>
              <w:spacing w:after="0"/>
              <w:rPr>
                <w:sz w:val="20"/>
                <w:szCs w:val="20"/>
                <w:color w:val="auto"/>
              </w:rPr>
            </w:pPr>
            <w:r>
              <w:rPr>
                <w:rFonts w:ascii="Arial" w:cs="Arial" w:eastAsia="Arial" w:hAnsi="Arial"/>
                <w:sz w:val="18"/>
                <w:szCs w:val="18"/>
                <w:color w:val="auto"/>
              </w:rPr>
              <w:t>203,165</w:t>
            </w:r>
          </w:p>
        </w:tc>
        <w:tc>
          <w:tcPr>
            <w:tcW w:w="620" w:type="dxa"/>
            <w:vAlign w:val="bottom"/>
            <w:gridSpan w:val="2"/>
          </w:tcPr>
          <w:p>
            <w:pPr>
              <w:spacing w:after="0"/>
              <w:rPr>
                <w:sz w:val="20"/>
                <w:szCs w:val="20"/>
                <w:color w:val="auto"/>
              </w:rPr>
            </w:pPr>
            <w:r>
              <w:rPr>
                <w:rFonts w:ascii="Arial" w:cs="Arial" w:eastAsia="Arial" w:hAnsi="Arial"/>
                <w:sz w:val="18"/>
                <w:szCs w:val="18"/>
                <w:color w:val="auto"/>
                <w:w w:val="82"/>
              </w:rPr>
              <w:t>$ 69,556</w:t>
            </w:r>
          </w:p>
        </w:tc>
        <w:tc>
          <w:tcPr>
            <w:tcW w:w="800" w:type="dxa"/>
            <w:vAlign w:val="bottom"/>
            <w:gridSpan w:val="3"/>
          </w:tcPr>
          <w:p>
            <w:pPr>
              <w:jc w:val="center"/>
              <w:ind w:left="132"/>
              <w:spacing w:after="0"/>
              <w:rPr>
                <w:sz w:val="20"/>
                <w:szCs w:val="20"/>
                <w:color w:val="auto"/>
              </w:rPr>
            </w:pPr>
            <w:r>
              <w:rPr>
                <w:rFonts w:ascii="Arial" w:cs="Arial" w:eastAsia="Arial" w:hAnsi="Arial"/>
                <w:sz w:val="18"/>
                <w:szCs w:val="18"/>
                <w:color w:val="auto"/>
                <w:w w:val="89"/>
              </w:rPr>
              <w:t>$85,666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$591,983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ind w:lef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68,813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center"/>
              <w:ind w:left="16"/>
              <w:spacing w:after="0"/>
              <w:rPr>
                <w:sz w:val="20"/>
                <w:szCs w:val="20"/>
                <w:color w:val="auto"/>
              </w:rPr>
            </w:pPr>
            <w:r>
              <w:rPr>
                <w:rFonts w:ascii="Arial" w:cs="Arial" w:eastAsia="Arial" w:hAnsi="Arial"/>
                <w:sz w:val="18"/>
                <w:szCs w:val="18"/>
                <w:color w:val="auto"/>
                <w:w w:val="99"/>
              </w:rPr>
              <w:t>—</w:t>
            </w:r>
          </w:p>
        </w:tc>
        <w:tc>
          <w:tcPr>
            <w:tcW w:w="220" w:type="dxa"/>
            <w:vAlign w:val="bottom"/>
            <w:gridSpan w:val="3"/>
          </w:tcPr>
          <w:p>
            <w:pPr>
              <w:spacing w:after="0"/>
              <w:rPr>
                <w:sz w:val="19"/>
                <w:szCs w:val="19"/>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(11,219)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at July 3, 2005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$ 80,651</w:t>
            </w:r>
          </w:p>
        </w:tc>
        <w:tc>
          <w:tcPr>
            <w:tcW w:w="300" w:type="dxa"/>
            <w:vAlign w:val="bottom"/>
            <w:gridSpan w:val="3"/>
          </w:tcPr>
          <w:p>
            <w:pPr>
              <w:ind w:left="220"/>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ind w:left="120"/>
              <w:spacing w:after="0"/>
              <w:rPr>
                <w:sz w:val="20"/>
                <w:szCs w:val="20"/>
                <w:color w:val="auto"/>
              </w:rPr>
            </w:pPr>
            <w:r>
              <w:rPr>
                <w:rFonts w:ascii="Arial" w:cs="Arial" w:eastAsia="Arial" w:hAnsi="Arial"/>
                <w:sz w:val="18"/>
                <w:szCs w:val="18"/>
                <w:color w:val="auto"/>
              </w:rPr>
              <w:t>203,165</w:t>
            </w:r>
          </w:p>
        </w:tc>
        <w:tc>
          <w:tcPr>
            <w:tcW w:w="620" w:type="dxa"/>
            <w:vAlign w:val="bottom"/>
            <w:gridSpan w:val="2"/>
          </w:tcPr>
          <w:p>
            <w:pPr>
              <w:spacing w:after="0"/>
              <w:rPr>
                <w:sz w:val="20"/>
                <w:szCs w:val="20"/>
                <w:color w:val="auto"/>
              </w:rPr>
            </w:pPr>
            <w:r>
              <w:rPr>
                <w:rFonts w:ascii="Arial" w:cs="Arial" w:eastAsia="Arial" w:hAnsi="Arial"/>
                <w:sz w:val="18"/>
                <w:szCs w:val="18"/>
                <w:color w:val="auto"/>
                <w:w w:val="82"/>
              </w:rPr>
              <w:t>$ 69,556</w:t>
            </w:r>
          </w:p>
        </w:tc>
        <w:tc>
          <w:tcPr>
            <w:tcW w:w="800" w:type="dxa"/>
            <w:vAlign w:val="bottom"/>
            <w:gridSpan w:val="3"/>
          </w:tcPr>
          <w:p>
            <w:pPr>
              <w:jc w:val="center"/>
              <w:ind w:lef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85,666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649,577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2"/>
              </w:rPr>
              <w:t>Newspaper</w:t>
            </w:r>
          </w:p>
        </w:tc>
        <w:tc>
          <w:tcPr>
            <w:tcW w:w="80" w:type="dxa"/>
            <w:vAlign w:val="bottom"/>
          </w:tcPr>
          <w:p>
            <w:pPr>
              <w:spacing w:after="0"/>
              <w:rPr>
                <w:sz w:val="24"/>
                <w:szCs w:val="24"/>
                <w:color w:val="auto"/>
              </w:rPr>
            </w:pPr>
          </w:p>
        </w:tc>
        <w:tc>
          <w:tcPr>
            <w:tcW w:w="11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4"/>
              </w:rPr>
              <w:t>Television</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1"/>
              </w:rPr>
              <w:t>Magazine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Cable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Indefinite-Lived Intangible Assets, net</w:t>
            </w:r>
          </w:p>
        </w:tc>
        <w:tc>
          <w:tcPr>
            <w:tcW w:w="60" w:type="dxa"/>
            <w:vAlign w:val="bottom"/>
          </w:tcPr>
          <w:p>
            <w:pPr>
              <w:spacing w:after="0"/>
              <w:rPr>
                <w:sz w:val="14"/>
                <w:szCs w:val="14"/>
                <w:color w:val="auto"/>
              </w:rPr>
            </w:pPr>
          </w:p>
        </w:tc>
        <w:tc>
          <w:tcPr>
            <w:tcW w:w="8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4"/>
                <w:szCs w:val="14"/>
                <w:color w:val="auto"/>
              </w:rPr>
            </w:pPr>
          </w:p>
        </w:tc>
        <w:tc>
          <w:tcPr>
            <w:tcW w:w="11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4"/>
              </w:rPr>
              <w:t>Broadcasting</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0"/>
              </w:rPr>
              <w:t>Publishing</w:t>
            </w:r>
          </w:p>
        </w:tc>
        <w:tc>
          <w:tcPr>
            <w:tcW w:w="280" w:type="dxa"/>
            <w:vAlign w:val="bottom"/>
          </w:tcPr>
          <w:p>
            <w:pPr>
              <w:spacing w:after="0"/>
              <w:rPr>
                <w:sz w:val="14"/>
                <w:szCs w:val="14"/>
                <w:color w:val="auto"/>
              </w:rPr>
            </w:pPr>
          </w:p>
        </w:tc>
        <w:tc>
          <w:tcPr>
            <w:tcW w:w="7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4"/>
              </w:rPr>
              <w:t>Television</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5"/>
              </w:rPr>
              <w:t>Education</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center"/>
              <w:ind w:left="192"/>
              <w:spacing w:after="0"/>
              <w:rPr>
                <w:sz w:val="20"/>
                <w:szCs w:val="20"/>
                <w:color w:val="auto"/>
              </w:rPr>
            </w:pPr>
            <w:r>
              <w:rPr>
                <w:rFonts w:ascii="Arial" w:cs="Arial" w:eastAsia="Arial" w:hAnsi="Arial"/>
                <w:sz w:val="18"/>
                <w:szCs w:val="18"/>
                <w:color w:val="auto"/>
                <w:w w:val="87"/>
              </w:rPr>
              <w:t>$486,330</w:t>
            </w:r>
          </w:p>
        </w:tc>
        <w:tc>
          <w:tcPr>
            <w:tcW w:w="8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6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Balance at July 3, 2005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center"/>
              <w:ind w:left="19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486,330</w:t>
            </w:r>
          </w:p>
        </w:tc>
        <w:tc>
          <w:tcPr>
            <w:tcW w:w="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940" w:type="dxa"/>
            <w:vAlign w:val="bottom"/>
            <w:gridSpan w:val="7"/>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11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2"/>
              </w:rPr>
              <w:t>Magazine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Cable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20" w:type="dxa"/>
            <w:vAlign w:val="bottom"/>
            <w:vMerge w:val="restart"/>
          </w:tcPr>
          <w:p>
            <w:pPr>
              <w:spacing w:after="0"/>
              <w:rPr>
                <w:sz w:val="20"/>
                <w:szCs w:val="20"/>
                <w:color w:val="auto"/>
              </w:rPr>
            </w:pPr>
            <w:r>
              <w:rPr>
                <w:rFonts w:ascii="Arial" w:cs="Arial" w:eastAsia="Arial" w:hAnsi="Arial"/>
                <w:sz w:val="18"/>
                <w:szCs w:val="18"/>
                <w:color w:val="auto"/>
              </w:rPr>
              <w:t>Amortized intangible assets, net</w:t>
            </w:r>
          </w:p>
        </w:tc>
        <w:tc>
          <w:tcPr>
            <w:tcW w:w="9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3"/>
              </w:rPr>
              <w:t>Publishing</w:t>
            </w:r>
          </w:p>
        </w:tc>
        <w:tc>
          <w:tcPr>
            <w:tcW w:w="80" w:type="dxa"/>
            <w:vAlign w:val="bottom"/>
          </w:tcPr>
          <w:p>
            <w:pPr>
              <w:spacing w:after="0"/>
              <w:rPr>
                <w:sz w:val="14"/>
                <w:szCs w:val="14"/>
                <w:color w:val="auto"/>
              </w:rPr>
            </w:pPr>
          </w:p>
        </w:tc>
        <w:tc>
          <w:tcPr>
            <w:tcW w:w="11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4"/>
              </w:rPr>
              <w:t>Broadcasting</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0"/>
              </w:rPr>
              <w:t>Publishing</w:t>
            </w:r>
          </w:p>
        </w:tc>
        <w:tc>
          <w:tcPr>
            <w:tcW w:w="280" w:type="dxa"/>
            <w:vAlign w:val="bottom"/>
          </w:tcPr>
          <w:p>
            <w:pPr>
              <w:spacing w:after="0"/>
              <w:rPr>
                <w:sz w:val="14"/>
                <w:szCs w:val="14"/>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660" w:type="dxa"/>
            <w:vAlign w:val="bottom"/>
            <w:gridSpan w:val="6"/>
          </w:tcPr>
          <w:p>
            <w:pPr>
              <w:spacing w:after="0"/>
              <w:rPr>
                <w:sz w:val="20"/>
                <w:szCs w:val="20"/>
                <w:color w:val="auto"/>
              </w:rPr>
            </w:pPr>
            <w:r>
              <w:rPr>
                <w:rFonts w:ascii="Arial" w:cs="Arial" w:eastAsia="Arial" w:hAnsi="Arial"/>
                <w:sz w:val="14"/>
                <w:szCs w:val="14"/>
                <w:b w:val="1"/>
                <w:bCs w:val="1"/>
                <w:color w:val="auto"/>
                <w:w w:val="94"/>
              </w:rPr>
              <w:t>Education</w:t>
            </w: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2,474</w:t>
            </w:r>
          </w:p>
        </w:tc>
        <w:tc>
          <w:tcPr>
            <w:tcW w:w="80" w:type="dxa"/>
            <w:vAlign w:val="bottom"/>
          </w:tcPr>
          <w:p>
            <w:pPr>
              <w:spacing w:after="0"/>
              <w:rPr>
                <w:sz w:val="18"/>
                <w:szCs w:val="18"/>
                <w:color w:val="auto"/>
              </w:rPr>
            </w:pP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5,287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Acquisitions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7,677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7,049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5820" w:type="dxa"/>
            <w:vAlign w:val="bottom"/>
          </w:tcPr>
          <w:p>
            <w:pPr>
              <w:ind w:left="44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(2,129)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at July 3, 2005</w:t>
            </w:r>
          </w:p>
        </w:tc>
        <w:tc>
          <w:tcPr>
            <w:tcW w:w="160" w:type="dxa"/>
            <w:vAlign w:val="bottom"/>
            <w:gridSpan w:val="2"/>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60" w:type="dxa"/>
            <w:vAlign w:val="bottom"/>
            <w:gridSpan w:val="3"/>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2,065</w:t>
            </w:r>
          </w:p>
        </w:tc>
        <w:tc>
          <w:tcPr>
            <w:tcW w:w="80" w:type="dxa"/>
            <w:vAlign w:val="bottom"/>
          </w:tcPr>
          <w:p>
            <w:pPr>
              <w:spacing w:after="0"/>
              <w:rPr>
                <w:sz w:val="19"/>
                <w:szCs w:val="19"/>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$ 10,037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-2854960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-2580640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-2289175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Note 6: Stock Options and Stock Awards.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SFAS 123R.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0</wp:posOffset>
            </wp:positionV>
            <wp:extent cx="428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2" w:lineRule="exact"/>
        <w:rPr>
          <w:sz w:val="20"/>
          <w:szCs w:val="20"/>
          <w:color w:val="auto"/>
        </w:rPr>
      </w:pPr>
    </w:p>
    <w:p>
      <w:pPr>
        <w:ind w:left="280" w:hanging="95"/>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494,692</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6985</wp:posOffset>
            </wp:positionV>
            <wp:extent cx="428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$494,692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428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0</wp:posOffset>
            </wp:positionV>
            <wp:extent cx="3689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2" w:lineRule="exact"/>
        <w:rPr>
          <w:sz w:val="20"/>
          <w:szCs w:val="20"/>
          <w:color w:val="auto"/>
        </w:rPr>
      </w:pPr>
    </w:p>
    <w:p>
      <w:pPr>
        <w:jc w:val="right"/>
        <w:ind w:left="520" w:right="60" w:hanging="317"/>
        <w:spacing w:after="0" w:line="284" w:lineRule="auto"/>
        <w:rPr>
          <w:sz w:val="20"/>
          <w:szCs w:val="20"/>
          <w:color w:val="auto"/>
        </w:rPr>
      </w:pPr>
      <w:r>
        <w:rPr>
          <w:rFonts w:ascii="Arial" w:cs="Arial" w:eastAsia="Arial" w:hAnsi="Arial"/>
          <w:sz w:val="16"/>
          <w:szCs w:val="16"/>
          <w:color w:val="auto"/>
        </w:rPr>
        <w:t>$22,814 591 184</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21590</wp:posOffset>
            </wp:positionV>
            <wp:extent cx="368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$20,822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42545</wp:posOffset>
            </wp:positionV>
            <wp:extent cx="368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06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2" w:lineRule="exact"/>
        <w:rPr>
          <w:sz w:val="20"/>
          <w:szCs w:val="20"/>
          <w:color w:val="auto"/>
        </w:rPr>
      </w:pPr>
    </w:p>
    <w:p>
      <w:pPr>
        <w:jc w:val="both"/>
        <w:ind w:left="260" w:hanging="261"/>
        <w:spacing w:after="0" w:line="293" w:lineRule="auto"/>
        <w:rPr>
          <w:sz w:val="20"/>
          <w:szCs w:val="20"/>
          <w:color w:val="auto"/>
        </w:rPr>
      </w:pPr>
      <w:r>
        <w:rPr>
          <w:rFonts w:ascii="Arial" w:cs="Arial" w:eastAsia="Arial" w:hAnsi="Arial"/>
          <w:sz w:val="16"/>
          <w:szCs w:val="16"/>
          <w:color w:val="auto"/>
        </w:rPr>
        <w:t>$1,023,140 76,694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060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$1,088,615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506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0</wp:posOffset>
            </wp:positionV>
            <wp:extent cx="428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2" w:lineRule="exact"/>
        <w:rPr>
          <w:sz w:val="20"/>
          <w:szCs w:val="20"/>
          <w:color w:val="auto"/>
        </w:rPr>
      </w:pPr>
    </w:p>
    <w:p>
      <w:pPr>
        <w:ind w:left="280" w:hanging="95"/>
        <w:spacing w:after="0"/>
        <w:tabs>
          <w:tab w:leader="none" w:pos="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493,192</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6985</wp:posOffset>
            </wp:positionV>
            <wp:extent cx="4286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$493,192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27940</wp:posOffset>
            </wp:positionV>
            <wp:extent cx="4286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0</wp:posOffset>
            </wp:positionV>
            <wp:extent cx="3689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2" w:lineRule="exact"/>
        <w:rPr>
          <w:sz w:val="20"/>
          <w:szCs w:val="20"/>
          <w:color w:val="auto"/>
        </w:rPr>
      </w:pPr>
    </w:p>
    <w:p>
      <w:pPr>
        <w:ind w:left="400" w:hanging="188"/>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7,879</w:t>
      </w:r>
    </w:p>
    <w:p>
      <w:pPr>
        <w:spacing w:after="0" w:line="15"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14,726</w:t>
      </w:r>
    </w:p>
    <w:p>
      <w:pPr>
        <w:spacing w:after="0" w:line="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6"/>
          <w:szCs w:val="16"/>
          <w:color w:val="auto"/>
        </w:rPr>
        <w:t>(170)</w:t>
      </w:r>
    </w:p>
    <w:p>
      <w:pPr>
        <w:spacing w:after="0" w:line="3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(3,073)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21590</wp:posOffset>
            </wp:positionV>
            <wp:extent cx="368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$19,362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42545</wp:posOffset>
            </wp:positionV>
            <wp:extent cx="3689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923" w:lineRule="exact"/>
        <w:rPr>
          <w:sz w:val="20"/>
          <w:szCs w:val="20"/>
          <w:color w:val="auto"/>
        </w:rPr>
      </w:pPr>
    </w:p>
    <w:p>
      <w:pPr>
        <w:sectPr>
          <w:pgSz w:w="11900" w:h="16838" w:orient="portrait"/>
          <w:cols w:equalWidth="0" w:num="2">
            <w:col w:w="10460" w:space="100"/>
            <w:col w:w="860"/>
          </w:cols>
          <w:pgMar w:left="240" w:top="459" w:right="239" w:bottom="1440" w:gutter="0" w:footer="0" w:header="0"/>
          <w:type w:val="continuous"/>
        </w:sectPr>
      </w:pPr>
    </w:p>
    <w:p>
      <w:pPr>
        <w:ind w:right="240"/>
        <w:spacing w:after="0" w:line="298" w:lineRule="auto"/>
        <w:rPr>
          <w:sz w:val="20"/>
          <w:szCs w:val="20"/>
          <w:color w:val="auto"/>
        </w:rPr>
      </w:pPr>
      <w:r>
        <w:rPr>
          <w:rFonts w:ascii="Arial" w:cs="Arial" w:eastAsia="Arial" w:hAnsi="Arial"/>
          <w:sz w:val="16"/>
          <w:szCs w:val="16"/>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equity awards from the intrinsic value method to the fair-value-based method of accounting. This change in accounting results in the acceleration of expense recognition for Kaplan equity awards. As a result, in the first quarter of 2006, the Company reported a $5.1 million after-tax charge for the cumulative effect of change in accounting for Kaplan equity awards ($8.2 million in pre-tax Kaplan stock compensation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employee stock option plan reserves shares of the Company’s Class B common stock for options to be granted under the plan. The purchase price of the shares covered by an option cannot be less than the fair value on the granting date. Options generally vest over 4 years and have a maximum term of 10 years. At July 2, 2006, there were 400,525 shares reserved for issuance under the stock option plan, of which 104,900 shares were subject to options outstanding, and 295,625 shares were available for future grants.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options outstanding for the six months ended July 2,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4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113,325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$572.36</w:t>
            </w: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485.27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798.64</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July 2, 2006</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659.17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July 2, 2006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92,806</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810.70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3"/>
            <w:vMerge w:val="restart"/>
          </w:tcPr>
          <w:p>
            <w:pPr>
              <w:spacing w:after="0"/>
              <w:rPr>
                <w:sz w:val="20"/>
                <w:szCs w:val="20"/>
                <w:color w:val="auto"/>
              </w:rPr>
            </w:pPr>
            <w:r>
              <w:rPr>
                <w:rFonts w:ascii="Arial" w:cs="Arial" w:eastAsia="Arial" w:hAnsi="Arial"/>
                <w:sz w:val="18"/>
                <w:szCs w:val="18"/>
                <w:color w:val="auto"/>
              </w:rPr>
              <w:t>Nonvested options at July 2, 2006</w:t>
            </w: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8.3</w:t>
            </w: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line="20" w:lineRule="exact"/>
              <w:rPr>
                <w:sz w:val="1"/>
                <w:szCs w:val="1"/>
                <w:color w:val="auto"/>
              </w:rPr>
            </w:pPr>
          </w:p>
        </w:tc>
      </w:tr>
      <w:tr>
        <w:trPr>
          <w:trHeight w:val="209"/>
        </w:trPr>
        <w:tc>
          <w:tcPr>
            <w:tcW w:w="736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12,094</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810.80</w:t>
            </w:r>
          </w:p>
        </w:tc>
        <w:tc>
          <w:tcPr>
            <w:tcW w:w="112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400" w:hanging="212"/>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market value of the underlying stock exceeds the exercise price of the option. The market value of the Company’s stock was $780.01 at July 2, 2006.</w:t>
      </w:r>
    </w:p>
    <w:p>
      <w:pPr>
        <w:spacing w:after="0" w:line="132"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Company recorded expense of $0.3 million during the second quarter of 2006 and 2005, with a related income tax benefit of $0.1 million in each quarter, related to this plan. The Company recorded expense of $0.6 million and $0.5 million during the first six months of 2006 and 2005, respectively, with a related income tax benefit of $0.2 million in each year.</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July 2, 2006, total unrecognized stock-based compensation expense related to stock options was $2.1 million, which is expected to be recognized over a weighted-average period of approximately 1.7 years. The total intrinsic value of options exercised during the second quarter of 2006 and first six months of 2006 was $2.2 million and $2.4 million, respectively.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related to stock options outstanding at July 2,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Range of</w:t>
            </w:r>
          </w:p>
        </w:tc>
        <w:tc>
          <w:tcPr>
            <w:tcW w:w="1080" w:type="dxa"/>
            <w:vAlign w:val="bottom"/>
          </w:tcPr>
          <w:p>
            <w:pPr>
              <w:spacing w:after="0"/>
              <w:rPr>
                <w:sz w:val="14"/>
                <w:szCs w:val="14"/>
                <w:color w:val="auto"/>
              </w:rPr>
            </w:pPr>
          </w:p>
        </w:tc>
        <w:tc>
          <w:tcPr>
            <w:tcW w:w="18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1100" w:type="dxa"/>
            <w:vAlign w:val="bottom"/>
          </w:tcPr>
          <w:p>
            <w:pPr>
              <w:spacing w:after="0"/>
              <w:rPr>
                <w:sz w:val="14"/>
                <w:szCs w:val="14"/>
                <w:color w:val="auto"/>
              </w:rPr>
            </w:pPr>
          </w:p>
        </w:tc>
        <w:tc>
          <w:tcPr>
            <w:tcW w:w="16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5"/>
              </w:rPr>
              <w:t>Weighted</w:t>
            </w: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35"/>
        </w:trPr>
        <w:tc>
          <w:tcPr>
            <w:tcW w:w="234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Remaining</w:t>
            </w:r>
          </w:p>
        </w:tc>
        <w:tc>
          <w:tcPr>
            <w:tcW w:w="1100" w:type="dxa"/>
            <w:vAlign w:val="bottom"/>
          </w:tcPr>
          <w:p>
            <w:pPr>
              <w:spacing w:after="0"/>
              <w:rPr>
                <w:sz w:val="11"/>
                <w:szCs w:val="11"/>
                <w:color w:val="auto"/>
              </w:rPr>
            </w:pPr>
          </w:p>
        </w:tc>
        <w:tc>
          <w:tcPr>
            <w:tcW w:w="1680" w:type="dxa"/>
            <w:vAlign w:val="bottom"/>
            <w:gridSpan w:val="2"/>
          </w:tcPr>
          <w:p>
            <w:pPr>
              <w:jc w:val="center"/>
              <w:ind w:right="1100"/>
              <w:spacing w:after="0" w:line="135" w:lineRule="exact"/>
              <w:rPr>
                <w:sz w:val="20"/>
                <w:szCs w:val="20"/>
                <w:color w:val="auto"/>
              </w:rPr>
            </w:pPr>
            <w:r>
              <w:rPr>
                <w:rFonts w:ascii="Arial" w:cs="Arial" w:eastAsia="Arial" w:hAnsi="Arial"/>
                <w:sz w:val="14"/>
                <w:szCs w:val="14"/>
                <w:b w:val="1"/>
                <w:bCs w:val="1"/>
                <w:color w:val="auto"/>
                <w:w w:val="83"/>
              </w:rPr>
              <w:t>Average</w:t>
            </w:r>
          </w:p>
        </w:tc>
        <w:tc>
          <w:tcPr>
            <w:tcW w:w="12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080" w:type="dxa"/>
            <w:vAlign w:val="bottom"/>
          </w:tcPr>
          <w:p>
            <w:pPr>
              <w:spacing w:after="0"/>
              <w:rPr>
                <w:sz w:val="12"/>
                <w:szCs w:val="12"/>
                <w:color w:val="auto"/>
              </w:rPr>
            </w:pPr>
          </w:p>
        </w:tc>
        <w:tc>
          <w:tcPr>
            <w:tcW w:w="18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90"/>
              </w:rPr>
              <w:t>at July 2,</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100" w:type="dxa"/>
            <w:vAlign w:val="bottom"/>
          </w:tcPr>
          <w:p>
            <w:pPr>
              <w:spacing w:after="0"/>
              <w:rPr>
                <w:sz w:val="12"/>
                <w:szCs w:val="12"/>
                <w:color w:val="auto"/>
              </w:rPr>
            </w:pPr>
          </w:p>
        </w:tc>
        <w:tc>
          <w:tcPr>
            <w:tcW w:w="16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at July 2,</w:t>
            </w:r>
          </w:p>
        </w:tc>
        <w:tc>
          <w:tcPr>
            <w:tcW w:w="54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Prices</w:t>
            </w:r>
          </w:p>
        </w:tc>
        <w:tc>
          <w:tcPr>
            <w:tcW w:w="10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0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1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rPr>
              <w:t>$344</w:t>
            </w:r>
          </w:p>
        </w:tc>
        <w:tc>
          <w:tcPr>
            <w:tcW w:w="29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1,500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7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$343.94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87"/>
              </w:rPr>
              <w:t>472-480</w:t>
            </w:r>
          </w:p>
        </w:tc>
        <w:tc>
          <w:tcPr>
            <w:tcW w:w="2900" w:type="dxa"/>
            <w:vAlign w:val="bottom"/>
            <w:gridSpan w:val="3"/>
          </w:tcPr>
          <w:p>
            <w:pPr>
              <w:jc w:val="right"/>
              <w:ind w:right="1080"/>
              <w:spacing w:after="0"/>
              <w:rPr>
                <w:sz w:val="20"/>
                <w:szCs w:val="20"/>
                <w:color w:val="auto"/>
              </w:rPr>
            </w:pPr>
            <w:r>
              <w:rPr>
                <w:rFonts w:ascii="Arial" w:cs="Arial" w:eastAsia="Arial" w:hAnsi="Arial"/>
                <w:sz w:val="18"/>
                <w:szCs w:val="18"/>
                <w:color w:val="auto"/>
              </w:rPr>
              <w:t>10,475</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780" w:type="dxa"/>
            <w:vAlign w:val="bottom"/>
            <w:gridSpan w:val="3"/>
          </w:tcPr>
          <w:p>
            <w:pPr>
              <w:jc w:val="right"/>
              <w:ind w:right="1100"/>
              <w:spacing w:after="0"/>
              <w:rPr>
                <w:sz w:val="20"/>
                <w:szCs w:val="20"/>
                <w:color w:val="auto"/>
              </w:rPr>
            </w:pPr>
            <w:r>
              <w:rPr>
                <w:rFonts w:ascii="Arial" w:cs="Arial" w:eastAsia="Arial" w:hAnsi="Arial"/>
                <w:sz w:val="18"/>
                <w:szCs w:val="18"/>
                <w:color w:val="auto"/>
              </w:rPr>
              <w:t>473.15</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10,475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503-586</w:t>
            </w:r>
          </w:p>
        </w:tc>
        <w:tc>
          <w:tcPr>
            <w:tcW w:w="29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70,550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7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530.47</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70,550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right"/>
              <w:ind w:right="798"/>
              <w:spacing w:after="0"/>
              <w:rPr>
                <w:sz w:val="20"/>
                <w:szCs w:val="20"/>
                <w:color w:val="auto"/>
              </w:rPr>
            </w:pPr>
            <w:r>
              <w:rPr>
                <w:rFonts w:ascii="Arial" w:cs="Arial" w:eastAsia="Arial" w:hAnsi="Arial"/>
                <w:sz w:val="18"/>
                <w:szCs w:val="18"/>
                <w:color w:val="auto"/>
              </w:rPr>
              <w:t>693</w:t>
            </w:r>
          </w:p>
        </w:tc>
        <w:tc>
          <w:tcPr>
            <w:tcW w:w="2900" w:type="dxa"/>
            <w:vAlign w:val="bottom"/>
            <w:gridSpan w:val="3"/>
          </w:tcPr>
          <w:p>
            <w:pPr>
              <w:jc w:val="right"/>
              <w:ind w:right="1080"/>
              <w:spacing w:after="0"/>
              <w:rPr>
                <w:sz w:val="20"/>
                <w:szCs w:val="20"/>
                <w:color w:val="auto"/>
              </w:rPr>
            </w:pPr>
            <w:r>
              <w:rPr>
                <w:rFonts w:ascii="Arial" w:cs="Arial" w:eastAsia="Arial" w:hAnsi="Arial"/>
                <w:sz w:val="18"/>
                <w:szCs w:val="18"/>
                <w:color w:val="auto"/>
              </w:rPr>
              <w:t>500</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2780" w:type="dxa"/>
            <w:vAlign w:val="bottom"/>
            <w:gridSpan w:val="3"/>
          </w:tcPr>
          <w:p>
            <w:pPr>
              <w:jc w:val="right"/>
              <w:ind w:right="1100"/>
              <w:spacing w:after="0"/>
              <w:rPr>
                <w:sz w:val="20"/>
                <w:szCs w:val="20"/>
                <w:color w:val="auto"/>
              </w:rPr>
            </w:pPr>
            <w:r>
              <w:rPr>
                <w:rFonts w:ascii="Arial" w:cs="Arial" w:eastAsia="Arial" w:hAnsi="Arial"/>
                <w:sz w:val="18"/>
                <w:szCs w:val="18"/>
                <w:color w:val="auto"/>
              </w:rPr>
              <w:t>692.51</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729-763</w:t>
            </w:r>
          </w:p>
        </w:tc>
        <w:tc>
          <w:tcPr>
            <w:tcW w:w="29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13,875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7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739.86</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right"/>
              <w:ind w:right="798"/>
              <w:spacing w:after="0"/>
              <w:rPr>
                <w:sz w:val="20"/>
                <w:szCs w:val="20"/>
                <w:color w:val="auto"/>
              </w:rPr>
            </w:pPr>
            <w:r>
              <w:rPr>
                <w:rFonts w:ascii="Arial" w:cs="Arial" w:eastAsia="Arial" w:hAnsi="Arial"/>
                <w:sz w:val="18"/>
                <w:szCs w:val="18"/>
                <w:color w:val="auto"/>
              </w:rPr>
              <w:t>816</w:t>
            </w:r>
          </w:p>
        </w:tc>
        <w:tc>
          <w:tcPr>
            <w:tcW w:w="2900" w:type="dxa"/>
            <w:vAlign w:val="bottom"/>
            <w:gridSpan w:val="3"/>
          </w:tcPr>
          <w:p>
            <w:pPr>
              <w:jc w:val="right"/>
              <w:ind w:right="1080"/>
              <w:spacing w:after="0"/>
              <w:rPr>
                <w:sz w:val="20"/>
                <w:szCs w:val="20"/>
                <w:color w:val="auto"/>
              </w:rPr>
            </w:pPr>
            <w:r>
              <w:rPr>
                <w:rFonts w:ascii="Arial" w:cs="Arial" w:eastAsia="Arial" w:hAnsi="Arial"/>
                <w:sz w:val="18"/>
                <w:szCs w:val="18"/>
                <w:color w:val="auto"/>
              </w:rPr>
              <w:t>4,000</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2780" w:type="dxa"/>
            <w:vAlign w:val="bottom"/>
            <w:gridSpan w:val="3"/>
          </w:tcPr>
          <w:p>
            <w:pPr>
              <w:jc w:val="right"/>
              <w:ind w:right="1100"/>
              <w:spacing w:after="0"/>
              <w:rPr>
                <w:sz w:val="20"/>
                <w:szCs w:val="20"/>
                <w:color w:val="auto"/>
              </w:rPr>
            </w:pPr>
            <w:r>
              <w:rPr>
                <w:rFonts w:ascii="Arial" w:cs="Arial" w:eastAsia="Arial" w:hAnsi="Arial"/>
                <w:sz w:val="18"/>
                <w:szCs w:val="18"/>
                <w:color w:val="auto"/>
              </w:rPr>
              <w:t>816.05</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rPr>
              <w:t>954</w:t>
            </w:r>
          </w:p>
        </w:tc>
        <w:tc>
          <w:tcPr>
            <w:tcW w:w="290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4,000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7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953.50</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419"/>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options were granted at an exercise price equal to or greater than the fair market value of the Company’s common stock at the date of grant. No stock option awards were granted during the first six months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Equity Awards.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fair value of Kaplan’s common stock is determined by the Company’s compensation committee of the Board of Directors. In January 2006, the committee set the fair value price at $1,833 per share. Option holders have a 30-day window in which they may exercise at this price, after which time the compensation committee has the right to determine a new price in the event of an exercise.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Changes in Kaplan stock options outstanding for the six months ended July 2,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4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62,229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29,785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1,833.00</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(18,662)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July 2,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73,352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1,480.11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28,499*</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Options exercisable at July 2, 2006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3"/>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25,517</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965.48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23,298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1,623.12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Nonvested options at July 2, 2006</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5.8</w:t>
            </w: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line="20" w:lineRule="exact"/>
              <w:rPr>
                <w:sz w:val="1"/>
                <w:szCs w:val="1"/>
                <w:color w:val="auto"/>
              </w:rPr>
            </w:pPr>
          </w:p>
        </w:tc>
      </w:tr>
      <w:tr>
        <w:trPr>
          <w:trHeight w:val="209"/>
        </w:trPr>
        <w:tc>
          <w:tcPr>
            <w:tcW w:w="7240" w:type="dxa"/>
            <w:vAlign w:val="bottom"/>
            <w:gridSpan w:val="3"/>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47,835</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1,754.64</w:t>
            </w:r>
          </w:p>
        </w:tc>
        <w:tc>
          <w:tcPr>
            <w:tcW w:w="1120" w:type="dxa"/>
            <w:vAlign w:val="bottom"/>
            <w:gridSpan w:val="2"/>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20" w:right="440" w:hanging="212"/>
        <w:spacing w:after="0" w:line="268"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estimated fair value of the underlying stock exceeds the exercise price of the option. The estimated fair value of the Company’s stock was $1,833 at July 2, 2006.</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2005, the compensation committee awarded to a senior manager Kaplan shares or share equivalents equal in value to $4.8 million, with the number of shares or share equivalents determined by the January 2006 valuation. In June 2006, based on the $1,833 per share value, 2,619 shares or share equivalents were issued. The expense of this award has been reflected in the 2005 results of operations.</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Kaplan recorded stock compensation expense of $3.4 million in the second quarter of 2006, compared to $3.0 million in the second quarter of 2005. Excluding Kaplan stock compensation expense of $8.2 million recorded as a result of the change in accounting under SFAS 123R, Kaplan recorded stock compensation expense of $5.3 million for the six months ended July 2, 2006, compared to $10.0 million for the six months ended July 3, 2005. At July 2, 2006, the Company’s accrual balance related to Kaplan stock-based compensation totaled $47.3 million.</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July 2, 2006, total unrecognized stock-based compensation expense related to stock options was $29.9 million, which is expected to be recognized over a weighted-average period of approximately 3.85 years. The total intrinsic value of options exercised during the second quarter and first six months of 2006 was $4.4 million and $29.4 million, respectively. A tax benefit from these stock option exercises of $1.7 million and $11.3 million was realized during the second quarter and first six months of 2006,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related to stock options outstanding at July 2, 2006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Range of</w:t>
            </w:r>
          </w:p>
        </w:tc>
        <w:tc>
          <w:tcPr>
            <w:tcW w:w="1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2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auto"/>
                <w:w w:val="85"/>
              </w:rPr>
              <w:t>Weighted Average</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2700" w:type="dxa"/>
            <w:vAlign w:val="bottom"/>
            <w:gridSpan w:val="2"/>
          </w:tcPr>
          <w:p>
            <w:pPr>
              <w:jc w:val="center"/>
              <w:ind w:right="1820"/>
              <w:spacing w:after="0" w:line="135" w:lineRule="exact"/>
              <w:rPr>
                <w:sz w:val="20"/>
                <w:szCs w:val="20"/>
                <w:color w:val="auto"/>
              </w:rPr>
            </w:pPr>
            <w:r>
              <w:rPr>
                <w:rFonts w:ascii="Arial" w:cs="Arial" w:eastAsia="Arial" w:hAnsi="Arial"/>
                <w:sz w:val="14"/>
                <w:szCs w:val="14"/>
                <w:b w:val="1"/>
                <w:bCs w:val="1"/>
                <w:color w:val="auto"/>
                <w:w w:val="90"/>
              </w:rPr>
              <w:t>Number</w:t>
            </w:r>
          </w:p>
        </w:tc>
        <w:tc>
          <w:tcPr>
            <w:tcW w:w="2920" w:type="dxa"/>
            <w:vAlign w:val="bottom"/>
            <w:gridSpan w:val="2"/>
          </w:tcPr>
          <w:p>
            <w:pPr>
              <w:jc w:val="center"/>
              <w:ind w:right="1840"/>
              <w:spacing w:after="0" w:line="135" w:lineRule="exact"/>
              <w:rPr>
                <w:sz w:val="20"/>
                <w:szCs w:val="20"/>
                <w:color w:val="auto"/>
              </w:rPr>
            </w:pPr>
            <w:r>
              <w:rPr>
                <w:rFonts w:ascii="Arial" w:cs="Arial" w:eastAsia="Arial" w:hAnsi="Arial"/>
                <w:sz w:val="14"/>
                <w:szCs w:val="14"/>
                <w:b w:val="1"/>
                <w:bCs w:val="1"/>
                <w:color w:val="auto"/>
                <w:w w:val="89"/>
              </w:rPr>
              <w:t>Remaining</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840" w:type="dxa"/>
            <w:vAlign w:val="bottom"/>
          </w:tcPr>
          <w:p>
            <w:pPr>
              <w:spacing w:after="0"/>
              <w:rPr>
                <w:sz w:val="12"/>
                <w:szCs w:val="12"/>
                <w:color w:val="auto"/>
              </w:rPr>
            </w:pPr>
          </w:p>
        </w:tc>
        <w:tc>
          <w:tcPr>
            <w:tcW w:w="2700" w:type="dxa"/>
            <w:vAlign w:val="bottom"/>
            <w:gridSpan w:val="2"/>
          </w:tcPr>
          <w:p>
            <w:pPr>
              <w:jc w:val="center"/>
              <w:ind w:right="1840"/>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2920" w:type="dxa"/>
            <w:vAlign w:val="bottom"/>
            <w:gridSpan w:val="2"/>
          </w:tcPr>
          <w:p>
            <w:pPr>
              <w:jc w:val="center"/>
              <w:ind w:right="184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Number Exercisable</w:t>
            </w:r>
          </w:p>
        </w:tc>
        <w:tc>
          <w:tcPr>
            <w:tcW w:w="0" w:type="dxa"/>
            <w:vAlign w:val="bottom"/>
          </w:tcPr>
          <w:p>
            <w:pPr>
              <w:spacing w:after="0"/>
              <w:rPr>
                <w:sz w:val="1"/>
                <w:szCs w:val="1"/>
                <w:color w:val="auto"/>
              </w:rPr>
            </w:pPr>
          </w:p>
        </w:tc>
      </w:tr>
      <w:tr>
        <w:trPr>
          <w:trHeight w:val="168"/>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Prices</w:t>
            </w:r>
          </w:p>
        </w:tc>
        <w:tc>
          <w:tcPr>
            <w:tcW w:w="18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July 2, 2006</w:t>
            </w:r>
          </w:p>
        </w:tc>
        <w:tc>
          <w:tcPr>
            <w:tcW w:w="18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860" w:type="dxa"/>
            <w:vAlign w:val="bottom"/>
          </w:tcPr>
          <w:p>
            <w:pPr>
              <w:spacing w:after="0"/>
              <w:rPr>
                <w:sz w:val="14"/>
                <w:szCs w:val="14"/>
                <w:color w:val="auto"/>
              </w:rPr>
            </w:pPr>
          </w:p>
        </w:tc>
        <w:tc>
          <w:tcPr>
            <w:tcW w:w="11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at July 2, 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$190</w:t>
            </w:r>
          </w:p>
        </w:tc>
        <w:tc>
          <w:tcPr>
            <w:tcW w:w="4540" w:type="dxa"/>
            <w:vAlign w:val="bottom"/>
            <w:gridSpan w:val="3"/>
            <w:shd w:val="clear" w:color="auto" w:fill="CCEEFF"/>
          </w:tcPr>
          <w:p>
            <w:pPr>
              <w:jc w:val="right"/>
              <w:ind w:right="1820"/>
              <w:spacing w:after="0"/>
              <w:rPr>
                <w:sz w:val="20"/>
                <w:szCs w:val="20"/>
                <w:color w:val="auto"/>
              </w:rPr>
            </w:pPr>
            <w:r>
              <w:rPr>
                <w:rFonts w:ascii="Arial" w:cs="Arial" w:eastAsia="Arial" w:hAnsi="Arial"/>
                <w:sz w:val="18"/>
                <w:szCs w:val="18"/>
                <w:color w:val="auto"/>
              </w:rPr>
              <w:t>1,750</w:t>
            </w:r>
          </w:p>
        </w:tc>
        <w:tc>
          <w:tcPr>
            <w:tcW w:w="292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1.50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6"/>
              </w:rPr>
              <w:t>375</w:t>
            </w:r>
          </w:p>
        </w:tc>
        <w:tc>
          <w:tcPr>
            <w:tcW w:w="4540" w:type="dxa"/>
            <w:vAlign w:val="bottom"/>
            <w:gridSpan w:val="3"/>
          </w:tcPr>
          <w:p>
            <w:pPr>
              <w:jc w:val="right"/>
              <w:ind w:right="1820"/>
              <w:spacing w:after="0"/>
              <w:rPr>
                <w:sz w:val="20"/>
                <w:szCs w:val="20"/>
                <w:color w:val="auto"/>
              </w:rPr>
            </w:pPr>
            <w:r>
              <w:rPr>
                <w:rFonts w:ascii="Arial" w:cs="Arial" w:eastAsia="Arial" w:hAnsi="Arial"/>
                <w:sz w:val="18"/>
                <w:szCs w:val="18"/>
                <w:color w:val="auto"/>
              </w:rPr>
              <w:t>338</w:t>
            </w:r>
          </w:p>
        </w:tc>
        <w:tc>
          <w:tcPr>
            <w:tcW w:w="2920" w:type="dxa"/>
            <w:vAlign w:val="bottom"/>
            <w:gridSpan w:val="2"/>
          </w:tcPr>
          <w:p>
            <w:pPr>
              <w:jc w:val="right"/>
              <w:ind w:right="1860"/>
              <w:spacing w:after="0"/>
              <w:rPr>
                <w:sz w:val="20"/>
                <w:szCs w:val="20"/>
                <w:color w:val="auto"/>
              </w:rPr>
            </w:pPr>
            <w:r>
              <w:rPr>
                <w:rFonts w:ascii="Arial" w:cs="Arial" w:eastAsia="Arial" w:hAnsi="Arial"/>
                <w:sz w:val="18"/>
                <w:szCs w:val="18"/>
                <w:color w:val="auto"/>
              </w:rPr>
              <w:t>4.00</w:t>
            </w: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526</w:t>
            </w:r>
          </w:p>
        </w:tc>
        <w:tc>
          <w:tcPr>
            <w:tcW w:w="4540" w:type="dxa"/>
            <w:vAlign w:val="bottom"/>
            <w:gridSpan w:val="3"/>
            <w:shd w:val="clear" w:color="auto" w:fill="CCEEFF"/>
          </w:tcPr>
          <w:p>
            <w:pPr>
              <w:jc w:val="right"/>
              <w:ind w:right="1820"/>
              <w:spacing w:after="0"/>
              <w:rPr>
                <w:sz w:val="20"/>
                <w:szCs w:val="20"/>
                <w:color w:val="auto"/>
              </w:rPr>
            </w:pPr>
            <w:r>
              <w:rPr>
                <w:rFonts w:ascii="Arial" w:cs="Arial" w:eastAsia="Arial" w:hAnsi="Arial"/>
                <w:sz w:val="18"/>
                <w:szCs w:val="18"/>
                <w:color w:val="auto"/>
              </w:rPr>
              <w:t>14,910</w:t>
            </w:r>
          </w:p>
        </w:tc>
        <w:tc>
          <w:tcPr>
            <w:tcW w:w="292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5.00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6"/>
              </w:rPr>
              <w:t>652</w:t>
            </w:r>
          </w:p>
        </w:tc>
        <w:tc>
          <w:tcPr>
            <w:tcW w:w="4540" w:type="dxa"/>
            <w:vAlign w:val="bottom"/>
            <w:gridSpan w:val="3"/>
          </w:tcPr>
          <w:p>
            <w:pPr>
              <w:jc w:val="right"/>
              <w:ind w:right="1820"/>
              <w:spacing w:after="0"/>
              <w:rPr>
                <w:sz w:val="20"/>
                <w:szCs w:val="20"/>
                <w:color w:val="auto"/>
              </w:rPr>
            </w:pPr>
            <w:r>
              <w:rPr>
                <w:rFonts w:ascii="Arial" w:cs="Arial" w:eastAsia="Arial" w:hAnsi="Arial"/>
                <w:sz w:val="18"/>
                <w:szCs w:val="18"/>
                <w:color w:val="auto"/>
              </w:rPr>
              <w:t>2,000</w:t>
            </w:r>
          </w:p>
        </w:tc>
        <w:tc>
          <w:tcPr>
            <w:tcW w:w="2920" w:type="dxa"/>
            <w:vAlign w:val="bottom"/>
            <w:gridSpan w:val="2"/>
          </w:tcPr>
          <w:p>
            <w:pPr>
              <w:jc w:val="right"/>
              <w:ind w:right="1860"/>
              <w:spacing w:after="0"/>
              <w:rPr>
                <w:sz w:val="20"/>
                <w:szCs w:val="20"/>
                <w:color w:val="auto"/>
              </w:rPr>
            </w:pPr>
            <w:r>
              <w:rPr>
                <w:rFonts w:ascii="Arial" w:cs="Arial" w:eastAsia="Arial" w:hAnsi="Arial"/>
                <w:sz w:val="18"/>
                <w:szCs w:val="18"/>
                <w:color w:val="auto"/>
              </w:rPr>
              <w:t>5.50</w:t>
            </w:r>
          </w:p>
        </w:tc>
        <w:tc>
          <w:tcPr>
            <w:tcW w:w="118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861</w:t>
            </w:r>
          </w:p>
        </w:tc>
        <w:tc>
          <w:tcPr>
            <w:tcW w:w="4540" w:type="dxa"/>
            <w:vAlign w:val="bottom"/>
            <w:gridSpan w:val="3"/>
            <w:shd w:val="clear" w:color="auto" w:fill="CCEEFF"/>
          </w:tcPr>
          <w:p>
            <w:pPr>
              <w:jc w:val="right"/>
              <w:ind w:right="1820"/>
              <w:spacing w:after="0"/>
              <w:rPr>
                <w:sz w:val="20"/>
                <w:szCs w:val="20"/>
                <w:color w:val="auto"/>
              </w:rPr>
            </w:pPr>
            <w:r>
              <w:rPr>
                <w:rFonts w:ascii="Arial" w:cs="Arial" w:eastAsia="Arial" w:hAnsi="Arial"/>
                <w:sz w:val="18"/>
                <w:szCs w:val="18"/>
                <w:color w:val="auto"/>
              </w:rPr>
              <w:t>487</w:t>
            </w:r>
          </w:p>
        </w:tc>
        <w:tc>
          <w:tcPr>
            <w:tcW w:w="292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5.50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center"/>
              <w:spacing w:after="0"/>
              <w:rPr>
                <w:sz w:val="20"/>
                <w:szCs w:val="20"/>
                <w:color w:val="auto"/>
              </w:rPr>
            </w:pPr>
            <w:r>
              <w:rPr>
                <w:rFonts w:ascii="Arial" w:cs="Arial" w:eastAsia="Arial" w:hAnsi="Arial"/>
                <w:sz w:val="18"/>
                <w:szCs w:val="18"/>
                <w:color w:val="auto"/>
                <w:w w:val="84"/>
              </w:rPr>
              <w:t>1,625</w:t>
            </w:r>
          </w:p>
        </w:tc>
        <w:tc>
          <w:tcPr>
            <w:tcW w:w="4540" w:type="dxa"/>
            <w:vAlign w:val="bottom"/>
            <w:gridSpan w:val="3"/>
          </w:tcPr>
          <w:p>
            <w:pPr>
              <w:jc w:val="right"/>
              <w:ind w:right="1820"/>
              <w:spacing w:after="0"/>
              <w:rPr>
                <w:sz w:val="20"/>
                <w:szCs w:val="20"/>
                <w:color w:val="auto"/>
              </w:rPr>
            </w:pPr>
            <w:r>
              <w:rPr>
                <w:rFonts w:ascii="Arial" w:cs="Arial" w:eastAsia="Arial" w:hAnsi="Arial"/>
                <w:sz w:val="18"/>
                <w:szCs w:val="18"/>
                <w:color w:val="auto"/>
              </w:rPr>
              <w:t>13,500</w:t>
            </w:r>
          </w:p>
        </w:tc>
        <w:tc>
          <w:tcPr>
            <w:tcW w:w="2920" w:type="dxa"/>
            <w:vAlign w:val="bottom"/>
            <w:gridSpan w:val="2"/>
          </w:tcPr>
          <w:p>
            <w:pPr>
              <w:jc w:val="right"/>
              <w:ind w:right="1860"/>
              <w:spacing w:after="0"/>
              <w:rPr>
                <w:sz w:val="20"/>
                <w:szCs w:val="20"/>
                <w:color w:val="auto"/>
              </w:rPr>
            </w:pPr>
            <w:r>
              <w:rPr>
                <w:rFonts w:ascii="Arial" w:cs="Arial" w:eastAsia="Arial" w:hAnsi="Arial"/>
                <w:sz w:val="18"/>
                <w:szCs w:val="18"/>
                <w:color w:val="auto"/>
              </w:rPr>
              <w:t>5.50</w:t>
            </w:r>
          </w:p>
        </w:tc>
        <w:tc>
          <w:tcPr>
            <w:tcW w:w="118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1,833</w:t>
            </w:r>
          </w:p>
        </w:tc>
        <w:tc>
          <w:tcPr>
            <w:tcW w:w="4540" w:type="dxa"/>
            <w:vAlign w:val="bottom"/>
            <w:gridSpan w:val="3"/>
            <w:shd w:val="clear" w:color="auto" w:fill="CCEEFF"/>
          </w:tcPr>
          <w:p>
            <w:pPr>
              <w:jc w:val="right"/>
              <w:ind w:right="1820"/>
              <w:spacing w:after="0"/>
              <w:rPr>
                <w:sz w:val="20"/>
                <w:szCs w:val="20"/>
                <w:color w:val="auto"/>
              </w:rPr>
            </w:pPr>
            <w:r>
              <w:rPr>
                <w:rFonts w:ascii="Arial" w:cs="Arial" w:eastAsia="Arial" w:hAnsi="Arial"/>
                <w:sz w:val="18"/>
                <w:szCs w:val="18"/>
                <w:color w:val="auto"/>
              </w:rPr>
              <w:t>29,785</w:t>
            </w:r>
          </w:p>
        </w:tc>
        <w:tc>
          <w:tcPr>
            <w:tcW w:w="2920" w:type="dxa"/>
            <w:vAlign w:val="bottom"/>
            <w:gridSpan w:val="2"/>
            <w:shd w:val="clear" w:color="auto" w:fill="CCEEFF"/>
          </w:tcPr>
          <w:p>
            <w:pPr>
              <w:jc w:val="right"/>
              <w:ind w:right="1860"/>
              <w:spacing w:after="0"/>
              <w:rPr>
                <w:sz w:val="20"/>
                <w:szCs w:val="20"/>
                <w:color w:val="auto"/>
              </w:rPr>
            </w:pPr>
            <w:r>
              <w:rPr>
                <w:rFonts w:ascii="Arial" w:cs="Arial" w:eastAsia="Arial" w:hAnsi="Arial"/>
                <w:sz w:val="18"/>
                <w:szCs w:val="18"/>
                <w:color w:val="auto"/>
              </w:rPr>
              <w:t>6.00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tcPr>
          <w:p>
            <w:pPr>
              <w:jc w:val="center"/>
              <w:spacing w:after="0"/>
              <w:rPr>
                <w:sz w:val="20"/>
                <w:szCs w:val="20"/>
                <w:color w:val="auto"/>
              </w:rPr>
            </w:pPr>
            <w:r>
              <w:rPr>
                <w:rFonts w:ascii="Arial" w:cs="Arial" w:eastAsia="Arial" w:hAnsi="Arial"/>
                <w:sz w:val="18"/>
                <w:szCs w:val="18"/>
                <w:color w:val="auto"/>
                <w:w w:val="84"/>
              </w:rPr>
              <w:t>2,080</w:t>
            </w:r>
          </w:p>
        </w:tc>
        <w:tc>
          <w:tcPr>
            <w:tcW w:w="4540" w:type="dxa"/>
            <w:vAlign w:val="bottom"/>
            <w:gridSpan w:val="3"/>
          </w:tcPr>
          <w:p>
            <w:pPr>
              <w:jc w:val="right"/>
              <w:ind w:right="1820"/>
              <w:spacing w:after="0"/>
              <w:rPr>
                <w:sz w:val="20"/>
                <w:szCs w:val="20"/>
                <w:color w:val="auto"/>
              </w:rPr>
            </w:pPr>
            <w:r>
              <w:rPr>
                <w:rFonts w:ascii="Arial" w:cs="Arial" w:eastAsia="Arial" w:hAnsi="Arial"/>
                <w:sz w:val="18"/>
                <w:szCs w:val="18"/>
                <w:color w:val="auto"/>
              </w:rPr>
              <w:t>10,582</w:t>
            </w:r>
          </w:p>
        </w:tc>
        <w:tc>
          <w:tcPr>
            <w:tcW w:w="2920" w:type="dxa"/>
            <w:vAlign w:val="bottom"/>
            <w:gridSpan w:val="2"/>
          </w:tcPr>
          <w:p>
            <w:pPr>
              <w:jc w:val="right"/>
              <w:ind w:right="1860"/>
              <w:spacing w:after="0"/>
              <w:rPr>
                <w:sz w:val="20"/>
                <w:szCs w:val="20"/>
                <w:color w:val="auto"/>
              </w:rPr>
            </w:pPr>
            <w:r>
              <w:rPr>
                <w:rFonts w:ascii="Arial" w:cs="Arial" w:eastAsia="Arial" w:hAnsi="Arial"/>
                <w:sz w:val="18"/>
                <w:szCs w:val="18"/>
                <w:color w:val="auto"/>
              </w:rPr>
              <w:t>5.50</w:t>
            </w:r>
          </w:p>
        </w:tc>
        <w:tc>
          <w:tcPr>
            <w:tcW w:w="1180" w:type="dxa"/>
            <w:vAlign w:val="bottom"/>
          </w:tcPr>
          <w:p>
            <w:pPr>
              <w:jc w:val="right"/>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of Kaplan stock options at July 2, 2006 and at January 2, 2006, the adoption date of SFAS 123R, was estimated using the Black-Scholes method utilizing the following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July 2,</w:t>
            </w:r>
          </w:p>
        </w:tc>
        <w:tc>
          <w:tcPr>
            <w:tcW w:w="7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w:t>
            </w:r>
          </w:p>
        </w:tc>
      </w:tr>
      <w:tr>
        <w:trPr>
          <w:trHeight w:val="175"/>
        </w:trPr>
        <w:tc>
          <w:tcPr>
            <w:tcW w:w="7540" w:type="dxa"/>
            <w:vAlign w:val="bottom"/>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74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2006</w:t>
            </w: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Interest rate</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5.10%</w:t>
            </w:r>
          </w:p>
        </w:tc>
        <w:tc>
          <w:tcPr>
            <w:tcW w:w="640" w:type="dxa"/>
            <w:vAlign w:val="bottom"/>
          </w:tcPr>
          <w:p>
            <w:pPr>
              <w:ind w:left="20"/>
              <w:spacing w:after="0"/>
              <w:rPr>
                <w:sz w:val="20"/>
                <w:szCs w:val="20"/>
                <w:color w:val="auto"/>
              </w:rPr>
            </w:pPr>
            <w:r>
              <w:rPr>
                <w:rFonts w:ascii="Arial" w:cs="Arial" w:eastAsia="Arial" w:hAnsi="Arial"/>
                <w:sz w:val="18"/>
                <w:szCs w:val="18"/>
                <w:color w:val="auto"/>
                <w:w w:val="96"/>
              </w:rPr>
              <w:t>- 5.24%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580" w:type="dxa"/>
            <w:vAlign w:val="bottom"/>
          </w:tcPr>
          <w:p>
            <w:pPr>
              <w:ind w:left="20"/>
              <w:spacing w:after="0"/>
              <w:rPr>
                <w:sz w:val="20"/>
                <w:szCs w:val="20"/>
                <w:color w:val="auto"/>
              </w:rPr>
            </w:pPr>
            <w:r>
              <w:rPr>
                <w:rFonts w:ascii="Arial" w:cs="Arial" w:eastAsia="Arial" w:hAnsi="Arial"/>
                <w:sz w:val="18"/>
                <w:szCs w:val="18"/>
                <w:color w:val="auto"/>
                <w:w w:val="86"/>
              </w:rPr>
              <w:t>- 4.34%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37.0% - 51.80%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- 38.0%</w:t>
            </w: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800" w:type="dxa"/>
            <w:vAlign w:val="bottom"/>
            <w:gridSpan w:val="3"/>
          </w:tcPr>
          <w:p>
            <w:pPr>
              <w:jc w:val="right"/>
              <w:ind w:right="312"/>
              <w:spacing w:after="0"/>
              <w:rPr>
                <w:sz w:val="20"/>
                <w:szCs w:val="20"/>
                <w:color w:val="auto"/>
              </w:rPr>
            </w:pPr>
            <w:r>
              <w:rPr>
                <w:rFonts w:ascii="Arial" w:cs="Arial" w:eastAsia="Arial" w:hAnsi="Arial"/>
                <w:sz w:val="18"/>
                <w:szCs w:val="18"/>
                <w:color w:val="auto"/>
              </w:rPr>
              <w:t>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Awards.</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1982, the Company adopted a long-term incentive compensation plan, which,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July 2, 2006, there were 186,100 shares reserved for issuance under the incentive compensation plan. Of this number, 29,025 shares were subject to awards outstanding, and 157,075 shares were available for future awards. Activity related to stock awards under the long-term incentive compensation plan for the six months ended July 2, 2006, was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Average Award</w:t>
            </w:r>
          </w:p>
        </w:tc>
      </w:tr>
      <w:tr>
        <w:trPr>
          <w:trHeight w:val="161"/>
        </w:trPr>
        <w:tc>
          <w:tcPr>
            <w:tcW w:w="7600" w:type="dxa"/>
            <w:vAlign w:val="bottom"/>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Price</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29,580</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819.83</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787.77</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721.32</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(1,246)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851.90</w:t>
            </w:r>
          </w:p>
        </w:tc>
      </w:tr>
      <w:tr>
        <w:trPr>
          <w:trHeight w:val="27"/>
        </w:trPr>
        <w:tc>
          <w:tcPr>
            <w:tcW w:w="7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2, 2006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29,025</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818.05</w:t>
            </w:r>
          </w:p>
        </w:tc>
      </w:tr>
      <w:tr>
        <w:trPr>
          <w:trHeight w:val="20"/>
        </w:trPr>
        <w:tc>
          <w:tcPr>
            <w:tcW w:w="7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of July 2, 2006, there was $11.5 million of total unrecognized compensation cost related to restricted stock. That cost is expected to be recognized over a weighted-average period of 1.7 years.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Stock-based compensation costs resulting from restricted stock reduced net income by $1.0 million during the second quarter of 2006 and by $2.0 million during the first six months of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7: Antidilutive Securities.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quarter and first six months of 2006 diluted earnings per share amount excludes the effects of 8,500 stock options outstanding as their inclusion would be antidilutive. The second quarter and first six months of 2005 diluted earnings per share amount excludes the effects of 4,000 stock options outstanding as their inclusion would be antidilutive.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8: Pension and Postretirement Plans.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total cost (income) arising from the Company’s defined benefit pension plans for the second quarter and six months ended July 2, 2006 and July 3, 2005 consists of the following components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36"/>
              <w:spacing w:after="0"/>
              <w:rPr>
                <w:sz w:val="20"/>
                <w:szCs w:val="20"/>
                <w:color w:val="auto"/>
              </w:rPr>
            </w:pPr>
            <w:r>
              <w:rPr>
                <w:rFonts w:ascii="Arial" w:cs="Arial" w:eastAsia="Arial" w:hAnsi="Arial"/>
                <w:sz w:val="14"/>
                <w:szCs w:val="14"/>
                <w:b w:val="1"/>
                <w:bCs w:val="1"/>
                <w:color w:val="auto"/>
                <w:w w:val="89"/>
              </w:rPr>
              <w:t>Thirteen Weeks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Twenty-Six Weeks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July 3,</w:t>
            </w:r>
          </w:p>
        </w:tc>
        <w:tc>
          <w:tcPr>
            <w:tcW w:w="100" w:type="dxa"/>
            <w:vAlign w:val="bottom"/>
          </w:tcPr>
          <w:p>
            <w:pPr>
              <w:spacing w:after="0"/>
              <w:rPr>
                <w:sz w:val="11"/>
                <w:szCs w:val="11"/>
                <w:color w:val="auto"/>
              </w:rPr>
            </w:pPr>
          </w:p>
        </w:tc>
        <w:tc>
          <w:tcPr>
            <w:tcW w:w="92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July 2,</w:t>
            </w: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July 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$ 14,334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10,287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9,933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20,585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(26,067)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(46,496)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49,657</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cost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43,977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$ 38,289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(18,302)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total cost arising from the Company’s postretirement plans for the second quarter and six months ended July 2, 2006 and July 3, 2005, consists of the following components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Thirteen Weeks</w:t>
            </w:r>
          </w:p>
        </w:tc>
        <w:tc>
          <w:tcPr>
            <w:tcW w:w="100" w:type="dxa"/>
            <w:vAlign w:val="bottom"/>
          </w:tcPr>
          <w:p>
            <w:pPr>
              <w:spacing w:after="0"/>
              <w:rPr>
                <w:sz w:val="14"/>
                <w:szCs w:val="1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Twenty-Six Weeks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358"/>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July 2,</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July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July 2,</w:t>
            </w:r>
          </w:p>
        </w:tc>
        <w:tc>
          <w:tcPr>
            <w:tcW w:w="56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6"/>
              </w:rPr>
              <w:t>July 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cost</w:t>
            </w:r>
          </w:p>
        </w:tc>
        <w:tc>
          <w:tcPr>
            <w:tcW w:w="3840" w:type="dxa"/>
            <w:vAlign w:val="bottom"/>
            <w:gridSpan w:val="3"/>
          </w:tcPr>
          <w:p>
            <w:pPr>
              <w:jc w:val="right"/>
              <w:ind w:right="280"/>
              <w:spacing w:after="0"/>
              <w:rPr>
                <w:sz w:val="20"/>
                <w:szCs w:val="20"/>
                <w:color w:val="auto"/>
              </w:rPr>
            </w:pPr>
            <w:r>
              <w:rPr>
                <w:rFonts w:ascii="Arial" w:cs="Arial" w:eastAsia="Arial" w:hAnsi="Arial"/>
                <w:sz w:val="18"/>
                <w:szCs w:val="18"/>
                <w:color w:val="auto"/>
              </w:rPr>
              <w:t>1,932</w:t>
            </w:r>
          </w:p>
        </w:tc>
        <w:tc>
          <w:tcPr>
            <w:tcW w:w="500" w:type="dxa"/>
            <w:vAlign w:val="bottom"/>
          </w:tcPr>
          <w:p>
            <w:pPr>
              <w:jc w:val="right"/>
              <w:spacing w:after="0"/>
              <w:rPr>
                <w:sz w:val="20"/>
                <w:szCs w:val="20"/>
                <w:color w:val="auto"/>
              </w:rPr>
            </w:pPr>
            <w:r>
              <w:rPr>
                <w:rFonts w:ascii="Arial" w:cs="Arial" w:eastAsia="Arial" w:hAnsi="Arial"/>
                <w:sz w:val="18"/>
                <w:szCs w:val="18"/>
                <w:color w:val="auto"/>
              </w:rPr>
              <w:t>1,859</w:t>
            </w:r>
          </w:p>
        </w:tc>
        <w:tc>
          <w:tcPr>
            <w:tcW w:w="18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3,865</w:t>
            </w:r>
          </w:p>
        </w:tc>
        <w:tc>
          <w:tcPr>
            <w:tcW w:w="500" w:type="dxa"/>
            <w:vAlign w:val="bottom"/>
          </w:tcPr>
          <w:p>
            <w:pPr>
              <w:jc w:val="right"/>
              <w:spacing w:after="0"/>
              <w:rPr>
                <w:sz w:val="20"/>
                <w:szCs w:val="20"/>
                <w:color w:val="auto"/>
              </w:rPr>
            </w:pPr>
            <w:r>
              <w:rPr>
                <w:rFonts w:ascii="Arial" w:cs="Arial" w:eastAsia="Arial" w:hAnsi="Arial"/>
                <w:sz w:val="18"/>
                <w:szCs w:val="18"/>
                <w:color w:val="auto"/>
              </w:rPr>
              <w:t>3,718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3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30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(432)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2,953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January 1, 2006, the Company reduced it assumption on the expected rate of return on plan assets from 7.5% to 6.5% for its pension plans.</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Washington Post implemented a voluntary early retirement program to the Mailers employees in April 2006; pre-tax charges of $1.1 million were recorded in the second quarter of 2006 in connection with this program. In the second quarter of 2006, the Company implemented a voluntary early retirement program to a large group of exempt and Guild-covered employees at The Washington Post and Corporate; the offer included an incentive payment, enhanced retirement benefits and subsidized retiree health insurance. In the second quarter of 2006, the Company recorded pre-tax charges of $48.6 million in connection with this program. Overall, 197 employees accepted voluntary early retirement offers under these two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9 – Hurricane Losses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cable division was significantly impacted by hurricane Katrina, which hit the Gulf Coast in August 2005. About 94,000 of the cable division’s pre-hurricane subscribers were located on the Gulf Coast of Mississippi, including Gulfport, Biloxi, Pascagoula and other neighboring communities where storm damage was significant.</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the second quarter of 2006 in connection with a final settlement on cable division Hurricane Katrina insurance claims.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10 – Other Non-Operating Income (Expense)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recorded other non-operating income, net, of $33.7 million for the second quarter of 2006, compared to non-operating expense, net, of $3.6 million for the second quarter of 2005. For the first six months of 2006 and 2005, the Company recorded other non-operating income, net, of $33.5 million and $3.5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thirteen and twenty-six weeks ended July 2, 2006 and July 3, 2005, is as follows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Thirteen Weeks</w:t>
            </w:r>
          </w:p>
        </w:tc>
        <w:tc>
          <w:tcPr>
            <w:tcW w:w="120" w:type="dxa"/>
            <w:vAlign w:val="bottom"/>
          </w:tcPr>
          <w:p>
            <w:pPr>
              <w:spacing w:after="0"/>
              <w:rPr>
                <w:sz w:val="14"/>
                <w:szCs w:val="14"/>
                <w:color w:val="auto"/>
              </w:rPr>
            </w:pPr>
          </w:p>
        </w:tc>
        <w:tc>
          <w:tcPr>
            <w:tcW w:w="1140" w:type="dxa"/>
            <w:vAlign w:val="bottom"/>
            <w:gridSpan w:val="5"/>
          </w:tcPr>
          <w:p>
            <w:pPr>
              <w:ind w:left="200"/>
              <w:spacing w:after="0"/>
              <w:rPr>
                <w:sz w:val="20"/>
                <w:szCs w:val="20"/>
                <w:color w:val="auto"/>
              </w:rPr>
            </w:pPr>
            <w:r>
              <w:rPr>
                <w:rFonts w:ascii="Arial" w:cs="Arial" w:eastAsia="Arial" w:hAnsi="Arial"/>
                <w:sz w:val="14"/>
                <w:szCs w:val="14"/>
                <w:b w:val="1"/>
                <w:bCs w:val="1"/>
                <w:color w:val="auto"/>
              </w:rPr>
              <w:t>Twenty-Six</w:t>
            </w:r>
          </w:p>
        </w:tc>
        <w:tc>
          <w:tcPr>
            <w:tcW w:w="0" w:type="dxa"/>
            <w:vAlign w:val="bottom"/>
          </w:tcPr>
          <w:p>
            <w:pPr>
              <w:spacing w:after="0"/>
              <w:rPr>
                <w:sz w:val="1"/>
                <w:szCs w:val="1"/>
                <w:color w:val="auto"/>
              </w:rPr>
            </w:pPr>
          </w:p>
        </w:tc>
      </w:tr>
      <w:tr>
        <w:trPr>
          <w:trHeight w:val="161"/>
        </w:trPr>
        <w:tc>
          <w:tcPr>
            <w:tcW w:w="8920" w:type="dxa"/>
            <w:vAlign w:val="bottom"/>
          </w:tcPr>
          <w:p>
            <w:pPr>
              <w:spacing w:after="0"/>
              <w:rPr>
                <w:sz w:val="14"/>
                <w:szCs w:val="14"/>
                <w:color w:val="auto"/>
              </w:rPr>
            </w:pPr>
          </w:p>
        </w:tc>
        <w:tc>
          <w:tcPr>
            <w:tcW w:w="12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140" w:type="dxa"/>
            <w:vAlign w:val="bottom"/>
            <w:gridSpan w:val="5"/>
          </w:tcPr>
          <w:p>
            <w:pPr>
              <w:ind w:left="14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29"/>
        </w:trPr>
        <w:tc>
          <w:tcPr>
            <w:tcW w:w="892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7"/>
              </w:rPr>
              <w:t>July 2,</w:t>
            </w: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July 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July 2,</w:t>
            </w:r>
          </w:p>
        </w:tc>
        <w:tc>
          <w:tcPr>
            <w:tcW w:w="4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July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9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Gains on sale of marketable 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(4.6)</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Other(losses), net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33.7</w:t>
            </w:r>
          </w:p>
        </w:tc>
        <w:tc>
          <w:tcPr>
            <w:tcW w:w="28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0"/>
              </w:rPr>
              <w:t>$ (3.6)</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11: Contingencies.</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Kaplan Inc. is a party to a class action antitrust lawsuit in California filed on April 29, 2005. The suit alleges violations of the Sherman Act. The Company is defending the lawsuit vigorously. Management does not believe that any litigation pending against the Company will have a material adverse effect on its business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12: Recent Accounting Pronouncements.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June 2006, FASB Interpretation No. 48 (FIN 48), “Accounting for Uncertainty in Income Taxes - an Interpretation of FASB Statement No. 109” was issued. FIN 48 prescribes a comprehensive model of how a company should recognize, measure, present, and disclose in its financial statements uncertain tax positions that the company has taken or expects to take on a tax return. The standard is required to be implemented in the first quarter of 2007; the Company is in the process of evaluating the impact of this standard on its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20"/>
        <w:spacing w:after="0" w:line="417" w:lineRule="auto"/>
        <w:rPr>
          <w:sz w:val="20"/>
          <w:szCs w:val="20"/>
          <w:color w:val="auto"/>
        </w:rPr>
      </w:pPr>
      <w:r>
        <w:rPr>
          <w:rFonts w:ascii="Arial" w:cs="Arial" w:eastAsia="Arial" w:hAnsi="Arial"/>
          <w:sz w:val="15"/>
          <w:szCs w:val="15"/>
          <w:b w:val="1"/>
          <w:bCs w:val="1"/>
          <w:color w:val="auto"/>
        </w:rPr>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spacing w:after="0" w:line="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income for the second quarter of 2006 was $78.7 million ($8.17 per share), compared to net income of $78.8 million ($8.16 per share) for the second quarter of last year.</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Results for the second quarter of 2006 included charges related to early retirement plan buyouts at The Washington Post newspaper and the corporate office (after-tax impact of $31.4 million, or $3.27 per share) that are largely being funded from the assets in the Company’s pension plans. Results for the second quarter of 2006 also included nonrecurring transition costs from recently acquired Kaplan businesses (after-tax impact of $4.8 million, or $0.50 per share), offset by insurance recoveries from cable division losses related to Hurricane Katrina (after-tax impact of $6.4 million, or $0.67 per share) and non-operating gains from the sales of marketable securities (after-tax impact of $19.6 million, or $2.04 per share).</w:t>
      </w:r>
    </w:p>
    <w:p>
      <w:pPr>
        <w:spacing w:after="0" w:line="1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 for the second quarter of 2006 was $969.0 million, up 8% from $897.6 million in 2005. The increase is due mostly to significant revenue growth at the education division. Revenue at the Company’s newspaper publishing, television broadcasting and cable television divisions also increased for the second quarter of 2006, while revenues were down at the magazine publishing division.</w:t>
      </w:r>
    </w:p>
    <w:p>
      <w:pPr>
        <w:spacing w:after="0" w:line="14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Operating income was down for the second quarter of 2006 to $97.2 million, from $137.7 million in 2005, primarily due to $50.6 million in pre-tax charges associated with early retirement plan buyouts and the $6.9 million in nonrecurring transition costs at Kaplan, offset by $10.4 million in insurance recoveries recorded during the second quarter of 2006 from cable division losses related to Hurricane Katrina.</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the first six months of 2006, net income totaled $155.6 million ($16.12 per share), compared with $145.3 million ($15.04 per share) for the same period of 2005. Results for the first half of 2006 included charges related to early retirement plan buyouts (after-tax impact of $31.4 million, or $3.27 per share), the nonrecurring transition costs at Kaplan (after-tax impact of $4.8 million, or $.50 per share) and a charge for the cumulative effect of a change in accounting for Kaplan equity awards (after-tax impact of $5.1 million, or $0.53 per share) in connection with the Company’s adoption of Statement of Financial Accounting Standards No. 123R (SFAS 123R), “Share-Based Payment.” These items were offset by insurance recoveries from cable division losses related to Hurricane Katrina (after-tax impact of $6.4 million, or $0.67 per share) and non-operating gains from the sales of marketable securities (after-tax impact of $19.6 million, or $2.04 per share). Results for the first half of 2005 included after-tax non-operating gains from the sales of non-operating land and marketable securities (after-tax impact of $5.4 million, or $0.56 per share).</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 for the first half of 2006 was $1,917.3 million, up 11% over revenue of $1,731.5 million for the first six months of 2005. Operating income declined to $235.0 million, from $245.7 million in 2005, due to $50.6 million in pre-tax charges associated with early retirement plan buyouts and the $6.9 million in nonrecurring transition costs at Kaplan, offset by $10.4 million in insurance recoveries recorded during the second quarter of 2006 from cable division losses related to Hurricane Katrina.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operating income for the second quarter and first six months of 2006 included $5.7 million and $11.4 million of net pension credits, respectively, compared to $9.2 million and $18.3 million, respectively, for the same periods of 2005, excluding charges related to early retirement programs. At January 1, 2006, the Company reduced its expected return on plan assets from 7.5% to 6.5%. Overall, the pension credit for 2006 is expected to be down by about $15 million, excluding charges related to early retirement programs.</w:t>
      </w:r>
    </w:p>
    <w:p>
      <w:pPr>
        <w:spacing w:after="0" w:line="13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$245.6 million for the second quarter of 2006, an increase of 4% from $236.3</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second quarter of 2005; division revenue increased 4% to $489.0 million for the first six months of 2006, from $469.4 million for the first six months of 2005. The newspaper division reported an operating loss for the second quarter of $15.4 million, from operating income of $27.0 million in the second quarter of 2005; operating income decreased to $16.7 million for the first six months of 2006, compared to $58.4 million for the first six months of 2005. The decline in operating results is due primarily to $46.8 million in pre-tax charges recorded in the second quarter of 2006 associated with the early retirement plan buyouts at The Washington Post. Excluding this charge, operating income was up for the second quarter and the first six months of 2006 due to increased division revenues and improved results at the Company’s online publishing activities, both washingtonpost.com and Slate. Operating income at the newspaper division was adversely impacted by second quarter and year-to-date increases of 9% and 11%, respectively, in newsprint expense for the entire newspaper division, as well as increased pension expense.</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Print advertising revenue at The Post in the second quarter increased 1% to $148.3 million, from $146.5 million in 2005, and increased 2% to $298.1 million for first six months of 2006, from $292.2 million in 2005. The growth in the second quarter of 2006 was driven by advertising revenue increases in real estate, zones, retail and national, offset by a large overall decline in classified advertising. The growth in print advertising revenue for the first six months of 2006 is due to increases in real estate, zones and preprints, offset by declines in national and classified advertising. Classified recruitment advertising revenue declined 15% to $16.8 million for the second quarter of 2006, from $19.7 million in the second quarter of 2005, and was down 7% to $38.6 million in the first half of 2006, compared to $41.3 million in the first half of 2005.</w:t>
      </w:r>
    </w:p>
    <w:p>
      <w:pPr>
        <w:spacing w:after="0" w:line="12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the first six months of 2006, Post daily and Sunday circulation declined 2.9% and 3.8%, respectively, compared to the same period of the prior year. For the six months ended July 2, 2006, average daily circulation at The Post totaled 672,000 and average Sunday circulation totaled 947,500.</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Revenue generated by the Company’s online publishing activities, primarily washingtonpost.com, increased 36% to $25.3 million for the second quarter of 2006, from $18.7 million in the second quarter of 2005; online revenues increased 35% to $48.2 million for the first six months of 2006, from $35.7 million in the first six months of 2005. Local and national online advertising revenues grew 57% for both the second quarter and first six months of 2006. Online classified advertising revenue on washingtonpost.com increased 25% in both the second quarter and first six months of 2006. A small portion of the Company’s online publishing revenues is included in the magazine publishing division.</w:t>
      </w:r>
    </w:p>
    <w:p>
      <w:pPr>
        <w:spacing w:after="0" w:line="1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1% in the second quarter of 2006 to $89.0 million, from $88.4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2005, due to an increase of $1.3 million in second quarter 2006 political advertising revenue. For the first six months of 2006, revenue increased 4% to $174.9 million, from $167.7 million in 2005, due to $6.3 million in incremental winter Olympics-related advertising at the Company’s NBC affiliates and an increase of $2.2 million in political advertising revenue.</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income for the second quarter of 2006 decreased 1% to $40.6 million, from $41.1 million for the second quarter of 2005. Operating income for the first six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months of 2006 increased 6% to $78.1 million, from $73.9 million for the first six months of 2005 due to the revenue increases discussed above, offset by a modest increase in the division’s operating expenses in the first six months of 2006.</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Magazine Publishing Division</w:t>
      </w:r>
      <w:r>
        <w:rPr>
          <w:rFonts w:ascii="Arial" w:cs="Arial" w:eastAsia="Arial" w:hAnsi="Arial"/>
          <w:sz w:val="16"/>
          <w:szCs w:val="16"/>
          <w:color w:val="auto"/>
        </w:rPr>
        <w:t>. Revenue for the magazine publishing division totaled $84.2 million for the second quarter of 2006, a 14% decline from $97.9</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second quarter of 2005; division revenue totaled $159.0 million for the first six months of 2006, a 5% decrease from $167.8 million for the first six months of 2005. The revenue decrease for the second quarter was partially due to the timing of the primary trade show of PostNewsweek Tech Media, which was held in the first quarter of 2006 versus the second quarter of 2005. Also, Newsweek experienced a 5% advertising revenue decline from a decrease in ad pages at the domestic edition due to an additional domestic special issue in the second quarter of 2005; and a reduction in domestic and international circulation revenues due to subscription rate declines at the domestic edition and subscription rate and rate base declines at certain of the international editions. The decline in revenues for the first six months of 2006 reflects a decline in Newsweek circulation revenues and revenues at PostNewsweek Tech Media, offset by a 3% increase in Newsweek advertising revenues for the first six months of 2006.</w:t>
      </w:r>
    </w:p>
    <w:p>
      <w:pPr>
        <w:spacing w:after="0" w:line="11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Operating income totaled $11.2 million for the second quarter of 2006, a decrease from $20.0 million in the second quarter of 2005. The decrease in operating income is due to the timing of the primary trade show of PostNewsweek Tech Media in the first quarter of 2006 versus the second quarter of 2005, as well as a reduction in operating income at Newsweek due to lower advertising and circulation revenues and a reduced pension credit. Operating income totaled $10.3 million for the first six months of 2006, down from $14.8 million for the first six months of 2005, due primarily to revenue reductions at Newsweek and PostNewsweek Tech Media and a reduced pension credit.</w:t>
      </w:r>
    </w:p>
    <w:p>
      <w:pPr>
        <w:spacing w:after="0" w:line="137"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Cable Television Division</w:t>
      </w:r>
      <w:r>
        <w:rPr>
          <w:rFonts w:ascii="Arial" w:cs="Arial" w:eastAsia="Arial" w:hAnsi="Arial"/>
          <w:sz w:val="15"/>
          <w:szCs w:val="15"/>
          <w:color w:val="auto"/>
        </w:rPr>
        <w:t>. Cable division revenue of $141.1 million for the second quarter of 2006 represents a 9% increase over 2005 second quarter revenue</w:t>
      </w:r>
      <w:r>
        <w:rPr>
          <w:rFonts w:ascii="Arial" w:cs="Arial" w:eastAsia="Arial" w:hAnsi="Arial"/>
          <w:sz w:val="15"/>
          <w:szCs w:val="15"/>
          <w:b w:val="1"/>
          <w:bCs w:val="1"/>
          <w:color w:val="auto"/>
        </w:rPr>
        <w:t xml:space="preserve"> </w:t>
      </w:r>
      <w:r>
        <w:rPr>
          <w:rFonts w:ascii="Arial" w:cs="Arial" w:eastAsia="Arial" w:hAnsi="Arial"/>
          <w:sz w:val="15"/>
          <w:szCs w:val="15"/>
          <w:color w:val="auto"/>
        </w:rPr>
        <w:t>of $129.1 million; for the first six months of 2006, revenue increased 8% to $276.3 million, from $255.5 million in 2005. The 2006 revenue increase is due to continued growth in the division’s cable modem revenues and a $3 monthly rate increase for basic cable service at most of its systems, effective February 1, 2006.</w:t>
      </w:r>
    </w:p>
    <w:p>
      <w:pPr>
        <w:spacing w:after="0" w:line="8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Cable division operating income increased to $39.9 million in the second quarter of 2006, versus $23.6 million in the second quarter of 2005; cable division operating income for the first six months of 2006 increased to $65.3 million, from $47.0 million for the first six months of 2005. The cable division results benefited from $10.4 million in insurance recoveries recorded during the second quarter of 2006 from cable division losses related to Hurricane Katrina. The increase in operating income is also due to the division’s revenue growth, offset by higher programming expenses and increases in technical and marketing costs.</w:t>
      </w:r>
    </w:p>
    <w:p>
      <w:pPr>
        <w:spacing w:after="0" w:line="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Cable division results continue to be adversely impacted by subscriber losses and expenses as a result of Hurricane Katrina, which hit the Gulf Coast in August of 2005. The Company estimates that lost revenues for the second quarter and first six months of 2006 were approximately $3.5 million and $7.0 million, respectively, and that operating income was reduced by $3.3 million and $7.3 million for the same periods (excluding $10.4 million in insurance recoveries). At December 31, 2005, the Company recorded a $5.0 million receivable for recovery of a portion of cable division hurricane losses through December 31, 2005 under the Company’s property and business interruption insurance program; this recovery was recorded as a reduction of cable division expense in the fourth quarter of 2005. In the second quarter of 2006, $10.4 million in additional insurance recovery amounts were recorded as a reduction of cable division expense in connection with a final settlement on cable division Hurricane Katrina insurance claims.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June 30, 2006, excluding the Gulf Coast region, the cable division shows an increase in Revenue Generating Units (RGUs) due to continued growth in high-speed data subscribers, offset by a slight decline in basic video and digital video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subscriber categories due primarily to the $3 monthly basic rate increase implemented in February 2006. For the Gulf Coast region, there is a decline in basic and digital video RGUs due to Hurricane Katrina; however, the number of high-speed data subscribers has increased in the Gulf Coast region. The cable division began offering telephone services on a very limited basis in May 2006; telephone service is planned to be offered to about half of homes passed by the end of 2006. RGUs include about 7,000 subscribers who receive free basic cable service, primarily local governments, schools and other organizations as required by the various franchise agreements. A summary of RGUs broken down by Gulf Coast and all other regions is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8"/>
        </w:trPr>
        <w:tc>
          <w:tcPr>
            <w:tcW w:w="8400" w:type="dxa"/>
            <w:vAlign w:val="bottom"/>
            <w:gridSpan w:val="5"/>
          </w:tcPr>
          <w:p>
            <w:pPr>
              <w:spacing w:after="0"/>
              <w:rPr>
                <w:sz w:val="20"/>
                <w:szCs w:val="20"/>
                <w:color w:val="auto"/>
              </w:rPr>
            </w:pPr>
            <w:r>
              <w:rPr>
                <w:rFonts w:ascii="Arial" w:cs="Arial" w:eastAsia="Arial" w:hAnsi="Arial"/>
                <w:sz w:val="14"/>
                <w:szCs w:val="14"/>
                <w:b w:val="1"/>
                <w:bCs w:val="1"/>
                <w:color w:val="auto"/>
              </w:rPr>
              <w:t>Cable Division Subscribers</w:t>
            </w:r>
          </w:p>
        </w:tc>
        <w:tc>
          <w:tcPr>
            <w:tcW w:w="1040" w:type="dxa"/>
            <w:vAlign w:val="bottom"/>
            <w:gridSpan w:val="2"/>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Gulf Coast Region</w:t>
            </w: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Basic</w:t>
            </w:r>
          </w:p>
        </w:tc>
        <w:tc>
          <w:tcPr>
            <w:tcW w:w="70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80,065</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31,663</w:t>
            </w:r>
          </w:p>
        </w:tc>
        <w:tc>
          <w:tcPr>
            <w:tcW w:w="860" w:type="dxa"/>
            <w:vAlign w:val="bottom"/>
          </w:tcPr>
          <w:p>
            <w:pPr>
              <w:jc w:val="right"/>
              <w:spacing w:after="0"/>
              <w:rPr>
                <w:sz w:val="20"/>
                <w:szCs w:val="20"/>
                <w:color w:val="auto"/>
              </w:rPr>
            </w:pPr>
            <w:r>
              <w:rPr>
                <w:rFonts w:ascii="Arial" w:cs="Arial" w:eastAsia="Arial" w:hAnsi="Arial"/>
                <w:sz w:val="18"/>
                <w:szCs w:val="18"/>
                <w:color w:val="auto"/>
              </w:rPr>
              <w:t>25,974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5"/>
            <w:vMerge w:val="restart"/>
          </w:tcPr>
          <w:p>
            <w:pPr>
              <w:spacing w:after="0"/>
              <w:rPr>
                <w:sz w:val="20"/>
                <w:szCs w:val="20"/>
                <w:color w:val="auto"/>
              </w:rPr>
            </w:pPr>
            <w:r>
              <w:rPr>
                <w:rFonts w:ascii="Arial" w:cs="Arial" w:eastAsia="Arial" w:hAnsi="Arial"/>
                <w:sz w:val="18"/>
                <w:szCs w:val="18"/>
                <w:color w:val="auto"/>
              </w:rPr>
              <w:t>All Other Regions</w:t>
            </w: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605,937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180,918</w:t>
            </w:r>
          </w:p>
        </w:tc>
        <w:tc>
          <w:tcPr>
            <w:tcW w:w="860" w:type="dxa"/>
            <w:vAlign w:val="bottom"/>
          </w:tcPr>
          <w:p>
            <w:pPr>
              <w:jc w:val="right"/>
              <w:spacing w:after="0"/>
              <w:rPr>
                <w:sz w:val="20"/>
                <w:szCs w:val="20"/>
                <w:color w:val="auto"/>
              </w:rPr>
            </w:pPr>
            <w:r>
              <w:rPr>
                <w:rFonts w:ascii="Arial" w:cs="Arial" w:eastAsia="Arial" w:hAnsi="Arial"/>
                <w:sz w:val="18"/>
                <w:szCs w:val="18"/>
                <w:color w:val="auto"/>
              </w:rPr>
              <w:t>184,372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229,599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40" w:type="dxa"/>
            <w:vAlign w:val="bottom"/>
            <w:gridSpan w:val="3"/>
            <w:vMerge w:val="restart"/>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4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1,016,454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975,772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83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40" w:type="dxa"/>
            <w:vAlign w:val="bottom"/>
            <w:tcBorders>
              <w:top w:val="single" w:sz="8" w:color="CCEEFF"/>
            </w:tcBorders>
            <w:gridSpan w:val="3"/>
          </w:tcPr>
          <w:p>
            <w:pPr>
              <w:ind w:left="80"/>
              <w:spacing w:after="0"/>
              <w:rPr>
                <w:sz w:val="20"/>
                <w:szCs w:val="20"/>
                <w:color w:val="auto"/>
              </w:rPr>
            </w:pPr>
            <w:r>
              <w:rPr>
                <w:rFonts w:ascii="Arial" w:cs="Arial" w:eastAsia="Arial" w:hAnsi="Arial"/>
                <w:sz w:val="18"/>
                <w:szCs w:val="18"/>
                <w:color w:val="auto"/>
              </w:rPr>
              <w:t>Basic</w:t>
            </w:r>
          </w:p>
        </w:tc>
        <w:tc>
          <w:tcPr>
            <w:tcW w:w="12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686,002</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702,774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40" w:type="dxa"/>
            <w:vAlign w:val="bottom"/>
            <w:gridSpan w:val="3"/>
          </w:tcPr>
          <w:p>
            <w:pPr>
              <w:ind w:left="80"/>
              <w:spacing w:after="0"/>
              <w:rPr>
                <w:sz w:val="20"/>
                <w:szCs w:val="20"/>
                <w:color w:val="auto"/>
              </w:rPr>
            </w:pPr>
            <w:r>
              <w:rPr>
                <w:rFonts w:ascii="Arial" w:cs="Arial" w:eastAsia="Arial" w:hAnsi="Arial"/>
                <w:sz w:val="18"/>
                <w:szCs w:val="18"/>
                <w:color w:val="auto"/>
              </w:rPr>
              <w:t>High-speed data</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261,262</w:t>
            </w:r>
          </w:p>
        </w:tc>
        <w:tc>
          <w:tcPr>
            <w:tcW w:w="860" w:type="dxa"/>
            <w:vAlign w:val="bottom"/>
          </w:tcPr>
          <w:p>
            <w:pPr>
              <w:jc w:val="right"/>
              <w:spacing w:after="0"/>
              <w:rPr>
                <w:sz w:val="20"/>
                <w:szCs w:val="20"/>
                <w:color w:val="auto"/>
              </w:rPr>
            </w:pPr>
            <w:r>
              <w:rPr>
                <w:rFonts w:ascii="Arial" w:cs="Arial" w:eastAsia="Arial" w:hAnsi="Arial"/>
                <w:sz w:val="18"/>
                <w:szCs w:val="18"/>
                <w:color w:val="auto"/>
              </w:rPr>
              <w:t>209,564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1,158,422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Below are details of Cable division capital expenditures for the first six months of 2006 and 2005, as defined by the NCTA Standard Reporting Categories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Commercial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Line Extensions</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Support Capital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w:t>
            </w:r>
          </w:p>
        </w:tc>
      </w:tr>
      <w:tr>
        <w:trPr>
          <w:trHeight w:val="20"/>
        </w:trPr>
        <w:tc>
          <w:tcPr>
            <w:tcW w:w="8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$409.2 million for the second quarter of 2006, an 18% increase over revenue of $345.8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2005. Excluding revenue from acquired businesses, education division revenue increased 12% for the second quarter of 2006. Kaplan reported operating income for the second quarter of 2006 of $33.9 million, a decline of 1% from $34.1 million in the second quarter of 2005, largely as a result of $6.9 million in nonrecurring transition costs from recently acquired Kaplan businesses. For the first six months of 2006, education division revenue totaled $818.2 million, a 22% increase over revenue of $671.2 million for the same period of 2005. Excluding revenue from acquired businesses, education division revenue increased 14% for the first six months of 2006. Kaplan reported operating income of $86.5 million for the first six months of 2006, an increase of 30% from $66.8 million for the first six months of 2005.</w:t>
      </w:r>
    </w:p>
    <w:p>
      <w:pPr>
        <w:spacing w:after="0" w:line="1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second quarter of 2006, Kaplan completed the acquisitions of two businesses: Tribeca Learning Limited, a leading provider of education to the Australian financial services sector; and SpellRead, originator of SpellRead Phonological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Auditory Training, a reading intervention program for struggling students. Kaplan incurred $6.9 million in nonrecurring transition costs from these recently acquired businesses, which are included in the supplemental education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results for the second quarter and the first six months of 2006 compared to 2005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87"/>
              </w:rPr>
              <w:t>Second Quarter</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YTD</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69"/>
        </w:trPr>
        <w:tc>
          <w:tcPr>
            <w:tcW w:w="64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201,438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172,580</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394,867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329,044</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207,806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173,200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342,119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409,244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345,780</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818,178</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671,163</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4"/>
          </w:tcPr>
          <w:p>
            <w:pPr>
              <w:ind w:left="440"/>
              <w:spacing w:after="0"/>
              <w:rPr>
                <w:sz w:val="20"/>
                <w:szCs w:val="20"/>
                <w:color w:val="auto"/>
              </w:rPr>
            </w:pPr>
            <w:r>
              <w:rPr>
                <w:rFonts w:ascii="Arial" w:cs="Arial" w:eastAsia="Arial" w:hAnsi="Arial"/>
                <w:sz w:val="18"/>
                <w:szCs w:val="18"/>
                <w:color w:val="auto"/>
              </w:rPr>
              <w:t>Supplemental education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26,402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29,535</w:t>
            </w: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58,955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53,900</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46,998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tcPr>
          <w:p>
            <w:pPr>
              <w:ind w:left="440"/>
              <w:spacing w:after="0"/>
              <w:rPr>
                <w:sz w:val="20"/>
                <w:szCs w:val="20"/>
                <w:color w:val="auto"/>
              </w:rPr>
            </w:pPr>
            <w:r>
              <w:rPr>
                <w:rFonts w:ascii="Arial" w:cs="Arial" w:eastAsia="Arial" w:hAnsi="Arial"/>
                <w:sz w:val="18"/>
                <w:szCs w:val="18"/>
                <w:color w:val="auto"/>
              </w:rPr>
              <w:t>Kaplan corporate overhead</w:t>
            </w:r>
          </w:p>
        </w:tc>
        <w:tc>
          <w:tcPr>
            <w:tcW w:w="1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(11,232)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(10,248)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(21,342)</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(22,034)</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(12,110)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34,122</w:t>
            </w:r>
          </w:p>
        </w:tc>
        <w:tc>
          <w:tcPr>
            <w:tcW w:w="26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86,533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66,754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accrued for stock-based incentive compensation and amortization of certain intangibles.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revenues grew by 9% in the second quarter of 2006 and 10% for the first half of 2006. Test preparation revenue grew by 23% and 22% for the second quarter and first six months of 2006, respectively, due to strong enrollment in the K12 business, MCAT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United Kingdom and Asia. FTC revenues grew by 23% for both the second quarter and first six months of 2006, largely as a result of higher enrollment and price increases. Supplemental education results also include professional real estate, insurance, securities and other professional courses, and related products. In April 2005, Kaplan Professional completed the acquisition of BISYS Education Services, a provider of licensing education and compliance solutions for financial services institutions and professionals. In the first half of 2006, the CFA courses contributed to growth in supplemental education, as did the BISYS business. These results were offset by soft market demand for Kaplan Professional’s real estate, insurance and securities course offerings. The final component of supplemental education is Score!, which provides academic enrichment to children. Revenues at Score! were down slightly in the first half of 2006. There were 162 Score! centers at the end of June 2006, compared to 167 at the end of June 2005.</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15% in the second quarter of 2006 and 19% in the first half of 2006. Higher education enrollments increased by 14% to 69,400 at June 30, 2006, compared to 60,900 at June 30, 2005, with most of the new enrollment growth occurring in the online programs as well as from acquisitions. Higher education results for the online programs in the first half of 2006 benefited from increases in both price and demand, as well as an increase in the number of course offerings. In the first half of 2006, there was a continued increase in higher education operating costs associated with expansion activities at the online operations, and to a lesser extent, at the fixed-facility operations, including new program offerings and higher facility and advertising expenses. Higher education operating cost increases for the fixed-facility colleges are expected to moderate as the year progresses.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$3.4 million and $3.0 million in the second quarter of 2006 and 2005, respectively, and $5.3 million and $10.0 million in the first six months of 2006 and 2005, respectively, related to this plan.</w:t>
      </w:r>
    </w:p>
    <w:p>
      <w:pPr>
        <w:spacing w:after="0" w:line="11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The corporate office operating expenses increased to $13.0 million and $22.0 million for the second quarter and first six months of 2006,</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from $8.1 million and $15.2 million for the second quarter and first six months of 2005, respectively. The increase is primarily due to $3.8 million in pre-tax charges recorded in the second quarter of 2006 associated with early retirement plan buyouts at the corporate office.</w:t>
      </w:r>
    </w:p>
    <w:p>
      <w:pPr>
        <w:spacing w:after="0" w:line="9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Equity in Earnings (Losses) of Affiliates. </w:t>
      </w:r>
      <w:r>
        <w:rPr>
          <w:rFonts w:ascii="Arial" w:cs="Arial" w:eastAsia="Arial" w:hAnsi="Arial"/>
          <w:sz w:val="18"/>
          <w:szCs w:val="18"/>
          <w:color w:val="auto"/>
        </w:rPr>
        <w:t>The Company’s equity in losses of affiliates for the second quarter of 2006 was $0.6 million, compared to earnings of</w:t>
      </w:r>
      <w:r>
        <w:rPr>
          <w:rFonts w:ascii="Arial" w:cs="Arial" w:eastAsia="Arial" w:hAnsi="Arial"/>
          <w:sz w:val="18"/>
          <w:szCs w:val="18"/>
          <w:b w:val="1"/>
          <w:bCs w:val="1"/>
          <w:color w:val="auto"/>
        </w:rPr>
        <w:t xml:space="preserve"> </w:t>
      </w:r>
      <w:r>
        <w:rPr>
          <w:rFonts w:ascii="Arial" w:cs="Arial" w:eastAsia="Arial" w:hAnsi="Arial"/>
          <w:sz w:val="18"/>
          <w:szCs w:val="18"/>
          <w:color w:val="auto"/>
        </w:rPr>
        <w:t>$0.3 million for the second quarter of 2005. For the first six months of 2006, the Company’s equity in losses of affiliates totaled $0.7 million, compared to losses of $0.2 million for the same period of 2005. The Company’s affiliate investments consist of a 49% interest in BrassRing LLC and a 49% interest in Bowater Mersey Paper Company Limited.</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$33.7 million for the second quarter of 2006,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expense, net, of $3.6 million in the second quarter of 2005. The second quarter 2006 non-operating income, net, includes $31.6 million in pre-tax gains related to sales of marketable securities and $2.3 million in foreign currency gains. The second quarter 2005 non-operating expense, net, includes $2.8 million in foreign currency losses.</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recorded other non-operating income, net, of $33.5 million for the first six months of 2006, compared to other non-operating income, net, of $3.5 million for the same period of the prior year. The 2006 non-operating income includes pre-tax gains of $31.6 million related to the sales marketable securities and foreign currency gains of $2.9 million. The 2005 non-operating income includes pre-tax gains of $8.7 million related to the sales of non-operating land and marketable securities and foreign currency losses of $4.6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twenty-six weeks ended July 2, 2006 and July 3, 2005,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Gains on sale of marketable 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$ 3.3</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Other(losses), net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33.5</w:t>
            </w: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720"/>
        <w:spacing w:after="0" w:line="262"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$3.9 million and $8.6 million for the second quarter and first six months of 2006,</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$5.9 million and $11.8 million for the same periods of 2005. At July 2, 2006, the Company had $425.2 million in borrowings outstanding at an average interest rate of 5.4%.</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second quarter and first six months of 2006 was 37.7% and 38.0%, respectively, compared to 38.7%</w:t>
      </w:r>
      <w:r>
        <w:rPr>
          <w:rFonts w:ascii="Arial" w:cs="Arial" w:eastAsia="Arial" w:hAnsi="Arial"/>
          <w:sz w:val="18"/>
          <w:szCs w:val="18"/>
          <w:b w:val="1"/>
          <w:bCs w:val="1"/>
          <w:color w:val="auto"/>
        </w:rPr>
        <w:t xml:space="preserve"> </w:t>
      </w:r>
      <w:r>
        <w:rPr>
          <w:rFonts w:ascii="Arial" w:cs="Arial" w:eastAsia="Arial" w:hAnsi="Arial"/>
          <w:sz w:val="18"/>
          <w:szCs w:val="18"/>
          <w:color w:val="auto"/>
        </w:rPr>
        <w:t>for both the second quarter and first six months of 2005.</w:t>
      </w:r>
    </w:p>
    <w:p>
      <w:pPr>
        <w:spacing w:after="0" w:line="120" w:lineRule="exact"/>
        <w:rPr>
          <w:sz w:val="20"/>
          <w:szCs w:val="20"/>
          <w:color w:val="auto"/>
        </w:rPr>
      </w:pPr>
    </w:p>
    <w:p>
      <w:pPr>
        <w:jc w:val="both"/>
        <w:ind w:right="60"/>
        <w:spacing w:after="0" w:line="306" w:lineRule="auto"/>
        <w:rPr>
          <w:sz w:val="20"/>
          <w:szCs w:val="20"/>
          <w:color w:val="auto"/>
        </w:rPr>
      </w:pPr>
      <w:r>
        <w:rPr>
          <w:rFonts w:ascii="Arial" w:cs="Arial" w:eastAsia="Arial" w:hAnsi="Arial"/>
          <w:sz w:val="15"/>
          <w:szCs w:val="15"/>
          <w:b w:val="1"/>
          <w:bCs w:val="1"/>
          <w:color w:val="auto"/>
        </w:rPr>
        <w:t xml:space="preserve">Cumulative Effect of Change in Accounting Principle. </w:t>
      </w:r>
      <w:r>
        <w:rPr>
          <w:rFonts w:ascii="Arial" w:cs="Arial" w:eastAsia="Arial" w:hAnsi="Arial"/>
          <w:sz w:val="15"/>
          <w:szCs w:val="15"/>
          <w:color w:val="auto"/>
        </w:rPr>
        <w:t>In the first quarter of 2006, the Company adopted SFAS 123R, which requires companies to record the</w:t>
      </w:r>
      <w:r>
        <w:rPr>
          <w:rFonts w:ascii="Arial" w:cs="Arial" w:eastAsia="Arial" w:hAnsi="Arial"/>
          <w:sz w:val="15"/>
          <w:szCs w:val="15"/>
          <w:b w:val="1"/>
          <w:bCs w:val="1"/>
          <w:color w:val="auto"/>
        </w:rPr>
        <w:t xml:space="preserve"> </w:t>
      </w:r>
      <w:r>
        <w:rPr>
          <w:rFonts w:ascii="Arial" w:cs="Arial" w:eastAsia="Arial" w:hAnsi="Arial"/>
          <w:sz w:val="15"/>
          <w:szCs w:val="15"/>
          <w:color w:val="auto"/>
        </w:rPr>
        <w:t>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w:t>
      </w:r>
    </w:p>
    <w:p>
      <w:pPr>
        <w:spacing w:after="0" w:line="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w:t>
      </w:r>
    </w:p>
    <w:p>
      <w:pPr>
        <w:spacing w:after="0" w:line="10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second quarter and first six months of 2006 was based on 9,613,000 and 9,610,000</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9,618,000 and 9,617,000, respectively, for the second quarter and first six months of 2005. The Company made no repurchases of its stock during the first half of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color w:val="auto"/>
        </w:rPr>
        <w:t>In the second quarter of 2006, Kaplan acquired two businesses in their professional and K12 learning services divisions totaling</w:t>
      </w:r>
      <w:r>
        <w:rPr>
          <w:rFonts w:ascii="Arial" w:cs="Arial" w:eastAsia="Arial" w:hAnsi="Arial"/>
          <w:sz w:val="16"/>
          <w:szCs w:val="16"/>
          <w:b w:val="1"/>
          <w:bCs w:val="1"/>
          <w:color w:val="auto"/>
        </w:rPr>
        <w:t xml:space="preserve"> </w:t>
      </w:r>
      <w:r>
        <w:rPr>
          <w:rFonts w:ascii="Arial" w:cs="Arial" w:eastAsia="Arial" w:hAnsi="Arial"/>
          <w:sz w:val="16"/>
          <w:szCs w:val="16"/>
          <w:color w:val="auto"/>
        </w:rPr>
        <w:t>$59.7 million. These acquisitions included Tribeca, a leading education provider to the Australian financial services sector as well as SpellRead, a provider of reading and writing programs. In the first quarter of 2006, Kaplan acquired two businesses in their professional and higher education divisions; these acquisitions totaled $7.2 million. Most of the purchase price for these acquisitions has been allocated to goodwill and other intangibles on a preliminary basis.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six months of 2006, the Company’s capital expenditures totaled $131.7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$275 million to $300 million in 2006.</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declined by $3.2 million, to $425.2 million at July 2, 2006, as compared to borrowings of $428.4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2006</w:t>
      </w:r>
      <w:r>
        <w:rPr>
          <w:rFonts w:ascii="Arial" w:cs="Arial" w:eastAsia="Arial" w:hAnsi="Arial"/>
          <w:sz w:val="18"/>
          <w:szCs w:val="18"/>
          <w:i w:val="1"/>
          <w:iCs w:val="1"/>
          <w:color w:val="auto"/>
        </w:rPr>
        <w:t>.</w:t>
      </w:r>
      <w:r>
        <w:rPr>
          <w:rFonts w:ascii="Arial" w:cs="Arial" w:eastAsia="Arial" w:hAnsi="Arial"/>
          <w:sz w:val="18"/>
          <w:szCs w:val="18"/>
          <w:color w:val="auto"/>
        </w:rPr>
        <w:t xml:space="preserve"> At July 2, 2006, the Company has $264.9 million in cash and cash equivalents, compared to $215.9 million at January 1, 2006. The Company had commercial paper investments of $135.1 million and $59.2 million that are classified ad “Cash and cash equivalents” in the Company’s Consolidated Balance Sheet as of July 2, 2006 and January 1, 2006, respectively.</w:t>
      </w:r>
    </w:p>
    <w:p>
      <w:pPr>
        <w:spacing w:after="0" w:line="14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July 2, 2006, the Company had $425.2 million in total debt outstanding, which comprised $399.3 million of 5.5 percent unsecured notes due February 15, 2009, and $25.9 million in other debt.</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2006 and 2005, the Company had average borrowings outstanding of approximately $424.1 million and $447.3 million, respectively, at average annual interest rates of approximately 5.5 percent and 5.4 percent, respectively. During the second quarter of 2006 and 2005, the Company incurred net interest expense of $3.9 million and $5.9 million, respectively.</w:t>
      </w:r>
    </w:p>
    <w:p>
      <w:pPr>
        <w:spacing w:after="0" w:line="140"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During the first six months of 2006 and 2005, the Company had average borrowings outstanding of approximately $425.3 million and $448.2 million, respectively, at average annual interest rates of approximately 5.4 percent and 5.4 percent, respectively. During the first six months of 2006 and 2005, the Company incurred net interest expense of $8.6 million and $11.8 million, respectively.</w:t>
      </w:r>
    </w:p>
    <w:p>
      <w:pPr>
        <w:spacing w:after="0" w:line="140"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At July 2, 2006 and January 1, 2006, the Company has working capital of $146.8 million and $123.6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internally generated funds and, to a lesser extent, commercial paper borrowings. In management’s opinion, the Company will have ample liquidity to meet its various cash needs throughout 2006.</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Washington Post implemented a voluntary early retirement program to the Mailers employees in April 2006; pre-tax charges of $1.1 million were recorded in the second quarter of 2006 in connection with this program. In the second quarter of 2006, the Company implemented a voluntary early retirement program to a large group of exempt and Guild-covered employees at The Washington Post and Corporate; the offer included an incentive payment, enhanced retirement benefits and subsidized retiree health insurance. In the second quarter of 2006, the Company recorded pre-tax charges of $48.6 million in connection with this program. Overall, 197 employees accepted voluntary early retirement offers under these two programs. The cost of these programs are largely being funded from the assets in the Company’s pension plans.</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1, 2006 except as described below.</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On August 8, 2006, The Company entered into a new $500 million five year revolving credit agreement (the “2006 Credit Agreement”) with a group of banks. That facility replaced the Company’s $250 million 364-day revolving credit agreement dated as of August 10, 2005 (the “2005 Credit Agreement”) and its $350 million 5-year revolving credit agreement dated as of August 14, 2002 (the “2002 Credit Agreement”).</w:t>
      </w:r>
    </w:p>
    <w:p>
      <w:pPr>
        <w:spacing w:after="0" w:line="14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Except for the length and the amount of the commitments, the terms of the 2006 Credit Agreement are substantially the same as the terms of the 2005 Credit Agreement. The Company is required to pay a facility fee at an annual rate, which depends on the Company’s long-term debt ratings, of between 0.04% and 0.10%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amount of the facility. Any borrowings are made on an unsecured basis and bear interest, at the Company’s option, at Citibank’s base rate or at a rate based on LIBOR plus an applicable margin that also depends on the Company’s long-term debt ratings. The 2006 Credit Agreement will expire on August 8, 2011, unless the Company and the banks agree prior to the second anniversary date to extend the term (which extensions cannot exceed an aggregate of two years). Any outstanding borrowings must be repaid on or prior to the final termination date. The 2006 Credit Agreement supports the issuance of the Company’s commercial paper but the Company may also draw on the facility for general corporate purposes. The 2006 Credit Agreement contains terms and conditions, including remedies in the event of a default by the Company, typical of facilities of this type and, among other things, requires the Company to maintain at least $1 billion of consolidated shareholders’ equity. No borrowings are currently outstanding under the 2002, 2005 or 2006 Credit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1,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2005 Annual Report filed on Form 10-K have not otherwise changed significantly.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July 2, 2006.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July 2, 2006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At the Company’s May 11, 2006 Annual Meeting of Stockholders, the stockholders elected each of the nominees named in the Company’s proxy statement dated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24, 2006 to its Board of Directors. The voting results are set forth below:</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Class A Directors</w:t>
      </w:r>
    </w:p>
    <w:tbl>
      <w:tblPr>
        <w:tblLayout w:type="fixed"/>
        <w:tblInd w:w="460" w:type="dxa"/>
        <w:tblCellMar>
          <w:top w:w="0" w:type="dxa"/>
          <w:left w:w="0" w:type="dxa"/>
          <w:bottom w:w="0" w:type="dxa"/>
          <w:right w:w="0" w:type="dxa"/>
        </w:tblCellMar>
      </w:tblPr>
      <w:tr>
        <w:trPr>
          <w:trHeight w:val="153"/>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83"/>
              </w:rPr>
              <w:t>Votes</w:t>
            </w:r>
          </w:p>
        </w:tc>
        <w:tc>
          <w:tcPr>
            <w:tcW w:w="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68"/>
        </w:trPr>
        <w:tc>
          <w:tcPr>
            <w:tcW w:w="72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4"/>
          </w:tcPr>
          <w:p>
            <w:pPr>
              <w:jc w:val="center"/>
              <w:ind w:right="480"/>
              <w:spacing w:after="0" w:line="148" w:lineRule="exact"/>
              <w:rPr>
                <w:sz w:val="20"/>
                <w:szCs w:val="20"/>
                <w:color w:val="auto"/>
              </w:rPr>
            </w:pPr>
            <w:r>
              <w:rPr>
                <w:rFonts w:ascii="Arial" w:cs="Arial" w:eastAsia="Arial" w:hAnsi="Arial"/>
                <w:sz w:val="14"/>
                <w:szCs w:val="14"/>
                <w:b w:val="1"/>
                <w:bCs w:val="1"/>
                <w:color w:val="auto"/>
                <w:w w:val="83"/>
              </w:rPr>
              <w:t>Votes For</w:t>
            </w:r>
          </w:p>
        </w:tc>
        <w:tc>
          <w:tcPr>
            <w:tcW w:w="1040" w:type="dxa"/>
            <w:vAlign w:val="bottom"/>
            <w:gridSpan w:val="4"/>
          </w:tcPr>
          <w:p>
            <w:pPr>
              <w:jc w:val="center"/>
              <w:ind w:right="500"/>
              <w:spacing w:after="0" w:line="148" w:lineRule="exact"/>
              <w:rPr>
                <w:sz w:val="20"/>
                <w:szCs w:val="20"/>
                <w:color w:val="auto"/>
              </w:rPr>
            </w:pPr>
            <w:r>
              <w:rPr>
                <w:rFonts w:ascii="Arial" w:cs="Arial" w:eastAsia="Arial" w:hAnsi="Arial"/>
                <w:sz w:val="14"/>
                <w:szCs w:val="14"/>
                <w:b w:val="1"/>
                <w:bCs w:val="1"/>
                <w:color w:val="auto"/>
                <w:w w:val="91"/>
              </w:rPr>
              <w:t>Withheld</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195"/>
        </w:trPr>
        <w:tc>
          <w:tcPr>
            <w:tcW w:w="7200" w:type="dxa"/>
            <w:vAlign w:val="bottom"/>
            <w:gridSpan w:val="2"/>
          </w:tcPr>
          <w:p>
            <w:pPr>
              <w:spacing w:after="0" w:line="195" w:lineRule="exact"/>
              <w:rPr>
                <w:sz w:val="20"/>
                <w:szCs w:val="20"/>
                <w:color w:val="auto"/>
              </w:rPr>
            </w:pPr>
            <w:r>
              <w:rPr>
                <w:rFonts w:ascii="Arial" w:cs="Arial" w:eastAsia="Arial" w:hAnsi="Arial"/>
                <w:sz w:val="18"/>
                <w:szCs w:val="18"/>
                <w:color w:val="auto"/>
              </w:rPr>
              <w:t>Warren E. Buffett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1180" w:type="dxa"/>
            <w:vAlign w:val="bottom"/>
            <w:gridSpan w:val="4"/>
          </w:tcPr>
          <w:p>
            <w:pPr>
              <w:jc w:val="center"/>
              <w:ind w:left="392"/>
              <w:spacing w:after="0"/>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Melinda F. Gates</w:t>
            </w:r>
          </w:p>
        </w:tc>
        <w:tc>
          <w:tcPr>
            <w:tcW w:w="1180" w:type="dxa"/>
            <w:vAlign w:val="bottom"/>
            <w:gridSpan w:val="4"/>
          </w:tcPr>
          <w:p>
            <w:pPr>
              <w:jc w:val="center"/>
              <w:ind w:left="392"/>
              <w:spacing w:after="0"/>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Donald E. Graham</w:t>
            </w:r>
          </w:p>
        </w:tc>
        <w:tc>
          <w:tcPr>
            <w:tcW w:w="1180" w:type="dxa"/>
            <w:vAlign w:val="bottom"/>
            <w:gridSpan w:val="4"/>
          </w:tcPr>
          <w:p>
            <w:pPr>
              <w:jc w:val="center"/>
              <w:ind w:left="392"/>
              <w:spacing w:after="0"/>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Richard D. Simmons</w:t>
            </w:r>
          </w:p>
        </w:tc>
        <w:tc>
          <w:tcPr>
            <w:tcW w:w="1180" w:type="dxa"/>
            <w:vAlign w:val="bottom"/>
            <w:gridSpan w:val="4"/>
          </w:tcPr>
          <w:p>
            <w:pPr>
              <w:jc w:val="center"/>
              <w:ind w:left="392"/>
              <w:spacing w:after="0"/>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George W. Wilson</w:t>
            </w:r>
          </w:p>
        </w:tc>
        <w:tc>
          <w:tcPr>
            <w:tcW w:w="1180" w:type="dxa"/>
            <w:vAlign w:val="bottom"/>
            <w:gridSpan w:val="4"/>
          </w:tcPr>
          <w:p>
            <w:pPr>
              <w:jc w:val="center"/>
              <w:ind w:left="392"/>
              <w:spacing w:after="0"/>
              <w:rPr>
                <w:sz w:val="20"/>
                <w:szCs w:val="20"/>
                <w:color w:val="auto"/>
              </w:rPr>
            </w:pPr>
            <w:r>
              <w:rPr>
                <w:rFonts w:ascii="Arial" w:cs="Arial" w:eastAsia="Arial" w:hAnsi="Arial"/>
                <w:sz w:val="18"/>
                <w:szCs w:val="18"/>
                <w:color w:val="auto"/>
                <w:w w:val="87"/>
              </w:rPr>
              <w:t>1,722,250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380"/>
        </w:trPr>
        <w:tc>
          <w:tcPr>
            <w:tcW w:w="7200" w:type="dxa"/>
            <w:vAlign w:val="bottom"/>
            <w:gridSpan w:val="2"/>
          </w:tcPr>
          <w:p>
            <w:pPr>
              <w:spacing w:after="0"/>
              <w:rPr>
                <w:sz w:val="20"/>
                <w:szCs w:val="20"/>
                <w:color w:val="auto"/>
              </w:rPr>
            </w:pPr>
            <w:r>
              <w:rPr>
                <w:rFonts w:ascii="Arial" w:cs="Arial" w:eastAsia="Arial" w:hAnsi="Arial"/>
                <w:sz w:val="18"/>
                <w:szCs w:val="18"/>
                <w:color w:val="auto"/>
              </w:rPr>
              <w:t>Class B Directors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78"/>
              </w:rPr>
              <w:t>Votes</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56"/>
        </w:trPr>
        <w:tc>
          <w:tcPr>
            <w:tcW w:w="12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Nominee</w:t>
            </w:r>
          </w:p>
        </w:tc>
        <w:tc>
          <w:tcPr>
            <w:tcW w:w="59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5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Votes For</w:t>
            </w:r>
          </w:p>
        </w:tc>
        <w:tc>
          <w:tcPr>
            <w:tcW w:w="40" w:type="dxa"/>
            <w:vAlign w:val="bottom"/>
          </w:tcPr>
          <w:p>
            <w:pPr>
              <w:spacing w:after="0"/>
              <w:rPr>
                <w:sz w:val="14"/>
                <w:szCs w:val="14"/>
                <w:color w:val="auto"/>
              </w:rPr>
            </w:pPr>
          </w:p>
        </w:tc>
        <w:tc>
          <w:tcPr>
            <w:tcW w:w="100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91"/>
              </w:rPr>
              <w:t>Withheld</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195"/>
        </w:trPr>
        <w:tc>
          <w:tcPr>
            <w:tcW w:w="7200" w:type="dxa"/>
            <w:vAlign w:val="bottom"/>
            <w:gridSpan w:val="2"/>
          </w:tcPr>
          <w:p>
            <w:pPr>
              <w:spacing w:after="0" w:line="195" w:lineRule="exact"/>
              <w:rPr>
                <w:sz w:val="20"/>
                <w:szCs w:val="20"/>
                <w:color w:val="auto"/>
              </w:rPr>
            </w:pPr>
            <w:r>
              <w:rPr>
                <w:rFonts w:ascii="Arial" w:cs="Arial" w:eastAsia="Arial" w:hAnsi="Arial"/>
                <w:sz w:val="18"/>
                <w:szCs w:val="18"/>
                <w:color w:val="auto"/>
              </w:rPr>
              <w:t>Christopher C. Davis</w:t>
            </w:r>
          </w:p>
        </w:tc>
        <w:tc>
          <w:tcPr>
            <w:tcW w:w="580" w:type="dxa"/>
            <w:vAlign w:val="bottom"/>
            <w:gridSpan w:val="3"/>
          </w:tcPr>
          <w:p>
            <w:pPr>
              <w:spacing w:after="0"/>
              <w:rPr>
                <w:sz w:val="16"/>
                <w:szCs w:val="16"/>
                <w:color w:val="auto"/>
              </w:rPr>
            </w:pPr>
          </w:p>
        </w:tc>
        <w:tc>
          <w:tcPr>
            <w:tcW w:w="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4"/>
              </w:rPr>
              <w:t>6,636,147</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9"/>
              </w:rPr>
              <w:t>116,334</w:t>
            </w:r>
          </w:p>
        </w:tc>
        <w:tc>
          <w:tcPr>
            <w:tcW w:w="42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John L. Dotson Jr.</w:t>
            </w:r>
          </w:p>
        </w:tc>
        <w:tc>
          <w:tcPr>
            <w:tcW w:w="1660" w:type="dxa"/>
            <w:vAlign w:val="bottom"/>
            <w:gridSpan w:val="6"/>
          </w:tcPr>
          <w:p>
            <w:pPr>
              <w:ind w:left="580"/>
              <w:spacing w:after="0"/>
              <w:rPr>
                <w:sz w:val="20"/>
                <w:szCs w:val="20"/>
                <w:color w:val="auto"/>
              </w:rPr>
            </w:pPr>
            <w:r>
              <w:rPr>
                <w:rFonts w:ascii="Arial" w:cs="Arial" w:eastAsia="Arial" w:hAnsi="Arial"/>
                <w:sz w:val="18"/>
                <w:szCs w:val="18"/>
                <w:color w:val="auto"/>
              </w:rPr>
              <w:t>6,676,143</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76,338</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Ronald L. Olson</w:t>
            </w:r>
          </w:p>
        </w:tc>
        <w:tc>
          <w:tcPr>
            <w:tcW w:w="1660" w:type="dxa"/>
            <w:vAlign w:val="bottom"/>
            <w:gridSpan w:val="6"/>
          </w:tcPr>
          <w:p>
            <w:pPr>
              <w:ind w:left="580"/>
              <w:spacing w:after="0"/>
              <w:rPr>
                <w:sz w:val="20"/>
                <w:szCs w:val="20"/>
                <w:color w:val="auto"/>
              </w:rPr>
            </w:pPr>
            <w:r>
              <w:rPr>
                <w:rFonts w:ascii="Arial" w:cs="Arial" w:eastAsia="Arial" w:hAnsi="Arial"/>
                <w:sz w:val="18"/>
                <w:szCs w:val="18"/>
                <w:color w:val="auto"/>
              </w:rPr>
              <w:t>6,656,499</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95,982</w:t>
            </w:r>
          </w:p>
        </w:tc>
        <w:tc>
          <w:tcPr>
            <w:tcW w:w="4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In addition, the stockholders voted on a series of amendments to the Company’s Incentive Compensation Plan. The amendments (i) provide the Company’s Compensation Committee with greater flexibility in designing compensation plans for key employees of the Company and its subsidiaries and (ii) modify or establish caps on the payouts of various awards payable to participants under the Incentive Compensation Plan. The voting results are set forth below:</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Votes</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61"/>
        </w:trPr>
        <w:tc>
          <w:tcPr>
            <w:tcW w:w="3080" w:type="dxa"/>
            <w:vAlign w:val="bottom"/>
            <w:vMerge w:val="restart"/>
          </w:tcPr>
          <w:p>
            <w:pPr>
              <w:spacing w:after="0"/>
              <w:rPr>
                <w:sz w:val="20"/>
                <w:szCs w:val="20"/>
                <w:color w:val="auto"/>
              </w:rPr>
            </w:pPr>
            <w:r>
              <w:rPr>
                <w:rFonts w:ascii="Arial" w:cs="Arial" w:eastAsia="Arial" w:hAnsi="Arial"/>
                <w:sz w:val="18"/>
                <w:szCs w:val="18"/>
                <w:color w:val="auto"/>
              </w:rPr>
              <w:t>Class A Stock</w:t>
            </w:r>
          </w:p>
        </w:tc>
        <w:tc>
          <w:tcPr>
            <w:tcW w:w="4120" w:type="dxa"/>
            <w:vAlign w:val="bottom"/>
          </w:tcPr>
          <w:p>
            <w:pPr>
              <w:spacing w:after="0"/>
              <w:rPr>
                <w:sz w:val="14"/>
                <w:szCs w:val="14"/>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2"/>
              </w:rPr>
              <w:t>Votes For</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32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Abstain</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201"/>
        </w:trPr>
        <w:tc>
          <w:tcPr>
            <w:tcW w:w="3080" w:type="dxa"/>
            <w:vAlign w:val="bottom"/>
            <w:vMerge w:val="continue"/>
          </w:tcPr>
          <w:p>
            <w:pPr>
              <w:spacing w:after="0"/>
              <w:rPr>
                <w:sz w:val="17"/>
                <w:szCs w:val="17"/>
                <w:color w:val="auto"/>
              </w:rPr>
            </w:pPr>
          </w:p>
        </w:tc>
        <w:tc>
          <w:tcPr>
            <w:tcW w:w="41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w w:val="84"/>
              </w:rPr>
              <w:t>1,722,250</w:t>
            </w:r>
          </w:p>
        </w:tc>
        <w:tc>
          <w:tcPr>
            <w:tcW w:w="300" w:type="dxa"/>
            <w:vAlign w:val="bottom"/>
          </w:tcPr>
          <w:p>
            <w:pPr>
              <w:spacing w:after="0"/>
              <w:rPr>
                <w:sz w:val="17"/>
                <w:szCs w:val="17"/>
                <w:color w:val="auto"/>
              </w:rPr>
            </w:pPr>
          </w:p>
        </w:tc>
        <w:tc>
          <w:tcPr>
            <w:tcW w:w="580" w:type="dxa"/>
            <w:vAlign w:val="bottom"/>
          </w:tcPr>
          <w:p>
            <w:pPr>
              <w:jc w:val="right"/>
              <w:ind w:right="106"/>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480" w:type="dxa"/>
            <w:vAlign w:val="bottom"/>
          </w:tcPr>
          <w:p>
            <w:pPr>
              <w:jc w:val="right"/>
              <w:ind w:right="62"/>
              <w:spacing w:after="0" w:line="201" w:lineRule="exact"/>
              <w:rPr>
                <w:sz w:val="20"/>
                <w:szCs w:val="20"/>
                <w:color w:val="auto"/>
              </w:rPr>
            </w:pPr>
            <w:r>
              <w:rPr>
                <w:rFonts w:ascii="Arial" w:cs="Arial" w:eastAsia="Arial" w:hAnsi="Arial"/>
                <w:sz w:val="18"/>
                <w:szCs w:val="18"/>
                <w:color w:val="auto"/>
              </w:rPr>
              <w:t>-0-</w:t>
            </w:r>
          </w:p>
        </w:tc>
        <w:tc>
          <w:tcPr>
            <w:tcW w:w="320" w:type="dxa"/>
            <w:vAlign w:val="bottom"/>
          </w:tcPr>
          <w:p>
            <w:pPr>
              <w:spacing w:after="0"/>
              <w:rPr>
                <w:sz w:val="17"/>
                <w:szCs w:val="17"/>
                <w:color w:val="auto"/>
              </w:rPr>
            </w:pPr>
          </w:p>
        </w:tc>
        <w:tc>
          <w:tcPr>
            <w:tcW w:w="600" w:type="dxa"/>
            <w:vAlign w:val="bottom"/>
          </w:tcPr>
          <w:p>
            <w:pPr>
              <w:jc w:val="center"/>
              <w:spacing w:after="0" w:line="201" w:lineRule="exact"/>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Class B Stock</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6,509,706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229,104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13,671</w:t>
            </w:r>
          </w:p>
        </w:tc>
        <w:tc>
          <w:tcPr>
            <w:tcW w:w="920" w:type="dxa"/>
            <w:vAlign w:val="bottom"/>
            <w:gridSpan w:val="2"/>
          </w:tcPr>
          <w:p>
            <w:pPr>
              <w:jc w:val="center"/>
              <w:ind w:left="232"/>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365"/>
        </w:trPr>
        <w:tc>
          <w:tcPr>
            <w:tcW w:w="3080" w:type="dxa"/>
            <w:vAlign w:val="bottom"/>
          </w:tcPr>
          <w:p>
            <w:pPr>
              <w:spacing w:after="0"/>
              <w:rPr>
                <w:sz w:val="24"/>
                <w:szCs w:val="24"/>
                <w:color w:val="auto"/>
              </w:rPr>
            </w:pPr>
          </w:p>
        </w:tc>
        <w:tc>
          <w:tcPr>
            <w:tcW w:w="4120" w:type="dxa"/>
            <w:vAlign w:val="bottom"/>
          </w:tcPr>
          <w:p>
            <w:pPr>
              <w:jc w:val="right"/>
              <w:ind w:right="1772"/>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03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3"/>
                <w:szCs w:val="23"/>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Annual 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By-Laws of the Company as amended and restated through September 22, 2003 (incorporated by reference to Exhibit 3.4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7"/>
              </w:rPr>
              <w:t>Form of the Company’s 5.50% Notes due February 15, 2009, issued under the Indenture dated as of February 17, 1999, between the Company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The First National Bank of Chicago, as Trustee (incorporated by reference to Exhibit 4.2 to the Company’s Annual Report on Form 10-K for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fiscal year ended January 3, 1999).</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Indenture dated as of February 17, 1999, between the Company and The First National Bank of Chicago, as Trustee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9"/>
              </w:rPr>
              <w:t>First National Bank of Chicago, as trustee, to the Indenture dated as of February 17, 1999, between The Washington Post Company and The First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National Bank of Chicago, as trustee (incorporated by reference to Exhibit 4.1 to the Company’s Current Report on Form 8-K dated September 22,</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Five Year Credit Agreement, dated as of August 8, 2006, among the Company, Citibank, N.A., JPMorgan Chase Bank, N.A., Wachovia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National Association, SunTrust Bank, The Bank of New York, PNC Bank, National Association, Bank of America, N.A. and Wells Fargo Bank,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The Washington Post Company Incentive Compensation Plan as adopted May 11, 2006 (incorporated by reference to Exhibit 10.1 to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Company’s Current Report on Form 8-K dated May 11, 2006).</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Calculation of earnings per share of common stock.</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the Chief Financial Officer.</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the Chief Executive Officer.</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the Chief Financial Officer.</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Agreement, dated as of June 5, 2006, between Mr. Jonathan Grayer and The Washington Post Company, relating performance-based retention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arrangements (incorporated by reference to Exhibit 99.1 to the Company’s Current Report on Form 8-K dated June 5, 2006).</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88"/>
              </w:rPr>
              <w:t>Stockholders Agreement, dated as of June 5, 2006, among The Washington Post Company, Kaplan, Inc. and Mr. Jonathan Grayer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Exhibit 99.2 to the Company’s Current Report on Form 8-K dated June 5,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August 9, 2006</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U.S. $500,000,000</w:t>
      </w:r>
    </w:p>
    <w:p>
      <w:pPr>
        <w:spacing w:after="0" w:line="16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FIVE YEAR CREDIT AGREEMENT</w:t>
      </w:r>
    </w:p>
    <w:p>
      <w:pPr>
        <w:spacing w:after="0" w:line="17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August 8, 2006</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6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as Borrower</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THE INITIAL LENDERS NAMED HEREIN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as Initial Lenders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CITIBANK, N.A.</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u w:val="single" w:color="auto"/>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WACHOVIA BANK, NATIONAL ASSOCIATION</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SUNTRUST BANK</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204470</wp:posOffset>
            </wp:positionV>
            <wp:extent cx="1243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CITIGROUP GLOBAL MARKETS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Joint Lead Arrangers and Joint Book Managers</w:t>
      </w:r>
    </w:p>
    <w:p>
      <w:pPr>
        <w:sectPr>
          <w:pgSz w:w="11900" w:h="16838" w:orient="portrait"/>
          <w:cols w:equalWidth="0" w:num="1">
            <w:col w:w="10220"/>
          </w:cols>
          <w:pgMar w:left="1440" w:top="125"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11140" w:type="dxa"/>
            <w:vAlign w:val="bottom"/>
          </w:tcPr>
          <w:p>
            <w:pPr>
              <w:jc w:val="center"/>
              <w:ind w:left="192"/>
              <w:spacing w:after="0"/>
              <w:rPr>
                <w:sz w:val="20"/>
                <w:szCs w:val="20"/>
                <w:color w:val="auto"/>
              </w:rPr>
            </w:pPr>
            <w:r>
              <w:rPr>
                <w:rFonts w:ascii="Arial" w:cs="Arial" w:eastAsia="Arial" w:hAnsi="Arial"/>
                <w:sz w:val="18"/>
                <w:szCs w:val="18"/>
                <w:color w:val="auto"/>
                <w:w w:val="93"/>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vMerge w:val="restart"/>
          </w:tcPr>
          <w:p>
            <w:pPr>
              <w:jc w:val="center"/>
              <w:ind w:left="192"/>
              <w:spacing w:after="0"/>
              <w:rPr>
                <w:sz w:val="20"/>
                <w:szCs w:val="20"/>
                <w:color w:val="auto"/>
              </w:rPr>
            </w:pPr>
            <w:r>
              <w:rPr>
                <w:rFonts w:ascii="Arial" w:cs="Arial" w:eastAsia="Arial" w:hAnsi="Arial"/>
                <w:sz w:val="18"/>
                <w:szCs w:val="18"/>
                <w:color w:val="auto"/>
                <w:w w:val="95"/>
              </w:rPr>
              <w:t>ARTICLE I DEFINITIONS AND ACCOUNTING TERMS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1.01. 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1.02. 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1.03.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1140" w:type="dxa"/>
            <w:vAlign w:val="bottom"/>
          </w:tcPr>
          <w:p>
            <w:pPr>
              <w:jc w:val="center"/>
              <w:ind w:left="212"/>
              <w:spacing w:after="0"/>
              <w:rPr>
                <w:sz w:val="20"/>
                <w:szCs w:val="20"/>
                <w:color w:val="auto"/>
              </w:rPr>
            </w:pPr>
            <w:r>
              <w:rPr>
                <w:rFonts w:ascii="Arial" w:cs="Arial" w:eastAsia="Arial" w:hAnsi="Arial"/>
                <w:sz w:val="18"/>
                <w:szCs w:val="18"/>
                <w:color w:val="auto"/>
                <w:w w:val="94"/>
              </w:rPr>
              <w:t>ARTICLE II AMOUNTS AND TERMS OF THE ADVANCES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2.01.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2.02. Making the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2.03. The Competitive Bid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2.04. Fees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2.05. Termination, Reduction or Increase of the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2.06. Repayment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2.07. Interest on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2.08. Interest Rate Determination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2.09. Optional Conversion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2.10. Optional Prepayments of Revolving Credit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2.11. 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2.12.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2.13. Payments and Computations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2.14. 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2.15. Sharing of Payments, Etc</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2.16. 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2.17. Extension of Termination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1140" w:type="dxa"/>
            <w:vAlign w:val="bottom"/>
          </w:tcPr>
          <w:p>
            <w:pPr>
              <w:jc w:val="center"/>
              <w:ind w:left="192"/>
              <w:spacing w:after="0"/>
              <w:rPr>
                <w:sz w:val="20"/>
                <w:szCs w:val="20"/>
                <w:color w:val="auto"/>
              </w:rPr>
            </w:pPr>
            <w:r>
              <w:rPr>
                <w:rFonts w:ascii="Arial" w:cs="Arial" w:eastAsia="Arial" w:hAnsi="Arial"/>
                <w:sz w:val="18"/>
                <w:szCs w:val="18"/>
                <w:color w:val="auto"/>
                <w:w w:val="94"/>
              </w:rPr>
              <w:t>ARTICLE III CONDITIONS TO EFFECTIVENESS AND LENDING</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140" w:type="dxa"/>
            <w:vAlign w:val="bottom"/>
          </w:tcPr>
          <w:p>
            <w:pPr>
              <w:spacing w:after="0"/>
              <w:rPr>
                <w:sz w:val="20"/>
                <w:szCs w:val="20"/>
                <w:color w:val="auto"/>
              </w:rPr>
            </w:pPr>
            <w:r>
              <w:rPr>
                <w:rFonts w:ascii="Arial" w:cs="Arial" w:eastAsia="Arial" w:hAnsi="Arial"/>
                <w:sz w:val="18"/>
                <w:szCs w:val="18"/>
                <w:color w:val="auto"/>
              </w:rPr>
              <w:t>SECTION 3.01. Conditions Precedent to Effectiveness of Sections 2.01 and 2.03</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3.02. Conditions Precedent to Each Revolving Credit Borrowing, Increase Date and Extension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140" w:type="dxa"/>
            <w:vAlign w:val="bottom"/>
          </w:tcPr>
          <w:p>
            <w:pPr>
              <w:spacing w:after="0"/>
              <w:rPr>
                <w:sz w:val="20"/>
                <w:szCs w:val="20"/>
                <w:color w:val="auto"/>
              </w:rPr>
            </w:pPr>
            <w:r>
              <w:rPr>
                <w:rFonts w:ascii="Arial" w:cs="Arial" w:eastAsia="Arial" w:hAnsi="Arial"/>
                <w:sz w:val="18"/>
                <w:szCs w:val="18"/>
                <w:color w:val="auto"/>
              </w:rPr>
              <w:t>SECTION 3.03. Conditions Precedent to Each Competitive Bid Borrowing</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1140" w:type="dxa"/>
            <w:vAlign w:val="bottom"/>
          </w:tcPr>
          <w:p>
            <w:pPr>
              <w:spacing w:after="0"/>
              <w:rPr>
                <w:sz w:val="20"/>
                <w:szCs w:val="20"/>
                <w:color w:val="auto"/>
              </w:rPr>
            </w:pPr>
            <w:r>
              <w:rPr>
                <w:rFonts w:ascii="Arial" w:cs="Arial" w:eastAsia="Arial" w:hAnsi="Arial"/>
                <w:sz w:val="18"/>
                <w:szCs w:val="18"/>
                <w:color w:val="auto"/>
              </w:rPr>
              <w:t>SECTION 3.04. Determinations Under Section 3.01</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1140" w:type="dxa"/>
            <w:vAlign w:val="bottom"/>
          </w:tcPr>
          <w:p>
            <w:pPr>
              <w:jc w:val="center"/>
              <w:ind w:left="212"/>
              <w:spacing w:after="0"/>
              <w:rPr>
                <w:sz w:val="20"/>
                <w:szCs w:val="20"/>
                <w:color w:val="auto"/>
              </w:rPr>
            </w:pPr>
            <w:r>
              <w:rPr>
                <w:rFonts w:ascii="Arial" w:cs="Arial" w:eastAsia="Arial" w:hAnsi="Arial"/>
                <w:sz w:val="18"/>
                <w:szCs w:val="18"/>
                <w:color w:val="auto"/>
                <w:w w:val="93"/>
              </w:rPr>
              <w:t>ARTICLE IV 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140" w:type="dxa"/>
            <w:vAlign w:val="bottom"/>
          </w:tcPr>
          <w:p>
            <w:pPr>
              <w:spacing w:after="0"/>
              <w:rPr>
                <w:sz w:val="20"/>
                <w:szCs w:val="20"/>
                <w:color w:val="auto"/>
              </w:rPr>
            </w:pPr>
            <w:r>
              <w:rPr>
                <w:rFonts w:ascii="Arial" w:cs="Arial" w:eastAsia="Arial" w:hAnsi="Arial"/>
                <w:sz w:val="18"/>
                <w:szCs w:val="18"/>
                <w:color w:val="auto"/>
              </w:rPr>
              <w:t>SECTION 4.01. Representations and Warranties of the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7780" w:type="dxa"/>
            <w:vAlign w:val="bottom"/>
          </w:tcPr>
          <w:p>
            <w:pPr>
              <w:jc w:val="center"/>
              <w:ind w:right="3552"/>
              <w:spacing w:after="0"/>
              <w:rPr>
                <w:sz w:val="20"/>
                <w:szCs w:val="20"/>
                <w:color w:val="auto"/>
              </w:rPr>
            </w:pPr>
            <w:r>
              <w:rPr>
                <w:rFonts w:ascii="Arial" w:cs="Arial" w:eastAsia="Arial" w:hAnsi="Arial"/>
                <w:sz w:val="18"/>
                <w:szCs w:val="18"/>
                <w:color w:val="auto"/>
                <w:w w:val="93"/>
              </w:rPr>
              <w:t>ARTICLE V COVENANTS OF THE BORROWER</w:t>
            </w:r>
          </w:p>
        </w:tc>
      </w:tr>
      <w:tr>
        <w:trPr>
          <w:trHeight w:val="318"/>
        </w:trPr>
        <w:tc>
          <w:tcPr>
            <w:tcW w:w="3640" w:type="dxa"/>
            <w:vAlign w:val="bottom"/>
          </w:tcPr>
          <w:p>
            <w:pPr>
              <w:spacing w:after="0"/>
              <w:rPr>
                <w:sz w:val="20"/>
                <w:szCs w:val="20"/>
                <w:color w:val="auto"/>
              </w:rPr>
            </w:pPr>
            <w:r>
              <w:rPr>
                <w:rFonts w:ascii="Arial" w:cs="Arial" w:eastAsia="Arial" w:hAnsi="Arial"/>
                <w:sz w:val="18"/>
                <w:szCs w:val="18"/>
                <w:color w:val="auto"/>
              </w:rPr>
              <w:t>SECTION 5.01. Affirmative Covenants</w:t>
            </w:r>
          </w:p>
        </w:tc>
        <w:tc>
          <w:tcPr>
            <w:tcW w:w="7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5.02. Negative Covenants</w:t>
            </w:r>
          </w:p>
        </w:tc>
        <w:tc>
          <w:tcPr>
            <w:tcW w:w="7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SECTION 5.03. Financial Covenant</w:t>
            </w:r>
          </w:p>
        </w:tc>
        <w:tc>
          <w:tcPr>
            <w:tcW w:w="7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640" w:type="dxa"/>
            <w:vAlign w:val="bottom"/>
          </w:tcPr>
          <w:p>
            <w:pPr>
              <w:spacing w:after="0"/>
              <w:rPr>
                <w:sz w:val="24"/>
                <w:szCs w:val="24"/>
                <w:color w:val="auto"/>
              </w:rPr>
            </w:pPr>
          </w:p>
        </w:tc>
        <w:tc>
          <w:tcPr>
            <w:tcW w:w="7780" w:type="dxa"/>
            <w:vAlign w:val="bottom"/>
          </w:tcPr>
          <w:p>
            <w:pPr>
              <w:jc w:val="center"/>
              <w:ind w:right="3532"/>
              <w:spacing w:after="0"/>
              <w:rPr>
                <w:sz w:val="20"/>
                <w:szCs w:val="20"/>
                <w:color w:val="auto"/>
              </w:rPr>
            </w:pPr>
            <w:r>
              <w:rPr>
                <w:rFonts w:ascii="Arial" w:cs="Arial" w:eastAsia="Arial" w:hAnsi="Arial"/>
                <w:sz w:val="18"/>
                <w:szCs w:val="18"/>
                <w:color w:val="auto"/>
                <w:w w:val="94"/>
              </w:rPr>
              <w:t>ARTICLE VI EVENTS OF DEFAULT</w:t>
            </w:r>
          </w:p>
        </w:tc>
      </w:tr>
      <w:tr>
        <w:trPr>
          <w:trHeight w:val="324"/>
        </w:trPr>
        <w:tc>
          <w:tcPr>
            <w:tcW w:w="3640" w:type="dxa"/>
            <w:vAlign w:val="bottom"/>
          </w:tcPr>
          <w:p>
            <w:pPr>
              <w:spacing w:after="0"/>
              <w:rPr>
                <w:sz w:val="20"/>
                <w:szCs w:val="20"/>
                <w:color w:val="auto"/>
              </w:rPr>
            </w:pPr>
            <w:r>
              <w:rPr>
                <w:rFonts w:ascii="Arial" w:cs="Arial" w:eastAsia="Arial" w:hAnsi="Arial"/>
                <w:sz w:val="18"/>
                <w:szCs w:val="18"/>
                <w:color w:val="auto"/>
              </w:rPr>
              <w:t>SECTION 6.01. Events of Default</w:t>
            </w:r>
          </w:p>
        </w:tc>
        <w:tc>
          <w:tcPr>
            <w:tcW w:w="7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3640" w:type="dxa"/>
            <w:vAlign w:val="bottom"/>
          </w:tcPr>
          <w:p>
            <w:pPr>
              <w:spacing w:after="0"/>
              <w:rPr>
                <w:sz w:val="24"/>
                <w:szCs w:val="24"/>
                <w:color w:val="auto"/>
              </w:rPr>
            </w:pPr>
          </w:p>
        </w:tc>
        <w:tc>
          <w:tcPr>
            <w:tcW w:w="7780" w:type="dxa"/>
            <w:vAlign w:val="bottom"/>
          </w:tcPr>
          <w:p>
            <w:pPr>
              <w:jc w:val="center"/>
              <w:ind w:right="3532"/>
              <w:spacing w:after="0"/>
              <w:rPr>
                <w:sz w:val="20"/>
                <w:szCs w:val="20"/>
                <w:color w:val="auto"/>
              </w:rPr>
            </w:pPr>
            <w:r>
              <w:rPr>
                <w:rFonts w:ascii="Arial" w:cs="Arial" w:eastAsia="Arial" w:hAnsi="Arial"/>
                <w:sz w:val="18"/>
                <w:szCs w:val="18"/>
                <w:color w:val="auto"/>
                <w:w w:val="96"/>
              </w:rPr>
              <w:t>ARTICLE VII THE AGENT</w:t>
            </w:r>
          </w:p>
        </w:tc>
      </w:tr>
      <w:tr>
        <w:trPr>
          <w:trHeight w:val="318"/>
        </w:trPr>
        <w:tc>
          <w:tcPr>
            <w:tcW w:w="3640" w:type="dxa"/>
            <w:vAlign w:val="bottom"/>
          </w:tcPr>
          <w:p>
            <w:pPr>
              <w:spacing w:after="0"/>
              <w:rPr>
                <w:sz w:val="20"/>
                <w:szCs w:val="20"/>
                <w:color w:val="auto"/>
              </w:rPr>
            </w:pPr>
            <w:r>
              <w:rPr>
                <w:rFonts w:ascii="Arial" w:cs="Arial" w:eastAsia="Arial" w:hAnsi="Arial"/>
                <w:sz w:val="18"/>
                <w:szCs w:val="18"/>
                <w:color w:val="auto"/>
              </w:rPr>
              <w:t>SECTION 7.01. Authorization and Action</w:t>
            </w:r>
          </w:p>
        </w:tc>
        <w:tc>
          <w:tcPr>
            <w:tcW w:w="7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7.02. Agent’s Reliance, Etc</w:t>
            </w:r>
          </w:p>
        </w:tc>
        <w:tc>
          <w:tcPr>
            <w:tcW w:w="7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7.03. Citibank and Affiliates</w:t>
            </w:r>
          </w:p>
        </w:tc>
        <w:tc>
          <w:tcPr>
            <w:tcW w:w="7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7.04. Lender Credit Decision</w:t>
            </w:r>
          </w:p>
        </w:tc>
        <w:tc>
          <w:tcPr>
            <w:tcW w:w="7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7.05. Indemnification</w:t>
            </w:r>
          </w:p>
        </w:tc>
        <w:tc>
          <w:tcPr>
            <w:tcW w:w="7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7.06. Successor Agent</w:t>
            </w:r>
          </w:p>
        </w:tc>
        <w:tc>
          <w:tcPr>
            <w:tcW w:w="7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SECTION 7.07. Syndication Agents</w:t>
            </w:r>
          </w:p>
        </w:tc>
        <w:tc>
          <w:tcPr>
            <w:tcW w:w="7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3640" w:type="dxa"/>
            <w:vAlign w:val="bottom"/>
          </w:tcPr>
          <w:p>
            <w:pPr>
              <w:spacing w:after="0"/>
              <w:rPr>
                <w:sz w:val="24"/>
                <w:szCs w:val="24"/>
                <w:color w:val="auto"/>
              </w:rPr>
            </w:pPr>
          </w:p>
        </w:tc>
        <w:tc>
          <w:tcPr>
            <w:tcW w:w="7780" w:type="dxa"/>
            <w:vAlign w:val="bottom"/>
          </w:tcPr>
          <w:p>
            <w:pPr>
              <w:jc w:val="center"/>
              <w:ind w:right="3552"/>
              <w:spacing w:after="0"/>
              <w:rPr>
                <w:sz w:val="20"/>
                <w:szCs w:val="20"/>
                <w:color w:val="auto"/>
              </w:rPr>
            </w:pPr>
            <w:r>
              <w:rPr>
                <w:rFonts w:ascii="Arial" w:cs="Arial" w:eastAsia="Arial" w:hAnsi="Arial"/>
                <w:sz w:val="18"/>
                <w:szCs w:val="18"/>
                <w:color w:val="auto"/>
                <w:w w:val="96"/>
              </w:rPr>
              <w:t>ARTICLE VIII MISCELLANEOUS</w:t>
            </w:r>
          </w:p>
        </w:tc>
      </w:tr>
      <w:tr>
        <w:trPr>
          <w:trHeight w:val="318"/>
        </w:trPr>
        <w:tc>
          <w:tcPr>
            <w:tcW w:w="3640" w:type="dxa"/>
            <w:vAlign w:val="bottom"/>
          </w:tcPr>
          <w:p>
            <w:pPr>
              <w:spacing w:after="0"/>
              <w:rPr>
                <w:sz w:val="20"/>
                <w:szCs w:val="20"/>
                <w:color w:val="auto"/>
              </w:rPr>
            </w:pPr>
            <w:r>
              <w:rPr>
                <w:rFonts w:ascii="Arial" w:cs="Arial" w:eastAsia="Arial" w:hAnsi="Arial"/>
                <w:sz w:val="18"/>
                <w:szCs w:val="18"/>
                <w:color w:val="auto"/>
              </w:rPr>
              <w:t>SECTION 8.01. Amendments, Etc</w:t>
            </w:r>
          </w:p>
        </w:tc>
        <w:tc>
          <w:tcPr>
            <w:tcW w:w="7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8.02. Notices, Etc</w:t>
            </w:r>
          </w:p>
        </w:tc>
        <w:tc>
          <w:tcPr>
            <w:tcW w:w="7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8.03. No Waiver; Remedies</w:t>
            </w:r>
          </w:p>
        </w:tc>
        <w:tc>
          <w:tcPr>
            <w:tcW w:w="7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8.04. Costs and Expenses</w:t>
            </w:r>
          </w:p>
        </w:tc>
        <w:tc>
          <w:tcPr>
            <w:tcW w:w="7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8.05. Right of Set-off</w:t>
            </w:r>
          </w:p>
        </w:tc>
        <w:tc>
          <w:tcPr>
            <w:tcW w:w="7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8.06. Binding Effect</w:t>
            </w:r>
          </w:p>
        </w:tc>
        <w:tc>
          <w:tcPr>
            <w:tcW w:w="7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4"/>
              </w:rPr>
              <w:t>SECTION 8.07. Assignments and Participations</w:t>
            </w:r>
          </w:p>
        </w:tc>
        <w:tc>
          <w:tcPr>
            <w:tcW w:w="7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8.08. Confidentiality</w:t>
            </w:r>
          </w:p>
        </w:tc>
        <w:tc>
          <w:tcPr>
            <w:tcW w:w="7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8.09. Governing Law</w:t>
            </w:r>
          </w:p>
        </w:tc>
        <w:tc>
          <w:tcPr>
            <w:tcW w:w="7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8.10. Execution in Counterparts</w:t>
            </w:r>
          </w:p>
        </w:tc>
        <w:tc>
          <w:tcPr>
            <w:tcW w:w="7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8.11. Jurisdiction, Etc</w:t>
            </w:r>
          </w:p>
        </w:tc>
        <w:tc>
          <w:tcPr>
            <w:tcW w:w="7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SECTION 8.12. Patriot Act Notice</w:t>
            </w:r>
          </w:p>
        </w:tc>
        <w:tc>
          <w:tcPr>
            <w:tcW w:w="7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SECTION 8.13. Waiver of Jury Trial</w:t>
            </w:r>
          </w:p>
        </w:tc>
        <w:tc>
          <w:tcPr>
            <w:tcW w:w="7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65"/>
        </w:trPr>
        <w:tc>
          <w:tcPr>
            <w:tcW w:w="3640" w:type="dxa"/>
            <w:vAlign w:val="bottom"/>
          </w:tcPr>
          <w:p>
            <w:pPr>
              <w:spacing w:after="0"/>
              <w:rPr>
                <w:sz w:val="24"/>
                <w:szCs w:val="24"/>
                <w:color w:val="auto"/>
              </w:rPr>
            </w:pPr>
          </w:p>
        </w:tc>
        <w:tc>
          <w:tcPr>
            <w:tcW w:w="7780" w:type="dxa"/>
            <w:vAlign w:val="bottom"/>
          </w:tcPr>
          <w:p>
            <w:pPr>
              <w:jc w:val="center"/>
              <w:ind w:right="3532"/>
              <w:spacing w:after="0"/>
              <w:rPr>
                <w:sz w:val="20"/>
                <w:szCs w:val="20"/>
                <w:color w:val="auto"/>
              </w:rPr>
            </w:pPr>
            <w:r>
              <w:rPr>
                <w:rFonts w:ascii="Arial" w:cs="Arial" w:eastAsia="Arial" w:hAnsi="Arial"/>
                <w:sz w:val="18"/>
                <w:szCs w:val="18"/>
                <w:color w:val="auto"/>
                <w:w w:val="79"/>
              </w:rPr>
              <w:t>2</w:t>
            </w:r>
          </w:p>
        </w:tc>
      </w:tr>
    </w:tbl>
    <w:p>
      <w:pPr>
        <w:jc w:val="center"/>
        <w:ind w:right="353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Schedule I - List of Applicable Lending Offices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Schedule 5.02(a) - Existing Liens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Exhibits</w:t>
      </w:r>
    </w:p>
    <w:p>
      <w:pPr>
        <w:sectPr>
          <w:pgSz w:w="11900" w:h="16838" w:orient="portrait"/>
          <w:cols w:equalWidth="0" w:num="1">
            <w:col w:w="10219"/>
          </w:cols>
          <w:pgMar w:left="240" w:top="280" w:right="1440" w:bottom="1440" w:gutter="0" w:footer="0" w:header="0"/>
        </w:sectPr>
      </w:pPr>
    </w:p>
    <w:p>
      <w:pPr>
        <w:spacing w:after="0" w:line="212" w:lineRule="exact"/>
        <w:rPr>
          <w:sz w:val="20"/>
          <w:szCs w:val="20"/>
          <w:color w:val="auto"/>
        </w:rPr>
      </w:pPr>
    </w:p>
    <w:p>
      <w:pPr>
        <w:spacing w:after="0" w:line="428" w:lineRule="auto"/>
        <w:rPr>
          <w:sz w:val="20"/>
          <w:szCs w:val="20"/>
          <w:color w:val="auto"/>
        </w:rPr>
      </w:pPr>
      <w:r>
        <w:rPr>
          <w:rFonts w:ascii="Arial" w:cs="Arial" w:eastAsia="Arial" w:hAnsi="Arial"/>
          <w:sz w:val="16"/>
          <w:szCs w:val="16"/>
          <w:color w:val="auto"/>
        </w:rPr>
        <w:t>Exhibit A-1 Exhibit A-2 Exhibit B-1 Exhibit B-2 Exhibit C Exhibit D Exhibit E-1 Exhibit E-2 Exhibit F</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Revolving Credit Note</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Competitive Bid Note</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Notice of Revolving Credit Borrowing</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Notice of Competitive Bid Borrowing</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Assignment and Acceptance</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Assumption Agreement</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Opinion of Counsel for the Borrower</w:t>
      </w:r>
    </w:p>
    <w:p>
      <w:pPr>
        <w:spacing w:after="0" w:line="11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Form of Opinion of Counsel for the Newspaper Subsidiary</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Form of Subsidiary Guaranty</w:t>
      </w:r>
    </w:p>
    <w:p>
      <w:pPr>
        <w:spacing w:after="0" w:line="157" w:lineRule="exact"/>
        <w:rPr>
          <w:sz w:val="20"/>
          <w:szCs w:val="20"/>
          <w:color w:val="auto"/>
        </w:rPr>
      </w:pPr>
    </w:p>
    <w:p>
      <w:pPr>
        <w:sectPr>
          <w:pgSz w:w="11900" w:h="16838" w:orient="portrait"/>
          <w:cols w:equalWidth="0" w:num="2">
            <w:col w:w="840" w:space="240"/>
            <w:col w:w="9139"/>
          </w:cols>
          <w:pgMar w:left="240" w:top="280" w:right="1440" w:bottom="1440" w:gutter="0" w:footer="0" w:header="0"/>
          <w:type w:val="continuous"/>
        </w:sectPr>
      </w:pPr>
    </w:p>
    <w:p>
      <w:pPr>
        <w:jc w:val="right"/>
        <w:ind w:right="44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280" w:right="1440" w:bottom="1440" w:gutter="0" w:footer="0" w:header="0"/>
          <w:type w:val="continuous"/>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FIVE YEAR CREDIT AGREEMENT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Dated as of August 8, 2006</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banks, financial institutions and other institutional lenders (the “</w:t>
      </w:r>
      <w:r>
        <w:rPr>
          <w:rFonts w:ascii="Arial" w:cs="Arial" w:eastAsia="Arial" w:hAnsi="Arial"/>
          <w:sz w:val="18"/>
          <w:szCs w:val="18"/>
          <w:u w:val="single" w:color="auto"/>
          <w:color w:val="auto"/>
        </w:rPr>
        <w:t>Initial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listed on the signature pages hereof, and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(as hereinafter defined), agree as follows: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171"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As used in this Agreement, the following terms shall have the following meanings (such meanings to be equally applicable to both the singular and plural forms of the terms defined):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Revolving Credit Advance or a Competitive Bid Advance.</w:t>
      </w:r>
    </w:p>
    <w:p>
      <w:pPr>
        <w:spacing w:after="0" w:line="90"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62" w:lineRule="exact"/>
        <w:rPr>
          <w:sz w:val="20"/>
          <w:szCs w:val="20"/>
          <w:color w:val="auto"/>
        </w:rPr>
      </w:pPr>
    </w:p>
    <w:p>
      <w:pPr>
        <w:ind w:left="460" w:right="7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means the account of the Agent maintained by the Agent at Citibank with its office at 388 Greenwich Street, New York, New York 10013, Account No. 36852248, Attention: Bank Loans Syndications.</w:t>
      </w:r>
    </w:p>
    <w:p>
      <w:pPr>
        <w:spacing w:after="0" w:line="51" w:lineRule="exact"/>
        <w:rPr>
          <w:sz w:val="20"/>
          <w:szCs w:val="20"/>
          <w:color w:val="auto"/>
        </w:rPr>
      </w:pPr>
    </w:p>
    <w:p>
      <w:pPr>
        <w:ind w:left="460" w:right="2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Lending Office</w:t>
      </w:r>
      <w:r>
        <w:rPr>
          <w:rFonts w:ascii="Arial" w:cs="Arial" w:eastAsia="Arial" w:hAnsi="Arial"/>
          <w:sz w:val="16"/>
          <w:szCs w:val="16"/>
          <w:color w:val="auto"/>
        </w:rPr>
        <w:t>”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26"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as of any date, (a) for Base Rate Advances, 0% per annum and (b) for Eurodollar Rate Advances, a percentage per annum determined by reference to the Performance Level in effect on such date as set forth below:</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Margin</w:t>
            </w:r>
          </w:p>
        </w:tc>
      </w:tr>
      <w:tr>
        <w:trPr>
          <w:trHeight w:val="149"/>
        </w:trPr>
        <w:tc>
          <w:tcPr>
            <w:tcW w:w="2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Eurodollar Rate</w:t>
            </w:r>
          </w:p>
        </w:tc>
      </w:tr>
      <w:tr>
        <w:trPr>
          <w:trHeight w:val="181"/>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27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Advances</w:t>
            </w:r>
          </w:p>
        </w:tc>
      </w:tr>
      <w:tr>
        <w:trPr>
          <w:trHeight w:val="195"/>
        </w:trPr>
        <w:tc>
          <w:tcPr>
            <w:tcW w:w="2940" w:type="dxa"/>
            <w:vAlign w:val="bottom"/>
          </w:tcPr>
          <w:p>
            <w:pPr>
              <w:jc w:val="center"/>
              <w:spacing w:after="0" w:line="195" w:lineRule="exact"/>
              <w:rPr>
                <w:sz w:val="20"/>
                <w:szCs w:val="20"/>
                <w:color w:val="auto"/>
              </w:rPr>
            </w:pPr>
            <w:r>
              <w:rPr>
                <w:rFonts w:ascii="Arial" w:cs="Arial" w:eastAsia="Arial" w:hAnsi="Arial"/>
                <w:sz w:val="18"/>
                <w:szCs w:val="18"/>
                <w:color w:val="auto"/>
              </w:rPr>
              <w:t>I</w:t>
            </w:r>
          </w:p>
        </w:tc>
        <w:tc>
          <w:tcPr>
            <w:tcW w:w="274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88"/>
              </w:rPr>
              <w:t>0.110%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99"/>
              </w:rPr>
              <w:t>II</w:t>
            </w:r>
          </w:p>
        </w:tc>
        <w:tc>
          <w:tcPr>
            <w:tcW w:w="3900" w:type="dxa"/>
            <w:vAlign w:val="bottom"/>
            <w:gridSpan w:val="2"/>
          </w:tcPr>
          <w:p>
            <w:pPr>
              <w:jc w:val="center"/>
              <w:ind w:left="2672"/>
              <w:spacing w:after="0"/>
              <w:rPr>
                <w:sz w:val="20"/>
                <w:szCs w:val="20"/>
                <w:color w:val="auto"/>
              </w:rPr>
            </w:pPr>
            <w:r>
              <w:rPr>
                <w:rFonts w:ascii="Arial" w:cs="Arial" w:eastAsia="Arial" w:hAnsi="Arial"/>
                <w:sz w:val="18"/>
                <w:szCs w:val="18"/>
                <w:color w:val="auto"/>
                <w:w w:val="88"/>
              </w:rPr>
              <w:t>0.150%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rPr>
              <w:t>III</w:t>
            </w:r>
          </w:p>
        </w:tc>
        <w:tc>
          <w:tcPr>
            <w:tcW w:w="3900" w:type="dxa"/>
            <w:vAlign w:val="bottom"/>
            <w:gridSpan w:val="2"/>
          </w:tcPr>
          <w:p>
            <w:pPr>
              <w:jc w:val="center"/>
              <w:ind w:left="2672"/>
              <w:spacing w:after="0"/>
              <w:rPr>
                <w:sz w:val="20"/>
                <w:szCs w:val="20"/>
                <w:color w:val="auto"/>
              </w:rPr>
            </w:pPr>
            <w:r>
              <w:rPr>
                <w:rFonts w:ascii="Arial" w:cs="Arial" w:eastAsia="Arial" w:hAnsi="Arial"/>
                <w:sz w:val="18"/>
                <w:szCs w:val="18"/>
                <w:color w:val="auto"/>
                <w:w w:val="88"/>
              </w:rPr>
              <w:t>0.190%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rPr>
              <w:t>IV</w:t>
            </w:r>
          </w:p>
        </w:tc>
        <w:tc>
          <w:tcPr>
            <w:tcW w:w="3900" w:type="dxa"/>
            <w:vAlign w:val="bottom"/>
            <w:gridSpan w:val="2"/>
          </w:tcPr>
          <w:p>
            <w:pPr>
              <w:jc w:val="center"/>
              <w:ind w:left="2672"/>
              <w:spacing w:after="0"/>
              <w:rPr>
                <w:sz w:val="20"/>
                <w:szCs w:val="20"/>
                <w:color w:val="auto"/>
              </w:rPr>
            </w:pPr>
            <w:r>
              <w:rPr>
                <w:rFonts w:ascii="Arial" w:cs="Arial" w:eastAsia="Arial" w:hAnsi="Arial"/>
                <w:sz w:val="18"/>
                <w:szCs w:val="18"/>
                <w:color w:val="auto"/>
                <w:w w:val="88"/>
              </w:rPr>
              <w:t>0.230%</w:t>
            </w:r>
          </w:p>
        </w:tc>
      </w:tr>
      <w:tr>
        <w:trPr>
          <w:trHeight w:val="222"/>
        </w:trPr>
        <w:tc>
          <w:tcPr>
            <w:tcW w:w="2940" w:type="dxa"/>
            <w:vAlign w:val="bottom"/>
          </w:tcPr>
          <w:p>
            <w:pPr>
              <w:jc w:val="center"/>
              <w:spacing w:after="0"/>
              <w:rPr>
                <w:sz w:val="20"/>
                <w:szCs w:val="20"/>
                <w:color w:val="auto"/>
              </w:rPr>
            </w:pPr>
            <w:r>
              <w:rPr>
                <w:rFonts w:ascii="Arial" w:cs="Arial" w:eastAsia="Arial" w:hAnsi="Arial"/>
                <w:sz w:val="18"/>
                <w:szCs w:val="18"/>
                <w:color w:val="auto"/>
              </w:rPr>
              <w:t>V</w:t>
            </w:r>
          </w:p>
        </w:tc>
        <w:tc>
          <w:tcPr>
            <w:tcW w:w="3900" w:type="dxa"/>
            <w:vAlign w:val="bottom"/>
            <w:gridSpan w:val="2"/>
          </w:tcPr>
          <w:p>
            <w:pPr>
              <w:jc w:val="center"/>
              <w:ind w:left="2672"/>
              <w:spacing w:after="0"/>
              <w:rPr>
                <w:sz w:val="20"/>
                <w:szCs w:val="20"/>
                <w:color w:val="auto"/>
              </w:rPr>
            </w:pPr>
            <w:r>
              <w:rPr>
                <w:rFonts w:ascii="Arial" w:cs="Arial" w:eastAsia="Arial" w:hAnsi="Arial"/>
                <w:sz w:val="18"/>
                <w:szCs w:val="18"/>
                <w:color w:val="auto"/>
                <w:w w:val="88"/>
              </w:rPr>
              <w:t>0.350%</w:t>
            </w:r>
          </w:p>
        </w:tc>
      </w:tr>
    </w:tbl>
    <w:p>
      <w:pPr>
        <w:sectPr>
          <w:pgSz w:w="11900" w:h="16838" w:orient="portrait"/>
          <w:cols w:equalWidth="0" w:num="1">
            <w:col w:w="11400"/>
          </w:cols>
          <w:pgMar w:left="240" w:top="280" w:right="259" w:bottom="1440" w:gutter="0" w:footer="0" w:header="0"/>
        </w:sectPr>
      </w:pPr>
    </w:p>
    <w:bookmarkStart w:id="36" w:name="page37"/>
    <w:bookmarkEnd w:id="36"/>
    <w:p>
      <w:pPr>
        <w:ind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as of any date, a percentage per annum determined by reference to the Performance Level in effect on such date as set forth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4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Applicable Percentage</w:t>
            </w:r>
          </w:p>
        </w:tc>
      </w:tr>
      <w:tr>
        <w:trPr>
          <w:trHeight w:val="195"/>
        </w:trPr>
        <w:tc>
          <w:tcPr>
            <w:tcW w:w="4160" w:type="dxa"/>
            <w:vAlign w:val="bottom"/>
          </w:tcPr>
          <w:p>
            <w:pPr>
              <w:jc w:val="center"/>
              <w:spacing w:after="0" w:line="195" w:lineRule="exact"/>
              <w:rPr>
                <w:sz w:val="20"/>
                <w:szCs w:val="20"/>
                <w:color w:val="auto"/>
              </w:rPr>
            </w:pPr>
            <w:r>
              <w:rPr>
                <w:rFonts w:ascii="Arial" w:cs="Arial" w:eastAsia="Arial" w:hAnsi="Arial"/>
                <w:sz w:val="18"/>
                <w:szCs w:val="18"/>
                <w:color w:val="auto"/>
              </w:rPr>
              <w:t>I</w:t>
            </w:r>
          </w:p>
        </w:tc>
        <w:tc>
          <w:tcPr>
            <w:tcW w:w="412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88"/>
              </w:rPr>
              <w:t>0.040%</w:t>
            </w:r>
          </w:p>
        </w:tc>
      </w:tr>
      <w:tr>
        <w:trPr>
          <w:trHeight w:val="216"/>
        </w:trPr>
        <w:tc>
          <w:tcPr>
            <w:tcW w:w="4160" w:type="dxa"/>
            <w:vAlign w:val="bottom"/>
          </w:tcPr>
          <w:p>
            <w:pPr>
              <w:jc w:val="center"/>
              <w:spacing w:after="0"/>
              <w:rPr>
                <w:sz w:val="20"/>
                <w:szCs w:val="20"/>
                <w:color w:val="auto"/>
              </w:rPr>
            </w:pPr>
            <w:r>
              <w:rPr>
                <w:rFonts w:ascii="Arial" w:cs="Arial" w:eastAsia="Arial" w:hAnsi="Arial"/>
                <w:sz w:val="18"/>
                <w:szCs w:val="18"/>
                <w:color w:val="auto"/>
              </w:rPr>
              <w:t>II</w:t>
            </w:r>
          </w:p>
        </w:tc>
        <w:tc>
          <w:tcPr>
            <w:tcW w:w="5420" w:type="dxa"/>
            <w:vAlign w:val="bottom"/>
            <w:gridSpan w:val="2"/>
          </w:tcPr>
          <w:p>
            <w:pPr>
              <w:jc w:val="center"/>
              <w:ind w:left="4032"/>
              <w:spacing w:after="0"/>
              <w:rPr>
                <w:sz w:val="20"/>
                <w:szCs w:val="20"/>
                <w:color w:val="auto"/>
              </w:rPr>
            </w:pPr>
            <w:r>
              <w:rPr>
                <w:rFonts w:ascii="Arial" w:cs="Arial" w:eastAsia="Arial" w:hAnsi="Arial"/>
                <w:sz w:val="18"/>
                <w:szCs w:val="18"/>
                <w:color w:val="auto"/>
                <w:w w:val="88"/>
              </w:rPr>
              <w:t>0.050%</w:t>
            </w:r>
          </w:p>
        </w:tc>
      </w:tr>
      <w:tr>
        <w:trPr>
          <w:trHeight w:val="216"/>
        </w:trPr>
        <w:tc>
          <w:tcPr>
            <w:tcW w:w="4160" w:type="dxa"/>
            <w:vAlign w:val="bottom"/>
          </w:tcPr>
          <w:p>
            <w:pPr>
              <w:jc w:val="center"/>
              <w:spacing w:after="0"/>
              <w:rPr>
                <w:sz w:val="20"/>
                <w:szCs w:val="20"/>
                <w:color w:val="auto"/>
              </w:rPr>
            </w:pPr>
            <w:r>
              <w:rPr>
                <w:rFonts w:ascii="Arial" w:cs="Arial" w:eastAsia="Arial" w:hAnsi="Arial"/>
                <w:sz w:val="18"/>
                <w:szCs w:val="18"/>
                <w:color w:val="auto"/>
              </w:rPr>
              <w:t>III</w:t>
            </w:r>
          </w:p>
        </w:tc>
        <w:tc>
          <w:tcPr>
            <w:tcW w:w="5420" w:type="dxa"/>
            <w:vAlign w:val="bottom"/>
            <w:gridSpan w:val="2"/>
          </w:tcPr>
          <w:p>
            <w:pPr>
              <w:jc w:val="center"/>
              <w:ind w:left="4032"/>
              <w:spacing w:after="0"/>
              <w:rPr>
                <w:sz w:val="20"/>
                <w:szCs w:val="20"/>
                <w:color w:val="auto"/>
              </w:rPr>
            </w:pPr>
            <w:r>
              <w:rPr>
                <w:rFonts w:ascii="Arial" w:cs="Arial" w:eastAsia="Arial" w:hAnsi="Arial"/>
                <w:sz w:val="18"/>
                <w:szCs w:val="18"/>
                <w:color w:val="auto"/>
                <w:w w:val="88"/>
              </w:rPr>
              <w:t>0.060%</w:t>
            </w:r>
          </w:p>
        </w:tc>
      </w:tr>
      <w:tr>
        <w:trPr>
          <w:trHeight w:val="216"/>
        </w:trPr>
        <w:tc>
          <w:tcPr>
            <w:tcW w:w="4160" w:type="dxa"/>
            <w:vAlign w:val="bottom"/>
          </w:tcPr>
          <w:p>
            <w:pPr>
              <w:jc w:val="center"/>
              <w:spacing w:after="0"/>
              <w:rPr>
                <w:sz w:val="20"/>
                <w:szCs w:val="20"/>
                <w:color w:val="auto"/>
              </w:rPr>
            </w:pPr>
            <w:r>
              <w:rPr>
                <w:rFonts w:ascii="Arial" w:cs="Arial" w:eastAsia="Arial" w:hAnsi="Arial"/>
                <w:sz w:val="18"/>
                <w:szCs w:val="18"/>
                <w:color w:val="auto"/>
              </w:rPr>
              <w:t>IV</w:t>
            </w:r>
          </w:p>
        </w:tc>
        <w:tc>
          <w:tcPr>
            <w:tcW w:w="5420" w:type="dxa"/>
            <w:vAlign w:val="bottom"/>
            <w:gridSpan w:val="2"/>
          </w:tcPr>
          <w:p>
            <w:pPr>
              <w:jc w:val="center"/>
              <w:ind w:left="4032"/>
              <w:spacing w:after="0"/>
              <w:rPr>
                <w:sz w:val="20"/>
                <w:szCs w:val="20"/>
                <w:color w:val="auto"/>
              </w:rPr>
            </w:pPr>
            <w:r>
              <w:rPr>
                <w:rFonts w:ascii="Arial" w:cs="Arial" w:eastAsia="Arial" w:hAnsi="Arial"/>
                <w:sz w:val="18"/>
                <w:szCs w:val="18"/>
                <w:color w:val="auto"/>
                <w:w w:val="88"/>
              </w:rPr>
              <w:t>0.070%</w:t>
            </w:r>
          </w:p>
        </w:tc>
      </w:tr>
      <w:tr>
        <w:trPr>
          <w:trHeight w:val="222"/>
        </w:trPr>
        <w:tc>
          <w:tcPr>
            <w:tcW w:w="4160" w:type="dxa"/>
            <w:vAlign w:val="bottom"/>
          </w:tcPr>
          <w:p>
            <w:pPr>
              <w:jc w:val="center"/>
              <w:spacing w:after="0"/>
              <w:rPr>
                <w:sz w:val="20"/>
                <w:szCs w:val="20"/>
                <w:color w:val="auto"/>
              </w:rPr>
            </w:pPr>
            <w:r>
              <w:rPr>
                <w:rFonts w:ascii="Arial" w:cs="Arial" w:eastAsia="Arial" w:hAnsi="Arial"/>
                <w:sz w:val="18"/>
                <w:szCs w:val="18"/>
                <w:color w:val="auto"/>
                <w:w w:val="99"/>
              </w:rPr>
              <w:t>V</w:t>
            </w:r>
          </w:p>
        </w:tc>
        <w:tc>
          <w:tcPr>
            <w:tcW w:w="5420" w:type="dxa"/>
            <w:vAlign w:val="bottom"/>
            <w:gridSpan w:val="2"/>
          </w:tcPr>
          <w:p>
            <w:pPr>
              <w:jc w:val="center"/>
              <w:ind w:left="4032"/>
              <w:spacing w:after="0"/>
              <w:rPr>
                <w:sz w:val="20"/>
                <w:szCs w:val="20"/>
                <w:color w:val="auto"/>
              </w:rPr>
            </w:pPr>
            <w:r>
              <w:rPr>
                <w:rFonts w:ascii="Arial" w:cs="Arial" w:eastAsia="Arial" w:hAnsi="Arial"/>
                <w:sz w:val="18"/>
                <w:szCs w:val="18"/>
                <w:color w:val="auto"/>
                <w:w w:val="88"/>
              </w:rPr>
              <w:t>0.100%</w:t>
            </w:r>
          </w:p>
        </w:tc>
      </w:tr>
    </w:tbl>
    <w:p>
      <w:pPr>
        <w:spacing w:after="0" w:line="156" w:lineRule="exact"/>
        <w:rPr>
          <w:sz w:val="20"/>
          <w:szCs w:val="20"/>
          <w:color w:val="auto"/>
        </w:rPr>
      </w:pPr>
    </w:p>
    <w:p>
      <w:pPr>
        <w:ind w:right="2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Utilization Fee</w:t>
      </w:r>
      <w:r>
        <w:rPr>
          <w:rFonts w:ascii="Arial" w:cs="Arial" w:eastAsia="Arial" w:hAnsi="Arial"/>
          <w:sz w:val="16"/>
          <w:szCs w:val="16"/>
          <w:color w:val="auto"/>
        </w:rPr>
        <w:t>” means, as of any date on which the aggregate Advances exceed 50% of the Commitments in effect on such date, a percentage per annum determined by reference to the Performance Level in effect on such date as set forth below:</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Performance Level</w:t>
            </w:r>
          </w:p>
        </w:tc>
        <w:tc>
          <w:tcPr>
            <w:tcW w:w="4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Applicable Utilization</w:t>
            </w:r>
          </w:p>
        </w:tc>
        <w:tc>
          <w:tcPr>
            <w:tcW w:w="0" w:type="dxa"/>
            <w:vAlign w:val="bottom"/>
          </w:tcPr>
          <w:p>
            <w:pPr>
              <w:spacing w:after="0"/>
              <w:rPr>
                <w:sz w:val="1"/>
                <w:szCs w:val="1"/>
                <w:color w:val="auto"/>
              </w:rPr>
            </w:pPr>
          </w:p>
        </w:tc>
      </w:tr>
      <w:tr>
        <w:trPr>
          <w:trHeight w:val="168"/>
        </w:trPr>
        <w:tc>
          <w:tcPr>
            <w:tcW w:w="4180" w:type="dxa"/>
            <w:vAlign w:val="bottom"/>
            <w:tcBorders>
              <w:bottom w:val="single" w:sz="8" w:color="auto"/>
            </w:tcBorders>
            <w:vMerge w:val="continue"/>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195"/>
        </w:trPr>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rPr>
              <w:t>I</w:t>
            </w:r>
          </w:p>
        </w:tc>
        <w:tc>
          <w:tcPr>
            <w:tcW w:w="4140" w:type="dxa"/>
            <w:vAlign w:val="bottom"/>
          </w:tcPr>
          <w:p>
            <w:pPr>
              <w:spacing w:after="0"/>
              <w:rPr>
                <w:sz w:val="16"/>
                <w:szCs w:val="16"/>
                <w:color w:val="auto"/>
              </w:rPr>
            </w:pPr>
          </w:p>
        </w:tc>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8"/>
              </w:rPr>
              <w:t>0.050%</w:t>
            </w:r>
          </w:p>
        </w:tc>
        <w:tc>
          <w:tcPr>
            <w:tcW w:w="0" w:type="dxa"/>
            <w:vAlign w:val="bottom"/>
          </w:tcPr>
          <w:p>
            <w:pPr>
              <w:spacing w:after="0"/>
              <w:rPr>
                <w:sz w:val="1"/>
                <w:szCs w:val="1"/>
                <w:color w:val="auto"/>
              </w:rPr>
            </w:pPr>
          </w:p>
        </w:tc>
      </w:tr>
      <w:tr>
        <w:trPr>
          <w:trHeight w:val="216"/>
        </w:trPr>
        <w:tc>
          <w:tcPr>
            <w:tcW w:w="4180" w:type="dxa"/>
            <w:vAlign w:val="bottom"/>
          </w:tcPr>
          <w:p>
            <w:pPr>
              <w:jc w:val="center"/>
              <w:spacing w:after="0"/>
              <w:rPr>
                <w:sz w:val="20"/>
                <w:szCs w:val="20"/>
                <w:color w:val="auto"/>
              </w:rPr>
            </w:pPr>
            <w:r>
              <w:rPr>
                <w:rFonts w:ascii="Arial" w:cs="Arial" w:eastAsia="Arial" w:hAnsi="Arial"/>
                <w:sz w:val="18"/>
                <w:szCs w:val="18"/>
                <w:color w:val="auto"/>
              </w:rPr>
              <w:t>II</w:t>
            </w:r>
          </w:p>
        </w:tc>
        <w:tc>
          <w:tcPr>
            <w:tcW w:w="54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0.050%</w:t>
            </w:r>
          </w:p>
        </w:tc>
        <w:tc>
          <w:tcPr>
            <w:tcW w:w="0" w:type="dxa"/>
            <w:vAlign w:val="bottom"/>
          </w:tcPr>
          <w:p>
            <w:pPr>
              <w:spacing w:after="0"/>
              <w:rPr>
                <w:sz w:val="1"/>
                <w:szCs w:val="1"/>
                <w:color w:val="auto"/>
              </w:rPr>
            </w:pPr>
          </w:p>
        </w:tc>
      </w:tr>
      <w:tr>
        <w:trPr>
          <w:trHeight w:val="216"/>
        </w:trPr>
        <w:tc>
          <w:tcPr>
            <w:tcW w:w="4180" w:type="dxa"/>
            <w:vAlign w:val="bottom"/>
          </w:tcPr>
          <w:p>
            <w:pPr>
              <w:jc w:val="center"/>
              <w:spacing w:after="0"/>
              <w:rPr>
                <w:sz w:val="20"/>
                <w:szCs w:val="20"/>
                <w:color w:val="auto"/>
              </w:rPr>
            </w:pPr>
            <w:r>
              <w:rPr>
                <w:rFonts w:ascii="Arial" w:cs="Arial" w:eastAsia="Arial" w:hAnsi="Arial"/>
                <w:sz w:val="18"/>
                <w:szCs w:val="18"/>
                <w:color w:val="auto"/>
              </w:rPr>
              <w:t>III</w:t>
            </w:r>
          </w:p>
        </w:tc>
        <w:tc>
          <w:tcPr>
            <w:tcW w:w="54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0.050%</w:t>
            </w:r>
          </w:p>
        </w:tc>
        <w:tc>
          <w:tcPr>
            <w:tcW w:w="0" w:type="dxa"/>
            <w:vAlign w:val="bottom"/>
          </w:tcPr>
          <w:p>
            <w:pPr>
              <w:spacing w:after="0"/>
              <w:rPr>
                <w:sz w:val="1"/>
                <w:szCs w:val="1"/>
                <w:color w:val="auto"/>
              </w:rPr>
            </w:pPr>
          </w:p>
        </w:tc>
      </w:tr>
      <w:tr>
        <w:trPr>
          <w:trHeight w:val="216"/>
        </w:trPr>
        <w:tc>
          <w:tcPr>
            <w:tcW w:w="4180" w:type="dxa"/>
            <w:vAlign w:val="bottom"/>
          </w:tcPr>
          <w:p>
            <w:pPr>
              <w:jc w:val="center"/>
              <w:spacing w:after="0"/>
              <w:rPr>
                <w:sz w:val="20"/>
                <w:szCs w:val="20"/>
                <w:color w:val="auto"/>
              </w:rPr>
            </w:pPr>
            <w:r>
              <w:rPr>
                <w:rFonts w:ascii="Arial" w:cs="Arial" w:eastAsia="Arial" w:hAnsi="Arial"/>
                <w:sz w:val="18"/>
                <w:szCs w:val="18"/>
                <w:color w:val="auto"/>
              </w:rPr>
              <w:t>IV</w:t>
            </w:r>
          </w:p>
        </w:tc>
        <w:tc>
          <w:tcPr>
            <w:tcW w:w="54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0.050%</w:t>
            </w:r>
          </w:p>
        </w:tc>
        <w:tc>
          <w:tcPr>
            <w:tcW w:w="0" w:type="dxa"/>
            <w:vAlign w:val="bottom"/>
          </w:tcPr>
          <w:p>
            <w:pPr>
              <w:spacing w:after="0"/>
              <w:rPr>
                <w:sz w:val="1"/>
                <w:szCs w:val="1"/>
                <w:color w:val="auto"/>
              </w:rPr>
            </w:pPr>
          </w:p>
        </w:tc>
      </w:tr>
      <w:tr>
        <w:trPr>
          <w:trHeight w:val="222"/>
        </w:trPr>
        <w:tc>
          <w:tcPr>
            <w:tcW w:w="4180" w:type="dxa"/>
            <w:vAlign w:val="bottom"/>
          </w:tcPr>
          <w:p>
            <w:pPr>
              <w:jc w:val="center"/>
              <w:spacing w:after="0"/>
              <w:rPr>
                <w:sz w:val="20"/>
                <w:szCs w:val="20"/>
                <w:color w:val="auto"/>
              </w:rPr>
            </w:pPr>
            <w:r>
              <w:rPr>
                <w:rFonts w:ascii="Arial" w:cs="Arial" w:eastAsia="Arial" w:hAnsi="Arial"/>
                <w:sz w:val="18"/>
                <w:szCs w:val="18"/>
                <w:color w:val="auto"/>
              </w:rPr>
              <w:t>V</w:t>
            </w:r>
          </w:p>
        </w:tc>
        <w:tc>
          <w:tcPr>
            <w:tcW w:w="5400" w:type="dxa"/>
            <w:vAlign w:val="bottom"/>
            <w:gridSpan w:val="2"/>
          </w:tcPr>
          <w:p>
            <w:pPr>
              <w:jc w:val="center"/>
              <w:ind w:left="4052"/>
              <w:spacing w:after="0"/>
              <w:rPr>
                <w:sz w:val="20"/>
                <w:szCs w:val="20"/>
                <w:color w:val="auto"/>
              </w:rPr>
            </w:pPr>
            <w:r>
              <w:rPr>
                <w:rFonts w:ascii="Arial" w:cs="Arial" w:eastAsia="Arial" w:hAnsi="Arial"/>
                <w:sz w:val="18"/>
                <w:szCs w:val="18"/>
                <w:color w:val="auto"/>
                <w:w w:val="88"/>
              </w:rPr>
              <w:t>0.050%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means an assignment and acceptance entered into by a Lender and an Eligible Assignee, accepted and approved by the Agent and approved by the Borrower, in substantially the form of Exhibit C hereto.</w:t>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700" w:top="280" w:right="399" w:bottom="1440" w:gutter="0" w:footer="0" w:header="0"/>
        </w:sectPr>
      </w:pPr>
    </w:p>
    <w:bookmarkStart w:id="37" w:name="page38"/>
    <w:bookmarkEnd w:id="37"/>
    <w:p>
      <w:pPr>
        <w:ind w:right="4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Assuming Lender</w:t>
      </w:r>
      <w:r>
        <w:rPr>
          <w:rFonts w:ascii="Arial" w:cs="Arial" w:eastAsia="Arial" w:hAnsi="Arial"/>
          <w:sz w:val="18"/>
          <w:szCs w:val="18"/>
          <w:color w:val="auto"/>
        </w:rPr>
        <w:t>” means an Eligible Assignee not previously a Lender that becomes a Lender hereunder pursuant to either Section 2.05(b) or Section 2.17.</w:t>
      </w:r>
    </w:p>
    <w:p>
      <w:pPr>
        <w:spacing w:after="0" w:line="51" w:lineRule="exact"/>
        <w:rPr>
          <w:sz w:val="20"/>
          <w:szCs w:val="20"/>
          <w:color w:val="auto"/>
        </w:rPr>
      </w:pPr>
    </w:p>
    <w:p>
      <w:pPr>
        <w:ind w:right="4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Assumption Agreement</w:t>
      </w:r>
      <w:r>
        <w:rPr>
          <w:rFonts w:ascii="Arial" w:cs="Arial" w:eastAsia="Arial" w:hAnsi="Arial"/>
          <w:sz w:val="16"/>
          <w:szCs w:val="16"/>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a fluctuating interest rate per annum in effect from time to time, which rate per annum shall at all times be equal to the higher of:</w:t>
      </w:r>
    </w:p>
    <w:p>
      <w:pPr>
        <w:spacing w:after="0" w:line="113" w:lineRule="exact"/>
        <w:rPr>
          <w:sz w:val="20"/>
          <w:szCs w:val="20"/>
          <w:color w:val="auto"/>
        </w:rPr>
      </w:pPr>
    </w:p>
    <w:p>
      <w:pPr>
        <w:ind w:left="1120" w:hanging="23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interest announced publicly by Citibank in New York, New York, from time to time, as Citibank’s base rate; and</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of one percent per annum above the Federal Funds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means a Revolving Credit Advance that bears interest as provided in Section 2.07(a)(i).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or a Competitive Bid Borrowing.</w:t>
      </w:r>
    </w:p>
    <w:p>
      <w:pPr>
        <w:spacing w:after="0" w:line="90" w:lineRule="exact"/>
        <w:rPr>
          <w:sz w:val="20"/>
          <w:szCs w:val="20"/>
          <w:color w:val="auto"/>
        </w:rPr>
      </w:pPr>
    </w:p>
    <w:p>
      <w:pPr>
        <w:ind w:right="5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with respect to any Lender at any time (i) the amount set forth opposite such Lender’s name on the signature pages hereof,</w:t>
      </w:r>
    </w:p>
    <w:p>
      <w:pPr>
        <w:spacing w:after="0" w:line="38" w:lineRule="exact"/>
        <w:rPr>
          <w:sz w:val="20"/>
          <w:szCs w:val="20"/>
          <w:color w:val="auto"/>
        </w:rPr>
      </w:pPr>
    </w:p>
    <w:p>
      <w:pPr>
        <w:ind w:right="120" w:firstLine="4"/>
        <w:spacing w:after="0" w:line="254"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such Lender has become a Lender hereunder pursuant to an Assumption Agreement, the amount set forth as its Commitment in such Assumption Agreement or (iii) if such Lender has entered into one or more Assignments and Acceptances, the amount set forth for such Lender in the Register maintained by the Agent pursuant to Section 8.07(d), as such amount may be increased, terminated or reduced, as the case may be, at or prior to such time pursuant to Section 2.05.</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has the meaning specified in Section 2.05(b)(i).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has the meaning specified in Section 2.05(b)(i).</w:t>
      </w:r>
    </w:p>
    <w:p>
      <w:pPr>
        <w:spacing w:after="0" w:line="90"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Competitive Bid Advance</w:t>
      </w:r>
      <w:r>
        <w:rPr>
          <w:rFonts w:ascii="Arial" w:cs="Arial" w:eastAsia="Arial" w:hAnsi="Arial"/>
          <w:sz w:val="16"/>
          <w:szCs w:val="16"/>
          <w:color w:val="auto"/>
        </w:rPr>
        <w:t>” means an advance by a Lender to the Borrower as part of a Competitive Bid Borrowing resulting from the competitive bidding procedure described in Section 2.03 and refers to a Fixed Rate Advance or a LIBO Rate Advance. Any Competitive Bid Advance having a maturity date later than the Termination Date applicable to the Lender making such Competitive Bid Advance shall remain outstanding and continue to be a Competitive Bid Advance for all purposes of this Agreement until such maturity date.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38" w:name="page39"/>
    <w:bookmarkEnd w:id="38"/>
    <w:p>
      <w:pPr>
        <w:ind w:right="2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Competitive Bid Borrowing</w:t>
      </w:r>
      <w:r>
        <w:rPr>
          <w:rFonts w:ascii="Arial" w:cs="Arial" w:eastAsia="Arial" w:hAnsi="Arial"/>
          <w:sz w:val="18"/>
          <w:szCs w:val="18"/>
          <w:color w:val="auto"/>
        </w:rPr>
        <w:t>”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59" w:lineRule="exact"/>
        <w:rPr>
          <w:sz w:val="20"/>
          <w:szCs w:val="20"/>
          <w:color w:val="auto"/>
        </w:rPr>
      </w:pPr>
    </w:p>
    <w:p>
      <w:pPr>
        <w:jc w:val="both"/>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Bid Note</w:t>
      </w:r>
      <w:r>
        <w:rPr>
          <w:rFonts w:ascii="Arial" w:cs="Arial" w:eastAsia="Arial" w:hAnsi="Arial"/>
          <w:sz w:val="18"/>
          <w:szCs w:val="18"/>
          <w:color w:val="auto"/>
        </w:rPr>
        <w:t>”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59"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information that the Borrower furnishes to the 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or such Lender’s knowledge, acting in violation of a confidentiality agreement with or for the benefit of the Borrower.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has the meaning specified in Section 2.17(b).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refers to the consolidation of accounts in accordance with GAAP.</w:t>
      </w:r>
    </w:p>
    <w:p>
      <w:pPr>
        <w:spacing w:after="0" w:line="90"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individuals who at the date hereof are directors of the Borrower and any other director (a) whose election or nomination was approved by a majority of the then Continuing Directors or (b) who was nominated by management at a time when Continuing Directors constituted a majority of the board of directors of the Borrower.</w:t>
      </w:r>
    </w:p>
    <w:p>
      <w:pPr>
        <w:spacing w:after="0" w:line="59"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Conversion</w:t>
      </w:r>
      <w:r>
        <w:rPr>
          <w:rFonts w:ascii="Arial" w:cs="Arial" w:eastAsia="Arial" w:hAnsi="Arial"/>
          <w:sz w:val="18"/>
          <w:szCs w:val="18"/>
          <w:color w:val="auto"/>
        </w:rPr>
        <w:t>” and “</w:t>
      </w:r>
      <w:r>
        <w:rPr>
          <w:rFonts w:ascii="Arial" w:cs="Arial" w:eastAsia="Arial" w:hAnsi="Arial"/>
          <w:sz w:val="18"/>
          <w:szCs w:val="18"/>
          <w:u w:val="single" w:color="auto"/>
          <w:color w:val="auto"/>
        </w:rPr>
        <w:t>Converted</w:t>
      </w:r>
      <w:r>
        <w:rPr>
          <w:rFonts w:ascii="Arial" w:cs="Arial" w:eastAsia="Arial" w:hAnsi="Arial"/>
          <w:sz w:val="18"/>
          <w:szCs w:val="18"/>
          <w:color w:val="auto"/>
        </w:rPr>
        <w:t>” each refers to a conversion of Revolving Credit Advances of one Type into Revolving Credit Advances of the other Type pursuant to Section 2.08 or 2.09.</w:t>
      </w:r>
    </w:p>
    <w:p>
      <w:pPr>
        <w:spacing w:after="0" w:line="51"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39" w:name="page40"/>
    <w:bookmarkEnd w:id="3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63"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of Default or any event that would constitute an Event of Default but for the requirement that notice be given or time elapse or both.</w:t>
      </w:r>
    </w:p>
    <w:p>
      <w:pPr>
        <w:spacing w:after="0" w:line="51"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Lending Office</w:t>
      </w:r>
      <w:r>
        <w:rPr>
          <w:rFonts w:ascii="Arial" w:cs="Arial" w:eastAsia="Arial" w:hAnsi="Arial"/>
          <w:sz w:val="18"/>
          <w:szCs w:val="18"/>
          <w:color w:val="auto"/>
        </w:rPr>
        <w:t>”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pacing w:after="0" w:line="62"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Downgrade</w:t>
      </w:r>
      <w:r>
        <w:rPr>
          <w:rFonts w:ascii="Arial" w:cs="Arial" w:eastAsia="Arial" w:hAnsi="Arial"/>
          <w:sz w:val="18"/>
          <w:szCs w:val="18"/>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specified in Section 3.01.</w:t>
      </w:r>
    </w:p>
    <w:p>
      <w:pPr>
        <w:spacing w:after="0" w:line="90"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(c) a commercial bank organized under the laws of the United States, or any State thereof, and having total assets in excess of $5,000,000,000; (d) a savings and loan association or savings bank organized under the laws of the United States, or any State thereof, and having total assets in excess of $5,000,000,000; (e)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(e); (f) the central bank of any country that is a member of the Organization for Economic Cooperation and Development; and (g) any other Person approved by the Agent and the Borrower, such approval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 Affiliate of the Borrower shall qualify as an Eligible Assignee.</w:t>
      </w:r>
    </w:p>
    <w:p>
      <w:pPr>
        <w:spacing w:after="0" w:line="3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action, suit, demand, demand letter, claim, notice of non-compliance or violation, notice of liability or potential liability, consent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40" w:name="page41"/>
    <w:bookmarkEnd w:id="40"/>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62"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113"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51" w:lineRule="exact"/>
        <w:rPr>
          <w:sz w:val="20"/>
          <w:szCs w:val="20"/>
          <w:color w:val="auto"/>
        </w:rPr>
      </w:pPr>
    </w:p>
    <w:p>
      <w:pPr>
        <w:ind w:right="80" w:firstLine="438"/>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7"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w:t>
      </w:r>
    </w:p>
    <w:p>
      <w:pPr>
        <w:ind w:right="60"/>
        <w:spacing w:after="0" w:line="295" w:lineRule="auto"/>
        <w:rPr>
          <w:sz w:val="20"/>
          <w:szCs w:val="20"/>
          <w:color w:val="auto"/>
        </w:rPr>
      </w:pPr>
      <w:r>
        <w:rPr>
          <w:rFonts w:ascii="Arial" w:cs="Arial" w:eastAsia="Arial" w:hAnsi="Arial"/>
          <w:sz w:val="16"/>
          <w:szCs w:val="16"/>
          <w:color w:val="auto"/>
        </w:rPr>
        <w:t>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occurrence of any event or condition described in Section 4042 of ERISA that constitutes grounds for the termination of, or the appointment of a trustee to administer, a Plan.</w:t>
      </w:r>
    </w:p>
    <w:p>
      <w:pPr>
        <w:spacing w:after="0" w:line="51" w:lineRule="exact"/>
        <w:rPr>
          <w:sz w:val="20"/>
          <w:szCs w:val="20"/>
          <w:color w:val="auto"/>
        </w:rPr>
      </w:pPr>
    </w:p>
    <w:p>
      <w:pPr>
        <w:jc w:val="both"/>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 has the meaning assigned to that term in Regulation D of the Board of Governors of the Federal Reserve System, as in effect from time to time.</w:t>
      </w:r>
    </w:p>
    <w:p>
      <w:pPr>
        <w:spacing w:after="0" w:line="51" w:lineRule="exact"/>
        <w:rPr>
          <w:sz w:val="20"/>
          <w:szCs w:val="20"/>
          <w:color w:val="auto"/>
        </w:rPr>
      </w:pPr>
    </w:p>
    <w:p>
      <w:pPr>
        <w:jc w:val="both"/>
        <w:ind w:right="260" w:firstLine="438"/>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Reserve Requirements</w:t>
      </w:r>
      <w:r>
        <w:rPr>
          <w:rFonts w:ascii="Arial" w:cs="Arial" w:eastAsia="Arial" w:hAnsi="Arial"/>
          <w:sz w:val="15"/>
          <w:szCs w:val="15"/>
          <w:color w:val="auto"/>
        </w:rPr>
        <w:t>”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 eurocurrency fundings. Eurocurrency Reserve Requirements shall be adjusted automatically on and as of the effective date of any change in any reserve percentage.</w:t>
      </w:r>
    </w:p>
    <w:p>
      <w:pPr>
        <w:spacing w:after="0" w:line="17"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Lending Office</w:t>
      </w:r>
      <w:r>
        <w:rPr>
          <w:rFonts w:ascii="Arial" w:cs="Arial" w:eastAsia="Arial" w:hAnsi="Arial"/>
          <w:sz w:val="16"/>
          <w:szCs w:val="16"/>
          <w:color w:val="auto"/>
        </w:rPr>
        <w:t>”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32" w:lineRule="exact"/>
        <w:rPr>
          <w:sz w:val="20"/>
          <w:szCs w:val="20"/>
          <w:color w:val="auto"/>
        </w:rPr>
      </w:pPr>
    </w:p>
    <w:p>
      <w:pPr>
        <w:ind w:right="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for any Interest Period for each Eurodollar Rate Advance comprising part of the same Revolving Credit Borrowing, an interest rate per annum equal to the average (rounded upward to the nearest whole multiple of 1/10000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means a Revolving Credit Advance that bears interest as provided in Section 2.07(a)(ii).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Events of Default</w:t>
      </w:r>
      <w:r>
        <w:rPr>
          <w:rFonts w:ascii="Arial" w:cs="Arial" w:eastAsia="Arial" w:hAnsi="Arial"/>
          <w:sz w:val="18"/>
          <w:szCs w:val="18"/>
          <w:color w:val="auto"/>
        </w:rPr>
        <w:t>” has the meaning specified in Section 6.01.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Date</w:t>
      </w:r>
      <w:r>
        <w:rPr>
          <w:rFonts w:ascii="Arial" w:cs="Arial" w:eastAsia="Arial" w:hAnsi="Arial"/>
          <w:sz w:val="18"/>
          <w:szCs w:val="18"/>
          <w:color w:val="auto"/>
        </w:rPr>
        <w:t>” has the meaning specified in Section 2.17(b).</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2" w:name="page43"/>
    <w:bookmarkEnd w:id="4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Advances</w:t>
      </w:r>
      <w:r>
        <w:rPr>
          <w:rFonts w:ascii="Arial" w:cs="Arial" w:eastAsia="Arial" w:hAnsi="Arial"/>
          <w:sz w:val="18"/>
          <w:szCs w:val="18"/>
          <w:color w:val="auto"/>
        </w:rPr>
        <w:t>” has the meaning specified in Section 2.03(a)(i).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has the meaning specified in Section 1.03.</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Graham Interests</w:t>
      </w:r>
      <w:r>
        <w:rPr>
          <w:rFonts w:ascii="Arial" w:cs="Arial" w:eastAsia="Arial" w:hAnsi="Arial"/>
          <w:sz w:val="18"/>
          <w:szCs w:val="18"/>
          <w:color w:val="auto"/>
        </w:rPr>
        <w:t>” shall mean Donald E. Graham and his siblings, their descendants and any relative by marriage of the foregoing, and any trust for the benefit of any of the foregoing whether as an income or residual beneficiary.</w:t>
      </w:r>
    </w:p>
    <w:p>
      <w:pPr>
        <w:spacing w:after="0" w:line="51" w:lineRule="exact"/>
        <w:rPr>
          <w:sz w:val="20"/>
          <w:szCs w:val="20"/>
          <w:color w:val="auto"/>
        </w:rPr>
      </w:pPr>
    </w:p>
    <w:p>
      <w:pPr>
        <w:ind w:right="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Date</w:t>
      </w:r>
      <w:r>
        <w:rPr>
          <w:rFonts w:ascii="Arial" w:cs="Arial" w:eastAsia="Arial" w:hAnsi="Arial"/>
          <w:sz w:val="18"/>
          <w:szCs w:val="18"/>
          <w:color w:val="auto"/>
        </w:rPr>
        <w:t>” has the meaning specified in Section 2.05(b)(i).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specified in Section 2.05(b)(i).</w:t>
      </w:r>
    </w:p>
    <w:p>
      <w:pPr>
        <w:spacing w:after="0" w:line="90" w:lineRule="exact"/>
        <w:rPr>
          <w:sz w:val="20"/>
          <w:szCs w:val="20"/>
          <w:color w:val="auto"/>
        </w:rPr>
      </w:pPr>
    </w:p>
    <w:p>
      <w:pPr>
        <w:ind w:right="4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7" w:lineRule="exact"/>
        <w:rPr>
          <w:sz w:val="20"/>
          <w:szCs w:val="20"/>
          <w:color w:val="auto"/>
        </w:rPr>
      </w:pPr>
    </w:p>
    <w:p>
      <w:pPr>
        <w:ind w:left="460" w:right="420" w:firstLine="421"/>
        <w:spacing w:after="0" w:line="332" w:lineRule="auto"/>
        <w:tabs>
          <w:tab w:leader="none" w:pos="10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Borrower may not select any Interest Period that ends after any Termination Date if, after giving effect thereto, the amount of such Borrowing would exceed the Commitments of Lenders for which a Termination Date prior to the last day of such Interest Period applies;</w:t>
      </w:r>
    </w:p>
    <w:p>
      <w:pPr>
        <w:spacing w:after="0" w:line="4" w:lineRule="exact"/>
        <w:rPr>
          <w:rFonts w:ascii="Arial" w:cs="Arial" w:eastAsia="Arial" w:hAnsi="Arial"/>
          <w:sz w:val="16"/>
          <w:szCs w:val="16"/>
          <w:color w:val="auto"/>
        </w:rPr>
      </w:pPr>
    </w:p>
    <w:p>
      <w:pPr>
        <w:ind w:left="460" w:right="140" w:firstLine="421"/>
        <w:spacing w:after="0" w:line="332" w:lineRule="auto"/>
        <w:tabs>
          <w:tab w:leader="none" w:pos="11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43" w:name="page44"/>
    <w:bookmarkEnd w:id="43"/>
    <w:p>
      <w:pPr>
        <w:ind w:left="460" w:right="20" w:firstLine="421"/>
        <w:spacing w:after="0" w:line="335" w:lineRule="auto"/>
        <w:tabs>
          <w:tab w:leader="none" w:pos="1187" w:val="left"/>
        </w:tabs>
        <w:numPr>
          <w:ilvl w:val="0"/>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whenever the last day of any Interest Period would otherwise occur on a day other than a Business Day, the last day of such Interest Period shall be extended to occur on the next succeeding Business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extension would cause the last day of such Interest Period to occur in the next following calendar month, the last day of such Interest Period shall occur on the next preceding Business Day; and</w:t>
      </w:r>
    </w:p>
    <w:p>
      <w:pPr>
        <w:spacing w:after="0" w:line="7" w:lineRule="exact"/>
        <w:rPr>
          <w:rFonts w:ascii="Arial" w:cs="Arial" w:eastAsia="Arial" w:hAnsi="Arial"/>
          <w:sz w:val="15"/>
          <w:szCs w:val="15"/>
          <w:color w:val="auto"/>
        </w:rPr>
      </w:pPr>
    </w:p>
    <w:p>
      <w:pPr>
        <w:jc w:val="both"/>
        <w:ind w:left="460" w:right="80" w:firstLine="421"/>
        <w:spacing w:after="0" w:line="259" w:lineRule="auto"/>
        <w:tabs>
          <w:tab w:leader="none" w:pos="11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59"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 as amended from time to time, and the regulations promulgated and rulings issued thereunder.</w:t>
      </w:r>
    </w:p>
    <w:p>
      <w:pPr>
        <w:spacing w:after="0" w:line="5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Initial Lenders, each Assuming Lender that shall become a party hereto pursuant to either Section 2.05(b) or Section 2.17 and each Person that shall become a party hereto pursuant to Section 8.07.</w:t>
      </w:r>
    </w:p>
    <w:p>
      <w:pPr>
        <w:spacing w:after="0" w:line="51" w:lineRule="exact"/>
        <w:rPr>
          <w:sz w:val="20"/>
          <w:szCs w:val="20"/>
          <w:color w:val="auto"/>
        </w:rPr>
      </w:pPr>
    </w:p>
    <w:p>
      <w:pPr>
        <w:ind w:firstLine="438"/>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 for all LIBO Rate Advances comprising part of the same Competitive Bid Borrowing, an interest rate per annum equal to the average (rounded upward to the nearest whole multiple of 1/10000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 Advances</w:t>
      </w:r>
      <w:r>
        <w:rPr>
          <w:rFonts w:ascii="Arial" w:cs="Arial" w:eastAsia="Arial" w:hAnsi="Arial"/>
          <w:sz w:val="18"/>
          <w:szCs w:val="18"/>
          <w:color w:val="auto"/>
        </w:rPr>
        <w:t>” has the meaning specified in Section 2.03(a)(i).</w:t>
      </w:r>
    </w:p>
    <w:p>
      <w:pPr>
        <w:spacing w:after="0" w:line="90"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w:t>
      </w:r>
      <w:r>
        <w:rPr>
          <w:rFonts w:ascii="Arial" w:cs="Arial" w:eastAsia="Arial" w:hAnsi="Arial"/>
          <w:sz w:val="18"/>
          <w:szCs w:val="18"/>
          <w:color w:val="auto"/>
        </w:rPr>
        <w:t>” means this Agreement, the Notes and the Subsidiary Guaranty.</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 and, so long as the Subsidiary Guaranty is in effect, the Newspaper Subsidiary.</w:t>
      </w:r>
    </w:p>
    <w:p>
      <w:pPr>
        <w:spacing w:after="0" w:line="9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51"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any material adverse change in the business, financial condition or results of operations of the Borrower and its Subsidiaries taken as a whole.</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financial condition or results of operations of the Borrower and its Subsidiaries taken as a whole, (b) the rights and remedies of the Agent or any Lender under this Agreement or any Note or (c) the ability of the Borrower to perform its obligations under this Agreement or any Note.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90" w:lineRule="exact"/>
        <w:rPr>
          <w:sz w:val="20"/>
          <w:szCs w:val="20"/>
          <w:color w:val="auto"/>
        </w:rPr>
      </w:pPr>
    </w:p>
    <w:p>
      <w:pPr>
        <w:ind w:right="3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59" w:lineRule="exact"/>
        <w:rPr>
          <w:sz w:val="20"/>
          <w:szCs w:val="20"/>
          <w:color w:val="auto"/>
        </w:rPr>
      </w:pPr>
    </w:p>
    <w:p>
      <w:pPr>
        <w:ind w:right="2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means WP Company LLC, a Delaware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specified in Section 2.17(b).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Debt</w:t>
      </w:r>
      <w:r>
        <w:rPr>
          <w:rFonts w:ascii="Arial" w:cs="Arial" w:eastAsia="Arial" w:hAnsi="Arial"/>
          <w:sz w:val="16"/>
          <w:szCs w:val="16"/>
          <w:color w:val="auto"/>
        </w:rPr>
        <w:t>” shall mean Debt of the Borrower or its Subsidiaries incurred (a) as to which neither the Borrower nor any of its Subsidiaries</w:t>
      </w:r>
    </w:p>
    <w:p>
      <w:pPr>
        <w:spacing w:after="0" w:line="38" w:lineRule="exact"/>
        <w:rPr>
          <w:sz w:val="20"/>
          <w:szCs w:val="20"/>
          <w:color w:val="auto"/>
        </w:rPr>
      </w:pPr>
    </w:p>
    <w:p>
      <w:pPr>
        <w:ind w:firstLine="4"/>
        <w:spacing w:after="0" w:line="252" w:lineRule="auto"/>
        <w:tabs>
          <w:tab w:leader="none" w:pos="2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pacing w:after="0" w:line="1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Note</w:t>
      </w:r>
      <w:r>
        <w:rPr>
          <w:rFonts w:ascii="Arial" w:cs="Arial" w:eastAsia="Arial" w:hAnsi="Arial"/>
          <w:sz w:val="18"/>
          <w:szCs w:val="18"/>
          <w:color w:val="auto"/>
        </w:rPr>
        <w:t>” means a Revolving Credit Note or a Competitive Bid Note.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Competitive Bid Borrowing</w:t>
      </w:r>
      <w:r>
        <w:rPr>
          <w:rFonts w:ascii="Arial" w:cs="Arial" w:eastAsia="Arial" w:hAnsi="Arial"/>
          <w:sz w:val="18"/>
          <w:szCs w:val="18"/>
          <w:color w:val="auto"/>
        </w:rPr>
        <w:t>” has the meaning specified in Section 2.03(a).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Revolving Credit Borrowing</w:t>
      </w:r>
      <w:r>
        <w:rPr>
          <w:rFonts w:ascii="Arial" w:cs="Arial" w:eastAsia="Arial" w:hAnsi="Arial"/>
          <w:sz w:val="18"/>
          <w:szCs w:val="18"/>
          <w:color w:val="auto"/>
        </w:rPr>
        <w:t>” has the meaning specified in Section 2.02(a).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Level</w:t>
      </w:r>
      <w:r>
        <w:rPr>
          <w:rFonts w:ascii="Arial" w:cs="Arial" w:eastAsia="Arial" w:hAnsi="Arial"/>
          <w:sz w:val="18"/>
          <w:szCs w:val="18"/>
          <w:color w:val="auto"/>
        </w:rPr>
        <w:t>” means, as of any date of the determination, the level set forth below as then in effect, as determined in accordance with the following provisions of this definition:</w:t>
      </w:r>
    </w:p>
    <w:p>
      <w:pPr>
        <w:spacing w:after="0" w:line="51"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6"/>
          <w:szCs w:val="16"/>
          <w:color w:val="auto"/>
        </w:rPr>
        <w:t>Public Debt Rating of not lower than AA- by S&amp;P or not lower than Aa3 by Moody’s.</w:t>
      </w:r>
    </w:p>
    <w:p>
      <w:pPr>
        <w:spacing w:after="0" w:line="11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Public Debt Rating of lower than Level I but not lower than A+ by S&amp;P or A1 by Moody’s.</w:t>
      </w:r>
    </w:p>
    <w:p>
      <w:pPr>
        <w:spacing w:after="0" w:line="11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6"/>
          <w:szCs w:val="16"/>
          <w:color w:val="auto"/>
        </w:rPr>
        <w:t>Public Debt Rating of lower than Level II but not lower than A by S&amp;P or A2 by Moody’s.</w:t>
      </w:r>
    </w:p>
    <w:p>
      <w:pPr>
        <w:spacing w:after="0" w:line="11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IV:</w:t>
      </w:r>
      <w:r>
        <w:rPr>
          <w:sz w:val="20"/>
          <w:szCs w:val="20"/>
          <w:color w:val="auto"/>
        </w:rPr>
        <w:tab/>
      </w:r>
      <w:r>
        <w:rPr>
          <w:rFonts w:ascii="Arial" w:cs="Arial" w:eastAsia="Arial" w:hAnsi="Arial"/>
          <w:sz w:val="16"/>
          <w:szCs w:val="16"/>
          <w:color w:val="auto"/>
        </w:rPr>
        <w:t>Public Debt Rating of lower than Level III but not lower than A- by S&amp;P and A3 by Moody’s.</w:t>
      </w:r>
    </w:p>
    <w:p>
      <w:pPr>
        <w:spacing w:after="0" w:line="117"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V:</w:t>
      </w:r>
      <w:r>
        <w:rPr>
          <w:sz w:val="20"/>
          <w:szCs w:val="20"/>
          <w:color w:val="auto"/>
        </w:rPr>
        <w:tab/>
      </w:r>
      <w:r>
        <w:rPr>
          <w:rFonts w:ascii="Arial" w:cs="Arial" w:eastAsia="Arial" w:hAnsi="Arial"/>
          <w:sz w:val="16"/>
          <w:szCs w:val="16"/>
          <w:color w:val="auto"/>
        </w:rPr>
        <w:t>Public Debt Rating of lower than Level IV or no Public Debt Rating is in effect.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 purposes of the foregoing, (a) if only one of S&amp;P and Moody’s shall have in effect a Public Debt Rating, the Performance Level shall be determined by reference to the available rating and (b) if the Public Debt Ratings established by S&amp;P and Moody’s shall fall within different Performance Levels, the Performance Level shall be based upon the higher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lower of such ratings is more than one level below the higher of such ratings, the Performance Level shall be based on the level immediately above such lower rating.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w:t>
      </w:r>
    </w:p>
    <w:p>
      <w:pPr>
        <w:spacing w:after="0" w:line="90" w:lineRule="exact"/>
        <w:rPr>
          <w:sz w:val="20"/>
          <w:szCs w:val="20"/>
          <w:color w:val="auto"/>
        </w:rPr>
      </w:pPr>
    </w:p>
    <w:p>
      <w:pPr>
        <w:ind w:left="680" w:hanging="237"/>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Liens for taxes, assessments and governmental charges or levies to the extent not required to be paid under Section 5.01(b) hereof;</w:t>
      </w:r>
    </w:p>
    <w:p>
      <w:pPr>
        <w:spacing w:after="0" w:line="113" w:lineRule="exact"/>
        <w:rPr>
          <w:rFonts w:ascii="Arial" w:cs="Arial" w:eastAsia="Arial" w:hAnsi="Arial"/>
          <w:sz w:val="16"/>
          <w:szCs w:val="16"/>
          <w:color w:val="auto"/>
        </w:rPr>
      </w:pPr>
    </w:p>
    <w:p>
      <w:pPr>
        <w:ind w:right="120" w:firstLine="443"/>
        <w:spacing w:after="0" w:line="306"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46" w:name="page47"/>
    <w:bookmarkEnd w:id="46"/>
    <w:p>
      <w:pPr>
        <w:ind w:left="680" w:hanging="237"/>
        <w:spacing w:after="0"/>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Pledges or deposits to secure obligations under workers’ compensation laws or similar legislation or to secure public or statutory obligations;</w:t>
      </w:r>
    </w:p>
    <w:p>
      <w:pPr>
        <w:spacing w:after="0" w:line="113" w:lineRule="exact"/>
        <w:rPr>
          <w:rFonts w:ascii="Arial" w:cs="Arial" w:eastAsia="Arial" w:hAnsi="Arial"/>
          <w:sz w:val="16"/>
          <w:szCs w:val="16"/>
          <w:color w:val="auto"/>
        </w:rPr>
      </w:pPr>
    </w:p>
    <w:p>
      <w:pPr>
        <w:ind w:right="200" w:firstLine="443"/>
        <w:spacing w:after="0" w:line="268"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50" w:lineRule="exact"/>
        <w:rPr>
          <w:rFonts w:ascii="Arial" w:cs="Arial" w:eastAsia="Arial" w:hAnsi="Arial"/>
          <w:sz w:val="18"/>
          <w:szCs w:val="18"/>
          <w:color w:val="auto"/>
        </w:rPr>
      </w:pPr>
    </w:p>
    <w:p>
      <w:pPr>
        <w:ind w:right="120" w:firstLine="443"/>
        <w:spacing w:after="0" w:line="268" w:lineRule="auto"/>
        <w:tabs>
          <w:tab w:leader="none" w:pos="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Easements, rights of way and other encumbrances on title to real property that do not materially adversely affect the use of such property for its present purposes.</w:t>
      </w:r>
    </w:p>
    <w:p>
      <w:pPr>
        <w:spacing w:after="0" w:line="51"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51"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Single Employer Plan or a Multiple Employer Plan subject to the provisions of Title IV of ERISA or Section 412 of the Internal Revenue Code or Section 302 of ERISA.</w:t>
      </w:r>
    </w:p>
    <w:p>
      <w:pPr>
        <w:spacing w:after="0" w:line="51" w:lineRule="exact"/>
        <w:rPr>
          <w:sz w:val="20"/>
          <w:szCs w:val="20"/>
          <w:color w:val="auto"/>
        </w:rPr>
      </w:pPr>
    </w:p>
    <w:p>
      <w:pPr>
        <w:jc w:val="both"/>
        <w:ind w:right="6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Rata Share</w:t>
      </w:r>
      <w:r>
        <w:rPr>
          <w:rFonts w:ascii="Arial" w:cs="Arial" w:eastAsia="Arial" w:hAnsi="Arial"/>
          <w:sz w:val="15"/>
          <w:szCs w:val="15"/>
          <w:color w:val="auto"/>
        </w:rPr>
        <w:t>”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Debt Rating</w:t>
      </w:r>
      <w:r>
        <w:rPr>
          <w:rFonts w:ascii="Arial" w:cs="Arial" w:eastAsia="Arial" w:hAnsi="Arial"/>
          <w:sz w:val="16"/>
          <w:szCs w:val="16"/>
          <w:color w:val="auto"/>
        </w:rPr>
        <w:t xml:space="preserve">” means, as of any date, the lowest rating that has been most recently announced by either S&amp;P or Moody’s, as the case may be, for any class of non-credit enhanced long-term senior unsecured debt issued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Borrower does not have outstanding any class of non-credit enhanced long-term senior unsecured debt, “Public Debt Rating” shall mean the issuer credit rating of the Borrower most recently announced by S&amp;P or Moody’s, as the case may be.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Citibank, JPMorgan Chase Bank, N.A. and Wachovia Bank, National Association.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specified in Section 8.07(d).</w:t>
      </w:r>
    </w:p>
    <w:p>
      <w:pPr>
        <w:spacing w:after="0" w:line="90" w:lineRule="exact"/>
        <w:rPr>
          <w:sz w:val="20"/>
          <w:szCs w:val="20"/>
          <w:color w:val="auto"/>
        </w:rPr>
      </w:pPr>
    </w:p>
    <w:p>
      <w:pPr>
        <w:jc w:val="both"/>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7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700" w:top="280" w:right="319" w:bottom="1440" w:gutter="0" w:footer="0" w:header="0"/>
        </w:sectPr>
      </w:pPr>
    </w:p>
    <w:bookmarkStart w:id="47" w:name="page48"/>
    <w:bookmarkEnd w:id="47"/>
    <w:p>
      <w:pPr>
        <w:ind w:right="3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 means an advance by a Lender to the Borrower as part of a Revolving Credit Borrowing and refers to a Base Rate Advance or a Eurodollar Rate Advance (each of which shall be a “Type” of Revolving Credit Advance).</w:t>
      </w:r>
    </w:p>
    <w:p>
      <w:pPr>
        <w:spacing w:after="0" w:line="51"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Borrowing</w:t>
      </w:r>
      <w:r>
        <w:rPr>
          <w:rFonts w:ascii="Arial" w:cs="Arial" w:eastAsia="Arial" w:hAnsi="Arial"/>
          <w:sz w:val="18"/>
          <w:szCs w:val="18"/>
          <w:color w:val="auto"/>
        </w:rPr>
        <w:t>” means a borrowing consisting of simultaneous Revolving Credit Advances of the same Type made by each of the Lenders pursuant to Section 2.01.</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a division of The McGraw-Hill Companies, Inc.</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“shareholders’ equity” as such term is construed in accordance with GAAP and as reported in the Borrower’s reports and registration statements filed with the Securities and Exchange Commission or any national securities exchange.</w:t>
      </w:r>
    </w:p>
    <w:p>
      <w:pPr>
        <w:spacing w:after="0" w:line="51" w:lineRule="exact"/>
        <w:rPr>
          <w:sz w:val="20"/>
          <w:szCs w:val="20"/>
          <w:color w:val="auto"/>
        </w:rPr>
      </w:pPr>
    </w:p>
    <w:p>
      <w:pPr>
        <w:ind w:right="7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shall mean any Subsidiary that would be a “significant subsidiary” within the meaning of Rule 1-02 of the SEC’s Regulation S-X and shall include, so long as the Subsidiary Guaranty is in effect, the Newspaper Subsidiary.</w:t>
      </w:r>
    </w:p>
    <w:p>
      <w:pPr>
        <w:spacing w:after="0" w:line="51" w:lineRule="exact"/>
        <w:rPr>
          <w:sz w:val="20"/>
          <w:szCs w:val="20"/>
          <w:color w:val="auto"/>
        </w:rPr>
      </w:pPr>
    </w:p>
    <w:p>
      <w:pPr>
        <w:ind w:right="2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Employer Plan</w:t>
      </w:r>
      <w:r>
        <w:rPr>
          <w:rFonts w:ascii="Arial" w:cs="Arial" w:eastAsia="Arial" w:hAnsi="Arial"/>
          <w:sz w:val="16"/>
          <w:szCs w:val="16"/>
          <w:color w:val="auto"/>
        </w:rPr>
        <w:t>”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26"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has the meaning specified in Section 3.01(c)(iv).</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earlier of (a) August 8, 2011, subject to the extension thereof pursuant to Section 2.17 and (b) the date of termination of all of the Commitments pursuant to Section 2.05 or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Termination</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48" w:name="page49"/>
    <w:bookmarkEnd w:id="48"/>
    <w:p>
      <w:pPr>
        <w:ind w:left="460" w:right="8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of any Lender that is a Non-Consenting Lender to any requested extension pursuant to Section 2.17 shall be the Termination Date in effect immediately prior to the applicable Extension Date for all purposes of this Agreement.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has the meaning specified in the definition of “</w:t>
      </w:r>
      <w:r>
        <w:rPr>
          <w:rFonts w:ascii="Arial" w:cs="Arial" w:eastAsia="Arial" w:hAnsi="Arial"/>
          <w:sz w:val="18"/>
          <w:szCs w:val="18"/>
          <w:u w:val="single" w:color="auto"/>
          <w:color w:val="auto"/>
        </w:rPr>
        <w:t>Revolving Credit Advance</w:t>
      </w:r>
      <w:r>
        <w:rPr>
          <w:rFonts w:ascii="Arial" w:cs="Arial" w:eastAsia="Arial" w:hAnsi="Arial"/>
          <w:sz w:val="18"/>
          <w:szCs w:val="18"/>
          <w:color w:val="auto"/>
        </w:rPr>
        <w:t>”.</w:t>
      </w:r>
    </w:p>
    <w:p>
      <w:pPr>
        <w:spacing w:after="0" w:line="90"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Commitment</w:t>
      </w:r>
      <w:r>
        <w:rPr>
          <w:rFonts w:ascii="Arial" w:cs="Arial" w:eastAsia="Arial" w:hAnsi="Arial"/>
          <w:sz w:val="18"/>
          <w:szCs w:val="18"/>
          <w:color w:val="auto"/>
        </w:rPr>
        <w:t>” means, with respect to any Lender at any time, (a) such Lender’s Commitment at such time minus (b) the sum of (i) the aggregate principal amount of all Revolving Credit Advances made by such Lender and outstanding at such time, plus (ii) such Lender’s Pro Rata Share of the aggregate principal amount of the Competitive Bid Advances then outstanding.</w:t>
      </w:r>
    </w:p>
    <w:p>
      <w:pPr>
        <w:spacing w:after="0" w:line="59" w:lineRule="exact"/>
        <w:rPr>
          <w:sz w:val="20"/>
          <w:szCs w:val="20"/>
          <w:color w:val="auto"/>
        </w:rPr>
      </w:pPr>
    </w:p>
    <w:p>
      <w:pPr>
        <w:ind w:left="460" w:right="3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07"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In this Agreement in the computation of periods of time from a specified date to a later specified date, the word “from” means “from and including” and the words “to” and “until” each mean “to but excluding”.</w:t>
      </w:r>
    </w:p>
    <w:p>
      <w:pPr>
        <w:spacing w:after="0" w:line="132"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terms of an accounting or financial nature shall be construed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AND TERMS OF THE ADVANCES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The Revolving Credit Advances</w:t>
      </w:r>
      <w:r>
        <w:rPr>
          <w:rFonts w:ascii="Arial" w:cs="Arial" w:eastAsia="Arial" w:hAnsi="Arial"/>
          <w:sz w:val="18"/>
          <w:szCs w:val="18"/>
          <w:color w:val="auto"/>
        </w:rPr>
        <w:t>. Each Lender severally agrees, on the terms and conditions hereinafter set forth, to make Revolving Credit Advances to the Borrower from time to time on any Business Day during the period from the Effective Date until the Termination Date applicable to such Lender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9" w:name="page50"/>
    <w:bookmarkEnd w:id="4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Making the Revolving Credit Advances</w:t>
      </w:r>
      <w:r>
        <w:rPr>
          <w:rFonts w:ascii="Arial" w:cs="Arial" w:eastAsia="Arial" w:hAnsi="Arial"/>
          <w:sz w:val="16"/>
          <w:szCs w:val="16"/>
          <w:color w:val="auto"/>
        </w:rPr>
        <w:t>. (a) Each Revolving Credit Borrowing shall be made on notice, given not later than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11:00 A.M. (New York City time) on the third Business Day prior to the date of the proposed Revolving Credit Borrowing in the case of a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consisting of Eurodollar Rate Advances, or the date of the proposed Revolving Credit Borrowing in the case of a Revolving Credit Borrowing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Base Rate Advances, by the Borrower to the Agent, which shall give to each Lender prompt notice thereof by telecopier. Each such notice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Borrowing (a “</w:t>
      </w:r>
      <w:r>
        <w:rPr>
          <w:rFonts w:ascii="Arial" w:cs="Arial" w:eastAsia="Arial" w:hAnsi="Arial"/>
          <w:sz w:val="16"/>
          <w:szCs w:val="16"/>
          <w:u w:val="single" w:color="auto"/>
          <w:color w:val="auto"/>
        </w:rPr>
        <w:t>Notice of Revolving Credit Borrowing</w:t>
      </w:r>
      <w:r>
        <w:rPr>
          <w:rFonts w:ascii="Arial" w:cs="Arial" w:eastAsia="Arial" w:hAnsi="Arial"/>
          <w:sz w:val="16"/>
          <w:szCs w:val="16"/>
          <w:color w:val="auto"/>
        </w:rPr>
        <w:t>”) shall be by telephone, confirmed at once in writing, or telecopier in substantially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of Exhibit B-1 hereto, specifying therein the requested (i) date of such Revolving Credit Borrowing, (ii) Type of Advances comprising such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Borrowing, (iii) aggregate amount of such Revolving Credit Borrowing, and (iv) in the case of a Revolving Credit Borrowing consisting of Eurodollar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Advances, initial Interest Period for each such Revolving Credit Advance. Each Lender shall, before 1:00 P.M. (New York City time) on the date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Borrowing, make available for the account of its Applicable Lending Office to the Agent at the Agent’s Account, in same day funds,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ratable portion of such Revolving Credit Borrowing. After the Agent’s receipt of such funds and upon fulfillment of the applicable conditions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III, the Agent will make such funds available to the Borrower at the Agent’s address referred to in Section 8.02.</w:t>
      </w:r>
    </w:p>
    <w:p>
      <w:pPr>
        <w:spacing w:after="0" w:line="165" w:lineRule="exact"/>
        <w:rPr>
          <w:sz w:val="20"/>
          <w:szCs w:val="20"/>
          <w:color w:val="auto"/>
        </w:rPr>
      </w:pPr>
    </w:p>
    <w:p>
      <w:pPr>
        <w:ind w:firstLine="921"/>
        <w:spacing w:after="0" w:line="256"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43" w:lineRule="exact"/>
        <w:rPr>
          <w:rFonts w:ascii="Arial" w:cs="Arial" w:eastAsia="Arial" w:hAnsi="Arial"/>
          <w:sz w:val="18"/>
          <w:szCs w:val="18"/>
          <w:color w:val="auto"/>
        </w:rPr>
      </w:pPr>
    </w:p>
    <w:p>
      <w:pPr>
        <w:ind w:right="280" w:firstLine="921"/>
        <w:spacing w:after="0" w:line="290"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18" w:lineRule="exact"/>
        <w:rPr>
          <w:rFonts w:ascii="Arial" w:cs="Arial" w:eastAsia="Arial" w:hAnsi="Arial"/>
          <w:sz w:val="16"/>
          <w:szCs w:val="16"/>
          <w:color w:val="auto"/>
        </w:rPr>
      </w:pPr>
    </w:p>
    <w:p>
      <w:pPr>
        <w:ind w:right="200" w:firstLine="921"/>
        <w:spacing w:after="0" w:line="268"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the Agent shall have received notice from a Lender prior to the date of any Revolving Credit Borrowing that such Lender will not make available to the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0" w:name="page51"/>
    <w:bookmarkEnd w:id="50"/>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18" w:lineRule="exact"/>
        <w:rPr>
          <w:sz w:val="20"/>
          <w:szCs w:val="20"/>
          <w:color w:val="auto"/>
        </w:rPr>
      </w:pPr>
    </w:p>
    <w:p>
      <w:pPr>
        <w:jc w:val="both"/>
        <w:ind w:right="60" w:firstLine="921"/>
        <w:spacing w:after="0" w:line="306" w:lineRule="auto"/>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The Competitive Bid Advances</w:t>
      </w:r>
      <w:r>
        <w:rPr>
          <w:rFonts w:ascii="Arial" w:cs="Arial" w:eastAsia="Arial" w:hAnsi="Arial"/>
          <w:sz w:val="18"/>
          <w:szCs w:val="18"/>
          <w:color w:val="auto"/>
        </w:rPr>
        <w:t xml:space="preserve">. (a) Each Lender severally agrees that the Borrower may make Competitive Bid Borrowings under this Section 2.03 from time to time on any Business Day during the period from the date hereof until the date occurring 30 days prior to the date of the termination of all of the Commitments in the manner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each Competitive Bid Borrowing shall not exceed the aggregate amount of the Unused Commitments of the Lenders on such Business Day.</w:t>
      </w:r>
    </w:p>
    <w:p>
      <w:pPr>
        <w:spacing w:after="0" w:line="62" w:lineRule="exact"/>
        <w:rPr>
          <w:sz w:val="20"/>
          <w:szCs w:val="20"/>
          <w:color w:val="auto"/>
        </w:rPr>
      </w:pPr>
    </w:p>
    <w:p>
      <w:pPr>
        <w:jc w:val="center"/>
        <w:ind w:left="460" w:right="180" w:firstLine="443"/>
        <w:spacing w:after="0" w:line="286" w:lineRule="auto"/>
        <w:tabs>
          <w:tab w:leader="none" w:pos="1108"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Borrower may request a Competitive Bid Borrowing under this Section 2.03 by delivering to the Agent, by telecopier, a notice of a Competitive Bid Borrowing (a “</w:t>
      </w:r>
      <w:r>
        <w:rPr>
          <w:rFonts w:ascii="Arial" w:cs="Arial" w:eastAsia="Arial" w:hAnsi="Arial"/>
          <w:sz w:val="16"/>
          <w:szCs w:val="16"/>
          <w:u w:val="single" w:color="auto"/>
          <w:color w:val="auto"/>
        </w:rPr>
        <w:t>Notice of Competitive Bid Borrowing</w:t>
      </w:r>
      <w:r>
        <w:rPr>
          <w:rFonts w:ascii="Arial" w:cs="Arial" w:eastAsia="Arial" w:hAnsi="Arial"/>
          <w:sz w:val="16"/>
          <w:szCs w:val="16"/>
          <w:color w:val="auto"/>
        </w:rPr>
        <w:t>”), in substantially the form of Exhibit B-2 hereto, specifying therein the requested</w:t>
      </w:r>
    </w:p>
    <w:p>
      <w:pPr>
        <w:ind w:left="460" w:right="20" w:firstLine="4"/>
        <w:spacing w:after="0" w:line="287" w:lineRule="auto"/>
        <w:tabs>
          <w:tab w:leader="none" w:pos="70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date of such proposed Competitive Bid Borrowing, (v) aggregate amount of such proposed Competitive Bid Borrowing, (w) maturity date for repayment of each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date of the termination of all of the Commitments ), (x) in the case of a Competitive Bid Advance consisting of LIBO Rate Advances, the Interest Period thereof,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w:t>
      </w:r>
      <w:r>
        <w:rPr>
          <w:rFonts w:ascii="Arial" w:cs="Arial" w:eastAsia="Arial" w:hAnsi="Arial"/>
          <w:sz w:val="16"/>
          <w:szCs w:val="16"/>
          <w:u w:val="single" w:color="auto"/>
          <w:color w:val="auto"/>
        </w:rPr>
        <w:t>Fixed Rate Advances</w:t>
      </w:r>
      <w:r>
        <w:rPr>
          <w:rFonts w:ascii="Arial" w:cs="Arial" w:eastAsia="Arial" w:hAnsi="Arial"/>
          <w:sz w:val="16"/>
          <w:szCs w:val="16"/>
          <w:color w:val="auto"/>
        </w:rPr>
        <w:t>”) and (B) at least four Business Days prior to the date of the proposed Competitive Bid Borrowing, if the Borrower shall instead specify in the Notice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1" w:name="page52"/>
    <w:bookmarkEnd w:id="51"/>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Bid Borrowing that the rates of interest be offered by the Lenders are to be based on the LIBO Rate (the Advances comprising such Competitive Bid Borrowing being referred to herein as “</w:t>
      </w:r>
      <w:r>
        <w:rPr>
          <w:rFonts w:ascii="Arial" w:cs="Arial" w:eastAsia="Arial" w:hAnsi="Arial"/>
          <w:sz w:val="16"/>
          <w:szCs w:val="16"/>
          <w:u w:val="single" w:color="auto"/>
          <w:color w:val="auto"/>
        </w:rPr>
        <w:t>LIBO Rate Advances</w:t>
      </w:r>
      <w:r>
        <w:rPr>
          <w:rFonts w:ascii="Arial" w:cs="Arial" w:eastAsia="Arial" w:hAnsi="Arial"/>
          <w:sz w:val="16"/>
          <w:szCs w:val="16"/>
          <w:color w:val="auto"/>
        </w:rPr>
        <w:t>”).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32" w:lineRule="exact"/>
        <w:rPr>
          <w:sz w:val="20"/>
          <w:szCs w:val="20"/>
          <w:color w:val="auto"/>
        </w:rPr>
      </w:pPr>
    </w:p>
    <w:p>
      <w:pPr>
        <w:ind w:right="20" w:firstLine="443"/>
        <w:spacing w:after="0" w:line="285" w:lineRule="auto"/>
        <w:tabs>
          <w:tab w:leader="none" w:pos="6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by any Lender to give such notice shall not cause such Lender to be obligated to make any Competitive Bid Advance as part of such proposed Competitive Bid Borrowing.</w:t>
      </w:r>
    </w:p>
    <w:p>
      <w:pPr>
        <w:spacing w:after="0" w:line="47" w:lineRule="exact"/>
        <w:rPr>
          <w:rFonts w:ascii="Arial" w:cs="Arial" w:eastAsia="Arial" w:hAnsi="Arial"/>
          <w:sz w:val="16"/>
          <w:szCs w:val="16"/>
          <w:color w:val="auto"/>
        </w:rPr>
      </w:pPr>
    </w:p>
    <w:p>
      <w:pPr>
        <w:jc w:val="both"/>
        <w:ind w:right="120" w:firstLine="443"/>
        <w:spacing w:after="0" w:line="306" w:lineRule="auto"/>
        <w:tabs>
          <w:tab w:leader="none" w:pos="7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pacing w:after="0" w:line="25" w:lineRule="exact"/>
        <w:rPr>
          <w:rFonts w:ascii="Arial" w:cs="Arial" w:eastAsia="Arial" w:hAnsi="Arial"/>
          <w:sz w:val="16"/>
          <w:szCs w:val="16"/>
          <w:color w:val="auto"/>
        </w:rPr>
      </w:pPr>
    </w:p>
    <w:p>
      <w:pPr>
        <w:ind w:left="1120" w:hanging="239"/>
        <w:spacing w:after="0"/>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cancel such Competitive Bid Borrowing by giving the Agent notice to that effect, or</w:t>
      </w:r>
    </w:p>
    <w:p>
      <w:pPr>
        <w:spacing w:after="0" w:line="90" w:lineRule="exact"/>
        <w:rPr>
          <w:rFonts w:ascii="Arial" w:cs="Arial" w:eastAsia="Arial" w:hAnsi="Arial"/>
          <w:sz w:val="18"/>
          <w:szCs w:val="18"/>
          <w:color w:val="auto"/>
        </w:rPr>
      </w:pPr>
    </w:p>
    <w:p>
      <w:pPr>
        <w:ind w:left="460" w:firstLine="421"/>
        <w:spacing w:after="0" w:line="259" w:lineRule="auto"/>
        <w:tabs>
          <w:tab w:leader="none" w:pos="112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52" w:name="page53"/>
    <w:bookmarkEnd w:id="52"/>
    <w:p>
      <w:pPr>
        <w:ind w:left="460"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for such Competitive Bid Advance pursuant to paragraph (ii) above) to be made by each Lender as part of such Competitive Bid Borrowing, and reject any remaining offers made by Lenders pursuant to paragraph (ii) above by giving the Agent notice to that effect. The 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35" w:lineRule="exact"/>
        <w:rPr>
          <w:sz w:val="20"/>
          <w:szCs w:val="20"/>
          <w:color w:val="auto"/>
        </w:rPr>
      </w:pPr>
    </w:p>
    <w:p>
      <w:pPr>
        <w:ind w:right="220" w:firstLine="443"/>
        <w:spacing w:after="0" w:line="268" w:lineRule="auto"/>
        <w:tabs>
          <w:tab w:leader="none" w:pos="7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Borrower notifies the Agent that such Competitive Bid Borrowing is cancelled pursuant to paragraph (iii)(x) above, the Agent shall give prompt notice thereof to the Lenders and such Competitive Bid Borrowing shall not be made.</w:t>
      </w:r>
    </w:p>
    <w:p>
      <w:pPr>
        <w:spacing w:after="0" w:line="50" w:lineRule="exact"/>
        <w:rPr>
          <w:rFonts w:ascii="Arial" w:cs="Arial" w:eastAsia="Arial" w:hAnsi="Arial"/>
          <w:sz w:val="18"/>
          <w:szCs w:val="18"/>
          <w:color w:val="auto"/>
        </w:rPr>
      </w:pPr>
    </w:p>
    <w:p>
      <w:pPr>
        <w:ind w:firstLine="443"/>
        <w:spacing w:after="0" w:line="286" w:lineRule="auto"/>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 Agent’s address referred to in Section 8.02. Promptly after each Competitive Bid Borrowing the Agent will notify each Lender of the amount of the Competitive Bid Borrowing.</w:t>
      </w:r>
    </w:p>
    <w:p>
      <w:pPr>
        <w:spacing w:after="0" w:line="39" w:lineRule="exact"/>
        <w:rPr>
          <w:rFonts w:ascii="Arial" w:cs="Arial" w:eastAsia="Arial" w:hAnsi="Arial"/>
          <w:sz w:val="16"/>
          <w:szCs w:val="16"/>
          <w:color w:val="auto"/>
        </w:rPr>
      </w:pPr>
    </w:p>
    <w:p>
      <w:pPr>
        <w:ind w:right="140" w:firstLine="443"/>
        <w:spacing w:after="0" w:line="253" w:lineRule="auto"/>
        <w:tabs>
          <w:tab w:leader="none" w:pos="7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53" w:name="page54"/>
    <w:bookmarkEnd w:id="53"/>
    <w:p>
      <w:pPr>
        <w:ind w:right="120" w:firstLine="921"/>
        <w:spacing w:after="0" w:line="259"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40" w:lineRule="exact"/>
        <w:rPr>
          <w:rFonts w:ascii="Arial" w:cs="Arial" w:eastAsia="Arial" w:hAnsi="Arial"/>
          <w:sz w:val="18"/>
          <w:szCs w:val="18"/>
          <w:color w:val="auto"/>
        </w:rPr>
      </w:pPr>
    </w:p>
    <w:p>
      <w:pPr>
        <w:ind w:right="160" w:firstLine="921"/>
        <w:spacing w:after="0" w:line="259" w:lineRule="auto"/>
        <w:tabs>
          <w:tab w:leader="none" w:pos="11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Within the limits and on the conditions set forth in this Section 2.03, the Borrower may from time to time borrow under this Section 2.03, repay or prepay pursuant to subsection (d) below, and reborrow under this Section 2.03,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Competitive Bid Borrowing shall not be made within one Business Day of the date of any other Competitive Bid Borrowing.</w:t>
      </w:r>
    </w:p>
    <w:p>
      <w:pPr>
        <w:spacing w:after="0" w:line="140"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20" w:lineRule="exact"/>
        <w:rPr>
          <w:rFonts w:ascii="Arial" w:cs="Arial" w:eastAsia="Arial" w:hAnsi="Arial"/>
          <w:sz w:val="16"/>
          <w:szCs w:val="16"/>
          <w:color w:val="auto"/>
        </w:rPr>
      </w:pPr>
    </w:p>
    <w:p>
      <w:pPr>
        <w:ind w:firstLine="921"/>
        <w:spacing w:after="0" w:line="289"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 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18" w:lineRule="exact"/>
        <w:rPr>
          <w:rFonts w:ascii="Arial" w:cs="Arial" w:eastAsia="Arial" w:hAnsi="Arial"/>
          <w:sz w:val="16"/>
          <w:szCs w:val="16"/>
          <w:color w:val="auto"/>
        </w:rPr>
      </w:pPr>
    </w:p>
    <w:p>
      <w:pPr>
        <w:ind w:right="200" w:firstLine="921"/>
        <w:spacing w:after="0" w:line="332" w:lineRule="auto"/>
        <w:tabs>
          <w:tab w:leader="none" w:pos="11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85"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Facility Fee</w:t>
      </w:r>
      <w:r>
        <w:rPr>
          <w:rFonts w:ascii="Arial" w:cs="Arial" w:eastAsia="Arial" w:hAnsi="Arial"/>
          <w:sz w:val="18"/>
          <w:szCs w:val="18"/>
          <w:color w:val="auto"/>
        </w:rPr>
        <w:t>. The Borrower agrees to pay to the Agent for the account of each Lender a facility fee on the aggregate amount of such Lender’s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4" w:name="page55"/>
    <w:bookmarkEnd w:id="54"/>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and on the date of the termination of all of the Commitments, commencing September 30, 2006.</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Agent’s Fees</w:t>
      </w:r>
      <w:r>
        <w:rPr>
          <w:rFonts w:ascii="Arial" w:cs="Arial" w:eastAsia="Arial" w:hAnsi="Arial"/>
          <w:sz w:val="16"/>
          <w:szCs w:val="16"/>
          <w:color w:val="auto"/>
        </w:rPr>
        <w:t>. The Borrower shall pay to the Agent for its own account such fees as may from time to time be agreed between the Borrower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Agent.</w:t>
      </w:r>
    </w:p>
    <w:p>
      <w:pPr>
        <w:spacing w:after="0" w:line="165"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Termination, Reduction or Increase of the Commitments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Optional Termination or Reduction</w:t>
      </w:r>
      <w:r>
        <w:rPr>
          <w:rFonts w:ascii="Arial" w:cs="Arial" w:eastAsia="Arial" w:hAnsi="Arial"/>
          <w:sz w:val="16"/>
          <w:szCs w:val="16"/>
          <w:color w:val="auto"/>
        </w:rPr>
        <w:t xml:space="preserve">. The Borrower shall have the right, upon at least three Business Days’ notice to the Agent, to terminate in whole or reduce ratably in part the respective Unused Commitments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partial reduction shall be in the aggregate amount of $10,000,000 or an integral multiple of $1,000,000 in excess thereof. The aggregate amount of the Commitments once reduced as provided in this Section 2.05(a)(i), may not be reinstated, except as provided in Section 2.05(b) below.</w:t>
      </w:r>
    </w:p>
    <w:p>
      <w:pPr>
        <w:spacing w:after="0" w:line="113" w:lineRule="exact"/>
        <w:rPr>
          <w:sz w:val="20"/>
          <w:szCs w:val="20"/>
          <w:color w:val="auto"/>
        </w:rPr>
      </w:pPr>
    </w:p>
    <w:p>
      <w:pPr>
        <w:ind w:firstLine="921"/>
        <w:spacing w:after="0" w:line="284" w:lineRule="auto"/>
        <w:tabs>
          <w:tab w:leader="none" w:pos="116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Increase in Aggregate of the Commitments</w:t>
      </w:r>
      <w:r>
        <w:rPr>
          <w:rFonts w:ascii="Arial" w:cs="Arial" w:eastAsia="Arial" w:hAnsi="Arial"/>
          <w:sz w:val="16"/>
          <w:szCs w:val="16"/>
          <w:color w:val="auto"/>
        </w:rPr>
        <w:t>. (i) The Borrower may at any time, by notice to the Agent, propose that the aggregate amount of the Commitments be increased (such aggregate amount being,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effective as at a date prior to the date of the termination of all of the Commitments (an “</w:t>
      </w:r>
      <w:r>
        <w:rPr>
          <w:rFonts w:ascii="Arial" w:cs="Arial" w:eastAsia="Arial" w:hAnsi="Arial"/>
          <w:sz w:val="16"/>
          <w:szCs w:val="16"/>
          <w:u w:val="single" w:color="auto"/>
          <w:color w:val="auto"/>
        </w:rPr>
        <w:t>Increase Date</w:t>
      </w:r>
      <w:r>
        <w:rPr>
          <w:rFonts w:ascii="Arial" w:cs="Arial" w:eastAsia="Arial" w:hAnsi="Arial"/>
          <w:sz w:val="16"/>
          <w:szCs w:val="16"/>
          <w:color w:val="auto"/>
        </w:rPr>
        <w:t>”) as to which agreement is to be reached by an earlier date specified in such notice (a “</w:t>
      </w:r>
      <w:r>
        <w:rPr>
          <w:rFonts w:ascii="Arial" w:cs="Arial" w:eastAsia="Arial" w:hAnsi="Arial"/>
          <w:sz w:val="16"/>
          <w:szCs w:val="16"/>
          <w:u w:val="single" w:color="auto"/>
          <w:color w:val="auto"/>
        </w:rPr>
        <w:t>Commitment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Borrower may not propose more than two Commitment Increases in any calendar year, (B) the minimum proposed Commitment Increase per notice shall be $25,000,000, (C) in no event shall the aggregate amount of the Commitments at any time exceed $700,000,000 and (D)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w:t>
      </w:r>
      <w:r>
        <w:rPr>
          <w:rFonts w:ascii="Arial" w:cs="Arial" w:eastAsia="Arial" w:hAnsi="Arial"/>
          <w:sz w:val="16"/>
          <w:szCs w:val="16"/>
          <w:u w:val="single" w:color="auto"/>
          <w:color w:val="auto"/>
        </w:rPr>
        <w:t>Increasing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and the addition of one or more other Eligible Assignees as Assuming Lenders and as parties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it shall be in each Lender’s sole discretion whether to increase its Commitment hereunder in connection with the proposed Commitment Increase;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minimum Commitment of each such Assuming Lender that becomes a party to this Agreement pursuant to this Section 2.05(b), shall be at least equal to $10,000,000.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55" w:name="page56"/>
    <w:bookmarkEnd w:id="55"/>
    <w:p>
      <w:pPr>
        <w:ind w:right="60" w:firstLine="443"/>
        <w:spacing w:after="0" w:line="286" w:lineRule="auto"/>
        <w:tabs>
          <w:tab w:leader="none" w:pos="687"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w:t>
      </w:r>
    </w:p>
    <w:p>
      <w:pPr>
        <w:ind w:left="260" w:hanging="256"/>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opinion of counsel for the Borrower (which may be in-house counsel), in substantially the form of Exhibit E-1 hereto;</w:t>
      </w:r>
    </w:p>
    <w:p>
      <w:pPr>
        <w:spacing w:after="0" w:line="83" w:lineRule="exact"/>
        <w:rPr>
          <w:rFonts w:ascii="Arial" w:cs="Arial" w:eastAsia="Arial" w:hAnsi="Arial"/>
          <w:sz w:val="18"/>
          <w:szCs w:val="18"/>
          <w:color w:val="auto"/>
        </w:rPr>
      </w:pPr>
    </w:p>
    <w:p>
      <w:pPr>
        <w:ind w:right="440" w:firstLine="443"/>
        <w:spacing w:after="0" w:line="332" w:lineRule="auto"/>
        <w:tabs>
          <w:tab w:leader="none" w:pos="68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4" w:lineRule="exact"/>
        <w:rPr>
          <w:rFonts w:ascii="Arial" w:cs="Arial" w:eastAsia="Arial" w:hAnsi="Arial"/>
          <w:sz w:val="16"/>
          <w:szCs w:val="16"/>
          <w:color w:val="auto"/>
        </w:rPr>
      </w:pPr>
    </w:p>
    <w:p>
      <w:pPr>
        <w:ind w:right="160" w:firstLine="443"/>
        <w:spacing w:after="0" w:line="332" w:lineRule="auto"/>
        <w:tabs>
          <w:tab w:leader="none" w:pos="6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such Increasing Lender shall have delivered to the Agent by, no later than 10:00 A.M. (New York City time) on such Increase Date, (A) its existing Revolving Credit Note and (B) confirmation in writing satisfactory to the Agent as to its increased Commitment.</w:t>
      </w:r>
    </w:p>
    <w:p>
      <w:pPr>
        <w:spacing w:after="0" w:line="4" w:lineRule="exact"/>
        <w:rPr>
          <w:sz w:val="20"/>
          <w:szCs w:val="20"/>
          <w:color w:val="auto"/>
        </w:rPr>
      </w:pPr>
    </w:p>
    <w:p>
      <w:pPr>
        <w:ind w:firstLine="443"/>
        <w:spacing w:after="0" w:line="285" w:lineRule="auto"/>
        <w:tabs>
          <w:tab w:leader="none" w:pos="697"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that the Agent shall have received notice from the Borrower as to its agreement to a Commitment Increase on or prior to the applicable Commitment Date and each of the actions provided for in clauses (x) 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56" w:name="page57"/>
    <w:bookmarkEnd w:id="56"/>
    <w:p>
      <w:pPr>
        <w:ind w:left="4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66" w:lineRule="exact"/>
        <w:rPr>
          <w:sz w:val="20"/>
          <w:szCs w:val="20"/>
          <w:color w:val="auto"/>
        </w:rPr>
      </w:pPr>
    </w:p>
    <w:p>
      <w:pPr>
        <w:jc w:val="both"/>
        <w:ind w:left="460" w:right="240" w:firstLine="443"/>
        <w:spacing w:after="0" w:line="294" w:lineRule="auto"/>
        <w:tabs>
          <w:tab w:leader="none" w:pos="12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event that the Agent shall not have received notice from the Borrower as to such agreement on or prior to the applicable Commitment Date or the Borrower shall, by 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16"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Repayment of Revolving Credit Advances</w:t>
      </w:r>
      <w:r>
        <w:rPr>
          <w:rFonts w:ascii="Arial" w:cs="Arial" w:eastAsia="Arial" w:hAnsi="Arial"/>
          <w:sz w:val="16"/>
          <w:szCs w:val="16"/>
          <w:color w:val="auto"/>
        </w:rPr>
        <w:t>. The Borrower shall repay to the Agent for the ratable account of each Lender on the Termination Date applicable to such Lender the aggregate principal amount of the Revolving Credit Advances made by such Lender and then outstanding.</w:t>
      </w:r>
    </w:p>
    <w:p>
      <w:pPr>
        <w:spacing w:after="0" w:line="85"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on Revolving Credit Advances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Scheduled Interest</w:t>
      </w:r>
      <w:r>
        <w:rPr>
          <w:rFonts w:ascii="Arial" w:cs="Arial" w:eastAsia="Arial" w:hAnsi="Arial"/>
          <w:sz w:val="18"/>
          <w:szCs w:val="18"/>
          <w:color w:val="auto"/>
        </w:rPr>
        <w: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59" w:lineRule="exact"/>
        <w:rPr>
          <w:sz w:val="20"/>
          <w:szCs w:val="20"/>
          <w:color w:val="auto"/>
        </w:rPr>
      </w:pPr>
    </w:p>
    <w:p>
      <w:pPr>
        <w:jc w:val="both"/>
        <w:ind w:left="460" w:right="40" w:firstLine="443"/>
        <w:spacing w:after="0" w:line="256"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During such periods as such Revolving Credit Advance is a Base Rate Advance a rate per annum equal at all times to the sum of (x)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quarterly on the last day of each March, June, September and December during such periods and on the date such Base Rate Advance shall be Converted or paid in full.</w:t>
      </w:r>
    </w:p>
    <w:p>
      <w:pPr>
        <w:spacing w:after="0" w:line="62" w:lineRule="exact"/>
        <w:rPr>
          <w:rFonts w:ascii="Arial" w:cs="Arial" w:eastAsia="Arial" w:hAnsi="Arial"/>
          <w:sz w:val="18"/>
          <w:szCs w:val="18"/>
          <w:color w:val="auto"/>
        </w:rPr>
      </w:pPr>
    </w:p>
    <w:p>
      <w:pPr>
        <w:ind w:left="460" w:right="20" w:firstLine="443"/>
        <w:spacing w:after="0" w:line="254" w:lineRule="auto"/>
        <w:tabs>
          <w:tab w:leader="none" w:pos="115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Eurodollar Rate Advances</w:t>
      </w:r>
      <w:r>
        <w:rPr>
          <w:rFonts w:ascii="Arial" w:cs="Arial" w:eastAsia="Arial" w:hAnsi="Arial"/>
          <w:sz w:val="18"/>
          <w:szCs w:val="18"/>
          <w:color w:val="auto"/>
        </w:rPr>
        <w:t xml:space="preserve">. During such periods as such Revolving Credit Advance is a Eurodollar Rate Advance, a rate per annum equal at all times during each Interest Period for such Revolving Credit Advance to the sum of (x) the Eurodollar Rate for such Interest Period for such Revolving Credit Advance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Applicable Margin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(z) the Applicable Utilization Fee, if any,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57" w:name="page58"/>
    <w:bookmarkEnd w:id="57"/>
    <w:p>
      <w:pPr>
        <w:ind w:right="20" w:firstLine="921"/>
        <w:spacing w:after="0" w:line="254" w:lineRule="auto"/>
        <w:tabs>
          <w:tab w:leader="none" w:pos="116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Interest</w:t>
      </w:r>
      <w:r>
        <w:rPr>
          <w:rFonts w:ascii="Arial" w:cs="Arial" w:eastAsia="Arial" w:hAnsi="Arial"/>
          <w:sz w:val="18"/>
          <w:szCs w:val="18"/>
          <w:color w:val="auto"/>
        </w:rPr>
        <w: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pacing w:after="0" w:line="144"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Rate Determination</w:t>
      </w:r>
      <w:r>
        <w:rPr>
          <w:rFonts w:ascii="Arial" w:cs="Arial" w:eastAsia="Arial" w:hAnsi="Arial"/>
          <w:sz w:val="16"/>
          <w:szCs w:val="16"/>
          <w:color w:val="auto"/>
        </w:rPr>
        <w:t>.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16" w:lineRule="exact"/>
        <w:rPr>
          <w:sz w:val="20"/>
          <w:szCs w:val="20"/>
          <w:color w:val="auto"/>
        </w:rPr>
      </w:pPr>
    </w:p>
    <w:p>
      <w:pPr>
        <w:ind w:right="60" w:firstLine="921"/>
        <w:spacing w:after="0" w:line="291"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as a result of circumstances other than those circumstances described in Section 2.11,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20" w:lineRule="exact"/>
        <w:rPr>
          <w:rFonts w:ascii="Arial" w:cs="Arial" w:eastAsia="Arial" w:hAnsi="Arial"/>
          <w:sz w:val="16"/>
          <w:szCs w:val="16"/>
          <w:color w:val="auto"/>
        </w:rPr>
      </w:pPr>
    </w:p>
    <w:p>
      <w:pPr>
        <w:ind w:firstLine="921"/>
        <w:spacing w:after="0" w:line="259"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40" w:lineRule="exact"/>
        <w:rPr>
          <w:rFonts w:ascii="Arial" w:cs="Arial" w:eastAsia="Arial" w:hAnsi="Arial"/>
          <w:sz w:val="18"/>
          <w:szCs w:val="18"/>
          <w:color w:val="auto"/>
        </w:rPr>
      </w:pPr>
    </w:p>
    <w:p>
      <w:pPr>
        <w:ind w:right="140" w:firstLine="921"/>
        <w:spacing w:after="0" w:line="259"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40" w:lineRule="exact"/>
        <w:rPr>
          <w:rFonts w:ascii="Arial" w:cs="Arial" w:eastAsia="Arial" w:hAnsi="Arial"/>
          <w:sz w:val="18"/>
          <w:szCs w:val="18"/>
          <w:color w:val="auto"/>
        </w:rPr>
      </w:pPr>
    </w:p>
    <w:p>
      <w:pPr>
        <w:ind w:right="80" w:firstLine="921"/>
        <w:spacing w:after="0" w:line="268"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fewer than two Reference Banks furnish timely information to the Agent for determining the Eurodollar Rate or LIBO Rate for any Eurodollar Rate Advances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8" w:name="page59"/>
    <w:bookmarkEnd w:id="58"/>
    <w:p>
      <w:pPr>
        <w:jc w:val="both"/>
        <w:ind w:right="1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Moneyline Telerate Page 3750 (or any successor page) as of 11:00 A.M. (London time), or in the event such offered rate is not available from the Moneyline Telerate Page 3750,</w:t>
      </w:r>
    </w:p>
    <w:p>
      <w:pPr>
        <w:spacing w:after="0" w:line="7" w:lineRule="exact"/>
        <w:rPr>
          <w:sz w:val="20"/>
          <w:szCs w:val="20"/>
          <w:color w:val="auto"/>
        </w:rPr>
      </w:pPr>
    </w:p>
    <w:p>
      <w:pPr>
        <w:ind w:left="460" w:right="24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Agent shall forthwith notify the Borrower and the Lenders that the interest rate cannot be determined for such Eurodollar Rate Advances or LIBO Rate Advances, as the case may be,</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157"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4" w:lineRule="exact"/>
        <w:rPr>
          <w:rFonts w:ascii="Arial" w:cs="Arial" w:eastAsia="Arial" w:hAnsi="Arial"/>
          <w:sz w:val="16"/>
          <w:szCs w:val="16"/>
          <w:color w:val="auto"/>
        </w:rPr>
      </w:pPr>
    </w:p>
    <w:p>
      <w:pPr>
        <w:ind w:left="460" w:right="60" w:firstLine="443"/>
        <w:spacing w:after="0" w:line="259" w:lineRule="auto"/>
        <w:tabs>
          <w:tab w:leader="none" w:pos="1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Optional Conversion of Revolving Credit Advances</w:t>
      </w:r>
      <w:r>
        <w:rPr>
          <w:rFonts w:ascii="Arial" w:cs="Arial" w:eastAsia="Arial" w:hAnsi="Arial"/>
          <w:sz w:val="16"/>
          <w:szCs w:val="16"/>
          <w:color w:val="auto"/>
        </w:rPr>
        <w:t>. The Borrower may on any Business Day, upon notice given to the Agent not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later than 11:00 A.M. (New York City time) on the third Business Day prior to the date of the proposed Conversion and subject to the provisions of Sections 2.08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2.12, Convert all Revolving Credit Advances of one Type comprising the same Borrowing into Revolving Credit Advances of the other Type;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however</w:t>
      </w:r>
      <w:r>
        <w:rPr>
          <w:rFonts w:ascii="Arial" w:cs="Arial" w:eastAsia="Arial" w:hAnsi="Arial"/>
          <w:sz w:val="16"/>
          <w:szCs w:val="16"/>
          <w:color w:val="auto"/>
        </w:rPr>
        <w:t>, that any Conversion of Base Rate Advances into Eurodollar Rate Advances shall be in an amount not less than the minimum amount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2.02(b) and no Conversion of any Revolving Credit Advances shall result in more separate Revolving Credit Borrowings than permitted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2.02(b). Each such notice of a Conversion shall, within the restrictions specified above, specify (i) the date of such Conversion, (ii) the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Advances to be Converted, and (iii) if such Conversion is into Eurodollar Rate Advances, the duration of the initial Interest Period for each such Advance.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of Conversion shall be irrevocable and binding on the Borrower.</w:t>
      </w:r>
    </w:p>
    <w:p>
      <w:pPr>
        <w:spacing w:after="0" w:line="16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Optional Prepayments of Revolving Credit Advances</w:t>
      </w:r>
      <w:r>
        <w:rPr>
          <w:rFonts w:ascii="Arial" w:cs="Arial" w:eastAsia="Arial" w:hAnsi="Arial"/>
          <w:sz w:val="16"/>
          <w:szCs w:val="16"/>
          <w:color w:val="auto"/>
        </w:rPr>
        <w:t xml:space="preserve">.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9" w:name="page60"/>
    <w:bookmarkEnd w:id="59"/>
    <w:p>
      <w:pPr>
        <w:ind w:firstLine="913"/>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2.11. </w:t>
      </w:r>
      <w:r>
        <w:rPr>
          <w:rFonts w:ascii="Arial" w:cs="Arial" w:eastAsia="Arial" w:hAnsi="Arial"/>
          <w:sz w:val="15"/>
          <w:szCs w:val="15"/>
          <w:u w:val="single" w:color="auto"/>
          <w:color w:val="auto"/>
        </w:rPr>
        <w:t>Increased Costs</w:t>
      </w:r>
      <w:r>
        <w:rPr>
          <w:rFonts w:ascii="Arial" w:cs="Arial" w:eastAsia="Arial" w:hAnsi="Arial"/>
          <w:sz w:val="15"/>
          <w:szCs w:val="15"/>
          <w:color w:val="auto"/>
        </w:rPr>
        <w:t>. (a) If, after the date hereof, due to either (i) the introduction of or any change in or in the interpretation of any law or regulation or (ii) the compliance with any guideline or request from any central bank or other governmental authority (whether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112" w:lineRule="exact"/>
        <w:rPr>
          <w:sz w:val="20"/>
          <w:szCs w:val="20"/>
          <w:color w:val="auto"/>
        </w:rPr>
      </w:pPr>
    </w:p>
    <w:p>
      <w:pPr>
        <w:ind w:right="40" w:firstLine="921"/>
        <w:spacing w:after="0" w:line="286" w:lineRule="auto"/>
        <w:tabs>
          <w:tab w:leader="none" w:pos="1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27" w:lineRule="exact"/>
        <w:rPr>
          <w:rFonts w:ascii="Arial" w:cs="Arial" w:eastAsia="Arial" w:hAnsi="Arial"/>
          <w:sz w:val="16"/>
          <w:szCs w:val="16"/>
          <w:color w:val="auto"/>
        </w:rPr>
      </w:pPr>
    </w:p>
    <w:p>
      <w:pPr>
        <w:ind w:right="80" w:firstLine="921"/>
        <w:spacing w:after="0" w:line="335" w:lineRule="auto"/>
        <w:tabs>
          <w:tab w:leader="none" w:pos="1152"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80" w:right="319" w:bottom="1440" w:gutter="0" w:footer="0" w:header="0"/>
        </w:sectPr>
      </w:pPr>
    </w:p>
    <w:bookmarkStart w:id="60" w:name="page61"/>
    <w:bookmarkEnd w:id="6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 Notwithstanding anything to the contrary herein contained, no Lender shall be entitled to claim any additional amounts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2.11 arising with respect to any period of time prior to the date that is 60 days prior to the date on which notice of such claim and the basis therefor is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to the Borrower pursuant to this Section 2.11.</w:t>
      </w:r>
    </w:p>
    <w:p>
      <w:pPr>
        <w:spacing w:after="0" w:line="16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Illegality</w:t>
      </w:r>
      <w:r>
        <w:rPr>
          <w:rFonts w:ascii="Arial" w:cs="Arial" w:eastAsia="Arial" w:hAnsi="Arial"/>
          <w:sz w:val="16"/>
          <w:szCs w:val="16"/>
          <w:color w:val="auto"/>
        </w:rPr>
        <w:t>.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24" w:lineRule="exact"/>
        <w:rPr>
          <w:sz w:val="20"/>
          <w:szCs w:val="20"/>
          <w:color w:val="auto"/>
        </w:rPr>
      </w:pPr>
    </w:p>
    <w:p>
      <w:pPr>
        <w:ind w:right="240" w:firstLine="921"/>
        <w:spacing w:after="0" w:line="259" w:lineRule="auto"/>
        <w:tabs>
          <w:tab w:leader="none" w:pos="11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purposes of this Section 2.12, a notice to the Borrower by any Lender shall be effective as to each Eurodollar Rate Advance or LIBO Rate Advance, if lawful, on the last day of the Interest Period currently applicable to such Eurodollar Rate Advance or LIBO Rate Advance; in all other cases such notice shall be effective on the date of receipt by the Borrower.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61" w:name="page62"/>
    <w:bookmarkEnd w:id="61"/>
    <w:p>
      <w:pPr>
        <w:ind w:right="40" w:firstLine="913"/>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2.13. </w:t>
      </w:r>
      <w:r>
        <w:rPr>
          <w:rFonts w:ascii="Arial" w:cs="Arial" w:eastAsia="Arial" w:hAnsi="Arial"/>
          <w:sz w:val="15"/>
          <w:szCs w:val="15"/>
          <w:u w:val="single" w:color="auto"/>
          <w:color w:val="auto"/>
        </w:rPr>
        <w:t>Payments and Computations</w:t>
      </w:r>
      <w:r>
        <w:rPr>
          <w:rFonts w:ascii="Arial" w:cs="Arial" w:eastAsia="Arial" w:hAnsi="Arial"/>
          <w:sz w:val="15"/>
          <w:szCs w:val="15"/>
          <w:color w:val="auto"/>
        </w:rPr>
        <w:t>.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Agent’s receipt of such Lender’s Assumption Agreement and recording of the information contained therein in the Register, from and after the applicable Increase Date or Extension Date, as the case may be, the Agent shall make all payments hereunder and under any Notes issued in connection therewith in respect of the interest assumed thereby to the Assuming Lender.</w:t>
      </w:r>
    </w:p>
    <w:p>
      <w:pPr>
        <w:spacing w:after="0" w:line="124" w:lineRule="exact"/>
        <w:rPr>
          <w:sz w:val="20"/>
          <w:szCs w:val="20"/>
          <w:color w:val="auto"/>
        </w:rPr>
      </w:pPr>
    </w:p>
    <w:p>
      <w:pPr>
        <w:ind w:right="140" w:firstLine="921"/>
        <w:spacing w:after="0" w:line="323" w:lineRule="auto"/>
        <w:tabs>
          <w:tab w:leader="none" w:pos="1162"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97" w:lineRule="exact"/>
        <w:rPr>
          <w:rFonts w:ascii="Arial" w:cs="Arial" w:eastAsia="Arial" w:hAnsi="Arial"/>
          <w:sz w:val="15"/>
          <w:szCs w:val="15"/>
          <w:color w:val="auto"/>
        </w:rPr>
      </w:pPr>
    </w:p>
    <w:p>
      <w:pPr>
        <w:ind w:right="100" w:firstLine="921"/>
        <w:spacing w:after="0" w:line="298" w:lineRule="auto"/>
        <w:tabs>
          <w:tab w:leader="none" w:pos="11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extension would cause payment of interest on or principal of Eurodollar Rate Advances or LIBO Rate Advances to be made in the next following calendar month, such payment shall be made on the next preceding Business Day.</w:t>
      </w:r>
    </w:p>
    <w:p>
      <w:pPr>
        <w:spacing w:after="0" w:line="112" w:lineRule="exact"/>
        <w:rPr>
          <w:rFonts w:ascii="Arial" w:cs="Arial" w:eastAsia="Arial" w:hAnsi="Arial"/>
          <w:sz w:val="16"/>
          <w:szCs w:val="16"/>
          <w:color w:val="auto"/>
        </w:rPr>
      </w:pPr>
    </w:p>
    <w:p>
      <w:pPr>
        <w:jc w:val="both"/>
        <w:ind w:firstLine="921"/>
        <w:spacing w:after="0" w:line="254"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62" w:name="page63"/>
    <w:bookmarkEnd w:id="62"/>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2.14. </w:t>
      </w:r>
      <w:r>
        <w:rPr>
          <w:rFonts w:ascii="Arial" w:cs="Arial" w:eastAsia="Arial" w:hAnsi="Arial"/>
          <w:sz w:val="16"/>
          <w:szCs w:val="16"/>
          <w:u w:val="single" w:color="auto"/>
          <w:color w:val="auto"/>
        </w:rPr>
        <w:t>Taxes</w:t>
      </w:r>
      <w:r>
        <w:rPr>
          <w:rFonts w:ascii="Arial" w:cs="Arial" w:eastAsia="Arial" w:hAnsi="Arial"/>
          <w:sz w:val="16"/>
          <w:szCs w:val="16"/>
          <w:color w:val="auto"/>
        </w:rPr>
        <w:t>.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w:t>
      </w:r>
      <w:r>
        <w:rPr>
          <w:rFonts w:ascii="Arial" w:cs="Arial" w:eastAsia="Arial" w:hAnsi="Arial"/>
          <w:sz w:val="16"/>
          <w:szCs w:val="16"/>
          <w:u w:val="single" w:color="auto"/>
          <w:color w:val="auto"/>
        </w:rPr>
        <w:t>Taxes</w:t>
      </w:r>
      <w:r>
        <w:rPr>
          <w:rFonts w:ascii="Arial" w:cs="Arial" w:eastAsia="Arial" w:hAnsi="Arial"/>
          <w:sz w:val="16"/>
          <w:szCs w:val="16"/>
          <w:color w:val="auto"/>
        </w:rPr>
        <w:t>”).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126" w:lineRule="exact"/>
        <w:rPr>
          <w:sz w:val="20"/>
          <w:szCs w:val="20"/>
          <w:color w:val="auto"/>
        </w:rPr>
      </w:pPr>
    </w:p>
    <w:p>
      <w:pPr>
        <w:ind w:right="20" w:firstLine="921"/>
        <w:spacing w:after="0" w:line="259" w:lineRule="auto"/>
        <w:tabs>
          <w:tab w:leader="none" w:pos="1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right="200" w:firstLine="921"/>
        <w:spacing w:after="0" w:line="256"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shall indemnify each Lender and the Agent for the full amount of Taxes or Other Taxes (including, without limitation, any taxes imposed by any 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43" w:lineRule="exact"/>
        <w:rPr>
          <w:rFonts w:ascii="Arial" w:cs="Arial" w:eastAsia="Arial" w:hAnsi="Arial"/>
          <w:sz w:val="18"/>
          <w:szCs w:val="18"/>
          <w:color w:val="auto"/>
        </w:rPr>
      </w:pPr>
    </w:p>
    <w:p>
      <w:pPr>
        <w:ind w:right="100" w:firstLine="921"/>
        <w:spacing w:after="0" w:line="291"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w:t>
      </w:r>
      <w:r>
        <w:rPr>
          <w:rFonts w:ascii="Arial" w:cs="Arial" w:eastAsia="Arial" w:hAnsi="Arial"/>
          <w:sz w:val="16"/>
          <w:szCs w:val="16"/>
          <w:u w:val="single" w:color="auto"/>
          <w:color w:val="auto"/>
        </w:rPr>
        <w:t>United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States</w:t>
      </w:r>
      <w:r>
        <w:rPr>
          <w:rFonts w:ascii="Arial" w:cs="Arial" w:eastAsia="Arial" w:hAnsi="Arial"/>
          <w:sz w:val="16"/>
          <w:szCs w:val="16"/>
          <w:color w:val="auto"/>
        </w:rPr>
        <w:t>” and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shall have the meanings specified in Section 7701 of the Internal Revenue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3" w:name="page64"/>
    <w:bookmarkEnd w:id="63"/>
    <w:p>
      <w:pPr>
        <w:ind w:left="-40" w:right="20" w:firstLine="921"/>
        <w:spacing w:after="0" w:line="285" w:lineRule="auto"/>
        <w:tabs>
          <w:tab w:leader="none" w:pos="1112"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W-8BEN or W-8ECI,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W-8BEN or W-8ECI, that the Lender reasonably considers to be confidential, the Lender shall give notice thereof to the Borrower and shall not be obligated to include in such form or document such confidential information.</w:t>
      </w:r>
    </w:p>
    <w:p>
      <w:pPr>
        <w:spacing w:after="0" w:line="123" w:lineRule="exact"/>
        <w:rPr>
          <w:rFonts w:ascii="Arial" w:cs="Arial" w:eastAsia="Arial" w:hAnsi="Arial"/>
          <w:sz w:val="16"/>
          <w:szCs w:val="16"/>
          <w:color w:val="auto"/>
        </w:rPr>
      </w:pPr>
    </w:p>
    <w:p>
      <w:pPr>
        <w:ind w:left="-40" w:firstLine="921"/>
        <w:spacing w:after="0" w:line="294" w:lineRule="auto"/>
        <w:tabs>
          <w:tab w:leader="none" w:pos="1092"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any period with respect to which a Lender has failed to provide the Borrower with the appropriate form described in Section 2.14(e)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than</w:t>
      </w:r>
      <w:r>
        <w:rPr>
          <w:rFonts w:ascii="Arial" w:cs="Arial" w:eastAsia="Arial" w:hAnsi="Arial"/>
          <w:sz w:val="16"/>
          <w:szCs w:val="16"/>
          <w:color w:val="auto"/>
        </w:rPr>
        <w:t xml:space="preserve">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 (c) with respect to Taxes imposed by the United States by reason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should a Lender become subject to Taxes because of its failure to deliver a form required hereunder, the Borrower shall take such steps as the Lender shall reasonably request to assist the Lender to recover such Taxes.</w:t>
      </w:r>
    </w:p>
    <w:p>
      <w:pPr>
        <w:spacing w:after="0" w:line="115" w:lineRule="exact"/>
        <w:rPr>
          <w:rFonts w:ascii="Arial" w:cs="Arial" w:eastAsia="Arial" w:hAnsi="Arial"/>
          <w:sz w:val="16"/>
          <w:szCs w:val="16"/>
          <w:color w:val="auto"/>
        </w:rPr>
      </w:pPr>
    </w:p>
    <w:p>
      <w:pPr>
        <w:ind w:left="-40" w:right="140" w:firstLine="921"/>
        <w:spacing w:after="0" w:line="256" w:lineRule="auto"/>
        <w:tabs>
          <w:tab w:leader="none" w:pos="11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80" w:top="280" w:right="279" w:bottom="1440" w:gutter="0" w:footer="0" w:header="0"/>
        </w:sectPr>
      </w:pPr>
    </w:p>
    <w:bookmarkStart w:id="64" w:name="page65"/>
    <w:bookmarkEnd w:id="64"/>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2.15.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27"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Advances shall be available (and the Borrower agrees that it shall use such proceeds) for general corporate purposes of the Borrower and its Subsidiaries, including acquisitions, stock repurchases and commercial paper backstop.</w:t>
      </w:r>
    </w:p>
    <w:p>
      <w:pPr>
        <w:spacing w:after="0" w:line="8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(a) At least 60 days but not more than 90 days prior to either or both of the first and second anniversaries of the Effective Date, the Borrower, by written notice to the Agent, may request an extension of the Termination Date in effect at such time by one year from its then scheduled expiration. The Agent shall promptly notify each Lender of such request, and each Lender shall in turn, in its sole discretion, not later than 45 days prior to such anniversary date, notify the Borrower and the Agent in writing as to whether such Lender will consent to such extension. If any Lender shall fail to notify the Agent and the Borrower in writing of its consent to any such request for extension of the Termination Date at least 45 days prior to such anniversary date, such Lender shall be deemed to be a Non-Consenting Lender with respect to such request. The Agent shall notify the Borrower not later than 40 days prior to the applicable anniversary date of the decision of the Lenders regarding the Borrower’s request for an extension of the Termination Date.</w:t>
      </w:r>
    </w:p>
    <w:p>
      <w:pPr>
        <w:spacing w:after="0" w:line="118" w:lineRule="exact"/>
        <w:rPr>
          <w:sz w:val="20"/>
          <w:szCs w:val="20"/>
          <w:color w:val="auto"/>
        </w:rPr>
      </w:pPr>
    </w:p>
    <w:p>
      <w:pPr>
        <w:ind w:right="20" w:firstLine="921"/>
        <w:spacing w:after="0" w:line="291" w:lineRule="auto"/>
        <w:tabs>
          <w:tab w:leader="none" w:pos="11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all the Lenders consent in writing to any such request in accordance with subsection (a) of this Section 2.17, the Termination Date in effect at such time shall, effective as at the applicable anniversary date (the “</w:t>
      </w:r>
      <w:r>
        <w:rPr>
          <w:rFonts w:ascii="Arial" w:cs="Arial" w:eastAsia="Arial" w:hAnsi="Arial"/>
          <w:sz w:val="16"/>
          <w:szCs w:val="16"/>
          <w:u w:val="single" w:color="auto"/>
          <w:color w:val="auto"/>
        </w:rPr>
        <w:t>Extension Date</w:t>
      </w:r>
      <w:r>
        <w:rPr>
          <w:rFonts w:ascii="Arial" w:cs="Arial" w:eastAsia="Arial" w:hAnsi="Arial"/>
          <w:sz w:val="16"/>
          <w:szCs w:val="16"/>
          <w:color w:val="auto"/>
        </w:rPr>
        <w:t xml:space="preserve">”), be extended for one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Arial" w:cs="Arial" w:eastAsia="Arial" w:hAnsi="Arial"/>
          <w:sz w:val="16"/>
          <w:szCs w:val="16"/>
          <w:u w:val="single" w:color="auto"/>
          <w:color w:val="auto"/>
        </w:rPr>
        <w:t>Consenting Lender</w:t>
      </w:r>
      <w:r>
        <w:rPr>
          <w:rFonts w:ascii="Arial" w:cs="Arial" w:eastAsia="Arial" w:hAnsi="Arial"/>
          <w:sz w:val="16"/>
          <w:szCs w:val="16"/>
          <w:color w:val="auto"/>
        </w:rPr>
        <w:t>”) but shall not be extended as to any other Lender (each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To the extent that the Termination Date is not extended as to any Lender pursuant to this Section 2.17 and the Commitment of such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65" w:name="page66"/>
    <w:bookmarkEnd w:id="65"/>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Lender is not substituted in accordance with subsection (c) of this Section 2.17 on or prior to the applicable Extension Date, the Commitment of such Non-Consenting Lender shall automatically terminate in whole on such unextended Termination Date without any further notice or other action by the Borrower, such Lender or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Borrower for any requested extension of the Termination Date.</w:t>
      </w:r>
    </w:p>
    <w:p>
      <w:pPr>
        <w:spacing w:after="0" w:line="116" w:lineRule="exact"/>
        <w:rPr>
          <w:sz w:val="20"/>
          <w:szCs w:val="20"/>
          <w:color w:val="auto"/>
        </w:rPr>
      </w:pPr>
    </w:p>
    <w:p>
      <w:pPr>
        <w:ind w:firstLine="921"/>
        <w:spacing w:after="0" w:line="286"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less than all of the Lenders consent to any such request pursuant to subsection (a) of this Section 2.17, the Agent shall promptly so notify the Consenting Lenders, and each Consenting Lender may, in its sole discretion, give written notice to the Agent not later than 30 days prior to the applicable Extension Date of the amount of the Non-Consenting Lenders’ Commitments for which it is willing to accept an assignment. If the Consenting Lenders notify the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Borrower and the Agent. If after giving effect to the assignments of Commitments described above there remains any Commitments of Non-Consenting Lenders, the Borrower may arrange for one or more Consenting Lenders or other Eligible Assignees as Assuming Lenders to assume, effective as of the applicable Extension Date, any Non-Consenting Lender’s Commitment and all of the obligations of such Non-Consenting Lender under this Agreement thereafter arising, without recourse to or warranty by, or expense to, such Non-Consenting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amount of the Commitment of any such Assuming Lender as a result of such substitution shall in no event be less than $10,000,000 unless the amount of the Commitment of such Non-Consenting Lender is less than $10,000,000, in which case such Assuming Lender shall assume all of such lesser amount;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460" w:right="40" w:firstLine="443"/>
        <w:spacing w:after="0" w:line="306" w:lineRule="auto"/>
        <w:tabs>
          <w:tab w:leader="none" w:pos="11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such Consenting Lender or Assuming Lender shall have paid to such Non-Consenting Lender (A) the aggregate principal amount of, and any interest accrued and unpaid to the effective date of the assignment on, the outstanding Advances, if any, of such Non-Consenting Lender plus (B) any accrued but unpaid facility fees owing to such Non-Consenting Lender as of the effective date of such assignment;</w:t>
      </w:r>
    </w:p>
    <w:p>
      <w:pPr>
        <w:spacing w:after="0" w:line="25" w:lineRule="exact"/>
        <w:rPr>
          <w:rFonts w:ascii="Arial" w:cs="Arial" w:eastAsia="Arial" w:hAnsi="Arial"/>
          <w:sz w:val="16"/>
          <w:szCs w:val="16"/>
          <w:color w:val="auto"/>
        </w:rPr>
      </w:pPr>
    </w:p>
    <w:p>
      <w:pPr>
        <w:jc w:val="both"/>
        <w:ind w:left="460" w:firstLine="443"/>
        <w:spacing w:after="0" w:line="259" w:lineRule="auto"/>
        <w:tabs>
          <w:tab w:leader="none" w:pos="11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59"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any such Assuming Lender, the applicable processing and recordation fee required under Section 8.07(a) for such assignment shall have been paid;</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Non-Consenting Lender’s rights under Sections 2.11, 2.14 and 8.04, and its obligations under Section 7.05, shall survive such substitution as to matters occurring prior to the date of substitution. At least three Business Days prior to any Extension Date, (A) each such Assuming Lender, if any, shall have delivered to the Borrower and the Agent 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66" w:name="page67"/>
    <w:bookmarkEnd w:id="66"/>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 Agreement, duly executed by such Assuming Lender, such Non-Consenting Lender, the Borrower and the Agent, (B) any such Consenting Lender shall have delivered confirmation in writing satisfactory to the Borrower and the Agent as to the increase in the amount of its Commitment and (C) each Non-Consenting Lender being replaced pursuant to this Section 2.17 shall have delivered to the Agent any Note or Notes held by such Non-Consenting Lender.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18" w:lineRule="exact"/>
        <w:rPr>
          <w:sz w:val="20"/>
          <w:szCs w:val="20"/>
          <w:color w:val="auto"/>
        </w:rPr>
      </w:pPr>
    </w:p>
    <w:p>
      <w:pPr>
        <w:ind w:firstLine="921"/>
        <w:spacing w:after="0" w:line="288"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Agent shall so notify the Borrower, and, subject to the satisfaction to the applicable conditions in Section 3.02, the Termination Date then in effect shall be extended for the additional one year period as described in subsection (a) of this Section 2.17, and all references in this Agreement, and in the Notes, if any, to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with respect to each Consenting Lender and each Assuming Lender for such Extension Date, refer to the Termination Date as so extended. Promptly following each Extension Date, the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EFFECTIVENESS AND LENDING</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 of Sections 2.01 and 2.03</w:t>
      </w:r>
      <w:r>
        <w:rPr>
          <w:rFonts w:ascii="Arial" w:cs="Arial" w:eastAsia="Arial" w:hAnsi="Arial"/>
          <w:sz w:val="18"/>
          <w:szCs w:val="18"/>
          <w:color w:val="auto"/>
        </w:rPr>
        <w:t>. Sections 2.01 and 2.03 of this Agreement shall become effective on and as of the first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on which the following conditions precedent have been satisfied:</w:t>
      </w:r>
    </w:p>
    <w:p>
      <w:pPr>
        <w:spacing w:after="0" w:line="51" w:lineRule="exact"/>
        <w:rPr>
          <w:sz w:val="20"/>
          <w:szCs w:val="20"/>
          <w:color w:val="auto"/>
        </w:rPr>
      </w:pPr>
    </w:p>
    <w:p>
      <w:pPr>
        <w:ind w:left="460" w:right="120" w:firstLine="443"/>
        <w:spacing w:after="0" w:line="268" w:lineRule="auto"/>
        <w:tabs>
          <w:tab w:leader="none" w:pos="11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Borrower shall have paid all accrued fees and expenses of the Agent and the Lenders (including the accrued fees and expenses of counsel to the Agent).</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the Effective Date, the following statements shall be true and the Agent shall have received for the account of each Lender a certificate signed by a duly authorized officer of the Borrower, dated the Effective Date, stating that: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are correct in all material respects on and as of the Effective Date, and</w:t>
      </w:r>
    </w:p>
    <w:p>
      <w:pPr>
        <w:spacing w:after="0" w:line="113" w:lineRule="exact"/>
        <w:rPr>
          <w:rFonts w:ascii="Arial" w:cs="Arial" w:eastAsia="Arial" w:hAnsi="Arial"/>
          <w:sz w:val="16"/>
          <w:szCs w:val="16"/>
          <w:color w:val="auto"/>
        </w:rPr>
      </w:pPr>
    </w:p>
    <w:p>
      <w:pPr>
        <w:ind w:left="1600" w:hanging="259"/>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event has occurred and is continuing that constitutes a Default.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67" w:name="page68"/>
    <w:bookmarkEnd w:id="67"/>
    <w:p>
      <w:pPr>
        <w:ind w:right="20" w:firstLine="443"/>
        <w:spacing w:after="0" w:line="268" w:lineRule="auto"/>
        <w:tabs>
          <w:tab w:leader="none" w:pos="677"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Agent shall have received on or before the Effective Date the following, each dated such day, in form and substance satisfactory to the Agent and (except for the Revolving Credit Notes) in sufficient copies for each Lender:</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Revolving Credit Notes to the order of the Lenders, respectively.</w:t>
      </w:r>
    </w:p>
    <w:p>
      <w:pPr>
        <w:spacing w:after="0" w:line="90" w:lineRule="exact"/>
        <w:rPr>
          <w:rFonts w:ascii="Arial" w:cs="Arial" w:eastAsia="Arial" w:hAnsi="Arial"/>
          <w:sz w:val="18"/>
          <w:szCs w:val="18"/>
          <w:color w:val="auto"/>
        </w:rPr>
      </w:pPr>
    </w:p>
    <w:p>
      <w:pPr>
        <w:ind w:left="460" w:firstLine="421"/>
        <w:spacing w:after="0" w:line="259" w:lineRule="auto"/>
        <w:tabs>
          <w:tab w:leader="none" w:pos="11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Certified copies of the resolutions of the Board of Directors of (x) the Borrower approving this Agreement and the Notes, and of all documents evidencing other necessary corporate action and governmental approvals, if any, with respect to this Agreement and the Notes and (y) the Newspaper Subsidiary approving the Subsidiary Guaranty.</w:t>
      </w:r>
    </w:p>
    <w:p>
      <w:pPr>
        <w:spacing w:after="0" w:line="59" w:lineRule="exact"/>
        <w:rPr>
          <w:rFonts w:ascii="Arial" w:cs="Arial" w:eastAsia="Arial" w:hAnsi="Arial"/>
          <w:sz w:val="18"/>
          <w:szCs w:val="18"/>
          <w:color w:val="auto"/>
        </w:rPr>
      </w:pPr>
    </w:p>
    <w:p>
      <w:pPr>
        <w:ind w:left="460" w:right="220" w:firstLine="421"/>
        <w:spacing w:after="0" w:line="259" w:lineRule="auto"/>
        <w:tabs>
          <w:tab w:leader="none" w:pos="118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certificate of the Secretary or an Assistant Secretary of each of the Borrower and the Newspaper Subsidiary certifying the names and true signatures of the officers of such Loan Party authorized to sign each Loan Document to which it is a party and the other documents to be delivered by it hereunder.</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guaranty in substantially the form of Exhibit F hereto (as amended, supplemented or otherwise modified from time to time,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duly executed by the Newspaper Subsidiary.</w:t>
      </w:r>
    </w:p>
    <w:p>
      <w:pPr>
        <w:spacing w:after="0" w:line="84" w:lineRule="exact"/>
        <w:rPr>
          <w:sz w:val="20"/>
          <w:szCs w:val="20"/>
          <w:color w:val="auto"/>
        </w:rPr>
      </w:pPr>
    </w:p>
    <w:p>
      <w:pPr>
        <w:ind w:left="460" w:right="140" w:firstLine="421"/>
        <w:spacing w:after="0" w:line="268" w:lineRule="auto"/>
        <w:tabs>
          <w:tab w:leader="none" w:pos="11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favorable opinion of Diana M. Daniels, general counsel for the Borrower, substantially in the form of Exhibit E-1 hereto and as to such other matters as any Lender through the Agent may reasonably request.</w:t>
      </w:r>
    </w:p>
    <w:p>
      <w:pPr>
        <w:spacing w:after="0" w:line="50" w:lineRule="exact"/>
        <w:rPr>
          <w:rFonts w:ascii="Arial" w:cs="Arial" w:eastAsia="Arial" w:hAnsi="Arial"/>
          <w:sz w:val="18"/>
          <w:szCs w:val="18"/>
          <w:color w:val="auto"/>
        </w:rPr>
      </w:pPr>
    </w:p>
    <w:p>
      <w:pPr>
        <w:ind w:left="460" w:right="80" w:firstLine="421"/>
        <w:spacing w:after="0" w:line="268" w:lineRule="auto"/>
        <w:tabs>
          <w:tab w:leader="none" w:pos="11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 favorable opinion of Diana M. Daniels, general counsel for the Borrower, substantially in the form of Exhibit </w:t>
      </w:r>
      <w:r>
        <w:rPr>
          <w:rFonts w:ascii="Arial" w:cs="Arial" w:eastAsia="Arial" w:hAnsi="Arial"/>
          <w:sz w:val="18"/>
          <w:szCs w:val="18"/>
          <w:u w:val="single" w:color="auto"/>
          <w:color w:val="auto"/>
        </w:rPr>
        <w:t>E-2</w:t>
      </w:r>
      <w:r>
        <w:rPr>
          <w:rFonts w:ascii="Arial" w:cs="Arial" w:eastAsia="Arial" w:hAnsi="Arial"/>
          <w:sz w:val="18"/>
          <w:szCs w:val="18"/>
          <w:color w:val="auto"/>
        </w:rPr>
        <w:t xml:space="preserve"> hereto and as to such other matters as any Lender through the Agent may reasonably request.</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favorable opinion of Shearman &amp; Sterling LLP, counsel for the Agent, in form and substance satisfactory to the Agent.</w:t>
      </w:r>
    </w:p>
    <w:p>
      <w:pPr>
        <w:spacing w:after="0" w:line="90" w:lineRule="exact"/>
        <w:rPr>
          <w:rFonts w:ascii="Arial" w:cs="Arial" w:eastAsia="Arial" w:hAnsi="Arial"/>
          <w:sz w:val="18"/>
          <w:szCs w:val="18"/>
          <w:color w:val="auto"/>
        </w:rPr>
      </w:pPr>
    </w:p>
    <w:p>
      <w:pPr>
        <w:ind w:right="40" w:firstLine="443"/>
        <w:spacing w:after="0" w:line="290"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Borrower shall have terminated the commitments, and paid in full all Debt, interest, fees and other amounts outstanding, under (i) the 364-Day Credit Agreement dated as of August 10, 2005 among the Borrower, the lenders parties thereto, JPMorgan Chase Bank, N.A., SunTrust Bank and Wachovia Bank, National Association, as syndication agents, and Citibank, as administrative agent for the lenders, and (ii) the 5-Year Credit Agreement dated as of August 14, 2002 among the Borrower, the lenders parties thereto, SunTrust Bank and Wachovia Bank, National Association, as syndication agents, JPMorgan Chase Bank and Bank One, NA, as documentation agents, and Citibank, as administrative agent for the lenders, and each of the Lenders that is a party to either such credit agreement hereby waives, upon execution of this Agreement, the requirement of prior notice under such credit agreement relating to the termination of commitments thereunder.</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700" w:top="280" w:right="279" w:bottom="1440" w:gutter="0" w:footer="0" w:header="0"/>
        </w:sectPr>
      </w:pPr>
    </w:p>
    <w:bookmarkStart w:id="68" w:name="page69"/>
    <w:bookmarkEnd w:id="68"/>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Conditions Precedent to Each Revolving Credit Borrowing, Increase Date and Extension Date</w:t>
      </w:r>
      <w:r>
        <w:rPr>
          <w:rFonts w:ascii="Arial" w:cs="Arial" w:eastAsia="Arial" w:hAnsi="Arial"/>
          <w:sz w:val="16"/>
          <w:szCs w:val="16"/>
          <w:color w:val="auto"/>
        </w:rPr>
        <w:t>. The obligation of each Lender to make a Revolving Credit Advance on the occasion of each Revolving Credit Borrowing (other than a Competitive Bid Advance), each Commitment Increase and each extension of Commitments pursuant to Section 2.17 shall be subject to the conditions precedent that the Effective Date shall have occurred and on the date of such Revolving Credit Borrowing, such Increase Date or such Extension Date the following statements shall be true (and each of the giving of the applicable Notice of Revolving Credit Borrowing, request for Commitment Increase, request for Commitment Extension and the acceptance by the Borrower of the proceeds of such Revolving Credit Borrowing shall constitute a representation and warranty by the Borrower that on the date of such Revolving Credit Borrowing, such Increase Date or such Extension Date such statements are true):</w:t>
      </w:r>
    </w:p>
    <w:p>
      <w:pPr>
        <w:spacing w:after="0" w:line="37" w:lineRule="exact"/>
        <w:rPr>
          <w:sz w:val="20"/>
          <w:szCs w:val="20"/>
          <w:color w:val="auto"/>
        </w:rPr>
      </w:pPr>
    </w:p>
    <w:p>
      <w:pPr>
        <w:ind w:left="460" w:right="100" w:firstLine="443"/>
        <w:spacing w:after="0" w:line="298"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date of such Revolving Credit Borrowing, such Increase Date or such Extension Date, before and after giving effect to such Revolving Credit Borrowing, such Increase Date or such Extension Date and to the application of the proceeds therefrom, as though made on and as of such date except to the extent such representations and warranties expressly relate to an earlier date, and</w:t>
      </w:r>
    </w:p>
    <w:p>
      <w:pPr>
        <w:spacing w:after="0" w:line="3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Revolving Credit Borrowing, such Increase Date or such Extension Date or from the application of the proceeds therefrom, that constitutes a Default.</w:t>
      </w:r>
    </w:p>
    <w:p>
      <w:pPr>
        <w:spacing w:after="0" w:line="132"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Conditions Precedent to Each Competitive Bid Borrowing</w:t>
      </w:r>
      <w:r>
        <w:rPr>
          <w:rFonts w:ascii="Arial" w:cs="Arial" w:eastAsia="Arial" w:hAnsi="Arial"/>
          <w:sz w:val="16"/>
          <w:szCs w:val="16"/>
          <w:color w:val="auto"/>
        </w:rPr>
        <w:t>.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pacing w:after="0" w:line="39" w:lineRule="exact"/>
        <w:rPr>
          <w:sz w:val="20"/>
          <w:szCs w:val="20"/>
          <w:color w:val="auto"/>
        </w:rPr>
      </w:pPr>
    </w:p>
    <w:p>
      <w:pPr>
        <w:jc w:val="both"/>
        <w:ind w:left="460" w:right="240" w:firstLine="443"/>
        <w:spacing w:after="0" w:line="306" w:lineRule="auto"/>
        <w:tabs>
          <w:tab w:leader="none" w:pos="11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representations and warranties contained in Section 4.01 and, so long as the Subsidiary Guaranty is in effect, in Section 6 of the Subsidiary Guaranty are correct in all material respects on and as of the date of such Competitive Bid Borrowing, before and after giving effect to such Competitive Bid Borrowing and to the application of the proceeds therefrom, as though made on and as of such date,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69" w:name="page70"/>
    <w:bookmarkEnd w:id="69"/>
    <w:p>
      <w:pPr>
        <w:ind w:left="4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event has occurred and is continuing, or would result from such Competitive Bid Borrowing or from the application of the proceeds therefrom, that constitutes a Default.</w:t>
      </w:r>
    </w:p>
    <w:p>
      <w:pPr>
        <w:spacing w:after="0" w:line="132"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Determinations Under Section 3.01</w:t>
      </w:r>
      <w:r>
        <w:rPr>
          <w:rFonts w:ascii="Arial" w:cs="Arial" w:eastAsia="Arial" w:hAnsi="Arial"/>
          <w:sz w:val="16"/>
          <w:szCs w:val="16"/>
          <w:color w:val="auto"/>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as follows:</w:t>
      </w:r>
    </w:p>
    <w:p>
      <w:pPr>
        <w:spacing w:after="0" w:line="90" w:lineRule="exact"/>
        <w:rPr>
          <w:sz w:val="20"/>
          <w:szCs w:val="20"/>
          <w:color w:val="auto"/>
        </w:rPr>
      </w:pPr>
    </w:p>
    <w:p>
      <w:pPr>
        <w:ind w:left="1140" w:hanging="237"/>
        <w:spacing w:after="0"/>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Borrower is a corporation duly organized, validly existing and in good standing under the laws of the State of Delaware.</w:t>
      </w:r>
    </w:p>
    <w:p>
      <w:pPr>
        <w:spacing w:after="0" w:line="90" w:lineRule="exact"/>
        <w:rPr>
          <w:rFonts w:ascii="Arial" w:cs="Arial" w:eastAsia="Arial" w:hAnsi="Arial"/>
          <w:sz w:val="18"/>
          <w:szCs w:val="18"/>
          <w:color w:val="auto"/>
        </w:rPr>
      </w:pPr>
    </w:p>
    <w:p>
      <w:pPr>
        <w:ind w:left="460" w:right="420" w:firstLine="443"/>
        <w:spacing w:after="0" w:line="305" w:lineRule="auto"/>
        <w:tabs>
          <w:tab w:leader="none" w:pos="1147" w:val="left"/>
        </w:tabs>
        <w:numPr>
          <w:ilvl w:val="1"/>
          <w:numId w:val="48"/>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this Agreement and the Notes, and the consummation of the transactions contemplated hereby, are within the Borrower’s corporate powers, have been duly authorized by all necessary corporate action, and do not contravene</w:t>
      </w:r>
    </w:p>
    <w:p>
      <w:pPr>
        <w:ind w:left="680" w:hanging="216"/>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Borrower’s charter or by-laws or (ii) law or any contractual restriction binding on or affecting the Borrower.</w:t>
      </w:r>
    </w:p>
    <w:p>
      <w:pPr>
        <w:spacing w:after="0" w:line="83"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Borrower of this Agreement or the Notes.</w:t>
      </w:r>
    </w:p>
    <w:p>
      <w:pPr>
        <w:spacing w:after="0" w:line="50"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Consolidated balance sheet of the Borrower and its Subsidiaries as at January 1, 2006, and the related Consolidated statements of income and cash flows of the Borrower and its Subsidiaries for the fiscal year then ended, accompanied by an opinion of PricewaterhouseCoopers LLP, independent public accountants, and the condensed Consolidated balance sheet of the Borrower and its Subsidiaries as at April 2, 2006, and the related condensed Consolidated statements of income and cash flows of the Borrower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70" w:name="page71"/>
    <w:bookmarkEnd w:id="70"/>
    <w:p>
      <w:pPr>
        <w:ind w:left="46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its Subsidiaries for the three months then ended, duly certified by the chief financial officer of the Borrower, copies of which have been furnished to each Lender, fairly present, subject in the case of said balance sheet as at April 2, 2006, and said statements of income and cash flows for the three months then ended, to year-end audit adjustments and to the absence of footnote disclosure, the Consolidated financial condition of the Borrower and its Subsidiaries as at such dates and the Consolidated results of the operations of the Borrower and its Subsidiaries for the periods ended on such dates, all in accordance with generally accepted accounting principles consistently applied. Between January 1, 2006 and the date hereof, there has been no Material Adverse Change.</w:t>
      </w:r>
    </w:p>
    <w:p>
      <w:pPr>
        <w:spacing w:after="0" w:line="63" w:lineRule="exact"/>
        <w:rPr>
          <w:sz w:val="20"/>
          <w:szCs w:val="20"/>
          <w:color w:val="auto"/>
        </w:rPr>
      </w:pPr>
    </w:p>
    <w:p>
      <w:pPr>
        <w:ind w:left="460" w:firstLine="443"/>
        <w:spacing w:after="0" w:line="256" w:lineRule="auto"/>
        <w:tabs>
          <w:tab w:leader="none" w:pos="11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no pending or threatened action, suit, investigation, litigation or proceeding, including, without limitation, any Environmental Action, affecting the Borrower or any of its Subsidiaries before any court, governmental agency or arbitrator that (i) 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62"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is not, and immediately after the application by the Borrower of the proceeds of each Advance will not be an “investment company” within the meaning of the Investment Company Act of 1940, as amended.</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BORROWER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Affirmative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will:</w:t>
      </w:r>
    </w:p>
    <w:p>
      <w:pPr>
        <w:spacing w:after="0" w:line="84" w:lineRule="exact"/>
        <w:rPr>
          <w:sz w:val="20"/>
          <w:szCs w:val="20"/>
          <w:color w:val="auto"/>
        </w:rPr>
      </w:pPr>
    </w:p>
    <w:p>
      <w:pPr>
        <w:ind w:left="460" w:right="140" w:firstLine="443"/>
        <w:spacing w:after="0" w:line="294" w:lineRule="auto"/>
        <w:tabs>
          <w:tab w:leader="none" w:pos="113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Compliance with Laws, Etc</w:t>
      </w:r>
      <w:r>
        <w:rPr>
          <w:rFonts w:ascii="Arial" w:cs="Arial" w:eastAsia="Arial" w:hAnsi="Arial"/>
          <w:sz w:val="16"/>
          <w:szCs w:val="16"/>
          <w:color w:val="auto"/>
        </w:rPr>
        <w:t xml:space="preserve">.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71" w:name="page72"/>
    <w:bookmarkEnd w:id="71"/>
    <w:p>
      <w:pPr>
        <w:ind w:right="60" w:firstLine="443"/>
        <w:spacing w:after="0" w:line="256"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Taxes, Etc</w:t>
      </w:r>
      <w:r>
        <w:rPr>
          <w:rFonts w:ascii="Arial" w:cs="Arial" w:eastAsia="Arial" w:hAnsi="Arial"/>
          <w:sz w:val="18"/>
          <w:szCs w:val="18"/>
          <w:color w:val="auto"/>
        </w:rPr>
        <w:t xml:space="preserve">. Pay and discharge, and cause each of its Subsidiaries to pay and discharge, before the same shall become delinquent, all material taxes, assessments and governmental charges or levies imposed upon it or upon its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62" w:lineRule="exact"/>
        <w:rPr>
          <w:rFonts w:ascii="Arial" w:cs="Arial" w:eastAsia="Arial" w:hAnsi="Arial"/>
          <w:sz w:val="18"/>
          <w:szCs w:val="18"/>
          <w:color w:val="auto"/>
        </w:rPr>
      </w:pPr>
    </w:p>
    <w:p>
      <w:pPr>
        <w:ind w:right="80" w:firstLine="443"/>
        <w:spacing w:after="0" w:line="306" w:lineRule="auto"/>
        <w:tabs>
          <w:tab w:leader="none" w:pos="67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25" w:lineRule="exact"/>
        <w:rPr>
          <w:rFonts w:ascii="Arial" w:cs="Arial" w:eastAsia="Arial" w:hAnsi="Arial"/>
          <w:sz w:val="16"/>
          <w:szCs w:val="16"/>
          <w:color w:val="auto"/>
        </w:rPr>
      </w:pPr>
    </w:p>
    <w:p>
      <w:pPr>
        <w:ind w:right="140" w:firstLine="443"/>
        <w:spacing w:after="0" w:line="298"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Preservation of Corporate Existence, Etc</w:t>
      </w:r>
      <w:r>
        <w:rPr>
          <w:rFonts w:ascii="Arial" w:cs="Arial" w:eastAsia="Arial" w:hAnsi="Arial"/>
          <w:sz w:val="16"/>
          <w:szCs w:val="16"/>
          <w:color w:val="auto"/>
        </w:rPr>
        <w:t xml:space="preserve">. Preserve and maintain, and so long as the Subsidiary Guaranty is in effect, cause the Newspaper Subsidiary to preserve and maintain, its corporate or other legal existence, rights (charter and statutory) and franchises if the loss or failure to maintain the same could, individually or in the aggregate, be reasonably likely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and the Newspaper Subsidiary may consummate any merger, consolidation or other transaction permitted under Section 5.02(b).</w:t>
      </w:r>
    </w:p>
    <w:p>
      <w:pPr>
        <w:spacing w:after="0" w:line="31" w:lineRule="exact"/>
        <w:rPr>
          <w:rFonts w:ascii="Arial" w:cs="Arial" w:eastAsia="Arial" w:hAnsi="Arial"/>
          <w:sz w:val="16"/>
          <w:szCs w:val="16"/>
          <w:color w:val="auto"/>
        </w:rPr>
      </w:pPr>
    </w:p>
    <w:p>
      <w:pPr>
        <w:ind w:firstLine="443"/>
        <w:spacing w:after="0" w:line="294" w:lineRule="auto"/>
        <w:tabs>
          <w:tab w:leader="none" w:pos="67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Visitation Rights</w:t>
      </w:r>
      <w:r>
        <w:rPr>
          <w:rFonts w:ascii="Arial" w:cs="Arial" w:eastAsia="Arial" w:hAnsi="Arial"/>
          <w:sz w:val="16"/>
          <w:szCs w:val="16"/>
          <w:color w:val="auto"/>
        </w:rPr>
        <w:t>.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 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34" w:lineRule="exact"/>
        <w:rPr>
          <w:rFonts w:ascii="Arial" w:cs="Arial" w:eastAsia="Arial" w:hAnsi="Arial"/>
          <w:sz w:val="16"/>
          <w:szCs w:val="16"/>
          <w:color w:val="auto"/>
        </w:rPr>
      </w:pPr>
    </w:p>
    <w:p>
      <w:pPr>
        <w:ind w:right="60" w:firstLine="443"/>
        <w:spacing w:after="0" w:line="259"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Keeping of Books</w:t>
      </w:r>
      <w:r>
        <w:rPr>
          <w:rFonts w:ascii="Arial" w:cs="Arial" w:eastAsia="Arial" w:hAnsi="Arial"/>
          <w:sz w:val="18"/>
          <w:szCs w:val="18"/>
          <w:color w:val="auto"/>
        </w:rPr>
        <w:t>.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59" w:lineRule="exact"/>
        <w:rPr>
          <w:rFonts w:ascii="Arial" w:cs="Arial" w:eastAsia="Arial" w:hAnsi="Arial"/>
          <w:sz w:val="18"/>
          <w:szCs w:val="18"/>
          <w:color w:val="auto"/>
        </w:rPr>
      </w:pPr>
    </w:p>
    <w:p>
      <w:pPr>
        <w:ind w:right="160" w:firstLine="443"/>
        <w:spacing w:after="0" w:line="306" w:lineRule="auto"/>
        <w:tabs>
          <w:tab w:leader="none" w:pos="68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25" w:lineRule="exact"/>
        <w:rPr>
          <w:rFonts w:ascii="Arial" w:cs="Arial" w:eastAsia="Arial" w:hAnsi="Arial"/>
          <w:sz w:val="16"/>
          <w:szCs w:val="16"/>
          <w:color w:val="auto"/>
        </w:rPr>
      </w:pPr>
    </w:p>
    <w:p>
      <w:pPr>
        <w:ind w:right="240" w:firstLine="443"/>
        <w:spacing w:after="0" w:line="268" w:lineRule="auto"/>
        <w:tabs>
          <w:tab w:leader="none" w:pos="68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Primary Business</w:t>
      </w:r>
      <w:r>
        <w:rPr>
          <w:rFonts w:ascii="Arial" w:cs="Arial" w:eastAsia="Arial" w:hAnsi="Arial"/>
          <w:sz w:val="18"/>
          <w:szCs w:val="18"/>
          <w:color w:val="auto"/>
        </w:rPr>
        <w:t>. The Borrower shall continue to be engaged primarily in lines of business as carried on at the date hereof or lines of business related thereto.</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72" w:name="page73"/>
    <w:bookmarkEnd w:id="72"/>
    <w:p>
      <w:pPr>
        <w:ind w:left="217" w:hanging="217"/>
        <w:spacing w:after="0"/>
        <w:tabs>
          <w:tab w:leader="none" w:pos="21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Reporting Requirements</w:t>
      </w:r>
      <w:r>
        <w:rPr>
          <w:rFonts w:ascii="Arial" w:cs="Arial" w:eastAsia="Arial" w:hAnsi="Arial"/>
          <w:sz w:val="18"/>
          <w:szCs w:val="18"/>
          <w:color w:val="auto"/>
        </w:rPr>
        <w:t>. Furnish to the Lenders:</w:t>
      </w:r>
    </w:p>
    <w:p>
      <w:pPr>
        <w:spacing w:after="0" w:line="90" w:lineRule="exact"/>
        <w:rPr>
          <w:rFonts w:ascii="Arial" w:cs="Arial" w:eastAsia="Arial" w:hAnsi="Arial"/>
          <w:sz w:val="18"/>
          <w:szCs w:val="18"/>
          <w:color w:val="auto"/>
        </w:rPr>
      </w:pPr>
    </w:p>
    <w:p>
      <w:pPr>
        <w:ind w:left="17" w:right="40" w:firstLine="421"/>
        <w:spacing w:after="0" w:line="290" w:lineRule="auto"/>
        <w:tabs>
          <w:tab w:leader="none" w:pos="6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45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37" w:lineRule="exact"/>
        <w:rPr>
          <w:rFonts w:ascii="Arial" w:cs="Arial" w:eastAsia="Arial" w:hAnsi="Arial"/>
          <w:sz w:val="16"/>
          <w:szCs w:val="16"/>
          <w:color w:val="auto"/>
        </w:rPr>
      </w:pPr>
    </w:p>
    <w:p>
      <w:pPr>
        <w:ind w:left="17" w:firstLine="421"/>
        <w:spacing w:after="0" w:line="291" w:lineRule="auto"/>
        <w:tabs>
          <w:tab w:leader="none" w:pos="696"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as soon as available and in any event within 90 days after the end of each fiscal year of the Borrower, a copy of the audited financial statements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PricewaterhouseCoopers LLP or other independent public accountants of recognized national 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39" w:lineRule="exact"/>
        <w:rPr>
          <w:rFonts w:ascii="Arial" w:cs="Arial" w:eastAsia="Arial" w:hAnsi="Arial"/>
          <w:sz w:val="16"/>
          <w:szCs w:val="16"/>
          <w:color w:val="auto"/>
        </w:rPr>
      </w:pPr>
    </w:p>
    <w:p>
      <w:pPr>
        <w:ind w:left="17" w:right="100" w:firstLine="421"/>
        <w:spacing w:after="0" w:line="259" w:lineRule="auto"/>
        <w:tabs>
          <w:tab w:leader="none" w:pos="7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59" w:lineRule="exact"/>
        <w:rPr>
          <w:rFonts w:ascii="Arial" w:cs="Arial" w:eastAsia="Arial" w:hAnsi="Arial"/>
          <w:sz w:val="18"/>
          <w:szCs w:val="18"/>
          <w:color w:val="auto"/>
        </w:rPr>
      </w:pPr>
    </w:p>
    <w:p>
      <w:pPr>
        <w:ind w:left="17" w:right="20" w:firstLine="421"/>
        <w:spacing w:after="0" w:line="306" w:lineRule="auto"/>
        <w:tabs>
          <w:tab w:leader="none" w:pos="735" w:val="left"/>
        </w:tabs>
        <w:numPr>
          <w:ilvl w:val="1"/>
          <w:numId w:val="53"/>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25" w:lineRule="exact"/>
        <w:rPr>
          <w:rFonts w:ascii="Arial" w:cs="Arial" w:eastAsia="Arial" w:hAnsi="Arial"/>
          <w:sz w:val="16"/>
          <w:szCs w:val="16"/>
          <w:color w:val="auto"/>
        </w:rPr>
      </w:pPr>
    </w:p>
    <w:p>
      <w:pPr>
        <w:ind w:left="17" w:right="500" w:firstLine="421"/>
        <w:spacing w:after="0" w:line="268" w:lineRule="auto"/>
        <w:tabs>
          <w:tab w:leader="none" w:pos="686"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50" w:lineRule="exact"/>
        <w:rPr>
          <w:rFonts w:ascii="Arial" w:cs="Arial" w:eastAsia="Arial" w:hAnsi="Arial"/>
          <w:sz w:val="18"/>
          <w:szCs w:val="18"/>
          <w:color w:val="auto"/>
        </w:rPr>
      </w:pPr>
    </w:p>
    <w:p>
      <w:pPr>
        <w:ind w:left="17" w:right="640" w:firstLine="421"/>
        <w:spacing w:after="0" w:line="268" w:lineRule="auto"/>
        <w:tabs>
          <w:tab w:leader="none" w:pos="735" w:val="left"/>
        </w:tabs>
        <w:numPr>
          <w:ilvl w:val="1"/>
          <w:numId w:val="53"/>
        </w:numPr>
        <w:rPr>
          <w:rFonts w:ascii="Arial" w:cs="Arial" w:eastAsia="Arial" w:hAnsi="Arial"/>
          <w:sz w:val="18"/>
          <w:szCs w:val="18"/>
          <w:color w:val="auto"/>
        </w:rPr>
      </w:pPr>
      <w:r>
        <w:rPr>
          <w:rFonts w:ascii="Arial" w:cs="Arial" w:eastAsia="Arial" w:hAnsi="Arial"/>
          <w:sz w:val="18"/>
          <w:szCs w:val="18"/>
          <w:color w:val="auto"/>
        </w:rPr>
        <w:t>such other information respecting the Borrower or any of its Subsidiaries as any Lender through the Agent may from time to time reasonably request.</w:t>
      </w:r>
    </w:p>
    <w:p>
      <w:pPr>
        <w:spacing w:after="0" w:line="118"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77"/>
          </w:cols>
          <w:pgMar w:left="1143" w:top="280" w:right="279" w:bottom="1440" w:gutter="0" w:footer="0" w:header="0"/>
        </w:sectPr>
      </w:pPr>
    </w:p>
    <w:bookmarkStart w:id="73" w:name="page74"/>
    <w:bookmarkEnd w:id="7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5.02. </w:t>
      </w:r>
      <w:r>
        <w:rPr>
          <w:rFonts w:ascii="Arial" w:cs="Arial" w:eastAsia="Arial" w:hAnsi="Arial"/>
          <w:sz w:val="16"/>
          <w:szCs w:val="16"/>
          <w:u w:val="single" w:color="auto"/>
          <w:color w:val="auto"/>
        </w:rPr>
        <w:t>Negative Covenants</w:t>
      </w:r>
      <w:r>
        <w:rPr>
          <w:rFonts w:ascii="Arial" w:cs="Arial" w:eastAsia="Arial" w:hAnsi="Arial"/>
          <w:sz w:val="16"/>
          <w:szCs w:val="16"/>
          <w:color w:val="auto"/>
        </w:rPr>
        <w:t>. So long as any Advance shall remain unpaid or any Lender shall have any Commitment hereunder,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will not:</w:t>
      </w:r>
    </w:p>
    <w:p>
      <w:pPr>
        <w:spacing w:after="0" w:line="84" w:lineRule="exact"/>
        <w:rPr>
          <w:sz w:val="20"/>
          <w:szCs w:val="20"/>
          <w:color w:val="auto"/>
        </w:rPr>
      </w:pPr>
    </w:p>
    <w:p>
      <w:pPr>
        <w:jc w:val="both"/>
        <w:ind w:left="460" w:firstLine="443"/>
        <w:spacing w:after="0" w:line="259"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Liens, Etc</w:t>
      </w:r>
      <w:r>
        <w:rPr>
          <w:rFonts w:ascii="Arial" w:cs="Arial" w:eastAsia="Arial" w:hAnsi="Arial"/>
          <w:sz w:val="18"/>
          <w:szCs w:val="18"/>
          <w:color w:val="auto"/>
        </w:rPr>
        <w:t>.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59" w:lineRule="exact"/>
        <w:rPr>
          <w:rFonts w:ascii="Arial" w:cs="Arial" w:eastAsia="Arial" w:hAnsi="Arial"/>
          <w:sz w:val="18"/>
          <w:szCs w:val="18"/>
          <w:color w:val="auto"/>
        </w:rPr>
      </w:pPr>
    </w:p>
    <w:p>
      <w:pPr>
        <w:ind w:left="1560" w:hanging="219"/>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90" w:lineRule="exact"/>
        <w:rPr>
          <w:rFonts w:ascii="Arial" w:cs="Arial" w:eastAsia="Arial" w:hAnsi="Arial"/>
          <w:sz w:val="18"/>
          <w:szCs w:val="18"/>
          <w:color w:val="auto"/>
        </w:rPr>
      </w:pPr>
    </w:p>
    <w:p>
      <w:pPr>
        <w:ind w:left="920" w:firstLine="421"/>
        <w:spacing w:after="0" w:line="312" w:lineRule="auto"/>
        <w:tabs>
          <w:tab w:leader="none" w:pos="1598" w:val="left"/>
        </w:tabs>
        <w:numPr>
          <w:ilvl w:val="1"/>
          <w:numId w:val="54"/>
        </w:numPr>
        <w:rPr>
          <w:rFonts w:ascii="Arial" w:cs="Arial" w:eastAsia="Arial" w:hAnsi="Arial"/>
          <w:sz w:val="15"/>
          <w:szCs w:val="15"/>
          <w:color w:val="auto"/>
        </w:rPr>
      </w:pPr>
      <w:r>
        <w:rPr>
          <w:rFonts w:ascii="Arial" w:cs="Arial" w:eastAsia="Arial" w:hAnsi="Arial"/>
          <w:sz w:val="15"/>
          <w:szCs w:val="15"/>
          <w:color w:val="auto"/>
        </w:rPr>
        <w:t xml:space="preserve">purchase money Liens upon or in any real property or equipment acquired or held by the Borrower or any Subsidiary in the ordinary course of business to secure the purchase price of such property or equipment or to secure 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24" w:lineRule="exact"/>
        <w:rPr>
          <w:rFonts w:ascii="Arial" w:cs="Arial" w:eastAsia="Arial" w:hAnsi="Arial"/>
          <w:sz w:val="15"/>
          <w:szCs w:val="15"/>
          <w:color w:val="auto"/>
        </w:rPr>
      </w:pPr>
    </w:p>
    <w:p>
      <w:pPr>
        <w:ind w:left="1640" w:hanging="299"/>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Liens existing on the Effective Date and described on Schedule 5.02(a) hereto,</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securing Debt payable to the Borrower,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other Liens securing Debt in an aggregate principal amount not to exceed at any time outstanding an amount equal to 20% of Consolidated Shareholders’ Equity, and</w:t>
      </w:r>
    </w:p>
    <w:p>
      <w:pPr>
        <w:spacing w:after="0" w:line="50" w:lineRule="exact"/>
        <w:rPr>
          <w:rFonts w:ascii="Arial" w:cs="Arial" w:eastAsia="Arial" w:hAnsi="Arial"/>
          <w:sz w:val="18"/>
          <w:szCs w:val="18"/>
          <w:color w:val="auto"/>
        </w:rPr>
      </w:pPr>
    </w:p>
    <w:p>
      <w:pPr>
        <w:ind w:left="920" w:right="100" w:firstLine="421"/>
        <w:spacing w:after="0" w:line="268" w:lineRule="auto"/>
        <w:tabs>
          <w:tab w:leader="none" w:pos="1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50"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Mergers, Etc</w:t>
      </w:r>
      <w:r>
        <w:rPr>
          <w:rFonts w:ascii="Arial" w:cs="Arial" w:eastAsia="Arial" w:hAnsi="Arial"/>
          <w:sz w:val="16"/>
          <w:szCs w:val="16"/>
          <w:color w:val="auto"/>
        </w:rPr>
        <w:t xml:space="preserve">. Merge or consolidate with or into, or convey, transfer, lease or otherwise dispose of (whether in one transaction or in a series of transactions) all or substantially all of its assets (whether now owned or hereafter acquired) to, any Person, or so long as the Subsidiary Guaranty is in effect, permit the Newspaper Subsidiary to do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the Newspaper Subsidiary may merge or consolidate with any other Person so long as the Borrower or the Newspaper Subsidiary, as the case may be, is the surviving entity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Default shall have occurred and be continuing at the time of such proposed transaction or would result therefrom.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4" w:name="page75"/>
    <w:bookmarkEnd w:id="74"/>
    <w:p>
      <w:pPr>
        <w:ind w:left="460" w:right="300" w:firstLine="443"/>
        <w:spacing w:after="0" w:line="259" w:lineRule="auto"/>
        <w:tabs>
          <w:tab w:leader="none" w:pos="113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Changes</w:t>
      </w:r>
      <w:r>
        <w:rPr>
          <w:rFonts w:ascii="Arial" w:cs="Arial" w:eastAsia="Arial" w:hAnsi="Arial"/>
          <w:sz w:val="18"/>
          <w:szCs w:val="18"/>
          <w:color w:val="auto"/>
        </w:rPr>
        <w:t>.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4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So long as any Advance shall remain unpaid or any Lender shall have any Commitment hereunder, the Borrower will maintain Consolidated Shareholders’ Equity of not less than $1,000,000,000.</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90" w:lineRule="exact"/>
        <w:rPr>
          <w:sz w:val="20"/>
          <w:szCs w:val="20"/>
          <w:color w:val="auto"/>
        </w:rPr>
      </w:pPr>
    </w:p>
    <w:p>
      <w:pPr>
        <w:ind w:left="460" w:right="40" w:firstLine="443"/>
        <w:spacing w:after="0" w:line="256" w:lineRule="auto"/>
        <w:tabs>
          <w:tab w:leader="none" w:pos="11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62"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representation or warranty made by any Loan Party in any Loan Document or by any Loan Party (or any of its officers) in connection with any Loan Document shall prove to have been incorrect in any material respect when made; or</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3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25"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or any of its Subsidiaries shall fail to pay any principal of or premium or interest on any Debt (other than Non-Recourse Debt) that is outstanding in a principal amount of at least $50,000,000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75" w:name="page76"/>
    <w:bookmarkEnd w:id="75"/>
    <w:p>
      <w:pPr>
        <w:ind w:firstLine="443"/>
        <w:spacing w:after="0" w:line="288" w:lineRule="auto"/>
        <w:tabs>
          <w:tab w:leader="none" w:pos="677" w:val="left"/>
        </w:tabs>
        <w:numPr>
          <w:ilvl w:val="0"/>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 or any of its Significant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38" w:lineRule="exact"/>
        <w:rPr>
          <w:rFonts w:ascii="Arial" w:cs="Arial" w:eastAsia="Arial" w:hAnsi="Arial"/>
          <w:sz w:val="16"/>
          <w:szCs w:val="16"/>
          <w:color w:val="auto"/>
        </w:rPr>
      </w:pPr>
    </w:p>
    <w:p>
      <w:pPr>
        <w:ind w:right="60" w:firstLine="443"/>
        <w:spacing w:after="0" w:line="290" w:lineRule="auto"/>
        <w:tabs>
          <w:tab w:leader="none" w:pos="657"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Any judgment or order of a court of competent jurisdiction for the payment of money in excess of $50,000,000 shall be rendered against the Borrower or any of its Significant Subsidiaries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37" w:lineRule="exact"/>
        <w:rPr>
          <w:rFonts w:ascii="Arial" w:cs="Arial" w:eastAsia="Arial" w:hAnsi="Arial"/>
          <w:sz w:val="16"/>
          <w:szCs w:val="16"/>
          <w:color w:val="auto"/>
        </w:rPr>
      </w:pPr>
    </w:p>
    <w:p>
      <w:pPr>
        <w:ind w:right="60" w:firstLine="443"/>
        <w:spacing w:after="0" w:line="254"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63" w:lineRule="exact"/>
        <w:rPr>
          <w:rFonts w:ascii="Arial" w:cs="Arial" w:eastAsia="Arial" w:hAnsi="Arial"/>
          <w:sz w:val="18"/>
          <w:szCs w:val="18"/>
          <w:color w:val="auto"/>
        </w:rPr>
      </w:pPr>
    </w:p>
    <w:p>
      <w:pPr>
        <w:ind w:right="340" w:firstLine="443"/>
        <w:spacing w:after="0" w:line="259" w:lineRule="auto"/>
        <w:tabs>
          <w:tab w:leader="none" w:pos="6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Borrower or any of its ERISA Affiliates shall incur liability as a result of one or more of the following: (i) the occurrence of any ERISA Event; (ii) the partial or complete withdrawal of the Borrower or any of its ERISA Affiliates from a Multiemployer Plan; or (iii) the reorganization or termination of a Multiemployer Plan;</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700" w:top="280" w:right="299" w:bottom="1440" w:gutter="0" w:footer="0" w:header="0"/>
        </w:sectPr>
      </w:pPr>
    </w:p>
    <w:bookmarkStart w:id="76" w:name="page77"/>
    <w:bookmarkEnd w:id="76"/>
    <w:p>
      <w:pPr>
        <w:ind w:left="460"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in the reasonable opinion of the Required Lenders, such incurrence would be likely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liability in an amount not to exceed $50,000,000 shall be deemed not to be likely to result in a Material Adverse Effect;</w:t>
      </w:r>
    </w:p>
    <w:p>
      <w:pPr>
        <w:spacing w:after="0" w:line="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2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AGENT</w:t>
      </w:r>
    </w:p>
    <w:p>
      <w:pPr>
        <w:spacing w:after="0" w:line="171" w:lineRule="exact"/>
        <w:rPr>
          <w:sz w:val="20"/>
          <w:szCs w:val="20"/>
          <w:color w:val="auto"/>
        </w:rPr>
      </w:pPr>
    </w:p>
    <w:p>
      <w:pPr>
        <w:ind w:right="160" w:firstLine="913"/>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 xml:space="preserve">.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4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Agent’s Reliance, Etc</w:t>
      </w:r>
      <w:r>
        <w:rPr>
          <w:rFonts w:ascii="Arial" w:cs="Arial" w:eastAsia="Arial" w:hAnsi="Arial"/>
          <w:sz w:val="16"/>
          <w:szCs w:val="16"/>
          <w:color w:val="auto"/>
        </w:rPr>
        <w:t>.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Note as the holder thereof until the Agent receives and accepts an Assumption Agreement entered into by an Assuming Lender as provided in Section 2.05(b) or 2.17, as the case may be, or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77" w:name="page78"/>
    <w:bookmarkEnd w:id="7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counsel, accountants or experts; (iii) 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reasonably believed by it to be genuine and signed or sent by the proper party or parties.</w:t>
      </w:r>
    </w:p>
    <w:p>
      <w:pPr>
        <w:spacing w:after="0" w:line="147"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Citibank and Affiliates</w:t>
      </w:r>
      <w:r>
        <w:rPr>
          <w:rFonts w:ascii="Arial" w:cs="Arial" w:eastAsia="Arial" w:hAnsi="Arial"/>
          <w:sz w:val="16"/>
          <w:szCs w:val="16"/>
          <w:color w:val="auto"/>
        </w:rPr>
        <w:t>.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 The Agent shall have no duty to disclose any information obtained or received by it or any of its Affiliates relating to the Borrower or any of its Subsidiaries to the extent such information was obtained or received in any capacity other than as Agent. In the event that Citibank or any of its Affiliates shall be or become an indenture trustee under the Trust Indenture Act of 1939 (as amended, the “Trust Indenture Act”) in respect of any securities issued or guaranteed by the Borrower, the parties hereto acknowledge and agree that any payment or property received in satisfaction of or in respect of any obligation of the Borrower hereunder or under any other Loan Document by or on behalf of Citibank in its capacity as the Agent for the benefit of any Lender under this Agreement or any Note (other than Citibank or an Affiliate of Citibank) and which is applied in accordance with this Agreement shall be deemed to be exempt from the requirements of Section 311 of the Trust Indenture Act pursuant to Section 311(b)(3) of the Trust Indenture Act.</w:t>
      </w:r>
    </w:p>
    <w:p>
      <w:pPr>
        <w:spacing w:after="0" w:line="12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Lender Credit Decision</w:t>
      </w:r>
      <w:r>
        <w:rPr>
          <w:rFonts w:ascii="Arial" w:cs="Arial" w:eastAsia="Arial" w:hAnsi="Arial"/>
          <w:sz w:val="18"/>
          <w:szCs w:val="18"/>
          <w:color w:val="auto"/>
        </w:rPr>
        <w:t>.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78" w:name="page79"/>
    <w:bookmarkEnd w:id="7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 Lenders, ratably according to the respective amounts of their Commitments), from and against any and all 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with the consent, if no Event of Default has occurred and is continuing, of the Borrower (which consent will not be unreasonably withheld or delayed).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23"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Syndication Agents</w:t>
      </w:r>
      <w:r>
        <w:rPr>
          <w:rFonts w:ascii="Arial" w:cs="Arial" w:eastAsia="Arial" w:hAnsi="Arial"/>
          <w:sz w:val="18"/>
          <w:szCs w:val="18"/>
          <w:color w:val="auto"/>
        </w:rPr>
        <w:t>. JPMorgan Chase Bank, N.A., Wachovia Bank, National Association and SunTrust Bank have been designated as syndication agents in recognition of their respective Commitments, and the use of such title does not impose on such Lenders any duties or obligations greater than those of any other Lender.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any Loan Documents, nor consent to any departure by the Borrower therefrom, shall in any event be effective unless the same shall be in writing and signed by the Required Lenders, and then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waiver or consent shall, unless in writing and signed by all the Lenders, do any of the following: (a) waive any of the conditions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79" w:name="page80"/>
    <w:bookmarkEnd w:id="79"/>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(f) amend or waive the provisions of Section 1 of the Subsidiary Guaranty to reduce or limit the scope of the obligations under or in respect of this Agreement which are being guaranteed by the Newspaper Subsidiary under the Subsidiary Guaranty or (g) amend this Section 8.01;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amendment, waiver or consent shall, unless in writing and signed by the Agent in addition to the Lenders required above to take such action, affect the rights or duties of the Agent under this Agreement or any Note.</w:t>
      </w:r>
    </w:p>
    <w:p>
      <w:pPr>
        <w:spacing w:after="0" w:line="10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 All notices and other communications provided for hereunder shall be either (x) in writing (including telecopier communication) or (y) as and to the extent set forth in Section 8.02(b) and in the proviso to this Section 8.02(a) in electronic format, and if in writing will be mailed, telecopied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Bank Loan Syndications; or, as to the Borrower or the Agent, at such other address as shall be designated by such party in a written notice to the other parties and, as to each other party, at such other address as shall be designated by such party in a written notice to the Borrower and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materials required to be delivered pursuant to Section 5.01(i)(i), (ii) or (iv) shall be delivered to the Agent as specified in Section 8.02(b) and such delivery shall satisfy the Borrower’s obligation to deliver such materials pursuant to Section 5.01(i)(i), (ii) or (iv). All such notices and communications shall, when hand delivered, telecopied or e-mailed,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24" w:lineRule="exact"/>
        <w:rPr>
          <w:sz w:val="20"/>
          <w:szCs w:val="20"/>
          <w:color w:val="auto"/>
        </w:rPr>
      </w:pPr>
    </w:p>
    <w:p>
      <w:pPr>
        <w:ind w:right="20" w:firstLine="921"/>
        <w:spacing w:after="0" w:line="288" w:lineRule="auto"/>
        <w:tabs>
          <w:tab w:leader="none" w:pos="11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So long as Citibank or any of its Affiliates is the Agent, materials required to be delivered pursuant to Section 5.01(i)(i), (ii) and (iv) shall be delivered to the Agent in an electronic medium in a format reasonably acceptable to the Agent and the Lenders by e-mail at oploanswebadmin@citigroup.com or as otherwise reasonably specified to the Borrower by the Agent. The Borrower agrees that the Agent may make such materials (collectively, the “</w:t>
      </w:r>
      <w:r>
        <w:rPr>
          <w:rFonts w:ascii="Arial" w:cs="Arial" w:eastAsia="Arial" w:hAnsi="Arial"/>
          <w:sz w:val="16"/>
          <w:szCs w:val="16"/>
          <w:u w:val="single" w:color="auto"/>
          <w:color w:val="auto"/>
        </w:rPr>
        <w:t>Communications</w:t>
      </w:r>
      <w:r>
        <w:rPr>
          <w:rFonts w:ascii="Arial" w:cs="Arial" w:eastAsia="Arial" w:hAnsi="Arial"/>
          <w:sz w:val="16"/>
          <w:szCs w:val="16"/>
          <w:color w:val="auto"/>
        </w:rPr>
        <w:t>”) available to the Lenders by posting such notices on Intralinks or a substantially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The Borrower, the Agent and each Lender acknowledges that (i) the distribution of material through an electronic medium is not necessarily secure and that there are confidentiality and other risks associated with such distribution, (ii) the Platform is provided “as is” and “as available”, (iii) neither the Agent nor any of its Affiliates warrants the accuracy, adequacy or completeness of the Communications or the Platform and each expressly disclaims liability for errors or omissions in the Communications or the Platform and (iv) the Borrower makes no warranty as to the accuracy or adequacy of the Platform, and shall not be in default under this Agreement due to any omission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80" w:name="page81"/>
    <w:bookmarkEnd w:id="8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error in the Communications caused by the Agent or the Platform. No warranty of any kind, express, implied or statutory, including, without limitation, any warranty of merchantability, fitness for a particular purpose, non-infringement of third party rights or freedom from viruses or other code defects, is made by the Agent or any of its Affiliates in connection with the Platform.</w:t>
      </w:r>
    </w:p>
    <w:p>
      <w:pPr>
        <w:spacing w:after="0" w:line="140" w:lineRule="exact"/>
        <w:rPr>
          <w:sz w:val="20"/>
          <w:szCs w:val="20"/>
          <w:color w:val="auto"/>
        </w:rPr>
      </w:pPr>
    </w:p>
    <w:p>
      <w:pPr>
        <w:ind w:right="100" w:firstLine="921"/>
        <w:spacing w:after="0" w:line="291" w:lineRule="auto"/>
        <w:tabs>
          <w:tab w:leader="none" w:pos="11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Lender agrees that notice to it (as provided in the next sentence)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specifying that any Communications have been posted to the Platform shall constitute effective delivery of such information, documents or other materials to such Lender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requested by any Lender the Agent shall deliver a copy of the Communications to such Lender by email or telecopier. Each Lender agrees (i) to notify the Agent in writing of such Lender’s e-mail address to which a Notice may be sent by electronic transmission (including by electronic communication) on or before the date such Lender becomes a party to this Agreement (and from time to time thereafter to ensure that the Agent has on record an effective e-mail address for such Lender) and (ii) that any Notice may be sent to such e-mail address.</w:t>
      </w:r>
    </w:p>
    <w:p>
      <w:pPr>
        <w:spacing w:after="0" w:line="120"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Costs and Expenses</w:t>
      </w:r>
      <w:r>
        <w:rPr>
          <w:rFonts w:ascii="Arial" w:cs="Arial" w:eastAsia="Arial" w:hAnsi="Arial"/>
          <w:sz w:val="16"/>
          <w:szCs w:val="16"/>
          <w:color w:val="auto"/>
        </w:rPr>
        <w:t>.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 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18" w:lineRule="exact"/>
        <w:rPr>
          <w:sz w:val="20"/>
          <w:szCs w:val="20"/>
          <w:color w:val="auto"/>
        </w:rPr>
      </w:pPr>
    </w:p>
    <w:p>
      <w:pPr>
        <w:ind w:right="40" w:firstLine="921"/>
        <w:spacing w:after="0" w:line="291" w:lineRule="auto"/>
        <w:tabs>
          <w:tab w:leader="none" w:pos="11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the Agent and each Lender and each of their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81" w:name="page82"/>
    <w:bookmarkEnd w:id="81"/>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107" w:lineRule="exact"/>
        <w:rPr>
          <w:sz w:val="20"/>
          <w:szCs w:val="20"/>
          <w:color w:val="auto"/>
        </w:rPr>
      </w:pPr>
    </w:p>
    <w:p>
      <w:pPr>
        <w:ind w:right="180" w:firstLine="921"/>
        <w:spacing w:after="0" w:line="305" w:lineRule="auto"/>
        <w:tabs>
          <w:tab w:leader="none" w:pos="1152"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w:t>
      </w:r>
    </w:p>
    <w:p>
      <w:pPr>
        <w:spacing w:after="0" w:line="290" w:lineRule="auto"/>
        <w:rPr>
          <w:rFonts w:ascii="Arial" w:cs="Arial" w:eastAsia="Arial" w:hAnsi="Arial"/>
          <w:sz w:val="15"/>
          <w:szCs w:val="15"/>
          <w:color w:val="auto"/>
        </w:rPr>
      </w:pPr>
      <w:r>
        <w:rPr>
          <w:rFonts w:ascii="Arial" w:cs="Arial" w:eastAsia="Arial" w:hAnsi="Arial"/>
          <w:sz w:val="16"/>
          <w:szCs w:val="16"/>
          <w:color w:val="auto"/>
        </w:rPr>
        <w:t>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18" w:lineRule="exact"/>
        <w:rPr>
          <w:rFonts w:ascii="Arial" w:cs="Arial" w:eastAsia="Arial" w:hAnsi="Arial"/>
          <w:sz w:val="15"/>
          <w:szCs w:val="15"/>
          <w:color w:val="auto"/>
        </w:rPr>
      </w:pPr>
    </w:p>
    <w:p>
      <w:pPr>
        <w:ind w:right="20" w:firstLine="921"/>
        <w:spacing w:after="0" w:line="332" w:lineRule="auto"/>
        <w:tabs>
          <w:tab w:leader="none" w:pos="11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Without prejudice to the survival of any other agreement of the Borrower hereunder, the agreements and obligations of the Borrower contained in Sections 2.11, 2.14 and 8.04 shall survive the payment in full of principal, interest and all other amounts payable hereunder and under the Notes.</w:t>
      </w:r>
    </w:p>
    <w:p>
      <w:pPr>
        <w:spacing w:after="0" w:line="8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20"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82" w:name="page83"/>
    <w:bookmarkEnd w:id="8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the Agent and each Lender and their respective successors and assigns, except that the Borrower shall not have the right to assign its rights hereunder or any interest herein without the prior written consent of the Lenders.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 (a) Each Lender may with the consent of the Agent and the Borrower (which consent shall not be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unreasonably withheld or delayed) and, if demanded by the Borrower (following a demand by such Lender pursuant to Section 2.11 or 2.14 or following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Lender’s Downgrade) at a time when no Default has occurred and is continuing upon at least five Business Days’ notice to such Lender and the Agent, will assign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one or more Persons all or a portion of its rights and obligations under this Agreement (including, without limitation, all or a portion of its Commitment,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Revolving Credit Advances owing to it and the Revolving Credit Note or Notes held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each such assignment shall be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constant, and not a varying, percentage of all rights and obligations under this Agreement (other than any right to make Competitive Bid Advances, Competitive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Bid Advances owing to it and Competitive Bid Notes), (ii) except in the case of an assignment to a Person that, immediately prior to such assignment, was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or an assignment of all of a Lender’s rights and obligations under this Agreement, the amount of the Commitment of the assigning Lender being assigned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each such assignment (determined as of the date of the Assignment and Acceptance with respect to such assignment) shall in no event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 or an integral multiple of $1,000,000 in excess thereof and the amount of the Commitment of such Lender remaining after such assignment shall not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 less than $10,000,000 or shall be zero, (iii) each such assignment shall be to an Eligible Assignee, (iv) each such assignment made as a result of a demand by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Borrower pursuant to this Section 8.07(a) shall be arranged by the Borrower after consultation with the Agent and shall be either an assignment of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and obligations of the assigning Lender under this Agreement or an assignment of a portion of such rights and obligations made concurrently with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assignment or other such assignments that together cover all of the rights and obligations of the assigning Lender under this Agreement, (v) no Lender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obligated to make any such assignment as a result of a demand by the Borrower pursuant to this Section 8.07(a) unless and until such Lender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one or more payments from either the Borrower or one or more Eligible Assignees in an aggregate amount at least equal to the aggregate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Advances owing to such Lender, together with accrued interest thereon to the date of payment of such principal amount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amounts payable to such Lender under this Agreement, and (vi) unless such assignment is demanded by the Borrower, the parties to each such assignment shall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execute and deliver to the Agent, for its acceptance and recording in the Register, an Assignment and Acceptance, together with any Revolving Credit Note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subject to such assignment and a processing and recordation fee of $3,500. Upon such execution, delivery, acceptance and recording, from and after the effective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date specified in each Assignment and Acceptance, (x) the assignee thereunder shall be a party hereto and, to the extent that rights and obligations hereunder have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assigned to it pursuant to such Assignment and Acceptance, have the rights and obligations of a Lender hereunder and (y) the Lender assignor thereunder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to the extent that rights and obligations hereunder have been assigned by it pursuant to such Assignment and Acceptance, relinquish its rights and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released from its obligations under this Agreement (and, in the case of an Assignment and Acceptance covering all or the remaining portion of an assigning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Lender’s rights and obligations under this Agreement, such Lender shall cease to be a party hereto).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83" w:name="page84"/>
    <w:bookmarkEnd w:id="83"/>
    <w:p>
      <w:pPr>
        <w:ind w:left="-8" w:right="40" w:firstLine="921"/>
        <w:spacing w:after="0" w:line="301" w:lineRule="auto"/>
        <w:tabs>
          <w:tab w:leader="none" w:pos="1154" w:val="left"/>
        </w:tabs>
        <w:numPr>
          <w:ilvl w:val="1"/>
          <w:numId w:val="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w:t>
      </w:r>
    </w:p>
    <w:p>
      <w:pPr>
        <w:spacing w:after="0" w:line="3" w:lineRule="exact"/>
        <w:rPr>
          <w:rFonts w:ascii="Arial" w:cs="Arial" w:eastAsia="Arial" w:hAnsi="Arial"/>
          <w:sz w:val="15"/>
          <w:szCs w:val="15"/>
          <w:color w:val="auto"/>
        </w:rPr>
      </w:pPr>
    </w:p>
    <w:p>
      <w:pPr>
        <w:ind w:left="-8" w:right="280" w:firstLine="8"/>
        <w:spacing w:after="0" w:line="254" w:lineRule="auto"/>
        <w:tabs>
          <w:tab w:leader="none" w:pos="2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43" w:lineRule="exact"/>
        <w:rPr>
          <w:rFonts w:ascii="Arial" w:cs="Arial" w:eastAsia="Arial" w:hAnsi="Arial"/>
          <w:sz w:val="18"/>
          <w:szCs w:val="18"/>
          <w:color w:val="auto"/>
        </w:rPr>
      </w:pPr>
    </w:p>
    <w:p>
      <w:pPr>
        <w:ind w:left="-8" w:firstLine="921"/>
        <w:spacing w:after="0" w:line="288" w:lineRule="auto"/>
        <w:tabs>
          <w:tab w:leader="none" w:pos="1144" w:val="left"/>
        </w:tabs>
        <w:numPr>
          <w:ilvl w:val="1"/>
          <w:numId w:val="63"/>
        </w:numPr>
        <w:rPr>
          <w:rFonts w:ascii="Arial" w:cs="Arial" w:eastAsia="Arial" w:hAnsi="Arial"/>
          <w:sz w:val="16"/>
          <w:szCs w:val="16"/>
          <w:color w:val="auto"/>
        </w:rPr>
      </w:pPr>
      <w:r>
        <w:rPr>
          <w:rFonts w:ascii="Arial" w:cs="Arial" w:eastAsia="Arial" w:hAnsi="Arial"/>
          <w:sz w:val="16"/>
          <w:szCs w:val="16"/>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19" w:lineRule="exact"/>
        <w:rPr>
          <w:rFonts w:ascii="Arial" w:cs="Arial" w:eastAsia="Arial" w:hAnsi="Arial"/>
          <w:sz w:val="16"/>
          <w:szCs w:val="16"/>
          <w:color w:val="auto"/>
        </w:rPr>
      </w:pPr>
    </w:p>
    <w:p>
      <w:pPr>
        <w:ind w:left="-8" w:right="140" w:firstLine="921"/>
        <w:spacing w:after="0" w:line="254" w:lineRule="auto"/>
        <w:tabs>
          <w:tab w:leader="none" w:pos="115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Agent shall maintain at its address referred to in Section 8.02 a copy of each Assumption Agreement and each Assignment and Acceptance delivered to and accepted by it and a register for the recordation of the names and addresses of the Lenders and the Commitment of, and principal amount of the Advances owing to, each Lender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12"/>
          </w:cols>
          <w:pgMar w:left="248" w:top="280" w:right="239" w:bottom="1440" w:gutter="0" w:footer="0" w:header="0"/>
        </w:sectPr>
      </w:pPr>
    </w:p>
    <w:bookmarkStart w:id="84" w:name="page85"/>
    <w:bookmarkEnd w:id="84"/>
    <w:p>
      <w:pPr>
        <w:ind w:right="40" w:firstLine="921"/>
        <w:spacing w:after="0" w:line="286" w:lineRule="auto"/>
        <w:tabs>
          <w:tab w:leader="none" w:pos="1152"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Lender may sell participations to one or more banks or other entities (other than the Borrower or any of its Affiliates) in or to all or a portion of its rights and obligations under this Agreement (including, without limitation, all or a portion of its Commitment, the Advances owing to it and the Note or Notes held by it) with the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27" w:lineRule="exact"/>
        <w:rPr>
          <w:rFonts w:ascii="Arial" w:cs="Arial" w:eastAsia="Arial" w:hAnsi="Arial"/>
          <w:sz w:val="16"/>
          <w:szCs w:val="16"/>
          <w:color w:val="auto"/>
        </w:rPr>
      </w:pPr>
    </w:p>
    <w:p>
      <w:pPr>
        <w:ind w:firstLine="921"/>
        <w:spacing w:after="0" w:line="256" w:lineRule="auto"/>
        <w:tabs>
          <w:tab w:leader="none" w:pos="11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such disclosure, the assignee or participant or proposed assignee or participant shall agree to preserve the confidentiality of any Confidential Information relating to the Borrower received by it from such Lender.</w:t>
      </w:r>
    </w:p>
    <w:p>
      <w:pPr>
        <w:spacing w:after="0" w:line="143"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4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280" w:right="299" w:bottom="1440" w:gutter="0" w:footer="0" w:header="0"/>
        </w:sectPr>
      </w:pPr>
    </w:p>
    <w:bookmarkStart w:id="85" w:name="page86"/>
    <w:bookmarkEnd w:id="8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Notes shall be governed by, and construed in accordance with, the laws of the State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65" w:lineRule="exact"/>
        <w:rPr>
          <w:sz w:val="20"/>
          <w:szCs w:val="20"/>
          <w:color w:val="auto"/>
        </w:rPr>
      </w:pPr>
    </w:p>
    <w:p>
      <w:pPr>
        <w:ind w:right="500" w:firstLine="913"/>
        <w:spacing w:after="0" w:line="256"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Jurisdiction, Etc</w:t>
      </w:r>
      <w:r>
        <w:rPr>
          <w:rFonts w:ascii="Arial" w:cs="Arial" w:eastAsia="Arial" w:hAnsi="Arial"/>
          <w:sz w:val="18"/>
          <w:szCs w:val="18"/>
          <w:color w:val="auto"/>
        </w:rPr>
        <w:t>.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45" w:lineRule="exact"/>
        <w:rPr>
          <w:sz w:val="20"/>
          <w:szCs w:val="20"/>
          <w:color w:val="auto"/>
        </w:rPr>
      </w:pPr>
    </w:p>
    <w:p>
      <w:pPr>
        <w:ind w:right="20" w:firstLine="921"/>
        <w:spacing w:after="0" w:line="256" w:lineRule="auto"/>
        <w:tabs>
          <w:tab w:leader="none" w:pos="11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Patriot Act Notice</w:t>
      </w:r>
      <w:r>
        <w:rPr>
          <w:rFonts w:ascii="Arial" w:cs="Arial" w:eastAsia="Arial" w:hAnsi="Arial"/>
          <w:sz w:val="16"/>
          <w:szCs w:val="16"/>
          <w:color w:val="auto"/>
        </w:rPr>
        <w:t>. Each Lender that is subject to the Act (as hereinafter defined) and the Agent (for itself and not on behalf of any Lender) hereby notifies each Loan Party that, pursuant to the requirements of the USA Patriot Act (Title III of Pub. L. 107-56 (signed into law October 26, 2001)) (the “Act”), it is required to obtain, verify and record information that identifies such Loan Party, which information includes the name and address of such Loan Party and other information that will allow such Lender or the Agent, as applicable, to identify such Loan Party in accordance with the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86" w:name="page87"/>
    <w:bookmarkEnd w:id="86"/>
    <w:p>
      <w:pPr>
        <w:jc w:val="both"/>
        <w:ind w:right="2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4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 as Agent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spacing w:after="0"/>
              <w:rPr>
                <w:sz w:val="20"/>
                <w:szCs w:val="20"/>
                <w:color w:val="auto"/>
              </w:rPr>
            </w:pPr>
            <w:r>
              <w:rPr>
                <w:rFonts w:ascii="Arial" w:cs="Arial" w:eastAsia="Arial" w:hAnsi="Arial"/>
                <w:sz w:val="18"/>
                <w:szCs w:val="18"/>
                <w:color w:val="auto"/>
              </w:rPr>
              <w:t>Commitment</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Initial Lenders</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$110,000,000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CITIBANK, N.A.</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Carolyn A. Kee</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$110,000,000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JPMORGAN CHASE BANK, N.A.</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J. D’Agostino</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$80,000,000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WACHOVIA BANK, NATIONAL ASSOCIATION</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Barbara K. Angel</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$80,000,000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SUNTRUST BANK</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E. Hauser</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$45,000,000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THE BANK OF NEW YORK</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J. Correll</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$25,000,000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PNC BANK, NATIONAL ASSOCIATION</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Christine E. Whitney</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$25,000,000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BANK OF AMERICA, N.A.</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C. Holmgren</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$25,000,000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WELLS FARGO BANK, N.A.</w:t>
            </w:r>
          </w:p>
        </w:tc>
        <w:tc>
          <w:tcPr>
            <w:tcW w:w="0" w:type="dxa"/>
            <w:vAlign w:val="bottom"/>
          </w:tcPr>
          <w:p>
            <w:pPr>
              <w:spacing w:after="0"/>
              <w:rPr>
                <w:sz w:val="1"/>
                <w:szCs w:val="1"/>
                <w:color w:val="auto"/>
              </w:rPr>
            </w:pPr>
          </w:p>
        </w:tc>
      </w:tr>
      <w:tr>
        <w:trPr>
          <w:trHeight w:val="434"/>
        </w:trPr>
        <w:tc>
          <w:tcPr>
            <w:tcW w:w="324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Katie F. Neason</w:t>
            </w: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2820" w:type="dxa"/>
            <w:vAlign w:val="bottom"/>
            <w:gridSpan w:val="2"/>
          </w:tcPr>
          <w:p>
            <w:pPr>
              <w:ind w:left="2260"/>
              <w:spacing w:after="0"/>
              <w:rPr>
                <w:sz w:val="20"/>
                <w:szCs w:val="20"/>
                <w:color w:val="auto"/>
              </w:rPr>
            </w:pPr>
            <w:r>
              <w:rPr>
                <w:rFonts w:ascii="Arial" w:cs="Arial" w:eastAsia="Arial" w:hAnsi="Arial"/>
                <w:sz w:val="18"/>
                <w:szCs w:val="18"/>
                <w:color w:val="auto"/>
              </w:rPr>
              <w:t>Title:</w:t>
            </w:r>
          </w:p>
        </w:tc>
        <w:tc>
          <w:tcPr>
            <w:tcW w:w="53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$500,000,000</w:t>
            </w:r>
          </w:p>
        </w:tc>
        <w:tc>
          <w:tcPr>
            <w:tcW w:w="8180" w:type="dxa"/>
            <w:vAlign w:val="bottom"/>
            <w:gridSpan w:val="4"/>
          </w:tcPr>
          <w:p>
            <w:pPr>
              <w:ind w:left="2260"/>
              <w:spacing w:after="0"/>
              <w:rPr>
                <w:sz w:val="20"/>
                <w:szCs w:val="20"/>
                <w:color w:val="auto"/>
              </w:rPr>
            </w:pPr>
            <w:r>
              <w:rPr>
                <w:rFonts w:ascii="Arial" w:cs="Arial" w:eastAsia="Arial" w:hAnsi="Arial"/>
                <w:sz w:val="18"/>
                <w:szCs w:val="18"/>
                <w:color w:val="auto"/>
              </w:rPr>
              <w:t>Total of the Commitments</w:t>
            </w:r>
          </w:p>
        </w:tc>
        <w:tc>
          <w:tcPr>
            <w:tcW w:w="0" w:type="dxa"/>
            <w:vAlign w:val="bottom"/>
          </w:tcPr>
          <w:p>
            <w:pPr>
              <w:spacing w:after="0"/>
              <w:rPr>
                <w:sz w:val="1"/>
                <w:szCs w:val="1"/>
                <w:color w:val="auto"/>
              </w:rPr>
            </w:pPr>
          </w:p>
        </w:tc>
      </w:tr>
      <w:tr>
        <w:trPr>
          <w:trHeight w:val="365"/>
        </w:trPr>
        <w:tc>
          <w:tcPr>
            <w:tcW w:w="3240" w:type="dxa"/>
            <w:vAlign w:val="bottom"/>
          </w:tcPr>
          <w:p>
            <w:pPr>
              <w:spacing w:after="0"/>
              <w:rPr>
                <w:sz w:val="24"/>
                <w:szCs w:val="24"/>
                <w:color w:val="auto"/>
              </w:rPr>
            </w:pPr>
          </w:p>
        </w:tc>
        <w:tc>
          <w:tcPr>
            <w:tcW w:w="28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8" w:name="page89"/>
    <w:bookmarkEnd w:id="88"/>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SCHEDULE I</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The Washington Post Company</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jc w:val="right"/>
              <w:spacing w:after="0"/>
              <w:rPr>
                <w:sz w:val="20"/>
                <w:szCs w:val="20"/>
                <w:color w:val="auto"/>
              </w:rPr>
            </w:pPr>
            <w:r>
              <w:rPr>
                <w:rFonts w:ascii="Arial" w:cs="Arial" w:eastAsia="Arial" w:hAnsi="Arial"/>
                <w:sz w:val="18"/>
                <w:szCs w:val="18"/>
                <w:color w:val="auto"/>
              </w:rPr>
              <w:t>Five Year Credit Agreement</w:t>
            </w:r>
          </w:p>
        </w:tc>
      </w:tr>
      <w:tr>
        <w:trPr>
          <w:trHeight w:val="3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ind w:left="280"/>
              <w:spacing w:after="0"/>
              <w:rPr>
                <w:sz w:val="20"/>
                <w:szCs w:val="20"/>
                <w:color w:val="auto"/>
              </w:rPr>
            </w:pPr>
            <w:r>
              <w:rPr>
                <w:rFonts w:ascii="Arial" w:cs="Arial" w:eastAsia="Arial" w:hAnsi="Arial"/>
                <w:sz w:val="18"/>
                <w:szCs w:val="18"/>
                <w:color w:val="auto"/>
              </w:rPr>
              <w:t>APPLICABLE LENDING OFFICES</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18"/>
                <w:szCs w:val="18"/>
                <w:b w:val="1"/>
                <w:bCs w:val="1"/>
                <w:color w:val="auto"/>
              </w:rPr>
              <w:t>TO BE UPDATED BY AGENT</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0"/>
        </w:trPr>
        <w:tc>
          <w:tcPr>
            <w:tcW w:w="400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Name of Initial Lender</w:t>
            </w:r>
          </w:p>
        </w:tc>
        <w:tc>
          <w:tcPr>
            <w:tcW w:w="120" w:type="dxa"/>
            <w:vAlign w:val="bottom"/>
          </w:tcPr>
          <w:p>
            <w:pPr>
              <w:spacing w:after="0"/>
              <w:rPr>
                <w:sz w:val="24"/>
                <w:szCs w:val="24"/>
                <w:color w:val="auto"/>
              </w:rPr>
            </w:pPr>
          </w:p>
        </w:tc>
        <w:tc>
          <w:tcPr>
            <w:tcW w:w="366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Domestic Lending Office</w:t>
            </w:r>
          </w:p>
        </w:tc>
        <w:tc>
          <w:tcPr>
            <w:tcW w:w="120" w:type="dxa"/>
            <w:vAlign w:val="bottom"/>
          </w:tcPr>
          <w:p>
            <w:pPr>
              <w:spacing w:after="0"/>
              <w:rPr>
                <w:sz w:val="24"/>
                <w:szCs w:val="24"/>
                <w:color w:val="auto"/>
              </w:rPr>
            </w:pPr>
          </w:p>
        </w:tc>
        <w:tc>
          <w:tcPr>
            <w:tcW w:w="352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rPr>
              <w:t>Eurodollar Lending Office</w:t>
            </w:r>
          </w:p>
        </w:tc>
      </w:tr>
      <w:tr>
        <w:trPr>
          <w:trHeight w:val="275"/>
        </w:trPr>
        <w:tc>
          <w:tcPr>
            <w:tcW w:w="4000" w:type="dxa"/>
            <w:vAlign w:val="bottom"/>
          </w:tcPr>
          <w:p>
            <w:pPr>
              <w:spacing w:after="0"/>
              <w:rPr>
                <w:sz w:val="20"/>
                <w:szCs w:val="20"/>
                <w:color w:val="auto"/>
              </w:rPr>
            </w:pPr>
            <w:r>
              <w:rPr>
                <w:rFonts w:ascii="Arial" w:cs="Arial" w:eastAsia="Arial" w:hAnsi="Arial"/>
                <w:sz w:val="18"/>
                <w:szCs w:val="18"/>
                <w:color w:val="auto"/>
              </w:rPr>
              <w:t>Bank of America, N.A.</w:t>
            </w: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100 Federal Street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100 Federal Street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Boston, MA 02110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Boston, MA 02110</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Mailcode MA5-100-09-07</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Mailcode MA5-100-09-07</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Vani Rattan</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Vani Rattan</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617 434-9622</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617 434-9622</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617 310-2628</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617 310-2628</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The Bank of New York</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One Wall Street,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One Wall Street,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New York, NY 10286</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New York, NY 10286</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Diana Johnson</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Diana Johnson</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212 635-6780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212 635-6780</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212 635-8634</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212 635-8634</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Citibank, N.A.</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Two Penns Way</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Two Penns Way</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New Castle, DE 19720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New Castle, DE 19720</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Bank Loan Syndications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Bank Loan Syndications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302 894-6054</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302 894-6054</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212 994-0847</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212 994-0847</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4 Metrotech Center,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Brooklyn, NY 11245</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Brooklyn, NY 11245</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Peter J. D’Agostino</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Peter J. D’Agostino</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718 242-3817</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718 242-3817</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718 242-3846</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718 242-3846</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PNC Bank, National Association</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808 17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NW</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808 17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NW</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Washington, DC 20006</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Washington, DC 20006</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Sherri Collins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Sherri Collins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412 768-7653</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412 768-7653</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412 768-4586</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412 768-4586</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Suntrust Bank</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919 E. Main Street,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919 E. Main Street, 22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Richmond, VA 23219</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Richmond, VA 23219</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Michelle Tyus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Michelle Tyus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407 237-6070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407 237-6070</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404 588-4454</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404 588-4454</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Wachovia Bank, N.A.</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1753 Pinnacle Drive, VA 1993</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1753 Pinnacle Drive, VA 1993</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McLean, VA 22102</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McLean, VA 22102</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Roshenna Smith</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Roshenna Smith</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704 374-6171</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704 374-6171</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704 715-0099</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704 715-0099</w:t>
            </w:r>
          </w:p>
        </w:tc>
      </w:tr>
      <w:tr>
        <w:trPr>
          <w:trHeight w:val="331"/>
        </w:trPr>
        <w:tc>
          <w:tcPr>
            <w:tcW w:w="4000" w:type="dxa"/>
            <w:vAlign w:val="bottom"/>
          </w:tcPr>
          <w:p>
            <w:pPr>
              <w:spacing w:after="0"/>
              <w:rPr>
                <w:sz w:val="20"/>
                <w:szCs w:val="20"/>
                <w:color w:val="auto"/>
              </w:rPr>
            </w:pPr>
            <w:r>
              <w:rPr>
                <w:rFonts w:ascii="Arial" w:cs="Arial" w:eastAsia="Arial" w:hAnsi="Arial"/>
                <w:sz w:val="18"/>
                <w:szCs w:val="18"/>
                <w:color w:val="auto"/>
              </w:rPr>
              <w:t>Wells Fargo Bank, N.A.</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16414 San Pedro, Suite 700</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16414 San Pedro, Suite 700</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San Antonio, TX 78232</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San Antonio, TX 78232</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Attn: Lorraine Palumbo</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Attn: Lorraine Palumbo</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 210 856-5099</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T: 210 856-5099</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 210 856-5003</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F: 210 856-5003</w:t>
            </w:r>
          </w:p>
        </w:tc>
      </w:tr>
    </w:tbl>
    <w:p>
      <w:pPr>
        <w:ind w:left="1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89" w:name="page90"/>
    <w:bookmarkEnd w:id="89"/>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5.02(a)</w:t>
      </w:r>
    </w:p>
    <w:p>
      <w:pPr>
        <w:sectPr>
          <w:pgSz w:w="11900" w:h="16838" w:orient="portrait"/>
          <w:cols w:equalWidth="0" w:num="1">
            <w:col w:w="9019"/>
          </w:cols>
          <w:pgMar w:left="1440" w:top="28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EXISTING LIENS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280" w:right="1440"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CREDIT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205" w:lineRule="exact"/>
        <w:rPr>
          <w:sz w:val="20"/>
          <w:szCs w:val="20"/>
          <w:color w:val="auto"/>
        </w:rPr>
      </w:pPr>
    </w:p>
    <w:p>
      <w:pPr>
        <w:spacing w:after="0"/>
        <w:tabs>
          <w:tab w:leader="none" w:pos="9620" w:val="left"/>
          <w:tab w:leader="none" w:pos="109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-13970</wp:posOffset>
            </wp:positionV>
            <wp:extent cx="3346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the undersigned, THE WASHINGTON POST COMPANY,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PROMISES TO PAY to the order of (the “</w:t>
      </w:r>
      <w:r>
        <w:rPr>
          <w:rFonts w:ascii="Arial" w:cs="Arial" w:eastAsia="Arial" w:hAnsi="Arial"/>
          <w:sz w:val="16"/>
          <w:szCs w:val="16"/>
          <w:u w:val="single" w:color="auto"/>
          <w:color w:val="auto"/>
        </w:rPr>
        <w:t>Lender</w:t>
      </w:r>
      <w:r>
        <w:rPr>
          <w:rFonts w:ascii="Arial" w:cs="Arial" w:eastAsia="Arial" w:hAnsi="Arial"/>
          <w:sz w:val="16"/>
          <w:szCs w:val="16"/>
          <w:color w:val="auto"/>
        </w:rPr>
        <w:t>”) for the account of its Applicable Lending Office on the Termination Date (as defined in the Credit Agreement referred to below) the principal sum of U.S.$[amount of the Lender’s Commitment in figures] or, if less, the aggregate principal amount of the Revolving Credit Advances made by the Lender to the Borrower pursuant to the Five Year Credit Agreement dated as of August 8, 2006 among the Borrower, the Lender and certain other lenders parties thereto,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-597535</wp:posOffset>
            </wp:positionV>
            <wp:extent cx="557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7"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85"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as Agent, at 388 Greenwich Street, New York, New York 10013,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ectPr>
          <w:pgSz w:w="11900" w:h="16838" w:orient="portrait"/>
          <w:cols w:equalWidth="0" w:num="1">
            <w:col w:w="11420"/>
          </w:cols>
          <w:pgMar w:left="240" w:top="280" w:right="239" w:bottom="1440" w:gutter="0" w:footer="0" w:header="0"/>
        </w:sectPr>
      </w:pPr>
    </w:p>
    <w:bookmarkStart w:id="91" w:name="page92"/>
    <w:bookmarkEnd w:id="91"/>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ADVANCES AND PAYMENTS OF PRINCIPAL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8"/>
              </w:rPr>
              <w:t>Unpaid</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Principal Paid</w:t>
            </w:r>
          </w:p>
        </w:tc>
        <w:tc>
          <w:tcPr>
            <w:tcW w:w="1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2"/>
                <w:szCs w:val="12"/>
                <w:color w:val="auto"/>
              </w:rPr>
            </w:pPr>
          </w:p>
        </w:tc>
        <w:tc>
          <w:tcPr>
            <w:tcW w:w="216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Notation</w:t>
            </w:r>
          </w:p>
        </w:tc>
      </w:tr>
      <w:tr>
        <w:trPr>
          <w:trHeight w:val="168"/>
        </w:trPr>
        <w:tc>
          <w:tcPr>
            <w:tcW w:w="20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Advance</w:t>
            </w:r>
          </w:p>
        </w:tc>
        <w:tc>
          <w:tcPr>
            <w:tcW w:w="10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or Prepaid</w:t>
            </w:r>
          </w:p>
        </w:tc>
        <w:tc>
          <w:tcPr>
            <w:tcW w:w="10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216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Made By</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A-2 -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PROMISSORY NOTE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3"/>
          </w:tcPr>
          <w:p>
            <w:pPr>
              <w:spacing w:after="0"/>
              <w:rPr>
                <w:sz w:val="20"/>
                <w:szCs w:val="20"/>
                <w:color w:val="auto"/>
              </w:rPr>
            </w:pPr>
            <w:r>
              <w:rPr>
                <w:rFonts w:ascii="Arial" w:cs="Arial" w:eastAsia="Arial" w:hAnsi="Arial"/>
                <w:sz w:val="18"/>
                <w:szCs w:val="18"/>
                <w:color w:val="auto"/>
              </w:rPr>
              <w:t>U.S.$</w:t>
            </w: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960" w:type="dxa"/>
            <w:vAlign w:val="bottom"/>
            <w:gridSpan w:val="3"/>
          </w:tcPr>
          <w:p>
            <w:pPr>
              <w:ind w:left="560"/>
              <w:spacing w:after="0"/>
              <w:rPr>
                <w:sz w:val="20"/>
                <w:szCs w:val="20"/>
                <w:color w:val="auto"/>
              </w:rPr>
            </w:pPr>
            <w:r>
              <w:rPr>
                <w:rFonts w:ascii="Arial" w:cs="Arial" w:eastAsia="Arial" w:hAnsi="Arial"/>
                <w:sz w:val="18"/>
                <w:szCs w:val="18"/>
                <w:color w:val="auto"/>
              </w:rPr>
              <w:t>Dated:</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,20</w:t>
            </w:r>
          </w:p>
        </w:tc>
      </w:tr>
      <w:tr>
        <w:trPr>
          <w:trHeight w:val="20"/>
        </w:trPr>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10720" w:type="dxa"/>
            <w:vAlign w:val="bottom"/>
            <w:gridSpan w:val="9"/>
          </w:tcPr>
          <w:p>
            <w:pPr>
              <w:ind w:left="520"/>
              <w:spacing w:after="0"/>
              <w:rPr>
                <w:sz w:val="20"/>
                <w:szCs w:val="20"/>
                <w:color w:val="auto"/>
              </w:rPr>
            </w:pPr>
            <w:r>
              <w:rPr>
                <w:rFonts w:ascii="Arial" w:cs="Arial" w:eastAsia="Arial" w:hAnsi="Arial"/>
                <w:sz w:val="18"/>
                <w:szCs w:val="18"/>
                <w:color w:val="auto"/>
                <w:w w:val="94"/>
              </w:rPr>
              <w:t>FOR VALUE RECEIVED, the undersigned, THE WASHINGTON POST COMPANY, a Delaware corporation (the “Borrower”), HEREBY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6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600" w:type="dxa"/>
            <w:vAlign w:val="bottom"/>
            <w:gridSpan w:val="3"/>
          </w:tcPr>
          <w:p>
            <w:pPr>
              <w:spacing w:after="0" w:line="196" w:lineRule="exact"/>
              <w:rPr>
                <w:sz w:val="20"/>
                <w:szCs w:val="20"/>
                <w:color w:val="auto"/>
              </w:rPr>
            </w:pPr>
            <w:r>
              <w:rPr>
                <w:rFonts w:ascii="Arial" w:cs="Arial" w:eastAsia="Arial" w:hAnsi="Arial"/>
                <w:sz w:val="18"/>
                <w:szCs w:val="18"/>
                <w:color w:val="auto"/>
                <w:w w:val="91"/>
              </w:rPr>
              <w:t>PROMISES TO PAY to the order of</w:t>
            </w:r>
          </w:p>
        </w:tc>
        <w:tc>
          <w:tcPr>
            <w:tcW w:w="1400" w:type="dxa"/>
            <w:vAlign w:val="bottom"/>
          </w:tcPr>
          <w:p>
            <w:pPr>
              <w:spacing w:after="0"/>
              <w:rPr>
                <w:sz w:val="17"/>
                <w:szCs w:val="17"/>
                <w:color w:val="auto"/>
              </w:rPr>
            </w:pPr>
          </w:p>
        </w:tc>
        <w:tc>
          <w:tcPr>
            <w:tcW w:w="712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2"/>
              </w:rPr>
              <w:t>(the “Lender”) for the account of its Applicable Lending Office (as defined in the Five Year Credit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Agreement dated as of August 8, 2006 among the Borrower, the Lender and certain other lenders parties thereto, Citibank, N.A., as Agent for the Lender and such other lenders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on</w:t>
      </w:r>
    </w:p>
    <w:p>
      <w:pPr>
        <w:ind w:left="880"/>
        <w:spacing w:after="0"/>
        <w:tabs>
          <w:tab w:leader="none" w:pos="1300" w:val="left"/>
          <w:tab w:leader="none" w:pos="4000" w:val="left"/>
        </w:tabs>
        <w:rPr>
          <w:sz w:val="20"/>
          <w:szCs w:val="20"/>
          <w:color w:val="auto"/>
        </w:rPr>
      </w:pPr>
      <w:r>
        <w:rPr>
          <w:rFonts w:ascii="Arial" w:cs="Arial" w:eastAsia="Arial" w:hAnsi="Arial"/>
          <w:sz w:val="18"/>
          <w:szCs w:val="18"/>
          <w:color w:val="auto"/>
        </w:rPr>
        <w:t>, 20</w:t>
        <w:tab/>
        <w:t>, the principal amount of U.S.$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362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36295" cy="88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-17780</wp:posOffset>
            </wp:positionV>
            <wp:extent cx="3346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51" w:lineRule="exact"/>
        <w:rPr>
          <w:sz w:val="20"/>
          <w:szCs w:val="20"/>
          <w:color w:val="auto"/>
        </w:rPr>
      </w:pPr>
    </w:p>
    <w:p>
      <w:pPr>
        <w:ind w:left="920"/>
        <w:spacing w:after="0"/>
        <w:tabs>
          <w:tab w:leader="none" w:pos="2300" w:val="left"/>
          <w:tab w:leader="none" w:pos="620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8"/>
          <w:szCs w:val="18"/>
          <w:color w:val="auto"/>
        </w:rPr>
        <w:t>% per annum (calculated on the basis of a year of</w:t>
      </w:r>
      <w:r>
        <w:rPr>
          <w:sz w:val="20"/>
          <w:szCs w:val="20"/>
          <w:color w:val="auto"/>
        </w:rPr>
        <w:tab/>
      </w:r>
      <w:r>
        <w:rPr>
          <w:rFonts w:ascii="Arial" w:cs="Arial" w:eastAsia="Arial" w:hAnsi="Arial"/>
          <w:sz w:val="15"/>
          <w:szCs w:val="15"/>
          <w:color w:val="auto"/>
        </w:rPr>
        <w:t>days for the actual number of days elapsed).]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-13970</wp:posOffset>
            </wp:positionV>
            <wp:extent cx="2228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3702050</wp:posOffset>
            </wp:positionH>
            <wp:positionV relativeFrom="paragraph">
              <wp:posOffset>-13970</wp:posOffset>
            </wp:positionV>
            <wp:extent cx="2228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Both principal and interest are payable in lawful money of the United States of America to Citibank, N.A. for the account of the Lender at the office of Citibank, N.A., at 388 Greenwich Street, New York, New York 10013 in same day funds.</w:t>
      </w:r>
    </w:p>
    <w:p>
      <w:pPr>
        <w:spacing w:after="0" w:line="132" w:lineRule="exact"/>
        <w:rPr>
          <w:sz w:val="20"/>
          <w:szCs w:val="20"/>
          <w:color w:val="auto"/>
        </w:rPr>
      </w:pPr>
    </w:p>
    <w:p>
      <w:pPr>
        <w:ind w:right="680" w:firstLine="913"/>
        <w:spacing w:after="0" w:line="332" w:lineRule="auto"/>
        <w:rPr>
          <w:sz w:val="20"/>
          <w:szCs w:val="20"/>
          <w:color w:val="auto"/>
        </w:rPr>
      </w:pPr>
      <w:r>
        <w:rPr>
          <w:rFonts w:ascii="Arial" w:cs="Arial" w:eastAsia="Arial" w:hAnsi="Arial"/>
          <w:sz w:val="16"/>
          <w:szCs w:val="16"/>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85"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1420"/>
          </w:cols>
          <w:pgMar w:left="240" w:top="2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Promissory Note shall be governed by, and construed in accordance with, the laws of the State of New York.</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WASHINGTON POST COMPANY</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2540</wp:posOffset>
            </wp:positionV>
            <wp:extent cx="26327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59"/>
          </w:cols>
          <w:pgMar w:left="700" w:top="280"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B-1 -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REVOLVING CREDIT BORROWING</w:t>
      </w:r>
    </w:p>
    <w:p>
      <w:pPr>
        <w:sectPr>
          <w:pgSz w:w="11900" w:h="16838" w:orient="portrait"/>
          <w:cols w:equalWidth="0" w:num="1">
            <w:col w:w="11420"/>
          </w:cols>
          <w:pgMar w:left="240" w:top="280"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 the Credit Agreement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94" w:lineRule="exact"/>
        <w:rPr>
          <w:sz w:val="20"/>
          <w:szCs w:val="20"/>
          <w:color w:val="auto"/>
        </w:rPr>
      </w:pPr>
    </w:p>
    <w:p>
      <w:pPr>
        <w:sectPr>
          <w:pgSz w:w="11900" w:h="16838" w:orient="portrait"/>
          <w:cols w:equalWidth="0" w:num="2">
            <w:col w:w="4940" w:space="720"/>
            <w:col w:w="576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Attention: Nick Rozell</w:t>
      </w:r>
    </w:p>
    <w:p>
      <w:pPr>
        <w:sectPr>
          <w:pgSz w:w="11900" w:h="16838" w:orient="portrait"/>
          <w:cols w:equalWidth="0" w:num="1">
            <w:col w:w="11420"/>
          </w:cols>
          <w:pgMar w:left="240" w:top="280" w:right="2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The undersigned, The Washington Post Company, refers to the Five Year Credit Agreement, dated as of August 8, 2006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w:t>
      </w:r>
      <w:r>
        <w:rPr>
          <w:rFonts w:ascii="Arial" w:cs="Arial" w:eastAsia="Arial" w:hAnsi="Arial"/>
          <w:sz w:val="16"/>
          <w:szCs w:val="16"/>
          <w:u w:val="single" w:color="auto"/>
          <w:color w:val="auto"/>
        </w:rPr>
        <w:t>Proposed Revolving Credit Borrowing</w:t>
      </w:r>
      <w:r>
        <w:rPr>
          <w:rFonts w:ascii="Arial" w:cs="Arial" w:eastAsia="Arial" w:hAnsi="Arial"/>
          <w:sz w:val="16"/>
          <w:szCs w:val="16"/>
          <w:color w:val="auto"/>
        </w:rPr>
        <w:t>”) as required by Section 2.02(a) of the Credit Agreement:</w:t>
      </w:r>
    </w:p>
    <w:p>
      <w:pPr>
        <w:spacing w:after="0" w:line="1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900" w:type="dxa"/>
            <w:vAlign w:val="bottom"/>
          </w:tcPr>
          <w:p>
            <w:pPr>
              <w:spacing w:after="0"/>
              <w:rPr>
                <w:sz w:val="20"/>
                <w:szCs w:val="20"/>
                <w:color w:val="auto"/>
              </w:rPr>
            </w:pPr>
            <w:r>
              <w:rPr>
                <w:rFonts w:ascii="Arial" w:cs="Arial" w:eastAsia="Arial" w:hAnsi="Arial"/>
                <w:sz w:val="18"/>
                <w:szCs w:val="18"/>
                <w:color w:val="auto"/>
                <w:w w:val="90"/>
              </w:rPr>
              <w:t>(i) The Business Day of the Proposed Revolving Credit Borrowing is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(ii) The Type of Advances comprising the Proposed Revolving Credit Borrowing is [Base Rate Advances] [Eurodollar Rate Advances].</w:t>
      </w:r>
    </w:p>
    <w:p>
      <w:pPr>
        <w:spacing w:after="0" w:line="6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8"/>
                <w:szCs w:val="18"/>
                <w:color w:val="auto"/>
                <w:w w:val="89"/>
              </w:rPr>
              <w:t>(iii) The aggregate amount of the Proposed Revolving Credit Borrowing is $</w:t>
            </w:r>
          </w:p>
        </w:tc>
        <w:tc>
          <w:tcPr>
            <w:tcW w:w="520" w:type="dxa"/>
            <w:vAlign w:val="bottom"/>
            <w:tcBorders>
              <w:bottom w:val="single" w:sz="8" w:color="auto"/>
            </w:tcBorders>
          </w:tcPr>
          <w:p>
            <w:pPr>
              <w:spacing w:after="0"/>
              <w:rPr>
                <w:sz w:val="17"/>
                <w:szCs w:val="17"/>
                <w:color w:val="auto"/>
              </w:rPr>
            </w:pPr>
          </w:p>
        </w:tc>
        <w:tc>
          <w:tcPr>
            <w:tcW w:w="3040" w:type="dxa"/>
            <w:vAlign w:val="bottom"/>
          </w:tcPr>
          <w:p>
            <w:pPr>
              <w:jc w:val="right"/>
              <w:ind w:right="2892"/>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77"/>
        </w:trPr>
        <w:tc>
          <w:tcPr>
            <w:tcW w:w="8940" w:type="dxa"/>
            <w:vAlign w:val="bottom"/>
            <w:gridSpan w:val="3"/>
          </w:tcPr>
          <w:p>
            <w:pPr>
              <w:spacing w:after="0"/>
              <w:rPr>
                <w:sz w:val="20"/>
                <w:szCs w:val="20"/>
                <w:color w:val="auto"/>
              </w:rPr>
            </w:pPr>
            <w:r>
              <w:rPr>
                <w:rFonts w:ascii="Arial" w:cs="Arial" w:eastAsia="Arial" w:hAnsi="Arial"/>
                <w:sz w:val="18"/>
                <w:szCs w:val="18"/>
                <w:color w:val="auto"/>
                <w:w w:val="89"/>
              </w:rPr>
              <w:t>(iv) [The initial Interest Period for each Eurodollar Rate Advance made as part of the Proposed Revolving Credit Borrowing is</w:t>
            </w:r>
          </w:p>
        </w:tc>
        <w:tc>
          <w:tcPr>
            <w:tcW w:w="540" w:type="dxa"/>
            <w:vAlign w:val="bottom"/>
            <w:tcBorders>
              <w:bottom w:val="single" w:sz="8" w:color="auto"/>
            </w:tcBorders>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w w:val="91"/>
              </w:rPr>
              <w:t>month[s].]</w:t>
            </w:r>
          </w:p>
        </w:tc>
      </w:tr>
    </w:tbl>
    <w:p>
      <w:pPr>
        <w:spacing w:after="0" w:line="181"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Revolving Credit Borrowing:</w:t>
      </w:r>
    </w:p>
    <w:p>
      <w:pPr>
        <w:spacing w:after="0" w:line="51" w:lineRule="exact"/>
        <w:rPr>
          <w:sz w:val="20"/>
          <w:szCs w:val="20"/>
          <w:color w:val="auto"/>
        </w:rPr>
      </w:pPr>
    </w:p>
    <w:p>
      <w:pPr>
        <w:jc w:val="both"/>
        <w:ind w:left="460" w:right="140" w:firstLine="443"/>
        <w:spacing w:after="0" w:line="259" w:lineRule="auto"/>
        <w:tabs>
          <w:tab w:leader="none" w:pos="11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Revolving Credit Borrowing and to the application of the proceeds therefrom, as though made on and as of such date, except to the extent they expressly relate to an earlier date; and</w:t>
      </w:r>
    </w:p>
    <w:p>
      <w:pPr>
        <w:sectPr>
          <w:pgSz w:w="11900" w:h="16838" w:orient="portrait"/>
          <w:cols w:equalWidth="0" w:num="1">
            <w:col w:w="11420"/>
          </w:cols>
          <w:pgMar w:left="240" w:top="280" w:right="239" w:bottom="1440" w:gutter="0" w:footer="0" w:header="0"/>
          <w:type w:val="continuous"/>
        </w:sectPr>
      </w:pPr>
    </w:p>
    <w:bookmarkStart w:id="96" w:name="page97"/>
    <w:bookmarkEnd w:id="96"/>
    <w:p>
      <w:pPr>
        <w:ind w:firstLine="443"/>
        <w:spacing w:after="0" w:line="268" w:lineRule="auto"/>
        <w:tabs>
          <w:tab w:leader="none" w:pos="716"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event has occurred and is continuing, or would result from such Proposed Revolving Credit Borrowing or from the application of the proceeds therefrom, that constitutes a Default.</w:t>
      </w:r>
    </w:p>
    <w:p>
      <w:pPr>
        <w:spacing w:after="0" w:line="17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2540</wp:posOffset>
            </wp:positionV>
            <wp:extent cx="25730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B-2 - FORM OF NOTICE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COMPETITIVE BID BORROWING</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Lenders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the Credit Agreement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Two Penns 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Castle, Delaware 19720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94" w:lineRule="exact"/>
        <w:rPr>
          <w:sz w:val="20"/>
          <w:szCs w:val="20"/>
          <w:color w:val="auto"/>
        </w:rPr>
      </w:pPr>
    </w:p>
    <w:p>
      <w:pPr>
        <w:sectPr>
          <w:pgSz w:w="11900" w:h="16838" w:orient="portrait"/>
          <w:cols w:equalWidth="0" w:num="2">
            <w:col w:w="4800" w:space="720"/>
            <w:col w:w="590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Attention: Nick Rozell</w:t>
      </w:r>
    </w:p>
    <w:p>
      <w:pPr>
        <w:sectPr>
          <w:pgSz w:w="11900" w:h="16838" w:orient="portrait"/>
          <w:cols w:equalWidth="0" w:num="1">
            <w:col w:w="11420"/>
          </w:cols>
          <w:pgMar w:left="240" w:top="280" w:right="2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60" w:firstLine="913"/>
        <w:spacing w:after="0" w:line="294" w:lineRule="auto"/>
        <w:rPr>
          <w:sz w:val="20"/>
          <w:szCs w:val="20"/>
          <w:color w:val="auto"/>
        </w:rPr>
      </w:pPr>
      <w:r>
        <w:rPr>
          <w:rFonts w:ascii="Arial" w:cs="Arial" w:eastAsia="Arial" w:hAnsi="Arial"/>
          <w:sz w:val="16"/>
          <w:szCs w:val="16"/>
          <w:color w:val="auto"/>
        </w:rPr>
        <w:t>The undersigned, The Washington Post Company, refers to the Five Year Credit Agreement, dated as of August 8, 2006 (as amended or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the terms defined therein being used herein as therein defined), among the undersigned, certain Lenders parties thereto, Citibank, N.A., as Agent for said Lenders, and hereby gives you notice, irrevocably, pursuant to Section 2.03 of the Credit Agreement that the undersigned hereby requests a Competitive Bid Borrowing under the Credit Agreement, and in that connection sets forth the terms on which such Competitive Bid Borrowing (the “</w:t>
      </w:r>
      <w:r>
        <w:rPr>
          <w:rFonts w:ascii="Arial" w:cs="Arial" w:eastAsia="Arial" w:hAnsi="Arial"/>
          <w:sz w:val="16"/>
          <w:szCs w:val="16"/>
          <w:u w:val="single" w:color="auto"/>
          <w:color w:val="auto"/>
        </w:rPr>
        <w:t>Proposed Competitive Bid Borrowing</w:t>
      </w:r>
      <w:r>
        <w:rPr>
          <w:rFonts w:ascii="Arial" w:cs="Arial" w:eastAsia="Arial" w:hAnsi="Arial"/>
          <w:sz w:val="16"/>
          <w:szCs w:val="16"/>
          <w:color w:val="auto"/>
        </w:rPr>
        <w:t>”) is requested to be made:</w:t>
      </w:r>
    </w:p>
    <w:p>
      <w:pPr>
        <w:spacing w:after="0" w:line="170" w:lineRule="exact"/>
        <w:rPr>
          <w:sz w:val="20"/>
          <w:szCs w:val="20"/>
          <w:color w:val="auto"/>
        </w:rPr>
      </w:pPr>
    </w:p>
    <w:p>
      <w:pPr>
        <w:ind w:left="920" w:hanging="45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Date of Competitive Bid Borrowing</w:t>
      </w:r>
    </w:p>
    <w:p>
      <w:pPr>
        <w:spacing w:after="0" w:line="117" w:lineRule="exact"/>
        <w:rPr>
          <w:rFonts w:ascii="Arial" w:cs="Arial" w:eastAsia="Arial" w:hAnsi="Arial"/>
          <w:sz w:val="18"/>
          <w:szCs w:val="18"/>
          <w:color w:val="auto"/>
        </w:rPr>
      </w:pPr>
    </w:p>
    <w:p>
      <w:pPr>
        <w:ind w:left="920" w:hanging="45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 of Competitive Bid Borrowing</w:t>
      </w:r>
    </w:p>
    <w:p>
      <w:pPr>
        <w:spacing w:after="0" w:line="130" w:lineRule="exact"/>
        <w:rPr>
          <w:rFonts w:ascii="Arial" w:cs="Arial" w:eastAsia="Arial" w:hAnsi="Arial"/>
          <w:sz w:val="18"/>
          <w:szCs w:val="18"/>
          <w:color w:val="auto"/>
        </w:rPr>
      </w:pPr>
    </w:p>
    <w:p>
      <w:pPr>
        <w:ind w:left="920" w:hanging="45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[Maturity Date] [Interest Period]</w:t>
      </w:r>
    </w:p>
    <w:p>
      <w:pPr>
        <w:spacing w:after="0" w:line="130" w:lineRule="exact"/>
        <w:rPr>
          <w:rFonts w:ascii="Arial" w:cs="Arial" w:eastAsia="Arial" w:hAnsi="Arial"/>
          <w:sz w:val="18"/>
          <w:szCs w:val="18"/>
          <w:color w:val="auto"/>
        </w:rPr>
      </w:pPr>
    </w:p>
    <w:p>
      <w:pPr>
        <w:ind w:left="920" w:hanging="45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Rate Basis</w:t>
      </w:r>
    </w:p>
    <w:p>
      <w:pPr>
        <w:spacing w:after="0" w:line="130" w:lineRule="exact"/>
        <w:rPr>
          <w:rFonts w:ascii="Arial" w:cs="Arial" w:eastAsia="Arial" w:hAnsi="Arial"/>
          <w:sz w:val="18"/>
          <w:szCs w:val="18"/>
          <w:color w:val="auto"/>
        </w:rPr>
      </w:pPr>
    </w:p>
    <w:p>
      <w:pPr>
        <w:ind w:left="920" w:hanging="453"/>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Interest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-854710</wp:posOffset>
            </wp:positionV>
            <wp:extent cx="31216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-640080</wp:posOffset>
            </wp:positionV>
            <wp:extent cx="31216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-425450</wp:posOffset>
            </wp:positionV>
            <wp:extent cx="31216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-211455</wp:posOffset>
            </wp:positionV>
            <wp:extent cx="31216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-31115</wp:posOffset>
            </wp:positionV>
            <wp:extent cx="31216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2540</wp:posOffset>
            </wp:positionV>
            <wp:extent cx="63804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2540</wp:posOffset>
            </wp:positionV>
            <wp:extent cx="63804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2540</wp:posOffset>
            </wp:positionV>
            <wp:extent cx="63804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16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undersigned hereby certifies that the following statements are true on the date hereof, and will be true on the date of the Proposed Competitive Bid Borrowing:</w:t>
      </w:r>
    </w:p>
    <w:p>
      <w:pPr>
        <w:spacing w:after="0" w:line="51" w:lineRule="exact"/>
        <w:rPr>
          <w:sz w:val="20"/>
          <w:szCs w:val="20"/>
          <w:color w:val="auto"/>
        </w:rPr>
      </w:pPr>
    </w:p>
    <w:p>
      <w:pPr>
        <w:jc w:val="both"/>
        <w:ind w:left="460" w:right="200" w:firstLine="443"/>
        <w:spacing w:after="0" w:line="259"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representations and warranties contained in Section 4.01 of the Credit Agreement are correct in all material respects, before and after giving effect to the Proposed Competitive Bid Borrowing and to the application of the proceeds therefrom, as though made on and as of such date, except to the extent they expressly relate to an earlier date;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the Proposed Competitive Bid Borrowing or from the application of the proceeds therefrom, that constitutes a Default; and</w:t>
      </w:r>
    </w:p>
    <w:p>
      <w:pPr>
        <w:sectPr>
          <w:pgSz w:w="11900" w:h="16838" w:orient="portrait"/>
          <w:cols w:equalWidth="0" w:num="1">
            <w:col w:w="11420"/>
          </w:cols>
          <w:pgMar w:left="240" w:top="280" w:right="239" w:bottom="1440" w:gutter="0" w:footer="0" w:header="0"/>
          <w:type w:val="continuous"/>
        </w:sectPr>
      </w:pPr>
    </w:p>
    <w:bookmarkStart w:id="98" w:name="page99"/>
    <w:bookmarkEnd w:id="98"/>
    <w:p>
      <w:pPr>
        <w:ind w:left="460" w:right="640" w:firstLine="443"/>
        <w:spacing w:after="0" w:line="268" w:lineRule="auto"/>
        <w:tabs>
          <w:tab w:leader="none" w:pos="1137"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amount of the Proposed Competitive Bid Borrowing and all other Borrowings to be made on the same day under the Credit Agreement is within the aggregate amount of the Unused Commitments of the Lenders.</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undersigned hereby confirms that the Proposed Competitive Bid Borrowing is to be made available to it in accordance with Section 2.03(a)(v) of the Credit Agreement.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ACCEPTANCE</w:t>
      </w:r>
    </w:p>
    <w:p>
      <w:pPr>
        <w:spacing w:after="0" w:line="165"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Reference is made to the Five Year Credit Agreement dated as of August 8, 2006 (as amended or modified from time to time, the “Credit Agreement”) among The Washington Post Company, a Delaware corporation (the “Borrower”), the Lenders (as defined in the Credit Agreement), and Citibank, N.A., as agent for the Lenders (the “Agent”). Terms defined in the Credit Agreement are used herein with the same meaning.</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“Assignee” referred to on Schedule 1 hereto agree as follows:</w:t>
      </w:r>
    </w:p>
    <w:p>
      <w:pPr>
        <w:spacing w:after="0" w:line="90" w:lineRule="exact"/>
        <w:rPr>
          <w:sz w:val="20"/>
          <w:szCs w:val="20"/>
          <w:color w:val="auto"/>
        </w:rPr>
      </w:pPr>
    </w:p>
    <w:p>
      <w:pPr>
        <w:ind w:firstLine="921"/>
        <w:spacing w:after="0" w:line="294" w:lineRule="auto"/>
        <w:tabs>
          <w:tab w:leader="none" w:pos="10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15" w:lineRule="exact"/>
        <w:rPr>
          <w:rFonts w:ascii="Arial" w:cs="Arial" w:eastAsia="Arial" w:hAnsi="Arial"/>
          <w:sz w:val="16"/>
          <w:szCs w:val="16"/>
          <w:color w:val="auto"/>
        </w:rPr>
      </w:pPr>
    </w:p>
    <w:p>
      <w:pPr>
        <w:ind w:firstLine="921"/>
        <w:spacing w:after="0" w:line="287" w:lineRule="auto"/>
        <w:tabs>
          <w:tab w:leader="none" w:pos="10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122" w:lineRule="exact"/>
        <w:rPr>
          <w:rFonts w:ascii="Arial" w:cs="Arial" w:eastAsia="Arial" w:hAnsi="Arial"/>
          <w:sz w:val="16"/>
          <w:szCs w:val="16"/>
          <w:color w:val="auto"/>
        </w:rPr>
      </w:pPr>
    </w:p>
    <w:p>
      <w:pPr>
        <w:ind w:right="420" w:firstLine="921"/>
        <w:spacing w:after="0" w:line="294" w:lineRule="auto"/>
        <w:tabs>
          <w:tab w:leader="none" w:pos="10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w:t>
      </w:r>
    </w:p>
    <w:p>
      <w:pPr>
        <w:sectPr>
          <w:pgSz w:w="11900" w:h="16838" w:orient="portrait"/>
          <w:cols w:equalWidth="0" w:num="1">
            <w:col w:w="11420"/>
          </w:cols>
          <w:pgMar w:left="240" w:top="280" w:right="239" w:bottom="1440" w:gutter="0" w:footer="0" w:header="0"/>
        </w:sectPr>
      </w:pPr>
    </w:p>
    <w:bookmarkStart w:id="100" w:name="page101"/>
    <w:bookmarkEnd w:id="10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143" w:lineRule="exact"/>
        <w:rPr>
          <w:sz w:val="20"/>
          <w:szCs w:val="20"/>
          <w:color w:val="auto"/>
        </w:rPr>
      </w:pPr>
    </w:p>
    <w:p>
      <w:pPr>
        <w:ind w:right="360" w:firstLine="921"/>
        <w:spacing w:after="0" w:line="259"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40" w:lineRule="exact"/>
        <w:rPr>
          <w:rFonts w:ascii="Arial" w:cs="Arial" w:eastAsia="Arial" w:hAnsi="Arial"/>
          <w:sz w:val="18"/>
          <w:szCs w:val="18"/>
          <w:color w:val="auto"/>
        </w:rPr>
      </w:pPr>
    </w:p>
    <w:p>
      <w:pPr>
        <w:jc w:val="both"/>
        <w:ind w:right="180" w:firstLine="921"/>
        <w:spacing w:after="0" w:line="306"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06" w:lineRule="exact"/>
        <w:rPr>
          <w:rFonts w:ascii="Arial" w:cs="Arial" w:eastAsia="Arial" w:hAnsi="Arial"/>
          <w:sz w:val="16"/>
          <w:szCs w:val="16"/>
          <w:color w:val="auto"/>
        </w:rPr>
      </w:pPr>
    </w:p>
    <w:p>
      <w:pPr>
        <w:ind w:right="40" w:firstLine="921"/>
        <w:spacing w:after="0" w:line="256"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43" w:lineRule="exact"/>
        <w:rPr>
          <w:rFonts w:ascii="Arial" w:cs="Arial" w:eastAsia="Arial" w:hAnsi="Arial"/>
          <w:sz w:val="18"/>
          <w:szCs w:val="18"/>
          <w:color w:val="auto"/>
        </w:rPr>
      </w:pPr>
    </w:p>
    <w:p>
      <w:pPr>
        <w:ind w:left="1100" w:hanging="179"/>
        <w:spacing w:after="0"/>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171" w:lineRule="exact"/>
        <w:rPr>
          <w:rFonts w:ascii="Arial" w:cs="Arial" w:eastAsia="Arial" w:hAnsi="Arial"/>
          <w:sz w:val="18"/>
          <w:szCs w:val="18"/>
          <w:color w:val="auto"/>
        </w:rPr>
      </w:pPr>
    </w:p>
    <w:p>
      <w:pPr>
        <w:ind w:right="100" w:firstLine="921"/>
        <w:spacing w:after="0" w:line="256" w:lineRule="auto"/>
        <w:tabs>
          <w:tab w:leader="none" w:pos="108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143"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IN WITNESS WHEREOF, the Assignor and the Assignee have caused Schedule 1 to this Assignment and Acceptance to be executed by their officers thereunto duly authorized as of the date specified thereon.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Acceptance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Percentage interest assigned:</w:t>
            </w:r>
          </w:p>
        </w:tc>
        <w:tc>
          <w:tcPr>
            <w:tcW w:w="2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9"/>
        </w:trPr>
        <w:tc>
          <w:tcPr>
            <w:tcW w:w="8160" w:type="dxa"/>
            <w:vAlign w:val="bottom"/>
          </w:tcPr>
          <w:p>
            <w:pPr>
              <w:spacing w:after="0"/>
              <w:rPr>
                <w:sz w:val="22"/>
                <w:szCs w:val="22"/>
                <w:color w:val="auto"/>
              </w:rPr>
            </w:pPr>
          </w:p>
        </w:tc>
        <w:tc>
          <w:tcPr>
            <w:tcW w:w="326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160" w:type="dxa"/>
            <w:vAlign w:val="bottom"/>
          </w:tcPr>
          <w:p>
            <w:pPr>
              <w:spacing w:after="0" w:line="196" w:lineRule="exact"/>
              <w:rPr>
                <w:sz w:val="20"/>
                <w:szCs w:val="20"/>
                <w:color w:val="auto"/>
              </w:rPr>
            </w:pPr>
            <w:r>
              <w:rPr>
                <w:rFonts w:ascii="Arial" w:cs="Arial" w:eastAsia="Arial" w:hAnsi="Arial"/>
                <w:sz w:val="18"/>
                <w:szCs w:val="18"/>
                <w:color w:val="auto"/>
              </w:rPr>
              <w:t>Assignee’s Commitment:</w:t>
            </w: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160" w:type="dxa"/>
            <w:vAlign w:val="bottom"/>
          </w:tcPr>
          <w:p>
            <w:pPr>
              <w:spacing w:after="0" w:line="196" w:lineRule="exact"/>
              <w:rPr>
                <w:sz w:val="20"/>
                <w:szCs w:val="20"/>
                <w:color w:val="auto"/>
              </w:rPr>
            </w:pPr>
            <w:r>
              <w:rPr>
                <w:rFonts w:ascii="Arial" w:cs="Arial" w:eastAsia="Arial" w:hAnsi="Arial"/>
                <w:sz w:val="18"/>
                <w:szCs w:val="18"/>
                <w:color w:val="auto"/>
              </w:rPr>
              <w:t>Aggregate outstanding principal amount of Revolving Credit Advances assigned:</w:t>
            </w: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160" w:type="dxa"/>
            <w:vAlign w:val="bottom"/>
          </w:tcPr>
          <w:p>
            <w:pPr>
              <w:spacing w:after="0" w:line="196" w:lineRule="exact"/>
              <w:rPr>
                <w:sz w:val="20"/>
                <w:szCs w:val="20"/>
                <w:color w:val="auto"/>
              </w:rPr>
            </w:pPr>
            <w:r>
              <w:rPr>
                <w:rFonts w:ascii="Arial" w:cs="Arial" w:eastAsia="Arial" w:hAnsi="Arial"/>
                <w:sz w:val="18"/>
                <w:szCs w:val="18"/>
                <w:color w:val="auto"/>
              </w:rPr>
              <w:t>Principal amount of Revolving Credit Note payable to Assignee:</w:t>
            </w: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8160" w:type="dxa"/>
            <w:vAlign w:val="bottom"/>
          </w:tcPr>
          <w:p>
            <w:pPr>
              <w:spacing w:after="0" w:line="196" w:lineRule="exact"/>
              <w:rPr>
                <w:sz w:val="20"/>
                <w:szCs w:val="20"/>
                <w:color w:val="auto"/>
              </w:rPr>
            </w:pPr>
            <w:r>
              <w:rPr>
                <w:rFonts w:ascii="Arial" w:cs="Arial" w:eastAsia="Arial" w:hAnsi="Arial"/>
                <w:sz w:val="18"/>
                <w:szCs w:val="18"/>
                <w:color w:val="auto"/>
              </w:rPr>
              <w:t>Principal amount of Revolving Credit Note payable to Assignor:</w:t>
            </w: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tcPr>
          <w:p>
            <w:pPr>
              <w:spacing w:after="0" w:line="202" w:lineRule="exact"/>
              <w:rPr>
                <w:sz w:val="20"/>
                <w:szCs w:val="20"/>
                <w:color w:val="auto"/>
              </w:rPr>
            </w:pPr>
            <w:r>
              <w:rPr>
                <w:rFonts w:ascii="Arial" w:cs="Arial" w:eastAsia="Arial" w:hAnsi="Arial"/>
                <w:sz w:val="18"/>
                <w:szCs w:val="18"/>
                <w:color w:val="auto"/>
                <w:w w:val="95"/>
              </w:rPr>
              <w:t>Effective Date:*</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20</w:t>
            </w:r>
          </w:p>
        </w:tc>
        <w:tc>
          <w:tcPr>
            <w:tcW w:w="1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37"/>
        </w:trPr>
        <w:tc>
          <w:tcPr>
            <w:tcW w:w="1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900" w:type="dxa"/>
            <w:vAlign w:val="bottom"/>
            <w:gridSpan w:val="5"/>
          </w:tcPr>
          <w:p>
            <w:pPr>
              <w:ind w:left="4340"/>
              <w:spacing w:after="0"/>
              <w:rPr>
                <w:sz w:val="20"/>
                <w:szCs w:val="20"/>
                <w:color w:val="auto"/>
              </w:rPr>
            </w:pPr>
            <w:r>
              <w:rPr>
                <w:rFonts w:ascii="Arial" w:cs="Arial" w:eastAsia="Arial" w:hAnsi="Arial"/>
                <w:sz w:val="18"/>
                <w:szCs w:val="18"/>
                <w:color w:val="auto"/>
              </w:rPr>
              <w:t>[NAME OF ASSIGNOR], as Assignor</w:t>
            </w:r>
          </w:p>
        </w:tc>
      </w:tr>
      <w:tr>
        <w:trPr>
          <w:trHeight w:val="421"/>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ind w:left="4340"/>
              <w:spacing w:after="0"/>
              <w:rPr>
                <w:sz w:val="20"/>
                <w:szCs w:val="20"/>
                <w:color w:val="auto"/>
              </w:rPr>
            </w:pPr>
            <w:r>
              <w:rPr>
                <w:rFonts w:ascii="Arial" w:cs="Arial" w:eastAsia="Arial" w:hAnsi="Arial"/>
                <w:sz w:val="18"/>
                <w:szCs w:val="18"/>
                <w:color w:val="auto"/>
              </w:rPr>
              <w:t>By</w:t>
            </w: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15"/>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4340"/>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84"/>
        </w:trPr>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60" w:type="dxa"/>
            <w:vAlign w:val="bottom"/>
          </w:tcPr>
          <w:p>
            <w:pPr>
              <w:ind w:left="4340"/>
              <w:spacing w:after="0" w:line="184" w:lineRule="exact"/>
              <w:rPr>
                <w:sz w:val="20"/>
                <w:szCs w:val="20"/>
                <w:color w:val="auto"/>
              </w:rPr>
            </w:pPr>
            <w:r>
              <w:rPr>
                <w:rFonts w:ascii="Arial" w:cs="Arial" w:eastAsia="Arial" w:hAnsi="Arial"/>
                <w:sz w:val="18"/>
                <w:szCs w:val="18"/>
                <w:color w:val="auto"/>
                <w:w w:val="90"/>
              </w:rPr>
              <w:t>Dated:</w:t>
            </w:r>
          </w:p>
        </w:tc>
        <w:tc>
          <w:tcPr>
            <w:tcW w:w="860" w:type="dxa"/>
            <w:vAlign w:val="bottom"/>
          </w:tcPr>
          <w:p>
            <w:pPr>
              <w:spacing w:after="0"/>
              <w:rPr>
                <w:sz w:val="15"/>
                <w:szCs w:val="15"/>
                <w:color w:val="auto"/>
              </w:rPr>
            </w:pPr>
          </w:p>
        </w:tc>
        <w:tc>
          <w:tcPr>
            <w:tcW w:w="44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w w:val="79"/>
              </w:rPr>
              <w:t>, 20</w:t>
            </w:r>
          </w:p>
        </w:tc>
        <w:tc>
          <w:tcPr>
            <w:tcW w:w="274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51"/>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900" w:type="dxa"/>
            <w:vAlign w:val="bottom"/>
            <w:gridSpan w:val="5"/>
          </w:tcPr>
          <w:p>
            <w:pPr>
              <w:ind w:left="4340"/>
              <w:spacing w:after="0"/>
              <w:rPr>
                <w:sz w:val="20"/>
                <w:szCs w:val="20"/>
                <w:color w:val="auto"/>
              </w:rPr>
            </w:pPr>
            <w:r>
              <w:rPr>
                <w:rFonts w:ascii="Arial" w:cs="Arial" w:eastAsia="Arial" w:hAnsi="Arial"/>
                <w:sz w:val="18"/>
                <w:szCs w:val="18"/>
                <w:color w:val="auto"/>
              </w:rPr>
              <w:t>[NAME OF ASSIGNEE], as Assignee</w:t>
            </w:r>
          </w:p>
        </w:tc>
      </w:tr>
      <w:tr>
        <w:trPr>
          <w:trHeight w:val="421"/>
        </w:trPr>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Pr>
          <w:p>
            <w:pPr>
              <w:ind w:left="4340"/>
              <w:spacing w:after="0"/>
              <w:rPr>
                <w:sz w:val="20"/>
                <w:szCs w:val="20"/>
                <w:color w:val="auto"/>
              </w:rPr>
            </w:pPr>
            <w:r>
              <w:rPr>
                <w:rFonts w:ascii="Arial" w:cs="Arial" w:eastAsia="Arial" w:hAnsi="Arial"/>
                <w:sz w:val="18"/>
                <w:szCs w:val="18"/>
                <w:color w:val="auto"/>
              </w:rPr>
              <w:t>By</w:t>
            </w: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215"/>
        </w:trPr>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tcPr>
          <w:p>
            <w:pPr>
              <w:ind w:left="4340"/>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84"/>
        </w:trPr>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60" w:type="dxa"/>
            <w:vAlign w:val="bottom"/>
          </w:tcPr>
          <w:p>
            <w:pPr>
              <w:ind w:left="4340"/>
              <w:spacing w:after="0" w:line="184" w:lineRule="exact"/>
              <w:rPr>
                <w:sz w:val="20"/>
                <w:szCs w:val="20"/>
                <w:color w:val="auto"/>
              </w:rPr>
            </w:pPr>
            <w:r>
              <w:rPr>
                <w:rFonts w:ascii="Arial" w:cs="Arial" w:eastAsia="Arial" w:hAnsi="Arial"/>
                <w:sz w:val="18"/>
                <w:szCs w:val="18"/>
                <w:color w:val="auto"/>
                <w:w w:val="90"/>
              </w:rPr>
              <w:t>Dated:</w:t>
            </w:r>
          </w:p>
        </w:tc>
        <w:tc>
          <w:tcPr>
            <w:tcW w:w="860" w:type="dxa"/>
            <w:vAlign w:val="bottom"/>
          </w:tcPr>
          <w:p>
            <w:pPr>
              <w:spacing w:after="0"/>
              <w:rPr>
                <w:sz w:val="15"/>
                <w:szCs w:val="15"/>
                <w:color w:val="auto"/>
              </w:rPr>
            </w:pPr>
          </w:p>
        </w:tc>
        <w:tc>
          <w:tcPr>
            <w:tcW w:w="440" w:type="dxa"/>
            <w:vAlign w:val="bottom"/>
            <w:gridSpan w:val="2"/>
          </w:tcPr>
          <w:p>
            <w:pPr>
              <w:jc w:val="right"/>
              <w:ind w:right="180"/>
              <w:spacing w:after="0" w:line="184" w:lineRule="exact"/>
              <w:rPr>
                <w:sz w:val="20"/>
                <w:szCs w:val="20"/>
                <w:color w:val="auto"/>
              </w:rPr>
            </w:pPr>
            <w:r>
              <w:rPr>
                <w:rFonts w:ascii="Arial" w:cs="Arial" w:eastAsia="Arial" w:hAnsi="Arial"/>
                <w:sz w:val="18"/>
                <w:szCs w:val="18"/>
                <w:color w:val="auto"/>
                <w:w w:val="79"/>
              </w:rPr>
              <w:t>, 20</w:t>
            </w:r>
          </w:p>
        </w:tc>
        <w:tc>
          <w:tcPr>
            <w:tcW w:w="274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000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680" w:right="2640" w:hanging="5672"/>
        <w:spacing w:after="0" w:line="440" w:lineRule="auto"/>
        <w:tabs>
          <w:tab w:leader="none" w:pos="2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date should be no earlier than five Business Days after the delivery of this Assignment and Acceptance to the Agent. 3</w:t>
      </w:r>
    </w:p>
    <w:p>
      <w:pPr>
        <w:sectPr>
          <w:pgSz w:w="11900" w:h="16838" w:orient="portrait"/>
          <w:cols w:equalWidth="0" w:num="1">
            <w:col w:w="11420"/>
          </w:cols>
          <w:pgMar w:left="240" w:top="280" w:right="239" w:bottom="1440" w:gutter="0" w:footer="0" w:header="0"/>
        </w:sectPr>
      </w:pPr>
    </w:p>
    <w:bookmarkStart w:id="102" w:name="page103"/>
    <w:bookmarkEnd w:id="102"/>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Domestic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Eurodollar Lending Office: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40" w:type="dxa"/>
            <w:vAlign w:val="bottom"/>
            <w:gridSpan w:val="9"/>
          </w:tcPr>
          <w:p>
            <w:pPr>
              <w:spacing w:after="0"/>
              <w:rPr>
                <w:sz w:val="20"/>
                <w:szCs w:val="20"/>
                <w:color w:val="auto"/>
              </w:rPr>
            </w:pPr>
            <w:r>
              <w:rPr>
                <w:rFonts w:ascii="Arial" w:cs="Arial" w:eastAsia="Arial" w:hAnsi="Arial"/>
                <w:sz w:val="18"/>
                <w:szCs w:val="18"/>
                <w:color w:val="auto"/>
                <w:w w:val="89"/>
              </w:rPr>
              <w:t>Accepted and Approved this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94"/>
        </w:trPr>
        <w:tc>
          <w:tcPr>
            <w:tcW w:w="280" w:type="dxa"/>
            <w:vAlign w:val="bottom"/>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26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 20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51"/>
        </w:trPr>
        <w:tc>
          <w:tcPr>
            <w:tcW w:w="2040" w:type="dxa"/>
            <w:vAlign w:val="bottom"/>
            <w:gridSpan w:val="9"/>
          </w:tcPr>
          <w:p>
            <w:pPr>
              <w:spacing w:after="0"/>
              <w:rPr>
                <w:sz w:val="20"/>
                <w:szCs w:val="20"/>
                <w:color w:val="auto"/>
              </w:rPr>
            </w:pPr>
            <w:r>
              <w:rPr>
                <w:rFonts w:ascii="Arial" w:cs="Arial" w:eastAsia="Arial" w:hAnsi="Arial"/>
                <w:sz w:val="18"/>
                <w:szCs w:val="18"/>
                <w:color w:val="auto"/>
                <w:w w:val="96"/>
              </w:rPr>
              <w:t>CITIBANK, N.A., as Agent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21"/>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52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1"/>
        </w:trPr>
        <w:tc>
          <w:tcPr>
            <w:tcW w:w="1060" w:type="dxa"/>
            <w:vAlign w:val="bottom"/>
            <w:gridSpan w:val="4"/>
          </w:tcPr>
          <w:p>
            <w:pPr>
              <w:spacing w:after="0"/>
              <w:rPr>
                <w:sz w:val="20"/>
                <w:szCs w:val="20"/>
                <w:color w:val="auto"/>
              </w:rPr>
            </w:pPr>
            <w:r>
              <w:rPr>
                <w:rFonts w:ascii="Arial" w:cs="Arial" w:eastAsia="Arial" w:hAnsi="Arial"/>
                <w:sz w:val="18"/>
                <w:szCs w:val="18"/>
                <w:color w:val="auto"/>
              </w:rPr>
              <w:t>Title:</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94"/>
        </w:trPr>
        <w:tc>
          <w:tcPr>
            <w:tcW w:w="1060" w:type="dxa"/>
            <w:vAlign w:val="bottom"/>
            <w:gridSpan w:val="4"/>
          </w:tcPr>
          <w:p>
            <w:pPr>
              <w:spacing w:after="0"/>
              <w:rPr>
                <w:sz w:val="20"/>
                <w:szCs w:val="20"/>
                <w:color w:val="auto"/>
              </w:rPr>
            </w:pPr>
            <w:r>
              <w:rPr>
                <w:rFonts w:ascii="Arial" w:cs="Arial" w:eastAsia="Arial" w:hAnsi="Arial"/>
                <w:sz w:val="18"/>
                <w:szCs w:val="18"/>
                <w:color w:val="auto"/>
                <w:w w:val="94"/>
              </w:rPr>
              <w:t>Approved this</w:t>
            </w:r>
          </w:p>
        </w:tc>
        <w:tc>
          <w:tcPr>
            <w:tcW w:w="260" w:type="dxa"/>
            <w:vAlign w:val="bottom"/>
            <w:tcBorders>
              <w:bottom w:val="single" w:sz="8" w:color="auto"/>
            </w:tcBorders>
          </w:tcPr>
          <w:p>
            <w:pPr>
              <w:spacing w:after="0"/>
              <w:rPr>
                <w:sz w:val="24"/>
                <w:szCs w:val="24"/>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3"/>
              </w:rPr>
              <w:t>day of</w:t>
            </w:r>
          </w:p>
        </w:tc>
        <w:tc>
          <w:tcPr>
            <w:tcW w:w="20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 20</w:t>
            </w:r>
          </w:p>
        </w:tc>
        <w:tc>
          <w:tcPr>
            <w:tcW w:w="10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2540</wp:posOffset>
            </wp:positionV>
            <wp:extent cx="2769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ASSUMPTION AGREEMENT</w:t>
      </w:r>
    </w:p>
    <w:p>
      <w:pPr>
        <w:spacing w:after="0" w:line="165"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-13970</wp:posOffset>
            </wp:positionV>
            <wp:extent cx="4457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20071</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Citibank, N.A., as Agent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Two Penns Way New Castle, Delaware 19720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Attention:Nick Rozell</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Reference is made to the Five Year Credit Agreement dated as of August 8, 2006 among The Washington Post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parties thereto, Citibank, N.A., as Agent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terms defined therein being used herein as therein defined), for such Lenders.</w:t>
      </w:r>
    </w:p>
    <w:p>
      <w:pPr>
        <w:spacing w:after="0" w:line="8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The undersigned (the “Assuming Lender”) proposes to become an Assuming Lender pursuant to Section [2.05(b)] [2.17] of the Credit Agreement and, in that connection, hereby agrees that it shall become a Lender for purposes of the Credit Agreement on [applicable Increase Date/Extension Date] and that its</w:t>
      </w:r>
    </w:p>
    <w:p>
      <w:pPr>
        <w:spacing w:after="0"/>
        <w:tabs>
          <w:tab w:leader="none" w:pos="3420" w:val="left"/>
        </w:tabs>
        <w:rPr>
          <w:sz w:val="20"/>
          <w:szCs w:val="20"/>
          <w:color w:val="auto"/>
        </w:rPr>
      </w:pPr>
      <w:r>
        <w:rPr>
          <w:rFonts w:ascii="Arial" w:cs="Arial" w:eastAsia="Arial" w:hAnsi="Arial"/>
          <w:sz w:val="18"/>
          <w:szCs w:val="18"/>
          <w:color w:val="auto"/>
        </w:rPr>
        <w:t>Commitment shall as of such date be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4457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 (iii) 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2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Assuming Lender requests that the Borrower deliver to the Agent (to be promptly delivered to the Assuming Lender) a Revolving Credit Note payable to the order of the Assuming Lender, dated as of the [applicable Increase Date/Extension Date] and substantially in the form of Exhibit A-1 to the Credit Agreement.</w:t>
      </w:r>
    </w:p>
    <w:p>
      <w:pPr>
        <w:sectPr>
          <w:pgSz w:w="11900" w:h="16838" w:orient="portrait"/>
          <w:cols w:equalWidth="0" w:num="1">
            <w:col w:w="11420"/>
          </w:cols>
          <w:pgMar w:left="240" w:top="280" w:right="239" w:bottom="1440" w:gutter="0" w:footer="0" w:header="0"/>
        </w:sectPr>
      </w:pPr>
    </w:p>
    <w:bookmarkStart w:id="104" w:name="page105"/>
    <w:bookmarkEnd w:id="104"/>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for this Assumption Agreement shall be [applicable Increase Date/Extension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Assumption Agreement shall be governed by, and construed in accordance with, the laws of the State of New York.</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ASSUMING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Domestic Lending Office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address for notices):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Eurodollar 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Acknowledged and Agreed 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2540</wp:posOffset>
            </wp:positionV>
            <wp:extent cx="27012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E-1 -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BORROWER</w:t>
      </w:r>
    </w:p>
    <w:p>
      <w:pPr>
        <w:spacing w:after="0" w:line="84"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Five Year Credit Agreement dated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August 8, 2006 among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said Lenders and Citibank, N.A., as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Agent for said Lenders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Washington Post Company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This opinion is furnished to you pursuant to Section 3.01(c)(v) of the Five Year Credit Agreement, dated as of August 8, 2006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and Citibank, N.A., as Agent for said Lenders. Terms defined in the Credit Agreement are used herein as therein defined.</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 am the General Counsel of the Borrower and as such I am familiar with the Credit Agreement and the corporate proceedings taken by the Borrower to authorize the execution and delivery of the Credit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opinion, I have examined:</w:t>
      </w:r>
    </w:p>
    <w:p>
      <w:pPr>
        <w:spacing w:after="0" w:line="90" w:lineRule="exact"/>
        <w:rPr>
          <w:sz w:val="20"/>
          <w:szCs w:val="20"/>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documents furnished by the Borrower pursuant to Section 3.01(c) of the Credit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Certificate of Incorporation of the Borrower and all amendments thereto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by-laws of the Borrower and all amendments thereto (the “</w:t>
      </w:r>
      <w:r>
        <w:rPr>
          <w:rFonts w:ascii="Arial" w:cs="Arial" w:eastAsia="Arial" w:hAnsi="Arial"/>
          <w:sz w:val="18"/>
          <w:szCs w:val="18"/>
          <w:u w:val="single" w:color="auto"/>
          <w:color w:val="auto"/>
        </w:rPr>
        <w:t>By-laws</w:t>
      </w:r>
      <w:r>
        <w:rPr>
          <w:rFonts w:ascii="Arial" w:cs="Arial" w:eastAsia="Arial" w:hAnsi="Arial"/>
          <w:sz w:val="18"/>
          <w:szCs w:val="18"/>
          <w:color w:val="auto"/>
        </w:rPr>
        <w:t>”).</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tcPr>
          <w:p>
            <w:pPr>
              <w:ind w:left="440"/>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6100" w:type="dxa"/>
            <w:vAlign w:val="bottom"/>
            <w:gridSpan w:val="2"/>
          </w:tcPr>
          <w:p>
            <w:pPr>
              <w:ind w:left="880"/>
              <w:spacing w:after="0"/>
              <w:rPr>
                <w:sz w:val="20"/>
                <w:szCs w:val="20"/>
                <w:color w:val="auto"/>
              </w:rPr>
            </w:pPr>
            <w:r>
              <w:rPr>
                <w:rFonts w:ascii="Arial" w:cs="Arial" w:eastAsia="Arial" w:hAnsi="Arial"/>
                <w:sz w:val="18"/>
                <w:szCs w:val="18"/>
                <w:color w:val="auto"/>
                <w:w w:val="87"/>
              </w:rPr>
              <w:t>, 2006, attesting to the continued corporate existence and good standing of</w:t>
            </w: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the Borrower in that State.</w:t>
            </w:r>
          </w:p>
        </w:tc>
        <w:tc>
          <w:tcPr>
            <w:tcW w:w="880" w:type="dxa"/>
            <w:vAlign w:val="bottom"/>
            <w:tcBorders>
              <w:top w:val="single" w:sz="8" w:color="auto"/>
            </w:tcBorders>
          </w:tcPr>
          <w:p>
            <w:pPr>
              <w:spacing w:after="0"/>
              <w:rPr>
                <w:sz w:val="20"/>
                <w:szCs w:val="20"/>
                <w:color w:val="auto"/>
              </w:rPr>
            </w:pPr>
          </w:p>
        </w:tc>
        <w:tc>
          <w:tcPr>
            <w:tcW w:w="5220" w:type="dxa"/>
            <w:vAlign w:val="bottom"/>
          </w:tcPr>
          <w:p>
            <w:pPr>
              <w:spacing w:after="0"/>
              <w:rPr>
                <w:sz w:val="20"/>
                <w:szCs w:val="20"/>
                <w:color w:val="auto"/>
              </w:rPr>
            </w:pPr>
          </w:p>
        </w:tc>
      </w:tr>
    </w:tbl>
    <w:p>
      <w:pPr>
        <w:spacing w:after="0" w:line="15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 the Borrower or its officers or of public officials. I have assumed the due execution and delivery, pursuant to due authorization, of the Credit Agreement by the Initial Lenders and the Agent.</w:t>
      </w:r>
    </w:p>
    <w:p>
      <w:pPr>
        <w:sectPr>
          <w:pgSz w:w="11900" w:h="16838" w:orient="portrait"/>
          <w:cols w:equalWidth="0" w:num="1">
            <w:col w:w="11420"/>
          </w:cols>
          <w:pgMar w:left="240" w:top="280" w:right="239" w:bottom="1440" w:gutter="0" w:footer="0" w:header="0"/>
        </w:sectPr>
      </w:pPr>
    </w:p>
    <w:bookmarkStart w:id="106" w:name="page107"/>
    <w:bookmarkEnd w:id="106"/>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opinions expressed below are limited to the law of the State of New York, the General Corporation Law of the State of Delaware and the Federal law of the United States of America.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90" w:lineRule="exact"/>
        <w:rPr>
          <w:sz w:val="20"/>
          <w:szCs w:val="20"/>
          <w:color w:val="auto"/>
        </w:rPr>
      </w:pPr>
    </w:p>
    <w:p>
      <w:pPr>
        <w:ind w:left="1080" w:hanging="177"/>
        <w:spacing w:after="0"/>
        <w:tabs>
          <w:tab w:leader="none" w:pos="10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Borrower is a corporation validly existing and in good standing under the laws of the State of Delaware.</w:t>
      </w:r>
    </w:p>
    <w:p>
      <w:pPr>
        <w:spacing w:after="0" w:line="90" w:lineRule="exact"/>
        <w:rPr>
          <w:rFonts w:ascii="Arial" w:cs="Arial" w:eastAsia="Arial" w:hAnsi="Arial"/>
          <w:sz w:val="18"/>
          <w:szCs w:val="18"/>
          <w:color w:val="auto"/>
        </w:rPr>
      </w:pPr>
    </w:p>
    <w:p>
      <w:pPr>
        <w:ind w:left="460" w:right="40" w:firstLine="443"/>
        <w:spacing w:after="0" w:line="305" w:lineRule="auto"/>
        <w:tabs>
          <w:tab w:leader="none" w:pos="1074"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w:t>
      </w:r>
    </w:p>
    <w:p>
      <w:pPr>
        <w:ind w:left="460" w:firstLine="4"/>
        <w:spacing w:after="0" w:line="292" w:lineRule="auto"/>
        <w:tabs>
          <w:tab w:leader="none" w:pos="67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35" w:lineRule="exact"/>
        <w:rPr>
          <w:rFonts w:ascii="Arial" w:cs="Arial" w:eastAsia="Arial" w:hAnsi="Arial"/>
          <w:sz w:val="16"/>
          <w:szCs w:val="16"/>
          <w:color w:val="auto"/>
        </w:rPr>
      </w:pPr>
    </w:p>
    <w:p>
      <w:pPr>
        <w:jc w:val="both"/>
        <w:ind w:left="460" w:right="20" w:firstLine="443"/>
        <w:spacing w:after="0" w:line="259" w:lineRule="auto"/>
        <w:tabs>
          <w:tab w:leader="none" w:pos="10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pacing w:after="0" w:line="59" w:lineRule="exact"/>
        <w:rPr>
          <w:rFonts w:ascii="Arial" w:cs="Arial" w:eastAsia="Arial" w:hAnsi="Arial"/>
          <w:sz w:val="18"/>
          <w:szCs w:val="18"/>
          <w:color w:val="auto"/>
        </w:rPr>
      </w:pPr>
    </w:p>
    <w:p>
      <w:pPr>
        <w:ind w:left="460" w:right="120" w:firstLine="443"/>
        <w:spacing w:after="0" w:line="268" w:lineRule="auto"/>
        <w:tabs>
          <w:tab w:leader="none" w:pos="10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Credit Agreement is, and upon the consummation of any Borrowings, the Notes will be, legal, valid and binding obligations of the Borrower enforceable against the Borrower in accordance with their respective terms.</w:t>
      </w:r>
    </w:p>
    <w:p>
      <w:pPr>
        <w:spacing w:after="0" w:line="50" w:lineRule="exact"/>
        <w:rPr>
          <w:rFonts w:ascii="Arial" w:cs="Arial" w:eastAsia="Arial" w:hAnsi="Arial"/>
          <w:sz w:val="18"/>
          <w:szCs w:val="18"/>
          <w:color w:val="auto"/>
        </w:rPr>
      </w:pPr>
    </w:p>
    <w:p>
      <w:pPr>
        <w:ind w:left="460" w:right="40" w:firstLine="443"/>
        <w:spacing w:after="0" w:line="298" w:lineRule="auto"/>
        <w:tabs>
          <w:tab w:leader="none" w:pos="1074" w:val="left"/>
        </w:tabs>
        <w:numPr>
          <w:ilvl w:val="1"/>
          <w:numId w:val="76"/>
        </w:numPr>
        <w:rPr>
          <w:rFonts w:ascii="Arial" w:cs="Arial" w:eastAsia="Arial" w:hAnsi="Arial"/>
          <w:sz w:val="16"/>
          <w:szCs w:val="16"/>
          <w:color w:val="auto"/>
        </w:rPr>
      </w:pPr>
      <w:r>
        <w:rPr>
          <w:rFonts w:ascii="Arial" w:cs="Arial" w:eastAsia="Arial" w:hAnsi="Arial"/>
          <w:sz w:val="16"/>
          <w:szCs w:val="16"/>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90" w:lineRule="exact"/>
        <w:rPr>
          <w:sz w:val="20"/>
          <w:szCs w:val="20"/>
          <w:color w:val="auto"/>
        </w:rPr>
      </w:pPr>
    </w:p>
    <w:p>
      <w:pPr>
        <w:ind w:left="460" w:right="600" w:firstLine="443"/>
        <w:spacing w:after="0" w:line="332"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7" w:name="page108"/>
    <w:bookmarkEnd w:id="107"/>
    <w:p>
      <w:pPr>
        <w:ind w:firstLine="443"/>
        <w:spacing w:after="0" w:line="332"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4" w:lineRule="exact"/>
        <w:rPr>
          <w:rFonts w:ascii="Arial" w:cs="Arial" w:eastAsia="Arial" w:hAnsi="Arial"/>
          <w:sz w:val="16"/>
          <w:szCs w:val="16"/>
          <w:color w:val="auto"/>
        </w:rPr>
      </w:pPr>
    </w:p>
    <w:p>
      <w:pPr>
        <w:ind w:right="220" w:firstLine="443"/>
        <w:spacing w:after="0" w:line="268" w:lineRule="auto"/>
        <w:tabs>
          <w:tab w:leader="none" w:pos="6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the enforceability thereof may be limited by public policy considerations.</w:t>
      </w:r>
    </w:p>
    <w:p>
      <w:pPr>
        <w:spacing w:after="0" w:line="50" w:lineRule="exact"/>
        <w:rPr>
          <w:rFonts w:ascii="Arial" w:cs="Arial" w:eastAsia="Arial" w:hAnsi="Arial"/>
          <w:sz w:val="18"/>
          <w:szCs w:val="18"/>
          <w:color w:val="auto"/>
        </w:rPr>
      </w:pPr>
    </w:p>
    <w:p>
      <w:pPr>
        <w:ind w:right="20" w:firstLine="443"/>
        <w:spacing w:after="0" w:line="256"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14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E-2 -FORM OF</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OPINION OF COUNSEL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NEWSPAPER SUBSIDIARY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each of the Lenders parties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Five Year Credit Agreement dated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August 8, 2006 among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Washington Post Company,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said Lenders and Citibank, N.A.,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Agent for said Lenders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WP Company LLC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This opinion is furnished to you pursuant to Section 3.01(c)(vi) of the Five Year Credit Agreement, dated as of August 8, 2006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Washington Post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parties thereto and Citibank, N.A., as Agent for said Lenders. Terms defined in the Credit Agreement are used herein as therein defined.</w:t>
      </w:r>
    </w:p>
    <w:p>
      <w:pPr>
        <w:spacing w:after="0" w:line="140"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I am the General Counsel of The Washington Post Company, the sole member of WP Company LLC, a Delaware limited liability company (the “</w:t>
      </w:r>
      <w:r>
        <w:rPr>
          <w:rFonts w:ascii="Arial" w:cs="Arial" w:eastAsia="Arial" w:hAnsi="Arial"/>
          <w:sz w:val="18"/>
          <w:szCs w:val="18"/>
          <w:u w:val="single" w:color="auto"/>
          <w:color w:val="auto"/>
        </w:rPr>
        <w:t>Newspaper Subsidiary</w:t>
      </w:r>
      <w:r>
        <w:rPr>
          <w:rFonts w:ascii="Arial" w:cs="Arial" w:eastAsia="Arial" w:hAnsi="Arial"/>
          <w:sz w:val="18"/>
          <w:szCs w:val="18"/>
          <w:color w:val="auto"/>
        </w:rPr>
        <w:t>”), and as such I am familiar with the Credit Agreement and the proceedings taken by the Newspaper Subsidiary to authorize the execution and delivery of the Subsidiary Guaranty.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opinion, I have examined:</w:t>
      </w:r>
    </w:p>
    <w:p>
      <w:pPr>
        <w:spacing w:after="0" w:line="90"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Credit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documents furnished by the Newspaper Subsidiary pursuant to Section 3.01(c) of the Credit Agreement, including the Subsidiary Guaranty.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Certificate of Formation and Certificate of Conversion of the Newspaper Subsidiary and all amendments thereto (the “</w:t>
      </w:r>
      <w:r>
        <w:rPr>
          <w:rFonts w:ascii="Arial" w:cs="Arial" w:eastAsia="Arial" w:hAnsi="Arial"/>
          <w:sz w:val="16"/>
          <w:szCs w:val="16"/>
          <w:u w:val="single" w:color="auto"/>
          <w:color w:val="auto"/>
        </w:rPr>
        <w:t>Certificates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limited liability company agreement of the Newspaper Subsidiary and all amendments thereto (the “</w:t>
      </w:r>
      <w:r>
        <w:rPr>
          <w:rFonts w:ascii="Arial" w:cs="Arial" w:eastAsia="Arial" w:hAnsi="Arial"/>
          <w:sz w:val="18"/>
          <w:szCs w:val="18"/>
          <w:u w:val="single" w:color="auto"/>
          <w:color w:val="auto"/>
        </w:rPr>
        <w:t>LLC Agreement</w:t>
      </w:r>
      <w:r>
        <w:rPr>
          <w:rFonts w:ascii="Arial" w:cs="Arial" w:eastAsia="Arial" w:hAnsi="Arial"/>
          <w:sz w:val="18"/>
          <w:szCs w:val="18"/>
          <w:color w:val="auto"/>
        </w:rPr>
        <w:t>”).</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tcPr>
          <w:p>
            <w:pPr>
              <w:ind w:left="440"/>
              <w:spacing w:after="0"/>
              <w:rPr>
                <w:sz w:val="20"/>
                <w:szCs w:val="20"/>
                <w:color w:val="auto"/>
              </w:rPr>
            </w:pPr>
            <w:r>
              <w:rPr>
                <w:rFonts w:ascii="Arial" w:cs="Arial" w:eastAsia="Arial" w:hAnsi="Arial"/>
                <w:sz w:val="18"/>
                <w:szCs w:val="18"/>
                <w:color w:val="auto"/>
                <w:w w:val="89"/>
              </w:rPr>
              <w:t>(5) A certificate of the Secretary of State of Delaware, dated</w:t>
            </w:r>
          </w:p>
        </w:tc>
        <w:tc>
          <w:tcPr>
            <w:tcW w:w="5660" w:type="dxa"/>
            <w:vAlign w:val="bottom"/>
            <w:gridSpan w:val="2"/>
          </w:tcPr>
          <w:p>
            <w:pPr>
              <w:ind w:left="880"/>
              <w:spacing w:after="0"/>
              <w:rPr>
                <w:sz w:val="20"/>
                <w:szCs w:val="20"/>
                <w:color w:val="auto"/>
              </w:rPr>
            </w:pPr>
            <w:r>
              <w:rPr>
                <w:rFonts w:ascii="Arial" w:cs="Arial" w:eastAsia="Arial" w:hAnsi="Arial"/>
                <w:sz w:val="18"/>
                <w:szCs w:val="18"/>
                <w:color w:val="auto"/>
                <w:w w:val="87"/>
              </w:rPr>
              <w:t>, 2006, attesting to the continued existence and good standing of the</w:t>
            </w:r>
          </w:p>
        </w:tc>
      </w:tr>
      <w:tr>
        <w:trPr>
          <w:trHeight w:val="235"/>
        </w:trPr>
        <w:tc>
          <w:tcPr>
            <w:tcW w:w="4720" w:type="dxa"/>
            <w:vAlign w:val="bottom"/>
          </w:tcPr>
          <w:p>
            <w:pPr>
              <w:spacing w:after="0"/>
              <w:rPr>
                <w:sz w:val="20"/>
                <w:szCs w:val="20"/>
                <w:color w:val="auto"/>
              </w:rPr>
            </w:pPr>
            <w:r>
              <w:rPr>
                <w:rFonts w:ascii="Arial" w:cs="Arial" w:eastAsia="Arial" w:hAnsi="Arial"/>
                <w:sz w:val="18"/>
                <w:szCs w:val="18"/>
                <w:color w:val="auto"/>
              </w:rPr>
              <w:t>Newspaper Subsidiary in that State.</w:t>
            </w:r>
          </w:p>
        </w:tc>
        <w:tc>
          <w:tcPr>
            <w:tcW w:w="880" w:type="dxa"/>
            <w:vAlign w:val="bottom"/>
            <w:tcBorders>
              <w:top w:val="single" w:sz="8" w:color="auto"/>
            </w:tcBorders>
          </w:tcPr>
          <w:p>
            <w:pPr>
              <w:spacing w:after="0"/>
              <w:rPr>
                <w:sz w:val="20"/>
                <w:szCs w:val="20"/>
                <w:color w:val="auto"/>
              </w:rPr>
            </w:pPr>
          </w:p>
        </w:tc>
        <w:tc>
          <w:tcPr>
            <w:tcW w:w="4780" w:type="dxa"/>
            <w:vAlign w:val="bottom"/>
          </w:tcPr>
          <w:p>
            <w:pPr>
              <w:spacing w:after="0"/>
              <w:rPr>
                <w:sz w:val="20"/>
                <w:szCs w:val="20"/>
                <w:color w:val="auto"/>
              </w:rPr>
            </w:pPr>
          </w:p>
        </w:tc>
      </w:tr>
    </w:tbl>
    <w:p>
      <w:pPr>
        <w:spacing w:after="0" w:line="15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 have examined the originals, or copies certified to my satisfaction, of such other records of the Newspaper Subsidiary, certificates of public officials and of officers of the Newspaper Subsidiary, and agreements, instruments and other documents, as I have deemed necessary as a basis for the opinions expressed below. As to questions of fact material</w:t>
      </w:r>
    </w:p>
    <w:p>
      <w:pPr>
        <w:sectPr>
          <w:pgSz w:w="11900" w:h="16838" w:orient="portrait"/>
          <w:cols w:equalWidth="0" w:num="1">
            <w:col w:w="11420"/>
          </w:cols>
          <w:pgMar w:left="240" w:top="280" w:right="239" w:bottom="1440" w:gutter="0" w:footer="0" w:header="0"/>
        </w:sectPr>
      </w:pPr>
    </w:p>
    <w:bookmarkStart w:id="109" w:name="page110"/>
    <w:bookmarkEnd w:id="109"/>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such opinions, I have, when relevant facts were not independently established by me, relied upon certificates of the Newspaper Subsidiary or its officers or of public officials. I have assumed the due execution and delivery, pursuant to due authorization, of the Credit Agreement by the Initial Lenders and the Agent.</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My opinions expressed below are limited to the law of the State of New York, the Limited Liability Company Act of the State of Delaware and the Federal law of the United States of America.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upon such investigation as I have deemed necessary, I am of the following opinion:</w:t>
      </w:r>
    </w:p>
    <w:p>
      <w:pPr>
        <w:spacing w:after="0" w:line="90" w:lineRule="exact"/>
        <w:rPr>
          <w:sz w:val="20"/>
          <w:szCs w:val="20"/>
          <w:color w:val="auto"/>
        </w:rPr>
      </w:pPr>
    </w:p>
    <w:p>
      <w:pPr>
        <w:ind w:left="1080" w:hanging="177"/>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Newspaper Subsidiary is a limited liability company validly existing and in good standing under the laws of the State of Delaware.</w:t>
      </w:r>
    </w:p>
    <w:p>
      <w:pPr>
        <w:spacing w:after="0" w:line="113" w:lineRule="exact"/>
        <w:rPr>
          <w:rFonts w:ascii="Arial" w:cs="Arial" w:eastAsia="Arial" w:hAnsi="Arial"/>
          <w:sz w:val="16"/>
          <w:szCs w:val="16"/>
          <w:color w:val="auto"/>
        </w:rPr>
      </w:pPr>
    </w:p>
    <w:p>
      <w:pPr>
        <w:ind w:left="460" w:firstLine="443"/>
        <w:spacing w:after="0" w:line="290" w:lineRule="auto"/>
        <w:tabs>
          <w:tab w:leader="none" w:pos="107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execution, delivery and performance by the Newspaper Subsidiary of the Subsidiary Guaranty are within the Newspaper Subsidiary’s powers, and have been duly authorized by all necessary action, and do not contravene (i) the Certificates or LLC Agreement or (ii) any law, rule or regulation applicable to the Newspaper Subsidiary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Newspaper Subsidiary or its assets, in each case that affects or purports to affect the Newspaper Subsidiary’s obligations under the Subsidiary Guaranty. The Subsidiary Guaranty delivered on the date hereof has been duly executed and delivered on behalf of the Newspaper Subsidiary.</w:t>
      </w:r>
    </w:p>
    <w:p>
      <w:pPr>
        <w:spacing w:after="0" w:line="37" w:lineRule="exact"/>
        <w:rPr>
          <w:rFonts w:ascii="Arial" w:cs="Arial" w:eastAsia="Arial" w:hAnsi="Arial"/>
          <w:sz w:val="16"/>
          <w:szCs w:val="16"/>
          <w:color w:val="auto"/>
        </w:rPr>
      </w:pPr>
    </w:p>
    <w:p>
      <w:pPr>
        <w:ind w:left="460" w:right="20" w:firstLine="443"/>
        <w:spacing w:after="0" w:line="259" w:lineRule="auto"/>
        <w:tabs>
          <w:tab w:leader="none" w:pos="10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Federal, New York or, to the extent required under the Limited Liability Company Act of the State of Delaware, Delaware governmental authority or regulatory body is required for the due execution, delivery and performance by the Newspaper Subsidiary of the Subsidiary Guaranty.</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0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Subsidiary Guaranty is a legal, valid and binding obligation of the Newspaper Subsidiary enforceable against the Newspaper Subsidiary in accordance with its terms.</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0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best of my knowledge after appropriate inquiry, there are no pending or overtly threatened actions or proceedings against the Newspaper Subsidiary before any court, governmental agency or arbitrator that purport to affect the legality, validity, binding effect or enforceability of the Subsidiary Guaranty.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opinions set forth above are subject to the following qualifications:</w:t>
      </w:r>
    </w:p>
    <w:p>
      <w:pPr>
        <w:spacing w:after="0" w:line="90" w:lineRule="exact"/>
        <w:rPr>
          <w:sz w:val="20"/>
          <w:szCs w:val="20"/>
          <w:color w:val="auto"/>
        </w:rPr>
      </w:pPr>
    </w:p>
    <w:p>
      <w:pPr>
        <w:ind w:left="460" w:right="580" w:firstLine="443"/>
        <w:spacing w:after="0" w:line="332" w:lineRule="auto"/>
        <w:tabs>
          <w:tab w:leader="none" w:pos="1137" w:val="left"/>
        </w:tabs>
        <w:numPr>
          <w:ilvl w:val="0"/>
          <w:numId w:val="81"/>
        </w:numPr>
        <w:rPr>
          <w:rFonts w:ascii="Arial" w:cs="Arial" w:eastAsia="Arial" w:hAnsi="Arial"/>
          <w:sz w:val="16"/>
          <w:szCs w:val="16"/>
          <w:color w:val="auto"/>
        </w:rPr>
      </w:pPr>
      <w:r>
        <w:rPr>
          <w:rFonts w:ascii="Arial" w:cs="Arial" w:eastAsia="Arial" w:hAnsi="Arial"/>
          <w:sz w:val="16"/>
          <w:szCs w:val="16"/>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10" w:name="page111"/>
    <w:bookmarkEnd w:id="110"/>
    <w:p>
      <w:pPr>
        <w:ind w:firstLine="443"/>
        <w:spacing w:after="0" w:line="332" w:lineRule="auto"/>
        <w:tabs>
          <w:tab w:leader="none" w:pos="687"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My opinion in paragraph 4 above as to enforceability is subject to the effect of general principles of equity, including, without limitation, concepts of materiality, reasonableness, good faith and fair dealing (regardless of whether considered in a proceeding in equity or at law).</w:t>
      </w:r>
    </w:p>
    <w:p>
      <w:pPr>
        <w:spacing w:after="0" w:line="4" w:lineRule="exact"/>
        <w:rPr>
          <w:rFonts w:ascii="Arial" w:cs="Arial" w:eastAsia="Arial" w:hAnsi="Arial"/>
          <w:sz w:val="16"/>
          <w:szCs w:val="16"/>
          <w:color w:val="auto"/>
        </w:rPr>
      </w:pPr>
    </w:p>
    <w:p>
      <w:pPr>
        <w:ind w:right="20" w:firstLine="443"/>
        <w:spacing w:after="0" w:line="268" w:lineRule="auto"/>
        <w:tabs>
          <w:tab w:leader="none" w:pos="6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Insofar as provisions contained in the Subsidiary Guaranty provide for indemnification, the enforceability thereof may be limited by public policy considerations.</w:t>
      </w:r>
    </w:p>
    <w:p>
      <w:pPr>
        <w:spacing w:after="0" w:line="50" w:lineRule="exact"/>
        <w:rPr>
          <w:rFonts w:ascii="Arial" w:cs="Arial" w:eastAsia="Arial" w:hAnsi="Arial"/>
          <w:sz w:val="18"/>
          <w:szCs w:val="18"/>
          <w:color w:val="auto"/>
        </w:rPr>
      </w:pPr>
    </w:p>
    <w:p>
      <w:pPr>
        <w:ind w:right="600" w:firstLine="443"/>
        <w:spacing w:after="0" w:line="332" w:lineRule="auto"/>
        <w:tabs>
          <w:tab w:leader="none" w:pos="68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 express no opinion as to the effect of the law of any jurisdiction other than the State of New York wherein any Lender may be located or wherein enforcement of the Subsidiary Guaranty may be sought that limits the rates of interest legally chargeable or collectible.</w:t>
      </w:r>
    </w:p>
    <w:p>
      <w:pPr>
        <w:spacing w:after="0" w:line="85"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SUBSIDIARY GUARANTY</w:t>
      </w:r>
    </w:p>
    <w:p>
      <w:pPr>
        <w:spacing w:after="0" w:line="148" w:lineRule="exact"/>
        <w:rPr>
          <w:sz w:val="20"/>
          <w:szCs w:val="20"/>
          <w:color w:val="auto"/>
        </w:rPr>
      </w:pPr>
    </w:p>
    <w:tbl>
      <w:tblPr>
        <w:tblLayout w:type="fixed"/>
        <w:tblInd w:w="34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89"/>
              </w:rPr>
              <w:t>Dated as of</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2006</w:t>
            </w:r>
          </w:p>
        </w:tc>
      </w:tr>
      <w:tr>
        <w:trPr>
          <w:trHeight w:val="20"/>
        </w:trPr>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From</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WP Company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as Guarantor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favor of</w:t>
      </w:r>
    </w:p>
    <w:p>
      <w:pPr>
        <w:spacing w:after="0" w:line="152"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The Lenders Referred To Herein</w:t>
      </w:r>
    </w:p>
    <w:p>
      <w:pPr>
        <w:sectPr>
          <w:pgSz w:w="11900" w:h="16838" w:orient="portrait"/>
          <w:cols w:equalWidth="0" w:num="1">
            <w:col w:w="10220"/>
          </w:cols>
          <w:pgMar w:left="1440" w:top="280" w:right="239" w:bottom="1440" w:gutter="0" w:footer="0" w:header="0"/>
        </w:sectPr>
      </w:pPr>
    </w:p>
    <w:bookmarkStart w:id="112" w:name="page113"/>
    <w:bookmarkEnd w:id="112"/>
    <w:p>
      <w:pPr>
        <w:jc w:val="center"/>
        <w:ind w:left="1000"/>
        <w:spacing w:after="0"/>
        <w:tabs>
          <w:tab w:leader="none" w:pos="200" w:val="left"/>
          <w:tab w:leader="none" w:pos="2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 A B L E</w:t>
        <w:tab/>
        <w:t>O F</w:t>
      </w:r>
      <w:r>
        <w:rPr>
          <w:sz w:val="20"/>
          <w:szCs w:val="20"/>
          <w:color w:val="auto"/>
        </w:rPr>
        <w:tab/>
      </w:r>
      <w:r>
        <w:rPr>
          <w:rFonts w:ascii="Arial" w:cs="Arial" w:eastAsia="Arial" w:hAnsi="Arial"/>
          <w:sz w:val="16"/>
          <w:szCs w:val="16"/>
          <w:u w:val="single" w:color="auto"/>
          <w:color w:val="auto"/>
        </w:rPr>
        <w:t>C O N T E N T 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w:t>
      </w:r>
    </w:p>
    <w:p>
      <w:pPr>
        <w:spacing w:after="0" w:line="6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GUARANTY; 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color w:val="auto"/>
        </w:rPr>
        <w:t>CHARACTER OF GUARANTY; WAIVER OF CERTAIN DEFENSES</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color w:val="auto"/>
        </w:rPr>
        <w:t>WAIVERS AND ACKNOWLEDGMENTS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SUBROGATION</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CERTAIN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color w:val="auto"/>
        </w:rPr>
        <w:t>REPRESENTATIONS AND WARRANTIES</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color w:val="auto"/>
        </w:rPr>
        <w:t>TERMINATION OF GUARANTY</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color w:val="auto"/>
        </w:rPr>
        <w:t>NOTICES,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color w:val="auto"/>
        </w:rPr>
        <w:t>NO WAIVER; REMEDIES</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CONTINUING GUARANTY; ASSIGNMENTS UNDER THE CREDIT AGREEMENT</w:t>
      </w:r>
    </w:p>
    <w:p>
      <w:pPr>
        <w:spacing w:after="0" w:line="1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color w:val="auto"/>
        </w:rPr>
        <w:t>GOVERNING LAW; JURISDICTION; WAIVER OF JURY TRIAL,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1"/>
          <w:szCs w:val="11"/>
          <w:b w:val="1"/>
          <w:bCs w:val="1"/>
          <w:u w:val="single" w:color="auto"/>
          <w:color w:val="auto"/>
        </w:rPr>
        <w:t>Page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10420" w:space="720"/>
            <w:col w:w="280"/>
          </w:cols>
          <w:pgMar w:left="240" w:top="280"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GUARANTY</w:t>
      </w:r>
    </w:p>
    <w:p>
      <w:pPr>
        <w:spacing w:after="0" w:line="171" w:lineRule="exact"/>
        <w:rPr>
          <w:sz w:val="20"/>
          <w:szCs w:val="20"/>
          <w:color w:val="auto"/>
        </w:rPr>
      </w:pPr>
    </w:p>
    <w:p>
      <w:pPr>
        <w:ind w:left="460"/>
        <w:spacing w:after="0"/>
        <w:tabs>
          <w:tab w:leader="none" w:pos="5520" w:val="left"/>
        </w:tabs>
        <w:rPr>
          <w:sz w:val="20"/>
          <w:szCs w:val="20"/>
          <w:color w:val="auto"/>
        </w:rPr>
      </w:pPr>
      <w:r>
        <w:rPr>
          <w:rFonts w:ascii="Arial" w:cs="Arial" w:eastAsia="Arial" w:hAnsi="Arial"/>
          <w:sz w:val="18"/>
          <w:szCs w:val="18"/>
          <w:color w:val="auto"/>
        </w:rPr>
        <w:t>SUBSIDIARY GUARANTY (this “</w:t>
      </w:r>
      <w:r>
        <w:rPr>
          <w:rFonts w:ascii="Arial" w:cs="Arial" w:eastAsia="Arial" w:hAnsi="Arial"/>
          <w:sz w:val="18"/>
          <w:szCs w:val="18"/>
          <w:u w:val="single" w:color="auto"/>
          <w:color w:val="auto"/>
        </w:rPr>
        <w:t>Guaranty</w:t>
      </w:r>
      <w:r>
        <w:rPr>
          <w:rFonts w:ascii="Arial" w:cs="Arial" w:eastAsia="Arial" w:hAnsi="Arial"/>
          <w:sz w:val="18"/>
          <w:szCs w:val="18"/>
          <w:color w:val="auto"/>
        </w:rPr>
        <w:t>”) dated as of</w:t>
      </w:r>
      <w:r>
        <w:rPr>
          <w:sz w:val="20"/>
          <w:szCs w:val="20"/>
          <w:color w:val="auto"/>
        </w:rPr>
        <w:tab/>
      </w:r>
      <w:r>
        <w:rPr>
          <w:rFonts w:ascii="Arial" w:cs="Arial" w:eastAsia="Arial" w:hAnsi="Arial"/>
          <w:sz w:val="16"/>
          <w:szCs w:val="16"/>
          <w:color w:val="auto"/>
        </w:rPr>
        <w:t>, 2006 is made by WP Company LLC, a Delaware limited liability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-13970</wp:posOffset>
            </wp:positionV>
            <wp:extent cx="5575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Lenders (as defined below; each of the Lenders being a “</w:t>
      </w:r>
      <w:r>
        <w:rPr>
          <w:rFonts w:ascii="Arial" w:cs="Arial" w:eastAsia="Arial" w:hAnsi="Arial"/>
          <w:sz w:val="18"/>
          <w:szCs w:val="18"/>
          <w:u w:val="single" w:color="auto"/>
          <w:color w:val="auto"/>
        </w:rPr>
        <w:t>Guaranteed Party</w:t>
      </w: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PRELIMINARY STATEMENTS.</w:t>
      </w:r>
    </w:p>
    <w:p>
      <w:pPr>
        <w:spacing w:after="0" w:line="90" w:lineRule="exact"/>
        <w:rPr>
          <w:sz w:val="20"/>
          <w:szCs w:val="20"/>
          <w:color w:val="auto"/>
        </w:rPr>
      </w:pPr>
    </w:p>
    <w:p>
      <w:pPr>
        <w:ind w:right="20" w:firstLine="921"/>
        <w:spacing w:after="0" w:line="256"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Washington Post Company,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is party to a Five Year Credit Agreement dated as of August 8, 2006 (as amended,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capitalized terms defined therein and not otherwise defined herein being used herein as therein defined) with certain lenders party thereto and Citibank, N.A., as Agent for such lenders (the Agent and such lenders are the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right="120" w:firstLine="921"/>
        <w:spacing w:after="0" w:line="268" w:lineRule="auto"/>
        <w:tabs>
          <w:tab w:leader="none" w:pos="10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is a condition precedent to the making of Advances by the Lenders under the Credit Agreement from time to time that the Guarantor shall have executed and delivered this Guaranty.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foregoing, the Guarantor hereby agrees for the benefit of each Guaranteed Party as follows:</w:t>
      </w:r>
    </w:p>
    <w:p>
      <w:pPr>
        <w:spacing w:after="0" w:line="11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Guaranty; Limitation of Liability</w:t>
      </w:r>
      <w:r>
        <w:rPr>
          <w:rFonts w:ascii="Arial" w:cs="Arial" w:eastAsia="Arial" w:hAnsi="Arial"/>
          <w:sz w:val="16"/>
          <w:szCs w:val="16"/>
          <w:color w:val="auto"/>
        </w:rPr>
        <w:t>. (a) The Guarantor hereby absolutely, unconditionally and irrevocably guarantees the punctual payment when due, whether at scheduled maturity or on any date of a required prepayment or by acceleration, demand or otherwise, of the following: all obligations of the Borrower now or hereafter existing under or in respect of the Credit Agreement (including, without limitation, any extensions, modifications, substitutions, amendments or renewals of any or all of the foregoing obligations), whether direct or indirect, absolute or contingent, and whether for principal, interest, premiums, fees, indemnities, contract causes of action, costs, expenses or otherwise (all such obligations being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The Guarantor’s liability shall extend to all amounts that constitute part of the Guaranteed Obligations and would be owed by the Borrower to any Guaranteed Party but for the fact that they are unenforceable or not allowable due to the existence of a bankruptcy, reorganization or similar proceeding involving the Borrower.</w:t>
      </w:r>
    </w:p>
    <w:p>
      <w:pPr>
        <w:spacing w:after="0" w:line="118" w:lineRule="exact"/>
        <w:rPr>
          <w:sz w:val="20"/>
          <w:szCs w:val="20"/>
          <w:color w:val="auto"/>
        </w:rPr>
      </w:pPr>
    </w:p>
    <w:p>
      <w:pPr>
        <w:ind w:firstLine="921"/>
        <w:spacing w:after="0" w:line="290" w:lineRule="auto"/>
        <w:tabs>
          <w:tab w:leader="none" w:pos="11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Guarantor and, by its acceptance of this Guaranty, each Guaranteed Party, hereby confirms that it is the intention of all such Persons that this Guaranty and the obligations of the Guarantor hereunder not constitute a fraudulent transfer or conveyance for purposes of Bankruptcy Law (as hereinafter defined), the Uniform Fraudulent Conveyance Act, the Uniform Fraudulent Transfer Act or any similar foreign, federal or state law to the extent applicable to this Guaranty and the obligations of the Guarantor hereunder. To effectuate the foregoing intention, the Guaranteed Parties and the Guarantor hereby irrevocably agree that the obligations of the Guarantor under this Guaranty at any time shall be limited to the maximum amount as will result in the obligations of the Guarantor under this Guaranty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any proceeding of the type referred to in Section 6.01(f) of the Credit Agreement or Title 11, U.S. Code, or any similar foreign, federal or state law for the relief of debtors.</w:t>
      </w:r>
    </w:p>
    <w:p>
      <w:pPr>
        <w:sectPr>
          <w:pgSz w:w="11900" w:h="16838" w:orient="portrait"/>
          <w:cols w:equalWidth="0" w:num="1">
            <w:col w:w="11420"/>
          </w:cols>
          <w:pgMar w:left="240" w:top="280" w:right="239" w:bottom="1440" w:gutter="0" w:footer="0" w:header="0"/>
        </w:sectPr>
      </w:pPr>
    </w:p>
    <w:bookmarkStart w:id="114" w:name="page115"/>
    <w:bookmarkEnd w:id="114"/>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6"/>
          <w:szCs w:val="16"/>
          <w:u w:val="single" w:color="auto"/>
          <w:color w:val="auto"/>
        </w:rPr>
        <w:t>Character of Guaranty; Waiver of Certain Defenses</w:t>
      </w:r>
      <w:r>
        <w:rPr>
          <w:rFonts w:ascii="Arial" w:cs="Arial" w:eastAsia="Arial" w:hAnsi="Arial"/>
          <w:sz w:val="16"/>
          <w:szCs w:val="16"/>
          <w:color w:val="auto"/>
        </w:rPr>
        <w:t>. The Guarantor guarantees that the Guaranteed Obligations will be paid strictly in accordance with their terms, regardless of any law, regulation or order now or hereafter in effect in any jurisdiction affecting any of such terms or the rights of any Guaranteed Party with respect thereto. The obligations of the Guarantor under or in respect of this Guaranty may be enforced independently of the Guaranteed Obligations or any other obligations of the Borrower under or in respect of the Credit Agreement, and a separate action or actions may be brought and prosecuted against the Guarantor to enforce this Guaranty, irrespective of whether any action is brought against the Borrower or whether the Borrower is joined in any such action or actions. The liability of the Guarantor under this Guaranty shall be irrevocable, absolute and unconditional irrespective of, and the Guarantor hereby irrevocably waives any defenses it may now have or hereafter acquire in any way relating to, any or all of the following:</w:t>
      </w:r>
    </w:p>
    <w:p>
      <w:pPr>
        <w:spacing w:after="0" w:line="37" w:lineRule="exact"/>
        <w:rPr>
          <w:sz w:val="20"/>
          <w:szCs w:val="20"/>
          <w:color w:val="auto"/>
        </w:rPr>
      </w:pPr>
    </w:p>
    <w:p>
      <w:pPr>
        <w:ind w:right="100" w:firstLine="921"/>
        <w:spacing w:after="0" w:line="256"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obligations of the Borrower under or in respect of the Credit Agreement, or any other amendment or waiver of or any consent to departure from the Credit Agreement, including, without limitation, any increase in the Guaranteed Obligations resulting from the extension of additional credit to the Borrower or any of its Subsidiaries or otherwise;</w:t>
      </w:r>
    </w:p>
    <w:p>
      <w:pPr>
        <w:spacing w:after="0" w:line="143"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or any taking, release or amendment or waiver of, or consent to departure from, any other guaranty, for all or any of the Guaranteed Obligations;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structure or existence of the Borrower or any of its Subsidiaries;</w:t>
      </w:r>
    </w:p>
    <w:p>
      <w:pPr>
        <w:spacing w:after="0" w:line="171" w:lineRule="exact"/>
        <w:rPr>
          <w:rFonts w:ascii="Arial" w:cs="Arial" w:eastAsia="Arial" w:hAnsi="Arial"/>
          <w:sz w:val="18"/>
          <w:szCs w:val="18"/>
          <w:color w:val="auto"/>
        </w:rPr>
      </w:pPr>
    </w:p>
    <w:p>
      <w:pPr>
        <w:jc w:val="both"/>
        <w:ind w:right="380" w:firstLine="921"/>
        <w:spacing w:after="0" w:line="259" w:lineRule="auto"/>
        <w:tabs>
          <w:tab w:leader="none" w:pos="11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failure of any Guaranteed Party to disclose to the Guarantor any information relating to the business, condition (financial or otherwise), operations, performance, properties or prospects of the Borrower now or hereafter known to the Borrower (the Guarantor waiving any duty on the part of the Guaranteed Parties to disclose such information); or</w:t>
      </w:r>
    </w:p>
    <w:p>
      <w:pPr>
        <w:spacing w:after="0" w:line="140" w:lineRule="exact"/>
        <w:rPr>
          <w:rFonts w:ascii="Arial" w:cs="Arial" w:eastAsia="Arial" w:hAnsi="Arial"/>
          <w:sz w:val="18"/>
          <w:szCs w:val="18"/>
          <w:color w:val="auto"/>
        </w:rPr>
      </w:pPr>
    </w:p>
    <w:p>
      <w:pPr>
        <w:ind w:right="260" w:firstLine="921"/>
        <w:spacing w:after="0" w:line="268" w:lineRule="auto"/>
        <w:tabs>
          <w:tab w:leader="none" w:pos="11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of any other Person to execute or deliver any other guaranty or agreement or the release or reduction of liability of the Guarantor or other guarantor or surety with respect to the Guaranteed Obligations.</w:t>
      </w:r>
    </w:p>
    <w:p>
      <w:pPr>
        <w:spacing w:after="0" w:line="132"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by the Borrower is rescinded or must otherwise be returned by any Guaranteed Party or any other Person that has acquired such payment from any such Guaranteed Party upon the insolvency, bankruptcy or reorganization of the Borrower, all as though such payment had not been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5" w:name="page116"/>
    <w:bookmarkEnd w:id="115"/>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6"/>
          <w:szCs w:val="16"/>
          <w:u w:val="single" w:color="auto"/>
          <w:color w:val="auto"/>
        </w:rPr>
        <w:t>Waivers and Acknowledgments</w:t>
      </w:r>
      <w:r>
        <w:rPr>
          <w:rFonts w:ascii="Arial" w:cs="Arial" w:eastAsia="Arial" w:hAnsi="Arial"/>
          <w:sz w:val="16"/>
          <w:szCs w:val="16"/>
          <w:color w:val="auto"/>
        </w:rPr>
        <w:t>. (a) The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any Guaranteed Party protect, secure, perfect or insure any lien or security interest or any property subject thereto or exhaust any right or take any action against the Borrower or any other Person or any collateral.</w:t>
      </w:r>
    </w:p>
    <w:p>
      <w:pPr>
        <w:spacing w:after="0" w:line="113" w:lineRule="exact"/>
        <w:rPr>
          <w:sz w:val="20"/>
          <w:szCs w:val="20"/>
          <w:color w:val="auto"/>
        </w:rPr>
      </w:pPr>
    </w:p>
    <w:p>
      <w:pPr>
        <w:ind w:right="460" w:firstLine="921"/>
        <w:spacing w:after="0" w:line="332" w:lineRule="auto"/>
        <w:tabs>
          <w:tab w:leader="none" w:pos="116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waives any right to revoke this Guaranty and acknowledges that, except as provided herein, this Guaranty is continuing in nature and applies to all Guaranteed Obligations, whether existing now or in the future.</w:t>
      </w:r>
    </w:p>
    <w:p>
      <w:pPr>
        <w:spacing w:after="0" w:line="85" w:lineRule="exact"/>
        <w:rPr>
          <w:rFonts w:ascii="Arial" w:cs="Arial" w:eastAsia="Arial" w:hAnsi="Arial"/>
          <w:sz w:val="16"/>
          <w:szCs w:val="16"/>
          <w:color w:val="auto"/>
        </w:rPr>
      </w:pPr>
    </w:p>
    <w:p>
      <w:pPr>
        <w:ind w:right="40" w:firstLine="921"/>
        <w:spacing w:after="0" w:line="298"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Guarantor hereby unconditionally and irrevocably waives (i) any defense arising by reason of any claim or defense based upon an election of remedies by any Guaranteed Party that in any manner impairs, reduces, releases or otherwise adversely affects the subrogation, reimbursement, exoneration, contribution or indemnification rights of the Guarantor or other rights of the Guarantor to proceed against the Borrower, any other guarantor or any other Person or any collateral and (ii) any defense based on any right of set-off or counterclaim against or in respect of the obligations of the Guarantor hereunder.</w:t>
      </w:r>
    </w:p>
    <w:p>
      <w:pPr>
        <w:spacing w:after="0" w:line="112" w:lineRule="exact"/>
        <w:rPr>
          <w:rFonts w:ascii="Arial" w:cs="Arial" w:eastAsia="Arial" w:hAnsi="Arial"/>
          <w:sz w:val="16"/>
          <w:szCs w:val="16"/>
          <w:color w:val="auto"/>
        </w:rPr>
      </w:pPr>
    </w:p>
    <w:p>
      <w:pPr>
        <w:jc w:val="both"/>
        <w:ind w:right="380" w:firstLine="921"/>
        <w:spacing w:after="0" w:line="259" w:lineRule="auto"/>
        <w:tabs>
          <w:tab w:leader="none" w:pos="116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Guarantor hereby unconditionally and irrevocably waives any duty on the part of any Guaranteed Party to disclose to the Guarantor any matter, fact or thing relating to the business, condition (financial or otherwise), operations, performance, properties or prospects of the Borrower or any of its Subsidiaries now or hereafter known by such Guaranteed Party.</w:t>
      </w:r>
    </w:p>
    <w:p>
      <w:pPr>
        <w:spacing w:after="0" w:line="140"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Subrogation</w:t>
      </w:r>
      <w:r>
        <w:rPr>
          <w:rFonts w:ascii="Arial" w:cs="Arial" w:eastAsia="Arial" w:hAnsi="Arial"/>
          <w:sz w:val="16"/>
          <w:szCs w:val="16"/>
          <w:color w:val="auto"/>
        </w:rPr>
        <w:t>. The Guarantor hereby unconditionally and irrevocably agrees not to exercise any rights that it may now have or hereafter acquire against the Borrower, or any other insider guarantor that arise from the existence, payment, performance or enforcement of the Guarantor’s obligations under or in respect of this Guaranty, including, without limitation, any right of subrogation, reimbursement, exoneration, contribution or indemnification and any right to participate in any claim or remedy of any Guaranteed Party against the Borrower or any other insider guarantor or any collateral, whether or not such claim, remedy or right arises in equity or under contract, statute or common law, including, without limitation, the right to take or receive from the Borrower or any other insider guarantor, directly or indirectly, in cash or other property or by set-off or in any other manner, payment or security on account of such claim, remedy or right, unless and until (i) all of the Guaranteed Obligations and all other amounts payable under this Guaranty shall have been paid in full in cash or (ii) this Guaranty is terminated.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6" w:name="page117"/>
    <w:bookmarkEnd w:id="116"/>
    <w:p>
      <w:pPr>
        <w:ind w:right="1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Certain Tax Matters</w:t>
      </w:r>
      <w:r>
        <w:rPr>
          <w:rFonts w:ascii="Arial" w:cs="Arial" w:eastAsia="Arial" w:hAnsi="Arial"/>
          <w:sz w:val="18"/>
          <w:szCs w:val="18"/>
          <w:color w:val="auto"/>
        </w:rPr>
        <w:t xml:space="preserve">. The Guarantor shall satisfy the obligations of Section 2.14 of the Credit Agreement as if such Section was set forth herein in its entirety, </w:t>
      </w:r>
      <w:r>
        <w:rPr>
          <w:rFonts w:ascii="Arial" w:cs="Arial" w:eastAsia="Arial" w:hAnsi="Arial"/>
          <w:sz w:val="18"/>
          <w:szCs w:val="18"/>
          <w:u w:val="single" w:color="auto"/>
          <w:color w:val="auto"/>
        </w:rPr>
        <w:t>mutatis mutandis</w:t>
      </w:r>
      <w:r>
        <w:rPr>
          <w:rFonts w:ascii="Arial" w:cs="Arial" w:eastAsia="Arial" w:hAnsi="Arial"/>
          <w:sz w:val="18"/>
          <w:szCs w:val="18"/>
          <w:color w:val="auto"/>
        </w:rPr>
        <w:t>, solely with respect to the Guaranty of the Credit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Guarantor represents and warrants as follows:</w:t>
      </w:r>
    </w:p>
    <w:p>
      <w:pPr>
        <w:spacing w:after="0" w:line="90" w:lineRule="exact"/>
        <w:rPr>
          <w:sz w:val="20"/>
          <w:szCs w:val="20"/>
          <w:color w:val="auto"/>
        </w:rPr>
      </w:pPr>
    </w:p>
    <w:p>
      <w:pPr>
        <w:ind w:left="1160" w:hanging="239"/>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Guarantor is a limited liability company duly formed, validly existing and in good standing under the laws of the State of Delaware.</w:t>
      </w:r>
    </w:p>
    <w:p>
      <w:pPr>
        <w:spacing w:after="0" w:line="194"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execution, delivery and performance by the Guarantor of this Guaranty, and the consummation of the transactions contemplated hereby, are within the Guarantor’s powers as a Delaware limited liability company, have been duly authorized by all necessary action on the part of the Guarantor’s Board of Directors, and do not contravene (i) the Guarantor’s limited liability company agreement or (ii) law or any contractual restriction binding on or affecting the Guarantor.</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or regulatory body or any other third party is required for the due execution, delivery and performance by the Guarantor of this Guaranty.</w:t>
      </w:r>
    </w:p>
    <w:p>
      <w:pPr>
        <w:spacing w:after="0" w:line="131" w:lineRule="exact"/>
        <w:rPr>
          <w:rFonts w:ascii="Arial" w:cs="Arial" w:eastAsia="Arial" w:hAnsi="Arial"/>
          <w:sz w:val="18"/>
          <w:szCs w:val="18"/>
          <w:color w:val="auto"/>
        </w:rPr>
      </w:pPr>
    </w:p>
    <w:p>
      <w:pPr>
        <w:ind w:right="160" w:firstLine="921"/>
        <w:spacing w:after="0" w:line="268" w:lineRule="auto"/>
        <w:tabs>
          <w:tab w:leader="none" w:pos="116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Guaranty has been duly executed and delivered by the Guarantor. This Guaranty is the legal, valid and binding obligation of the Guarantor enforceable against the Guarantor in accordance with its terms.</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Guarantor is not an “investment company” within the meaning of the Investment Company Act of 1940, as amended.</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There are no conditions precedent to the effectiveness of this Guaranty that have not been satisfied or waived, including the completion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Restructuring.</w:t>
      </w:r>
    </w:p>
    <w:p>
      <w:pPr>
        <w:spacing w:after="0" w:line="165"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Amendments</w:t>
      </w:r>
      <w:r>
        <w:rPr>
          <w:rFonts w:ascii="Arial" w:cs="Arial" w:eastAsia="Arial" w:hAnsi="Arial"/>
          <w:sz w:val="16"/>
          <w:szCs w:val="16"/>
          <w:color w:val="auto"/>
        </w:rPr>
        <w:t>. No amendment or waiver of any provision of this Guaranty and no consent to any departure by the Guarantor therefrom shall in any event be effective unless the same shall be in writing and signed by the Guarantor and Citibank, N.A., as Agent for the Lenders, and then such waiver or consent shall be effective only in the specific instance and for the specific purpose for which given.</w:t>
      </w:r>
    </w:p>
    <w:p>
      <w:pPr>
        <w:spacing w:after="0" w:line="10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Termination of Guaranty</w:t>
      </w:r>
      <w:r>
        <w:rPr>
          <w:rFonts w:ascii="Arial" w:cs="Arial" w:eastAsia="Arial" w:hAnsi="Arial"/>
          <w:sz w:val="16"/>
          <w:szCs w:val="16"/>
          <w:color w:val="auto"/>
        </w:rPr>
        <w:t>. Notwithstanding anything to the contrary herein, at such time as (i) the 5.50% Notes due February 15, 2009 issued by the Borrower pursuant to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February 17, 1999, with the JPMorgan Chase Bank, N.A. (successor to The First National Bank of Chicago), as trustee, cease to be outstanding or are no longer entitled to the benefits of this Guaranty or of any similar guaranty and (ii) no other debt securities issued under the Indenture are outstanding which are entitled to the benefits of any guaranty similar to this Guaranty, this Guaranty shall be terminated without any further action on the part of the Guarantor or any Guaranteed Party.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7" w:name="page118"/>
    <w:bookmarkEnd w:id="117"/>
    <w:p>
      <w:pPr>
        <w:ind w:right="2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All notices and other communications provided for hereunder shall be in writing (including telecopy communication) and mailed, telecopied or delivered to it,</w:t>
      </w:r>
    </w:p>
    <w:p>
      <w:pPr>
        <w:spacing w:after="0" w:line="132" w:lineRule="exact"/>
        <w:rPr>
          <w:sz w:val="20"/>
          <w:szCs w:val="20"/>
          <w:color w:val="auto"/>
        </w:rPr>
      </w:pPr>
    </w:p>
    <w:p>
      <w:pPr>
        <w:ind w:left="1160" w:hanging="239"/>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to the Guarantor, addressed to it at 1150 15th Street, N.W., Washington, D.C. 20071, Attention: Treasurer,</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to the Agent or any Lender, at the address of the Agent at Two Penns Way, New Castle, Delaware 19720, Attention: Bank Loan Syndications,</w:t>
      </w:r>
    </w:p>
    <w:p>
      <w:pPr>
        <w:spacing w:after="0" w:line="194"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or, as to any party, at such other address as shall be designated by such party in a written notice to each other party. All such notices and other communications shall, when mailed or telecopied, be effective when deposited in the mails or transmitted by telecopier, respectively. Delivery by telecopier of an executed counterpart of a signature page to any amendment or waiver of any provision of this Guaranty to be executed and delivered hereunder shall be effective as delivery of an original executed counterpart thereof.</w:t>
      </w:r>
    </w:p>
    <w:p>
      <w:pPr>
        <w:spacing w:after="0" w:line="143"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any Guaranteed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(a) The Guarantor agrees to pay on demand all reasonable out-of-pocket costs and expenses of any Guaranteed Party, if any (including, without limitation, reasonable counsel fees and expenses) in connection with the enforcement (whether through negotiations, legal proceedings or otherwise) of this Guaranty, including, without limitation, reasonable fees and expenses of counsel for any such Guaranteed Party in connection with the enforcement of rights under this Section 11.</w:t>
      </w:r>
    </w:p>
    <w:p>
      <w:pPr>
        <w:spacing w:after="0" w:line="143" w:lineRule="exact"/>
        <w:rPr>
          <w:sz w:val="20"/>
          <w:szCs w:val="20"/>
          <w:color w:val="auto"/>
        </w:rPr>
      </w:pPr>
    </w:p>
    <w:p>
      <w:pPr>
        <w:ind w:right="80" w:firstLine="921"/>
        <w:spacing w:after="0" w:line="259"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prejudice to the survival of any of the other agreements of the Guarantor under this Guaranty, the agreements and obligations of the Guarantor contained in the last sentence of Section 2, Section 5 and this Section 11 shall survive the payment in full of the Guaranteed Obligations and all of the other amounts payable under this Guaranty.</w:t>
      </w:r>
    </w:p>
    <w:p>
      <w:pPr>
        <w:spacing w:after="0" w:line="140"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Continuing Guaranty; Assignments under the Credit Agreement</w:t>
      </w:r>
      <w:r>
        <w:rPr>
          <w:rFonts w:ascii="Arial" w:cs="Arial" w:eastAsia="Arial" w:hAnsi="Arial"/>
          <w:sz w:val="15"/>
          <w:szCs w:val="15"/>
          <w:color w:val="auto"/>
        </w:rPr>
        <w:t>. This Guaranty is a continuing guaranty and shall (a) except as provided in Section 8 above, remain in full force and effect until the later of (i) the payment in full in cash of the Guaranteed Obligations and all other amounts payable under this Guaranty arising under or in respect of the Credit Agreement and (ii) the termination or expiration of the Credit Agreement, (b) be binding upon the Guarantor, its successors and assigns and (c) inure to the benefit of and be enforceable by the Guaranteed Parties and their successors, transferees and assigns. Without limiting the generality of clause (c) of the immediately preceding sentence, any Lender may assign or otherwise transfer all or any portion of its rights and obligations under the Credit Agreement (including, without limitation, all or any portion of its commitment, the advances owing to it and the note or notes held by it) to any other Person, and such other Person shall thereupon become vested with all the benefits in respect thereof granted to such Guaranteed Party herein. The Guarantor shall not have the right to assign its rights hereunder or any interest herein without the prior written consent of the Guaranteed Parties.</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18" w:name="page119"/>
    <w:bookmarkEnd w:id="1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u w:val="single" w:color="auto"/>
          <w:color w:val="auto"/>
        </w:rPr>
        <w:t>Governing Law; Jurisdiction; Waiver of Jury Trial, Etc</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Guaranty shall be governed by, and construed in accordance with, the laws of the State of New York.</w:t>
      </w:r>
    </w:p>
    <w:p>
      <w:pPr>
        <w:spacing w:after="0" w:line="171" w:lineRule="exact"/>
        <w:rPr>
          <w:rFonts w:ascii="Arial" w:cs="Arial" w:eastAsia="Arial" w:hAnsi="Arial"/>
          <w:sz w:val="18"/>
          <w:szCs w:val="18"/>
          <w:color w:val="auto"/>
        </w:rPr>
      </w:pPr>
    </w:p>
    <w:p>
      <w:pPr>
        <w:ind w:firstLine="921"/>
        <w:spacing w:after="0" w:line="290" w:lineRule="auto"/>
        <w:tabs>
          <w:tab w:leader="none" w:pos="116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Guarantor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Guaranty, or for recognition or enforcement of any judgment, and the Guarantor hereby irrevocably and unconditionally agrees that all claims in respect of any such action or proceeding may be heard and determined in any such New York State court or, to the extent permitted by law, in such federal court. The Guarantor agrees that a final judgment in any such action or proceeding shall be conclusive and may be enforced in other jurisdictions by suit on the judgment or in any other manner provided by law. Nothing in this Guaranty shall affect any right that any party may otherwise have to bring any action or proceeding relating to this Guaranty in the courts of any jurisdiction.</w:t>
      </w:r>
    </w:p>
    <w:p>
      <w:pPr>
        <w:spacing w:after="0" w:line="118" w:lineRule="exact"/>
        <w:rPr>
          <w:rFonts w:ascii="Arial" w:cs="Arial" w:eastAsia="Arial" w:hAnsi="Arial"/>
          <w:sz w:val="16"/>
          <w:szCs w:val="16"/>
          <w:color w:val="auto"/>
        </w:rPr>
      </w:pPr>
    </w:p>
    <w:p>
      <w:pPr>
        <w:ind w:right="60" w:firstLine="921"/>
        <w:spacing w:after="0" w:line="256" w:lineRule="auto"/>
        <w:tabs>
          <w:tab w:leader="none" w:pos="11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Guarantor irrevocably and unconditionally waives, to the fullest extent it may legally and effectively do so, any objection that it may now or hereafter have to the laying of venue of any suit, action or proceeding arising out of or relating to this Guaranty in any New York State or federal court. The Guarantor hereby irrevocably waives, to the fullest extent permitted by law, the defense of an inconvenient forum to the maintenance of such suit, action or proceeding in any such court.</w:t>
      </w:r>
    </w:p>
    <w:p>
      <w:pPr>
        <w:spacing w:after="0" w:line="143"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GUARANTOR HEREBY IRREVOCABLY WAIVES ALL RIGHT TO TRIAL BY JURY IN ANY ACTION, PROCEEDING OR COUNTERCLAIM (WHETHER BASED ON CONTRACT, TORT OR OTHERWISE) ARISING OUT OF OR RELATING TO THIS GUARANTY OR THE ACTIONS OF ANY GUARANTEED PARTY IN THE NEGOTIATION, ADMINISTRATION, PERFORMANCE OR ENFORCEMENT HEREOF.</w:t>
      </w:r>
    </w:p>
    <w:p>
      <w:pPr>
        <w:spacing w:after="0" w:line="10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IN WITNESS WHEREOF, the Guarantor has caused this Guaranty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WP COMPANY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2540</wp:posOffset>
            </wp:positionV>
            <wp:extent cx="25730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Exhibit 11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140" w:type="dxa"/>
            <w:vAlign w:val="bottom"/>
          </w:tcPr>
          <w:p>
            <w:pPr>
              <w:jc w:val="center"/>
              <w:ind w:left="3152"/>
              <w:spacing w:after="0"/>
              <w:rPr>
                <w:sz w:val="20"/>
                <w:szCs w:val="20"/>
                <w:color w:val="auto"/>
              </w:rPr>
            </w:pPr>
            <w:r>
              <w:rPr>
                <w:rFonts w:ascii="Arial" w:cs="Arial" w:eastAsia="Arial" w:hAnsi="Arial"/>
                <w:sz w:val="18"/>
                <w:szCs w:val="18"/>
                <w:color w:val="auto"/>
                <w:w w:val="93"/>
              </w:rPr>
              <w:t>THE WASHINGTON POST COMPANY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140" w:type="dxa"/>
            <w:vAlign w:val="bottom"/>
          </w:tcPr>
          <w:p>
            <w:pPr>
              <w:jc w:val="center"/>
              <w:ind w:left="3152"/>
              <w:spacing w:after="0"/>
              <w:rPr>
                <w:sz w:val="20"/>
                <w:szCs w:val="20"/>
                <w:color w:val="auto"/>
              </w:rPr>
            </w:pPr>
            <w:r>
              <w:rPr>
                <w:rFonts w:ascii="Arial" w:cs="Arial" w:eastAsia="Arial" w:hAnsi="Arial"/>
                <w:sz w:val="18"/>
                <w:szCs w:val="18"/>
                <w:color w:val="auto"/>
                <w:w w:val="94"/>
              </w:rPr>
              <w:t>CALCULATION OF EARNINGS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jc w:val="center"/>
              <w:ind w:left="3172"/>
              <w:spacing w:after="0"/>
              <w:rPr>
                <w:sz w:val="20"/>
                <w:szCs w:val="20"/>
                <w:color w:val="auto"/>
              </w:rPr>
            </w:pPr>
            <w:r>
              <w:rPr>
                <w:rFonts w:ascii="Arial" w:cs="Arial" w:eastAsia="Arial" w:hAnsi="Arial"/>
                <w:sz w:val="18"/>
                <w:szCs w:val="18"/>
                <w:color w:val="auto"/>
                <w:w w:val="92"/>
              </w:rPr>
              <w:t>PER SHARE OF COMMON STOCK</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jc w:val="center"/>
              <w:ind w:left="3172"/>
              <w:spacing w:after="0"/>
              <w:rPr>
                <w:sz w:val="20"/>
                <w:szCs w:val="20"/>
                <w:color w:val="auto"/>
              </w:rPr>
            </w:pPr>
            <w:r>
              <w:rPr>
                <w:rFonts w:ascii="Arial" w:cs="Arial" w:eastAsia="Arial" w:hAnsi="Arial"/>
                <w:sz w:val="18"/>
                <w:szCs w:val="18"/>
                <w:color w:val="auto"/>
                <w:w w:val="86"/>
              </w:rPr>
              <w:t>(In thousands of shares)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Thirteen Weeks Ended</w:t>
            </w:r>
          </w:p>
        </w:tc>
        <w:tc>
          <w:tcPr>
            <w:tcW w:w="220" w:type="dxa"/>
            <w:vAlign w:val="bottom"/>
          </w:tcPr>
          <w:p>
            <w:pPr>
              <w:spacing w:after="0"/>
              <w:rPr>
                <w:sz w:val="24"/>
                <w:szCs w:val="24"/>
                <w:color w:val="auto"/>
              </w:rPr>
            </w:pPr>
          </w:p>
        </w:tc>
        <w:tc>
          <w:tcPr>
            <w:tcW w:w="15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7"/>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7"/>
              </w:rPr>
              <w:t>July 2,</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91"/>
              </w:rPr>
              <w:t>July 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July 2,</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6"/>
              </w:rPr>
              <w:t>July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Issuance of shares of Class B common stock (weighted)</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Adjustment to reflect dilution from common stock and restricted stock equivalents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78,499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78,510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154,882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144,610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9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9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2006</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9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2006</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2, 2006 (the “Report”), I, Donald E. Graham, Chief Executive Officer (principal executive officer) of the Company, certify, pursuant to 18 U.S.C. Section 1350, as adopted pursuant to Section 906 of the Sarbanes-Oxley Act of 2002, that:</w:t>
      </w:r>
    </w:p>
    <w:p>
      <w:pPr>
        <w:spacing w:after="0" w:line="59"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2006</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July 2, 2006 (the “Report”), I, John B. Morse, Jr., Vice President-Finance (principal financial officer) of the Company, certify, pursuant to 18 U.S.C. Section 1350, as adopted pursuant to Section 906 of the Sarbanes-Oxley Act of 2002, that:</w:t>
      </w:r>
    </w:p>
    <w:p>
      <w:pPr>
        <w:spacing w:after="0" w:line="59" w:lineRule="exact"/>
        <w:rPr>
          <w:sz w:val="20"/>
          <w:szCs w:val="20"/>
          <w:color w:val="auto"/>
        </w:rPr>
      </w:pPr>
    </w:p>
    <w:p>
      <w:pPr>
        <w:ind w:left="260" w:hanging="252"/>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9,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lowerLetter"/>
      <w:start w:val="1"/>
    </w:lvl>
  </w:abstractNum>
  <w:abstractNum w:abstractNumId="9">
    <w:nsid w:val="75C6C33A"/>
    <w:multiLevelType w:val="hybridMultilevel"/>
    <w:lvl w:ilvl="0">
      <w:lvlJc w:val="left"/>
      <w:lvlText w:val="(%1)"/>
      <w:numFmt w:val="lowerRoman"/>
      <w:start w:val="2"/>
    </w:lvl>
  </w:abstractNum>
  <w:abstractNum w:abstractNumId="10">
    <w:nsid w:val="12E685FB"/>
    <w:multiLevelType w:val="hybridMultilevel"/>
    <w:lvl w:ilvl="0">
      <w:lvlJc w:val="left"/>
      <w:lvlText w:val="(%1)"/>
      <w:numFmt w:val="lowerRoman"/>
      <w:start w:val="1"/>
    </w:lvl>
  </w:abstractNum>
  <w:abstractNum w:abstractNumId="11">
    <w:nsid w:val="70C6A529"/>
    <w:multiLevelType w:val="hybridMultilevel"/>
    <w:lvl w:ilvl="0">
      <w:lvlJc w:val="left"/>
      <w:lvlText w:val="(%1)"/>
      <w:numFmt w:val="lowerRoman"/>
      <w:start w:val="3"/>
    </w:lvl>
  </w:abstractNum>
  <w:abstractNum w:abstractNumId="12">
    <w:nsid w:val="520EEDD1"/>
    <w:multiLevelType w:val="hybridMultilevel"/>
    <w:lvl w:ilvl="0">
      <w:lvlJc w:val="left"/>
      <w:lvlText w:val="(%1)"/>
      <w:numFmt w:val="lowerRoman"/>
      <w:start w:val="1"/>
    </w:lvl>
  </w:abstractNum>
  <w:abstractNum w:abstractNumId="13">
    <w:nsid w:val="374A3FE6"/>
    <w:multiLevelType w:val="hybridMultilevel"/>
    <w:lvl w:ilvl="0">
      <w:lvlJc w:val="left"/>
      <w:lvlText w:val="(%1)"/>
      <w:numFmt w:val="lowerLetter"/>
      <w:start w:val="1"/>
    </w:lvl>
  </w:abstractNum>
  <w:abstractNum w:abstractNumId="14">
    <w:nsid w:val="4F4EF005"/>
    <w:multiLevelType w:val="hybridMultilevel"/>
    <w:lvl w:ilvl="0">
      <w:lvlJc w:val="left"/>
      <w:lvlText w:val="(%1)"/>
      <w:numFmt w:val="lowerLetter"/>
      <w:start w:val="3"/>
    </w:lvl>
  </w:abstractNum>
  <w:abstractNum w:abstractNumId="15">
    <w:nsid w:val="23F9C13C"/>
    <w:multiLevelType w:val="hybridMultilevel"/>
    <w:lvl w:ilvl="0">
      <w:lvlJc w:val="left"/>
      <w:lvlText w:val="(%1)"/>
      <w:numFmt w:val="lowerLetter"/>
      <w:start w:val="2"/>
    </w:lvl>
  </w:abstractNum>
  <w:abstractNum w:abstractNumId="16">
    <w:nsid w:val="649BB77C"/>
    <w:multiLevelType w:val="hybridMultilevel"/>
    <w:lvl w:ilvl="0">
      <w:lvlJc w:val="left"/>
      <w:lvlText w:val="(%1)"/>
      <w:numFmt w:val="lowerLetter"/>
      <w:start w:val="5"/>
    </w:lvl>
  </w:abstractNum>
  <w:abstractNum w:abstractNumId="17">
    <w:nsid w:val="275AC794"/>
    <w:multiLevelType w:val="hybridMultilevel"/>
    <w:lvl w:ilvl="0">
      <w:lvlJc w:val="left"/>
      <w:lvlText w:val="%1"/>
      <w:numFmt w:val="lowerLetter"/>
      <w:start w:val="1"/>
    </w:lvl>
    <w:lvl w:ilvl="1">
      <w:lvlJc w:val="left"/>
      <w:lvlText w:val="(%2)"/>
      <w:numFmt w:val="lowerLetter"/>
      <w:start w:val="9"/>
    </w:lvl>
  </w:abstractNum>
  <w:abstractNum w:abstractNumId="18">
    <w:nsid w:val="39386575"/>
    <w:multiLevelType w:val="hybridMultilevel"/>
    <w:lvl w:ilvl="0">
      <w:lvlJc w:val="left"/>
      <w:lvlText w:val="(%1)"/>
      <w:numFmt w:val="lowerLetter"/>
      <w:start w:val="21"/>
    </w:lvl>
    <w:lvl w:ilvl="1">
      <w:lvlJc w:val="left"/>
      <w:lvlText w:val="%2"/>
      <w:numFmt w:val="lowerLetter"/>
      <w:start w:val="1"/>
    </w:lvl>
  </w:abstractNum>
  <w:abstractNum w:abstractNumId="19">
    <w:nsid w:val="1CF10FD8"/>
    <w:multiLevelType w:val="hybridMultilevel"/>
    <w:lvl w:ilvl="0">
      <w:lvlJc w:val="left"/>
      <w:lvlText w:val="(%1)"/>
      <w:numFmt w:val="lowerRoman"/>
      <w:start w:val="2"/>
    </w:lvl>
    <w:lvl w:ilvl="1">
      <w:lvlJc w:val="left"/>
      <w:lvlText w:val="(%2)"/>
      <w:numFmt w:val="lowerLetter"/>
      <w:start w:val="24"/>
    </w:lvl>
  </w:abstractNum>
  <w:abstractNum w:abstractNumId="20">
    <w:nsid w:val="180115BE"/>
    <w:multiLevelType w:val="hybridMultilevel"/>
    <w:lvl w:ilvl="0">
      <w:lvlJc w:val="left"/>
      <w:lvlText w:val="(%1)"/>
      <w:numFmt w:val="lowerRoman"/>
      <w:start w:val="4"/>
    </w:lvl>
  </w:abstractNum>
  <w:abstractNum w:abstractNumId="21">
    <w:nsid w:val="235BA861"/>
    <w:multiLevelType w:val="hybridMultilevel"/>
    <w:lvl w:ilvl="0">
      <w:lvlJc w:val="left"/>
      <w:lvlText w:val="(%1)"/>
      <w:numFmt w:val="lowerLetter"/>
      <w:start w:val="2"/>
    </w:lvl>
  </w:abstractNum>
  <w:abstractNum w:abstractNumId="22">
    <w:nsid w:val="47398C89"/>
    <w:multiLevelType w:val="hybridMultilevel"/>
    <w:lvl w:ilvl="0">
      <w:lvlJc w:val="left"/>
      <w:lvlText w:val="(%1)"/>
      <w:numFmt w:val="lowerLetter"/>
      <w:start w:val="2"/>
    </w:lvl>
  </w:abstractNum>
  <w:abstractNum w:abstractNumId="23">
    <w:nsid w:val="354FE9F9"/>
    <w:multiLevelType w:val="hybridMultilevel"/>
    <w:lvl w:ilvl="0">
      <w:lvlJc w:val="left"/>
      <w:lvlText w:val="%1"/>
      <w:numFmt w:val="decimal"/>
      <w:start w:val="1"/>
    </w:lvl>
    <w:lvl w:ilvl="1">
      <w:lvlJc w:val="left"/>
      <w:lvlText w:val="(%2)"/>
      <w:numFmt w:val="lowerLetter"/>
      <w:start w:val="24"/>
    </w:lvl>
  </w:abstractNum>
  <w:abstractNum w:abstractNumId="24">
    <w:nsid w:val="15B5AF5C"/>
    <w:multiLevelType w:val="hybridMultilevel"/>
    <w:lvl w:ilvl="0">
      <w:lvlJc w:val="left"/>
      <w:lvlText w:val="(%1)"/>
      <w:numFmt w:val="decimal"/>
      <w:start w:val="2"/>
    </w:lvl>
    <w:lvl w:ilvl="1">
      <w:lvlJc w:val="left"/>
      <w:lvlText w:val="(%2)"/>
      <w:numFmt w:val="lowerLetter"/>
      <w:start w:val="25"/>
    </w:lvl>
  </w:abstractNum>
  <w:abstractNum w:abstractNumId="25">
    <w:nsid w:val="741226BB"/>
    <w:multiLevelType w:val="hybridMultilevel"/>
    <w:lvl w:ilvl="0">
      <w:lvlJc w:val="left"/>
      <w:lvlText w:val="(%1)"/>
      <w:numFmt w:val="lowerRoman"/>
      <w:start w:val="2"/>
    </w:lvl>
  </w:abstractNum>
  <w:abstractNum w:abstractNumId="26">
    <w:nsid w:val="D34B6A8"/>
    <w:multiLevelType w:val="hybridMultilevel"/>
    <w:lvl w:ilvl="0">
      <w:lvlJc w:val="left"/>
      <w:lvlText w:val="(%1)"/>
      <w:numFmt w:val="lowerRoman"/>
      <w:start w:val="3"/>
    </w:lvl>
  </w:abstractNum>
  <w:abstractNum w:abstractNumId="27">
    <w:nsid w:val="10233C99"/>
    <w:multiLevelType w:val="hybridMultilevel"/>
    <w:lvl w:ilvl="0">
      <w:lvlJc w:val="left"/>
      <w:lvlText w:val="(%1)"/>
      <w:numFmt w:val="lowerRoman"/>
      <w:start w:val="1"/>
    </w:lvl>
  </w:abstractNum>
  <w:abstractNum w:abstractNumId="28">
    <w:nsid w:val="3F6AB60F"/>
    <w:multiLevelType w:val="hybridMultilevel"/>
    <w:lvl w:ilvl="0">
      <w:lvlJc w:val="left"/>
      <w:lvlText w:val="(%1)"/>
      <w:numFmt w:val="lowerLetter"/>
      <w:start w:val="2"/>
    </w:lvl>
  </w:abstractNum>
  <w:abstractNum w:abstractNumId="29">
    <w:nsid w:val="61574095"/>
    <w:multiLevelType w:val="hybridMultilevel"/>
    <w:lvl w:ilvl="0">
      <w:lvlJc w:val="left"/>
      <w:lvlText w:val="(%1)"/>
      <w:numFmt w:val="lowerLetter"/>
      <w:start w:val="2"/>
    </w:lvl>
  </w:abstractNum>
  <w:abstractNum w:abstractNumId="30">
    <w:nsid w:val="7E0C57B1"/>
    <w:multiLevelType w:val="hybridMultilevel"/>
    <w:lvl w:ilvl="0">
      <w:lvlJc w:val="left"/>
      <w:lvlText w:val="(%1)"/>
      <w:numFmt w:val="lowerRoman"/>
      <w:start w:val="1"/>
    </w:lvl>
  </w:abstractNum>
  <w:abstractNum w:abstractNumId="31">
    <w:nsid w:val="77AE35EB"/>
    <w:multiLevelType w:val="hybridMultilevel"/>
    <w:lvl w:ilvl="0">
      <w:lvlJc w:val="left"/>
      <w:lvlText w:val="(%1)"/>
      <w:numFmt w:val="lowerLetter"/>
      <w:start w:val="2"/>
    </w:lvl>
  </w:abstractNum>
  <w:abstractNum w:abstractNumId="32">
    <w:nsid w:val="579BE4F1"/>
    <w:multiLevelType w:val="hybridMultilevel"/>
    <w:lvl w:ilvl="0">
      <w:lvlJc w:val="left"/>
      <w:lvlText w:val="(%1)"/>
      <w:numFmt w:val="lowerLetter"/>
      <w:start w:val="2"/>
    </w:lvl>
  </w:abstractNum>
  <w:abstractNum w:abstractNumId="33">
    <w:nsid w:val="310C50B3"/>
    <w:multiLevelType w:val="hybridMultilevel"/>
    <w:lvl w:ilvl="0">
      <w:lvlJc w:val="left"/>
      <w:lvlText w:val="(%1)"/>
      <w:numFmt w:val="lowerLetter"/>
      <w:start w:val="2"/>
    </w:lvl>
  </w:abstractNum>
  <w:abstractNum w:abstractNumId="34">
    <w:nsid w:val="5FF87E05"/>
    <w:multiLevelType w:val="hybridMultilevel"/>
    <w:lvl w:ilvl="0">
      <w:lvlJc w:val="left"/>
      <w:lvlText w:val="(%1)"/>
      <w:numFmt w:val="lowerLetter"/>
      <w:start w:val="2"/>
    </w:lvl>
  </w:abstractNum>
  <w:abstractNum w:abstractNumId="35">
    <w:nsid w:val="2F305DEF"/>
    <w:multiLevelType w:val="hybridMultilevel"/>
    <w:lvl w:ilvl="0">
      <w:lvlJc w:val="left"/>
      <w:lvlText w:val="(%1)"/>
      <w:numFmt w:val="lowerLetter"/>
      <w:start w:val="5"/>
    </w:lvl>
  </w:abstractNum>
  <w:abstractNum w:abstractNumId="36">
    <w:nsid w:val="25A70BF7"/>
    <w:multiLevelType w:val="hybridMultilevel"/>
    <w:lvl w:ilvl="0">
      <w:lvlJc w:val="left"/>
      <w:lvlText w:val="(%1)"/>
      <w:numFmt w:val="lowerLetter"/>
      <w:start w:val="2"/>
    </w:lvl>
  </w:abstractNum>
  <w:abstractNum w:abstractNumId="37">
    <w:nsid w:val="1DBABF00"/>
    <w:multiLevelType w:val="hybridMultilevel"/>
    <w:lvl w:ilvl="0">
      <w:lvlJc w:val="left"/>
      <w:lvlText w:val="%1"/>
      <w:numFmt w:val="lowerRoman"/>
      <w:start w:val="1"/>
    </w:lvl>
    <w:lvl w:ilvl="1">
      <w:lvlJc w:val="left"/>
      <w:lvlText w:val="(%2)"/>
      <w:numFmt w:val="lowerLetter"/>
      <w:start w:val="3"/>
    </w:lvl>
  </w:abstractNum>
  <w:abstractNum w:abstractNumId="38">
    <w:nsid w:val="4AD084E9"/>
    <w:multiLevelType w:val="hybridMultilevel"/>
    <w:lvl w:ilvl="0">
      <w:lvlJc w:val="left"/>
      <w:lvlText w:val="(%1)"/>
      <w:numFmt w:val="lowerRoman"/>
      <w:start w:val="1"/>
    </w:lvl>
    <w:lvl w:ilvl="1">
      <w:lvlJc w:val="left"/>
      <w:lvlText w:val="%2"/>
      <w:numFmt w:val="lowerLetter"/>
      <w:start w:val="1"/>
    </w:lvl>
  </w:abstractNum>
  <w:abstractNum w:abstractNumId="39">
    <w:nsid w:val="1F48EAA1"/>
    <w:multiLevelType w:val="hybridMultilevel"/>
    <w:lvl w:ilvl="0">
      <w:lvlJc w:val="left"/>
      <w:lvlText w:val="(%1)"/>
      <w:numFmt w:val="lowerLetter"/>
      <w:start w:val="4"/>
    </w:lvl>
  </w:abstractNum>
  <w:abstractNum w:abstractNumId="40">
    <w:nsid w:val="1381823A"/>
    <w:multiLevelType w:val="hybridMultilevel"/>
    <w:lvl w:ilvl="0">
      <w:lvlJc w:val="left"/>
      <w:lvlText w:val="(%1)"/>
      <w:numFmt w:val="lowerLetter"/>
      <w:start w:val="1"/>
    </w:lvl>
    <w:lvl w:ilvl="1">
      <w:lvlJc w:val="left"/>
      <w:lvlText w:val="(%2)"/>
      <w:numFmt w:val="lowerRoman"/>
      <w:start w:val="1"/>
    </w:lvl>
  </w:abstractNum>
  <w:abstractNum w:abstractNumId="41">
    <w:nsid w:val="5DB70AE5"/>
    <w:multiLevelType w:val="hybridMultilevel"/>
    <w:lvl w:ilvl="0">
      <w:lvlJc w:val="left"/>
      <w:lvlText w:val="(%1)"/>
      <w:numFmt w:val="lowerLetter"/>
      <w:start w:val="3"/>
    </w:lvl>
    <w:lvl w:ilvl="1">
      <w:lvlJc w:val="left"/>
      <w:lvlText w:val="(%2)"/>
      <w:numFmt w:val="lowerRoman"/>
      <w:start w:val="1"/>
    </w:lvl>
  </w:abstractNum>
  <w:abstractNum w:abstractNumId="42">
    <w:nsid w:val="100F8FCA"/>
    <w:multiLevelType w:val="hybridMultilevel"/>
    <w:lvl w:ilvl="0">
      <w:lvlJc w:val="left"/>
      <w:lvlText w:val="%1"/>
      <w:numFmt w:val="lowerLetter"/>
      <w:start w:val="1"/>
    </w:lvl>
    <w:lvl w:ilvl="1">
      <w:lvlJc w:val="left"/>
      <w:lvlText w:val="(%2)"/>
      <w:numFmt w:val="lowerRoman"/>
      <w:start w:val="5"/>
    </w:lvl>
  </w:abstractNum>
  <w:abstractNum w:abstractNumId="43">
    <w:nsid w:val="6590700B"/>
    <w:multiLevelType w:val="hybridMultilevel"/>
    <w:lvl w:ilvl="0">
      <w:lvlJc w:val="left"/>
      <w:lvlText w:val="(%1)"/>
      <w:numFmt w:val="lowerLetter"/>
      <w:start w:val="4"/>
    </w:lvl>
    <w:lvl w:ilvl="1">
      <w:lvlJc w:val="left"/>
      <w:lvlText w:val="%2"/>
      <w:numFmt w:val="lowerRoman"/>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2"/>
    </w:lvl>
  </w:abstractNum>
  <w:abstractNum w:abstractNumId="47">
    <w:nsid w:val="799D0247"/>
    <w:multiLevelType w:val="hybridMultilevel"/>
    <w:lvl w:ilvl="0">
      <w:lvlJc w:val="left"/>
      <w:lvlText w:val="%1"/>
      <w:numFmt w:val="lowerLetter"/>
      <w:start w:val="1"/>
    </w:lvl>
    <w:lvl w:ilvl="1">
      <w:lvlJc w:val="left"/>
      <w:lvlText w:val="(%2)"/>
      <w:numFmt w:val="lowerLetter"/>
      <w:start w:val="1"/>
    </w:lvl>
  </w:abstractNum>
  <w:abstractNum w:abstractNumId="48">
    <w:nsid w:val="6B94764"/>
    <w:multiLevelType w:val="hybridMultilevel"/>
    <w:lvl w:ilvl="0">
      <w:lvlJc w:val="left"/>
      <w:lvlText w:val="(%1)"/>
      <w:numFmt w:val="lowerLetter"/>
      <w:start w:val="9"/>
    </w:lvl>
    <w:lvl w:ilvl="1">
      <w:lvlJc w:val="left"/>
      <w:lvlText w:val="(%2)"/>
      <w:numFmt w:val="lowerLetter"/>
      <w:start w:val="3"/>
    </w:lvl>
  </w:abstractNum>
  <w:abstractNum w:abstractNumId="49">
    <w:nsid w:val="42C296BD"/>
    <w:multiLevelType w:val="hybridMultilevel"/>
    <w:lvl w:ilvl="0">
      <w:lvlJc w:val="left"/>
      <w:lvlText w:val="(%1)"/>
      <w:numFmt w:val="lowerLetter"/>
      <w:start w:val="6"/>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Letter"/>
      <w:start w:val="2"/>
    </w:lvl>
  </w:abstractNum>
  <w:abstractNum w:abstractNumId="52">
    <w:nsid w:val="661E3F1E"/>
    <w:multiLevelType w:val="hybridMultilevel"/>
    <w:lvl w:ilvl="0">
      <w:lvlJc w:val="left"/>
      <w:lvlText w:val="(%1)"/>
      <w:numFmt w:val="lowerRoman"/>
      <w:start w:val="1"/>
    </w:lvl>
    <w:lvl w:ilvl="1">
      <w:lvlJc w:val="left"/>
      <w:lvlText w:val="(%2)"/>
      <w:numFmt w:val="lowerRoman"/>
      <w:start w:val="1"/>
    </w:lvl>
  </w:abstractNum>
  <w:abstractNum w:abstractNumId="53">
    <w:nsid w:val="5DC79EA8"/>
    <w:multiLevelType w:val="hybridMultilevel"/>
    <w:lvl w:ilvl="0">
      <w:lvlJc w:val="left"/>
      <w:lvlText w:val="(%1)"/>
      <w:numFmt w:val="lowerLetter"/>
      <w:start w:val="1"/>
    </w:lvl>
    <w:lvl w:ilvl="1">
      <w:lvlJc w:val="left"/>
      <w:lvlText w:val="(%2)"/>
      <w:numFmt w:val="lowerRoman"/>
      <w:start w:val="1"/>
    </w:lvl>
  </w:abstractNum>
  <w:abstractNum w:abstractNumId="54">
    <w:nsid w:val="540A471C"/>
    <w:multiLevelType w:val="hybridMultilevel"/>
    <w:lvl w:ilvl="0">
      <w:lvlJc w:val="left"/>
      <w:lvlText w:val="(%1)"/>
      <w:numFmt w:val="lowerLetter"/>
      <w:start w:val="3"/>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5"/>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lowerLetter"/>
      <w:start w:val="3"/>
    </w:lvl>
  </w:abstractNum>
  <w:abstractNum w:abstractNumId="59">
    <w:nsid w:val="11447B73"/>
    <w:multiLevelType w:val="hybridMultilevel"/>
    <w:lvl w:ilvl="0">
      <w:lvlJc w:val="left"/>
      <w:lvlText w:val="(%1)"/>
      <w:numFmt w:val="lowerLetter"/>
      <w:start w:val="2"/>
    </w:lvl>
  </w:abstractNum>
  <w:abstractNum w:abstractNumId="60">
    <w:nsid w:val="42963E5A"/>
    <w:multiLevelType w:val="hybridMultilevel"/>
    <w:lvl w:ilvl="0">
      <w:lvlJc w:val="left"/>
      <w:lvlText w:val="(%1)"/>
      <w:numFmt w:val="lowerLetter"/>
      <w:start w:val="3"/>
    </w:lvl>
  </w:abstractNum>
  <w:abstractNum w:abstractNumId="61">
    <w:nsid w:val="A0382C5"/>
    <w:multiLevelType w:val="hybridMultilevel"/>
    <w:lvl w:ilvl="0">
      <w:lvlJc w:val="left"/>
      <w:lvlText w:val="%1"/>
      <w:numFmt w:val="lowerLetter"/>
      <w:start w:val="1"/>
    </w:lvl>
    <w:lvl w:ilvl="1">
      <w:lvlJc w:val="left"/>
      <w:lvlText w:val="(%2)"/>
      <w:numFmt w:val="lowerLetter"/>
      <w:start w:val="2"/>
    </w:lvl>
  </w:abstractNum>
  <w:abstractNum w:abstractNumId="62">
    <w:nsid w:val="8F2B15E"/>
    <w:multiLevelType w:val="hybridMultilevel"/>
    <w:lvl w:ilvl="0">
      <w:lvlJc w:val="left"/>
      <w:lvlText w:val="(%1)"/>
      <w:numFmt w:val="lowerLetter"/>
      <w:start w:val="22"/>
    </w:lvl>
    <w:lvl w:ilvl="1">
      <w:lvlJc w:val="left"/>
      <w:lvlText w:val="(%2)"/>
      <w:numFmt w:val="lowerLetter"/>
      <w:start w:val="3"/>
    </w:lvl>
  </w:abstractNum>
  <w:abstractNum w:abstractNumId="63">
    <w:nsid w:val="1A32234B"/>
    <w:multiLevelType w:val="hybridMultilevel"/>
    <w:lvl w:ilvl="0">
      <w:lvlJc w:val="left"/>
      <w:lvlText w:val="(%1)"/>
      <w:numFmt w:val="lowerLetter"/>
      <w:start w:val="5"/>
    </w:lvl>
  </w:abstractNum>
  <w:abstractNum w:abstractNumId="64">
    <w:nsid w:val="3B0FD379"/>
    <w:multiLevelType w:val="hybridMultilevel"/>
    <w:lvl w:ilvl="0">
      <w:lvlJc w:val="left"/>
      <w:lvlText w:val="(%1)"/>
      <w:numFmt w:val="lowerLetter"/>
      <w:start w:val="2"/>
    </w:lvl>
  </w:abstractNum>
  <w:abstractNum w:abstractNumId="65">
    <w:nsid w:val="68EB2F63"/>
    <w:multiLevelType w:val="hybridMultilevel"/>
    <w:lvl w:ilvl="0">
      <w:lvlJc w:val="left"/>
      <w:lvlText w:val="(%1)"/>
      <w:numFmt w:val="upperLetter"/>
      <w:start w:val="1"/>
    </w:lvl>
  </w:abstractNum>
  <w:abstractNum w:abstractNumId="66">
    <w:nsid w:val="4962813B"/>
    <w:multiLevelType w:val="hybridMultilevel"/>
    <w:lvl w:ilvl="0">
      <w:lvlJc w:val="left"/>
      <w:lvlText w:val="(%1)"/>
      <w:numFmt w:val="upperLetter"/>
      <w:start w:val="2"/>
    </w:lvl>
  </w:abstractNum>
  <w:abstractNum w:abstractNumId="67">
    <w:nsid w:val="60B6DF70"/>
    <w:multiLevelType w:val="hybridMultilevel"/>
    <w:lvl w:ilvl="0">
      <w:lvlJc w:val="left"/>
      <w:lvlText w:val="(%1)"/>
      <w:numFmt w:val="upp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3"/>
    </w:lvl>
  </w:abstractNum>
  <w:abstractNum w:abstractNumId="70">
    <w:nsid w:val="7FFFCA11"/>
    <w:multiLevelType w:val="hybridMultilevel"/>
    <w:lvl w:ilvl="0">
      <w:lvlJc w:val="left"/>
      <w:lvlText w:val="%1."/>
      <w:numFmt w:val="decimal"/>
      <w:start w:val="1"/>
    </w:lvl>
  </w:abstractNum>
  <w:abstractNum w:abstractNumId="71">
    <w:nsid w:val="1A27709E"/>
    <w:multiLevelType w:val="hybridMultilevel"/>
    <w:lvl w:ilvl="0">
      <w:lvlJc w:val="left"/>
      <w:lvlText w:val="%1."/>
      <w:numFmt w:val="decimal"/>
      <w:start w:val="4"/>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1)"/>
      <w:numFmt w:val="decimal"/>
      <w:start w:val="1"/>
    </w:lvl>
  </w:abstractNum>
  <w:abstractNum w:abstractNumId="74">
    <w:nsid w:val="7FB7E0AA"/>
    <w:multiLevelType w:val="hybridMultilevel"/>
    <w:lvl w:ilvl="0">
      <w:lvlJc w:val="left"/>
      <w:lvlText w:val="%1"/>
      <w:numFmt w:val="lowerRoman"/>
      <w:start w:val="1"/>
    </w:lvl>
    <w:lvl w:ilvl="1">
      <w:lvlJc w:val="left"/>
      <w:lvlText w:val="%2."/>
      <w:numFmt w:val="decimal"/>
      <w:start w:val="1"/>
    </w:lvl>
  </w:abstractNum>
  <w:abstractNum w:abstractNumId="75">
    <w:nsid w:val="6EB5BD4"/>
    <w:multiLevelType w:val="hybridMultilevel"/>
    <w:lvl w:ilvl="0">
      <w:lvlJc w:val="left"/>
      <w:lvlText w:val="(%1)"/>
      <w:numFmt w:val="lowerRoman"/>
      <w:start w:val="1"/>
    </w:lvl>
    <w:lvl w:ilvl="1">
      <w:lvlJc w:val="left"/>
      <w:lvlText w:val="%2."/>
      <w:numFmt w:val="decimal"/>
      <w:start w:val="3"/>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2"/>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2"/>
    </w:lvl>
  </w:abstractNum>
  <w:abstractNum w:abstractNumId="82">
    <w:nsid w:val="14E17E33"/>
    <w:multiLevelType w:val="hybridMultilevel"/>
    <w:lvl w:ilvl="0">
      <w:lvlJc w:val="left"/>
      <w:lvlText w:val="%1."/>
      <w:numFmt w:val="decimal"/>
      <w:start w:val="1"/>
    </w:lvl>
  </w:abstractNum>
  <w:abstractNum w:abstractNumId="83">
    <w:nsid w:val="3222E7CD"/>
    <w:multiLevelType w:val="hybridMultilevel"/>
    <w:lvl w:ilvl="0">
      <w:lvlJc w:val="left"/>
      <w:lvlText w:val="(%1)"/>
      <w:numFmt w:val="lowerLetter"/>
      <w:start w:val="2"/>
    </w:lvl>
  </w:abstractNum>
  <w:abstractNum w:abstractNumId="84">
    <w:nsid w:val="74DE0EE3"/>
    <w:multiLevelType w:val="hybridMultilevel"/>
    <w:lvl w:ilvl="0">
      <w:lvlJc w:val="left"/>
      <w:lvlText w:val="(%1)"/>
      <w:numFmt w:val="lowerLetter"/>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2"/>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2019-12-13T07:57:00Z</dcterms:created>
  <dcterms:modified xsi:type="dcterms:W3CDTF">2019-12-13T07:57:00Z</dcterms:modified>
</cp:coreProperties>
</file>