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877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87706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2"/>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 Andrew Stephen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2"/>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u w:val="single" w:color="auto"/>
                  <w:color w:val="0000EE"/>
                </w:rPr>
                <w:t>Graham Holdings Co</w:t>
              </w:r>
              <w:r>
                <w:rPr>
                  <w:rFonts w:ascii="Times New Roman" w:cs="Times New Roman" w:eastAsia="Times New Roman" w:hAnsi="Times New Roman"/>
                  <w:sz w:val="11"/>
                  <w:szCs w:val="11"/>
                  <w:color w:val="0000EE"/>
                </w:rPr>
                <w:t xml:space="preserve">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GHC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line="135"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Borders>
              <w:top w:val="single" w:sz="8" w:color="EEEEEE"/>
              <w:bottom w:val="single" w:sz="8" w:color="EEEEEE"/>
            </w:tcBorders>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Executive Vice President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GRAHAM HOLDINGS 1300 NORTH 17TH</w:t>
            </w:r>
          </w:p>
        </w:tc>
        <w:tc>
          <w:tcPr>
            <w:tcW w:w="3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11/20/2020</w:t>
            </w:r>
          </w:p>
        </w:tc>
        <w:tc>
          <w:tcPr>
            <w:tcW w:w="48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392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w:t>
            </w: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1700</w:t>
            </w:r>
          </w:p>
        </w:tc>
        <w:tc>
          <w:tcPr>
            <w:tcW w:w="1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3"/>
                <w:szCs w:val="13"/>
                <w:color w:val="auto"/>
                <w:w w:val="91"/>
              </w:rPr>
              <w:t>4.</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3640" w:type="dxa"/>
            <w:vAlign w:val="bottom"/>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22209</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39" w:hanging="339"/>
        <w:spacing w:after="0"/>
        <w:tabs>
          <w:tab w:leader="none" w:pos="339"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59" w:lineRule="exact"/>
        <w:rPr>
          <w:rFonts w:ascii="Times New Roman" w:cs="Times New Roman" w:eastAsia="Times New Roman" w:hAnsi="Times New Roman"/>
          <w:sz w:val="17"/>
          <w:szCs w:val="17"/>
          <w:color w:val="0000FF"/>
        </w:rPr>
      </w:pPr>
    </w:p>
    <w:p>
      <w:pPr>
        <w:ind w:left="339" w:right="580"/>
        <w:spacing w:after="0" w:line="26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5" w:lineRule="exact"/>
        <w:rPr>
          <w:sz w:val="20"/>
          <w:szCs w:val="20"/>
          <w:color w:val="auto"/>
        </w:rPr>
      </w:pPr>
    </w:p>
    <w:p>
      <w:pPr>
        <w:sectPr>
          <w:pgSz w:w="11900" w:h="16838" w:orient="portrait"/>
          <w:cols w:equalWidth="0" w:num="2">
            <w:col w:w="7201" w:space="720"/>
            <w:col w:w="3159"/>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60"/>
              <w:spacing w:after="0" w:line="124"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0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20"/>
              <w:spacing w:after="0" w:line="124"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11/20/2020</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jc w:val="center"/>
              <w:ind w:right="319"/>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6,727</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325.26</w:t>
            </w: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33,855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11/20/2020</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5,164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450.13</w:t>
            </w:r>
            <w:r>
              <w:rPr>
                <w:rFonts w:ascii="Times New Roman" w:cs="Times New Roman" w:eastAsia="Times New Roman" w:hAnsi="Times New Roman"/>
                <w:sz w:val="21"/>
                <w:szCs w:val="21"/>
                <w:color w:val="008000"/>
                <w:w w:val="90"/>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28,691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02/22/2015</w:t>
            </w:r>
            <w:r>
              <w:rPr>
                <w:rFonts w:ascii="Times New Roman" w:cs="Times New Roman" w:eastAsia="Times New Roman" w:hAnsi="Times New Roman"/>
                <w:sz w:val="21"/>
                <w:szCs w:val="21"/>
                <w:color w:val="008000"/>
                <w:vertAlign w:val="superscript"/>
              </w:rPr>
              <w:t>(2)</w:t>
            </w:r>
          </w:p>
        </w:tc>
        <w:tc>
          <w:tcPr>
            <w:tcW w:w="66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Class B</w:t>
            </w: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6,727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325.26</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11/20/2020</w:t>
            </w:r>
          </w:p>
        </w:tc>
        <w:tc>
          <w:tcPr>
            <w:tcW w:w="1140" w:type="dxa"/>
            <w:vAlign w:val="bottom"/>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4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6,727</w:t>
            </w: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02/22/2021</w:t>
            </w: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49,131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-2131695</wp:posOffset>
            </wp:positionV>
            <wp:extent cx="7033895" cy="2270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2707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$450.00 to 450.65, inclusive. The reporting person undertakes to provide the issuer, any security holder of the issuer or the staff of the Securities and Exchange Commission, upon request, full information regarding the number of shares sold at each separate price within such range.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 was granted on 2/22/2011 and vested annually over four years. The option is fully vested.</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Andrew Stephen Rosen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11/24/2020</w:t>
            </w: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05148"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2020-11-24T19:22:28Z</dcterms:created>
  <dcterms:modified xsi:type="dcterms:W3CDTF">2020-11-24T19:22:28Z</dcterms:modified>
</cp:coreProperties>
</file>